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6A13A1" w:rsidRDefault="00715990" w:rsidP="006A13A1">
      <w:pPr>
        <w:pStyle w:val="NoSpacing"/>
        <w:jc w:val="center"/>
        <w:rPr>
          <w:rFonts w:ascii="Arial" w:hAnsi="Arial" w:cs="Arial"/>
          <w:b/>
          <w:bCs/>
          <w:sz w:val="28"/>
          <w:szCs w:val="28"/>
        </w:rPr>
      </w:pPr>
      <w:r w:rsidRPr="006A13A1">
        <w:rPr>
          <w:rFonts w:ascii="Arial" w:hAnsi="Arial" w:cs="Arial"/>
          <w:b/>
          <w:bCs/>
          <w:sz w:val="28"/>
          <w:szCs w:val="28"/>
        </w:rPr>
        <w:t>BSc (Hons) Health and Social Care</w:t>
      </w:r>
    </w:p>
    <w:p w14:paraId="358C7E62" w14:textId="77777777" w:rsidR="00AD0E8D" w:rsidRPr="006A13A1" w:rsidRDefault="00AD0E8D" w:rsidP="006A13A1">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3A1AFF92" w14:textId="77777777" w:rsidR="006A13A1" w:rsidRPr="00AD0E8D" w:rsidRDefault="006A13A1" w:rsidP="006A13A1">
      <w:pPr>
        <w:spacing w:line="360" w:lineRule="auto"/>
        <w:rPr>
          <w:rFonts w:ascii="Arial" w:hAnsi="Arial" w:cs="Arial"/>
          <w:sz w:val="28"/>
          <w:szCs w:val="28"/>
        </w:rPr>
      </w:pPr>
    </w:p>
    <w:p w14:paraId="38CB5304" w14:textId="77777777" w:rsidR="006A13A1" w:rsidRPr="00AD0E8D" w:rsidRDefault="006A13A1" w:rsidP="006A13A1">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w:t>
      </w:r>
      <w:r>
        <w:rPr>
          <w:rFonts w:ascii="Arial" w:hAnsi="Arial" w:cs="Arial"/>
          <w:sz w:val="28"/>
          <w:szCs w:val="28"/>
        </w:rPr>
        <w:t>2409452</w:t>
      </w:r>
      <w:r w:rsidRPr="00AD0E8D">
        <w:rPr>
          <w:rFonts w:ascii="Arial" w:hAnsi="Arial" w:cs="Arial"/>
          <w:sz w:val="28"/>
          <w:szCs w:val="28"/>
        </w:rPr>
        <w:t xml:space="preserve"> </w:t>
      </w:r>
    </w:p>
    <w:p w14:paraId="6B3C8529" w14:textId="77777777" w:rsidR="006A13A1" w:rsidRPr="00AD0E8D" w:rsidRDefault="006A13A1" w:rsidP="006A13A1">
      <w:pPr>
        <w:spacing w:line="360" w:lineRule="auto"/>
        <w:rPr>
          <w:rFonts w:ascii="Arial" w:hAnsi="Arial" w:cs="Arial"/>
          <w:sz w:val="28"/>
          <w:szCs w:val="28"/>
        </w:rPr>
      </w:pPr>
    </w:p>
    <w:p w14:paraId="0BCD6564" w14:textId="77777777" w:rsidR="006A13A1" w:rsidRPr="00AD0E8D" w:rsidRDefault="006A13A1" w:rsidP="006A13A1">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Pr="00942D32">
        <w:rPr>
          <w:rFonts w:ascii="Arial" w:hAnsi="Arial" w:cs="Arial"/>
          <w:sz w:val="28"/>
          <w:szCs w:val="28"/>
        </w:rPr>
        <w:t xml:space="preserve">Nosakhare </w:t>
      </w:r>
      <w:proofErr w:type="spellStart"/>
      <w:r w:rsidRPr="00942D32">
        <w:rPr>
          <w:rFonts w:ascii="Arial" w:hAnsi="Arial" w:cs="Arial"/>
          <w:sz w:val="28"/>
          <w:szCs w:val="28"/>
        </w:rPr>
        <w:t>Edobor</w:t>
      </w:r>
      <w:proofErr w:type="spellEnd"/>
    </w:p>
    <w:p w14:paraId="61B76B98" w14:textId="77777777" w:rsidR="006A13A1" w:rsidRPr="00AD0E8D" w:rsidRDefault="006A13A1" w:rsidP="006A13A1">
      <w:pPr>
        <w:spacing w:line="360" w:lineRule="auto"/>
        <w:rPr>
          <w:rFonts w:ascii="Arial" w:hAnsi="Arial" w:cs="Arial"/>
          <w:sz w:val="28"/>
          <w:szCs w:val="28"/>
        </w:rPr>
      </w:pPr>
    </w:p>
    <w:p w14:paraId="54A77DE2" w14:textId="77777777" w:rsidR="006A13A1" w:rsidRPr="00AD0E8D" w:rsidRDefault="006A13A1" w:rsidP="006A13A1">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Pr>
          <w:rFonts w:ascii="Arial" w:hAnsi="Arial" w:cs="Arial"/>
          <w:sz w:val="28"/>
          <w:szCs w:val="28"/>
        </w:rPr>
        <w:t>10/07/2025</w:t>
      </w:r>
    </w:p>
    <w:p w14:paraId="1AD185BB" w14:textId="77777777" w:rsidR="00FF5B70" w:rsidRPr="00AD0E8D" w:rsidRDefault="00FF5B70" w:rsidP="00041A5A">
      <w:pPr>
        <w:spacing w:line="360" w:lineRule="auto"/>
        <w:rPr>
          <w:rFonts w:ascii="Arial" w:hAnsi="Arial" w:cs="Arial"/>
          <w:sz w:val="28"/>
          <w:szCs w:val="28"/>
        </w:rPr>
      </w:pPr>
    </w:p>
    <w:p w14:paraId="3FE66E60" w14:textId="5274B464"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6FCB543F" w:rsidR="00D769F0" w:rsidRPr="00E91225" w:rsidRDefault="00AD0E8D" w:rsidP="00E91225">
      <w:pPr>
        <w:pStyle w:val="Heading2"/>
        <w:rPr>
          <w:i w:val="0"/>
          <w:iCs/>
          <w:sz w:val="22"/>
        </w:rPr>
      </w:pPr>
      <w:r w:rsidRPr="00E91225">
        <w:rPr>
          <w:i w:val="0"/>
          <w:iCs/>
          <w:sz w:val="22"/>
        </w:rPr>
        <w:t>Topic</w:t>
      </w:r>
      <w:r w:rsidR="00D769F0" w:rsidRPr="00E91225">
        <w:rPr>
          <w:i w:val="0"/>
          <w:iCs/>
          <w:sz w:val="22"/>
        </w:rPr>
        <w:t>:</w:t>
      </w:r>
      <w:r w:rsidR="00856270" w:rsidRPr="00E91225">
        <w:rPr>
          <w:i w:val="0"/>
          <w:iCs/>
          <w:sz w:val="22"/>
        </w:rPr>
        <w:t xml:space="preserve"> The Effectiveness of Telehealth in Delivering Primary Healthcare Services in the UK: A Scoping Review</w:t>
      </w:r>
    </w:p>
    <w:p w14:paraId="03FD30D3" w14:textId="475F3855" w:rsidR="00715990" w:rsidRPr="00E91225" w:rsidRDefault="00715990" w:rsidP="00E91225">
      <w:pPr>
        <w:spacing w:line="360" w:lineRule="auto"/>
        <w:rPr>
          <w:rFonts w:ascii="Arial" w:hAnsi="Arial" w:cs="Arial"/>
          <w:sz w:val="22"/>
        </w:rPr>
      </w:pPr>
    </w:p>
    <w:p w14:paraId="2A440F85" w14:textId="77777777" w:rsidR="00594243" w:rsidRPr="00E91225" w:rsidRDefault="00FF5B70" w:rsidP="00E91225">
      <w:pPr>
        <w:pStyle w:val="Heading2"/>
        <w:rPr>
          <w:sz w:val="22"/>
        </w:rPr>
      </w:pPr>
      <w:r w:rsidRPr="00E91225">
        <w:rPr>
          <w:sz w:val="22"/>
        </w:rPr>
        <w:t>1</w:t>
      </w:r>
      <w:r w:rsidR="00784670" w:rsidRPr="00E91225">
        <w:rPr>
          <w:sz w:val="22"/>
        </w:rPr>
        <w:t xml:space="preserve">) </w:t>
      </w:r>
      <w:r w:rsidR="00AD0E8D" w:rsidRPr="00E91225">
        <w:rPr>
          <w:sz w:val="22"/>
        </w:rPr>
        <w:t>Review question</w:t>
      </w:r>
      <w:r w:rsidR="00784670" w:rsidRPr="00E91225">
        <w:rPr>
          <w:sz w:val="22"/>
        </w:rPr>
        <w:t>:</w:t>
      </w:r>
    </w:p>
    <w:p w14:paraId="4C6858D8" w14:textId="72BBD0BE" w:rsidR="00784670" w:rsidRPr="00E91225" w:rsidRDefault="00856270" w:rsidP="00E91225">
      <w:pPr>
        <w:spacing w:line="360" w:lineRule="auto"/>
        <w:rPr>
          <w:rFonts w:ascii="Arial" w:hAnsi="Arial" w:cs="Arial"/>
          <w:sz w:val="22"/>
        </w:rPr>
      </w:pPr>
      <w:r w:rsidRPr="00E91225">
        <w:rPr>
          <w:rFonts w:ascii="Arial" w:hAnsi="Arial" w:cs="Arial"/>
          <w:sz w:val="22"/>
        </w:rPr>
        <w:t xml:space="preserve"> How effective is telehealth in delivering primary healthcare services in the United Kingdom, and what benefits, challenges, and implications for healthcare practice are reported in recent peer-reviewed literature?</w:t>
      </w:r>
    </w:p>
    <w:p w14:paraId="2B00F95C" w14:textId="08FBDE38" w:rsidR="00545684" w:rsidRPr="00E91225" w:rsidRDefault="00FF5B70" w:rsidP="00E91225">
      <w:pPr>
        <w:pStyle w:val="Heading2"/>
        <w:rPr>
          <w:sz w:val="22"/>
        </w:rPr>
      </w:pPr>
      <w:r w:rsidRPr="00E91225">
        <w:rPr>
          <w:sz w:val="22"/>
        </w:rPr>
        <w:t>2</w:t>
      </w:r>
      <w:r w:rsidR="00784670" w:rsidRPr="00E91225">
        <w:rPr>
          <w:sz w:val="22"/>
        </w:rPr>
        <w:t>) O</w:t>
      </w:r>
      <w:r w:rsidR="00545684" w:rsidRPr="00E91225">
        <w:rPr>
          <w:sz w:val="22"/>
        </w:rPr>
        <w:t>bjectives:</w:t>
      </w:r>
      <w:r w:rsidR="00856270" w:rsidRPr="00E91225">
        <w:rPr>
          <w:sz w:val="22"/>
        </w:rPr>
        <w:t xml:space="preserve"> </w:t>
      </w:r>
    </w:p>
    <w:p w14:paraId="350A887E" w14:textId="77777777" w:rsidR="00594243" w:rsidRPr="00E91225" w:rsidRDefault="00594243" w:rsidP="00E91225">
      <w:pPr>
        <w:spacing w:line="360" w:lineRule="auto"/>
        <w:rPr>
          <w:rFonts w:ascii="Arial" w:hAnsi="Arial" w:cs="Arial"/>
          <w:sz w:val="22"/>
          <w:lang/>
        </w:rPr>
      </w:pPr>
      <w:r w:rsidRPr="00E91225">
        <w:rPr>
          <w:rFonts w:ascii="Arial" w:hAnsi="Arial" w:cs="Arial"/>
          <w:sz w:val="22"/>
          <w:lang/>
        </w:rPr>
        <w:t>The aim of the proposed scoping review is to map and synthesise recent evidence on the effectiveness of telehealth in UK primary care. Specifically, the review seeks to:</w:t>
      </w:r>
    </w:p>
    <w:p w14:paraId="4C95F634" w14:textId="77777777" w:rsidR="00594243" w:rsidRPr="00E91225" w:rsidRDefault="00594243" w:rsidP="00E91225">
      <w:pPr>
        <w:pStyle w:val="ListParagraph"/>
        <w:numPr>
          <w:ilvl w:val="0"/>
          <w:numId w:val="4"/>
        </w:numPr>
        <w:spacing w:line="360" w:lineRule="auto"/>
        <w:rPr>
          <w:rFonts w:ascii="Arial" w:hAnsi="Arial" w:cs="Arial"/>
          <w:sz w:val="22"/>
          <w:lang/>
        </w:rPr>
      </w:pPr>
      <w:r w:rsidRPr="00E91225">
        <w:rPr>
          <w:rFonts w:ascii="Arial" w:hAnsi="Arial" w:cs="Arial"/>
          <w:sz w:val="22"/>
          <w:lang/>
        </w:rPr>
        <w:t>To identify the reported effects of telehealth on access to primary healthcare service</w:t>
      </w:r>
    </w:p>
    <w:p w14:paraId="53EA633E" w14:textId="77777777" w:rsidR="00594243" w:rsidRPr="00E91225" w:rsidRDefault="00594243" w:rsidP="00E91225">
      <w:pPr>
        <w:pStyle w:val="ListParagraph"/>
        <w:numPr>
          <w:ilvl w:val="0"/>
          <w:numId w:val="4"/>
        </w:numPr>
        <w:spacing w:line="360" w:lineRule="auto"/>
        <w:rPr>
          <w:rFonts w:ascii="Arial" w:hAnsi="Arial" w:cs="Arial"/>
          <w:sz w:val="22"/>
          <w:lang/>
        </w:rPr>
      </w:pPr>
      <w:r w:rsidRPr="00E91225">
        <w:rPr>
          <w:rFonts w:ascii="Arial" w:hAnsi="Arial" w:cs="Arial"/>
          <w:sz w:val="22"/>
          <w:lang/>
        </w:rPr>
        <w:t>To explore its effect on patient outcomes, satisfaction and quality of care</w:t>
      </w:r>
    </w:p>
    <w:p w14:paraId="37873847" w14:textId="77777777" w:rsidR="00594243" w:rsidRPr="00E91225" w:rsidRDefault="00594243" w:rsidP="00E91225">
      <w:pPr>
        <w:pStyle w:val="ListParagraph"/>
        <w:numPr>
          <w:ilvl w:val="0"/>
          <w:numId w:val="4"/>
        </w:numPr>
        <w:spacing w:line="360" w:lineRule="auto"/>
        <w:rPr>
          <w:rFonts w:ascii="Arial" w:hAnsi="Arial" w:cs="Arial"/>
          <w:sz w:val="22"/>
          <w:lang/>
        </w:rPr>
      </w:pPr>
      <w:r w:rsidRPr="00E91225">
        <w:rPr>
          <w:rFonts w:ascii="Arial" w:hAnsi="Arial" w:cs="Arial"/>
          <w:sz w:val="22"/>
          <w:lang/>
        </w:rPr>
        <w:t>To identify barriers and facilitators that would impact the use of telehealth services</w:t>
      </w:r>
    </w:p>
    <w:p w14:paraId="3E9720FF" w14:textId="2DB09EDD" w:rsidR="00594243" w:rsidRPr="00E91225" w:rsidRDefault="00594243" w:rsidP="00E91225">
      <w:pPr>
        <w:pStyle w:val="ListParagraph"/>
        <w:numPr>
          <w:ilvl w:val="0"/>
          <w:numId w:val="4"/>
        </w:numPr>
        <w:spacing w:line="360" w:lineRule="auto"/>
        <w:rPr>
          <w:rFonts w:ascii="Arial" w:hAnsi="Arial" w:cs="Arial"/>
          <w:sz w:val="22"/>
          <w:lang/>
        </w:rPr>
      </w:pPr>
      <w:r w:rsidRPr="00E91225">
        <w:rPr>
          <w:rFonts w:ascii="Arial" w:hAnsi="Arial" w:cs="Arial"/>
          <w:sz w:val="22"/>
          <w:lang/>
        </w:rPr>
        <w:t>To determine implications for future research, practice and policy in primary healthcare in the UK.</w:t>
      </w:r>
    </w:p>
    <w:p w14:paraId="3AC96963" w14:textId="643B4BF4" w:rsidR="00545684" w:rsidRPr="00E91225" w:rsidRDefault="00FF5B70" w:rsidP="00E91225">
      <w:pPr>
        <w:pStyle w:val="Heading2"/>
        <w:rPr>
          <w:sz w:val="22"/>
        </w:rPr>
      </w:pPr>
      <w:r w:rsidRPr="00E91225">
        <w:rPr>
          <w:sz w:val="22"/>
        </w:rPr>
        <w:t>3</w:t>
      </w:r>
      <w:r w:rsidR="008E5015" w:rsidRPr="00E91225">
        <w:rPr>
          <w:sz w:val="22"/>
        </w:rPr>
        <w:t xml:space="preserve">) </w:t>
      </w:r>
      <w:r w:rsidR="00AD0E8D" w:rsidRPr="00E91225">
        <w:rPr>
          <w:sz w:val="22"/>
        </w:rPr>
        <w:t>Rationale</w:t>
      </w:r>
      <w:r w:rsidR="00545684" w:rsidRPr="00E91225">
        <w:rPr>
          <w:sz w:val="22"/>
        </w:rPr>
        <w:t>:</w:t>
      </w:r>
    </w:p>
    <w:p w14:paraId="32854F5C" w14:textId="77777777" w:rsidR="004050AA" w:rsidRPr="00E91225" w:rsidRDefault="004050AA" w:rsidP="00E91225">
      <w:pPr>
        <w:spacing w:line="360" w:lineRule="auto"/>
        <w:rPr>
          <w:rFonts w:ascii="Arial" w:hAnsi="Arial" w:cs="Arial"/>
          <w:sz w:val="22"/>
          <w:lang/>
        </w:rPr>
      </w:pPr>
      <w:r w:rsidRPr="00E91225">
        <w:rPr>
          <w:rFonts w:ascii="Arial" w:hAnsi="Arial" w:cs="Arial"/>
          <w:sz w:val="22"/>
          <w:lang/>
        </w:rPr>
        <w:t xml:space="preserve">Within the United Kingdom, Telehealth is now a core part of the primary health care system, especially since the onset of the COVID-19 pandemic, when remote consultations have gained momentum within the NHS (Murphy et al., 2021). Recent evidence has shown that telehealth can enhance access to healthcare, cut down travel time and maintain clinical effectiveness in various healthcare domains (Snoswell et al., 2023; Ezeamii et al., 2024). But there are concerns about digital exclusion (Labadorf et al., 2025), communication barriers (Kemp et al., 2025), technological limitations (Ezeamii et al., 2024), and the appropriateness of teleconsultation for patients with complex clinical requirements (Leighton et al., 2024). </w:t>
      </w:r>
    </w:p>
    <w:p w14:paraId="48B3D1A4" w14:textId="3F425D4E" w:rsidR="00041A5A" w:rsidRPr="00E91225" w:rsidRDefault="004050AA" w:rsidP="00E91225">
      <w:pPr>
        <w:spacing w:line="360" w:lineRule="auto"/>
        <w:rPr>
          <w:rFonts w:ascii="Arial" w:hAnsi="Arial" w:cs="Arial"/>
          <w:sz w:val="22"/>
          <w:lang/>
        </w:rPr>
      </w:pPr>
      <w:r w:rsidRPr="00E91225">
        <w:rPr>
          <w:rFonts w:ascii="Arial" w:hAnsi="Arial" w:cs="Arial"/>
          <w:sz w:val="22"/>
          <w:lang/>
        </w:rPr>
        <w:t>While telehealth is now ingrained in primary healthcare service delivery in the UK (Xing et al. 2026), available evidence is still sparse and scattered in different patient types and care models. Thus, a need exists for synthesising existing research to establish the reported benefits, challenges, and evidence gaps that could be used to shape future NHS policy and service delivery. A scoping review is thus relevant, as it allows for an extensive mapping of existing literature and its identification of gaps for further research.</w:t>
      </w:r>
    </w:p>
    <w:p w14:paraId="332E5A12" w14:textId="051972BF" w:rsidR="00545684" w:rsidRPr="00E91225" w:rsidRDefault="00FF5B70" w:rsidP="00E91225">
      <w:pPr>
        <w:pStyle w:val="Heading2"/>
        <w:rPr>
          <w:sz w:val="22"/>
        </w:rPr>
      </w:pPr>
      <w:r w:rsidRPr="00E91225">
        <w:rPr>
          <w:sz w:val="22"/>
        </w:rPr>
        <w:lastRenderedPageBreak/>
        <w:t>4</w:t>
      </w:r>
      <w:r w:rsidR="008E5015" w:rsidRPr="00E91225">
        <w:rPr>
          <w:sz w:val="22"/>
        </w:rPr>
        <w:t xml:space="preserve">) </w:t>
      </w:r>
      <w:r w:rsidR="00545684" w:rsidRPr="00E91225">
        <w:rPr>
          <w:sz w:val="22"/>
        </w:rPr>
        <w:t>Methods:</w:t>
      </w:r>
    </w:p>
    <w:p w14:paraId="08437629" w14:textId="07C4E4EB" w:rsidR="0061260B" w:rsidRPr="00E91225" w:rsidRDefault="004050AA" w:rsidP="00E91225">
      <w:pPr>
        <w:spacing w:line="360" w:lineRule="auto"/>
        <w:rPr>
          <w:rFonts w:ascii="Arial" w:hAnsi="Arial" w:cs="Arial"/>
          <w:sz w:val="22"/>
        </w:rPr>
      </w:pPr>
      <w:r w:rsidRPr="00E91225">
        <w:rPr>
          <w:rFonts w:ascii="Arial" w:hAnsi="Arial" w:cs="Arial"/>
          <w:sz w:val="22"/>
        </w:rPr>
        <w:t>This study will use a scoping review method, which was developed by Arksey and O'Malley (2005) and refined by the Joanna Briggs Institute (Peters et al., 2020). Thematic analysis will be used to synthesise data, which is a six-phase thematic analysis approach (Braun and Clarke, 2021).</w:t>
      </w:r>
    </w:p>
    <w:p w14:paraId="232DCC93" w14:textId="2CF9B0F8" w:rsidR="0061260B" w:rsidRPr="00E91225" w:rsidRDefault="00FF5B70" w:rsidP="00E91225">
      <w:pPr>
        <w:pStyle w:val="Heading2"/>
        <w:rPr>
          <w:sz w:val="22"/>
        </w:rPr>
      </w:pPr>
      <w:r w:rsidRPr="00E91225">
        <w:rPr>
          <w:sz w:val="22"/>
        </w:rPr>
        <w:t>5</w:t>
      </w:r>
      <w:r w:rsidR="0061260B" w:rsidRPr="00E91225">
        <w:rPr>
          <w:sz w:val="22"/>
        </w:rPr>
        <w:t xml:space="preserve">) </w:t>
      </w:r>
      <w:r w:rsidR="00AD0E8D" w:rsidRPr="00E91225">
        <w:rPr>
          <w:sz w:val="22"/>
        </w:rPr>
        <w:t>Ethical considerations</w:t>
      </w:r>
      <w:r w:rsidR="00260277" w:rsidRPr="00E91225">
        <w:rPr>
          <w:sz w:val="22"/>
        </w:rPr>
        <w:t>:</w:t>
      </w:r>
      <w:r w:rsidR="0061260B" w:rsidRPr="00E91225">
        <w:rPr>
          <w:sz w:val="22"/>
        </w:rPr>
        <w:t xml:space="preserve"> </w:t>
      </w:r>
    </w:p>
    <w:p w14:paraId="32C49FA8" w14:textId="5C13BCF6" w:rsidR="00260277" w:rsidRPr="00AD0E8D" w:rsidRDefault="00E91225" w:rsidP="006A13A1">
      <w:pPr>
        <w:spacing w:line="360" w:lineRule="auto"/>
        <w:rPr>
          <w:rFonts w:ascii="Arial" w:hAnsi="Arial" w:cs="Arial"/>
          <w:sz w:val="22"/>
        </w:rPr>
      </w:pPr>
      <w:r w:rsidRPr="00E91225">
        <w:rPr>
          <w:rFonts w:ascii="Arial" w:hAnsi="Arial" w:cs="Arial"/>
          <w:sz w:val="22"/>
          <w:lang/>
        </w:rPr>
        <w:t xml:space="preserve">This study is a secondary scoping review of published peer-reviewed literature and as such does not involve the recruitment of human subjects or the collection of identifiable personal data so there is no need to obtain formal ethical approval (Peters et al., 2020). But there is no excuse for the researcher not to adhere to ethical standards if the research is not approved ethically. The review will therefore take place based on the principles of research integrity which include the transparent selection of research, reporting of research findings and appropriate acknowledgment of all original authors and avoid plagiarism (Braun and Clarke, 2021). </w:t>
      </w: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E91225" w:rsidRDefault="00545684" w:rsidP="00E91225">
      <w:pPr>
        <w:pStyle w:val="Heading1"/>
        <w:rPr>
          <w:sz w:val="22"/>
        </w:rPr>
      </w:pPr>
      <w:r w:rsidRPr="00E91225">
        <w:rPr>
          <w:sz w:val="22"/>
        </w:rPr>
        <w:lastRenderedPageBreak/>
        <w:t>References</w:t>
      </w:r>
    </w:p>
    <w:p w14:paraId="5F917BDD"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t xml:space="preserve">Arksey, H. and </w:t>
      </w:r>
      <w:proofErr w:type="spellStart"/>
      <w:r w:rsidRPr="00E91225">
        <w:rPr>
          <w:rFonts w:ascii="Arial" w:hAnsi="Arial" w:cs="Arial"/>
          <w:sz w:val="22"/>
        </w:rPr>
        <w:t>O'malley</w:t>
      </w:r>
      <w:proofErr w:type="spellEnd"/>
      <w:r w:rsidRPr="00E91225">
        <w:rPr>
          <w:rFonts w:ascii="Arial" w:hAnsi="Arial" w:cs="Arial"/>
          <w:sz w:val="22"/>
        </w:rPr>
        <w:t>, L., 2005. Scoping studies: towards a methodological framework. </w:t>
      </w:r>
      <w:r w:rsidRPr="00E91225">
        <w:rPr>
          <w:rFonts w:ascii="Arial" w:hAnsi="Arial" w:cs="Arial"/>
          <w:i/>
          <w:iCs/>
          <w:sz w:val="22"/>
        </w:rPr>
        <w:t>International journal of social research methodology</w:t>
      </w:r>
      <w:r w:rsidRPr="00E91225">
        <w:rPr>
          <w:rFonts w:ascii="Arial" w:hAnsi="Arial" w:cs="Arial"/>
          <w:sz w:val="22"/>
        </w:rPr>
        <w:t>, </w:t>
      </w:r>
      <w:r w:rsidRPr="00E91225">
        <w:rPr>
          <w:rFonts w:ascii="Arial" w:hAnsi="Arial" w:cs="Arial"/>
          <w:i/>
          <w:iCs/>
          <w:sz w:val="22"/>
        </w:rPr>
        <w:t>8</w:t>
      </w:r>
      <w:r w:rsidRPr="00E91225">
        <w:rPr>
          <w:rFonts w:ascii="Arial" w:hAnsi="Arial" w:cs="Arial"/>
          <w:sz w:val="22"/>
        </w:rPr>
        <w:t>(1), pp.19-32. Available: https://eprints.whiterose.ac.uk/id/eprint/1618/1/Scopingstudies.pdf. (Accessed on 7/7/2026).</w:t>
      </w:r>
    </w:p>
    <w:p w14:paraId="6B49ABEB"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t>Braun, V. and Clarke, V., 2021. Thematic analysis: A practical guide. Available: https://www.researchgate.net/profile/David-Morgan-43/post/How_to_teach_and_or_supervise_qualitatve_data_analysis/attachment/5d448bd33843b0b9825d91e4/AS%3A787530584698880%401564773331825/download/Braun+12+APA+Handbook.pdf (Accessed on 7/7/2026).</w:t>
      </w:r>
    </w:p>
    <w:p w14:paraId="04554006" w14:textId="77777777" w:rsidR="00E91225" w:rsidRPr="00E91225" w:rsidRDefault="00E91225" w:rsidP="00E91225">
      <w:pPr>
        <w:spacing w:line="360" w:lineRule="auto"/>
        <w:ind w:left="720" w:hanging="720"/>
        <w:rPr>
          <w:rFonts w:ascii="Arial" w:hAnsi="Arial" w:cs="Arial"/>
          <w:sz w:val="22"/>
          <w:lang/>
        </w:rPr>
      </w:pPr>
      <w:proofErr w:type="spellStart"/>
      <w:r w:rsidRPr="00E91225">
        <w:rPr>
          <w:rFonts w:ascii="Arial" w:hAnsi="Arial" w:cs="Arial"/>
          <w:sz w:val="22"/>
        </w:rPr>
        <w:t>Ezeamii</w:t>
      </w:r>
      <w:proofErr w:type="spellEnd"/>
      <w:r w:rsidRPr="00E91225">
        <w:rPr>
          <w:rFonts w:ascii="Arial" w:hAnsi="Arial" w:cs="Arial"/>
          <w:sz w:val="22"/>
        </w:rPr>
        <w:t xml:space="preserve">, V.C., </w:t>
      </w:r>
      <w:proofErr w:type="spellStart"/>
      <w:r w:rsidRPr="00E91225">
        <w:rPr>
          <w:rFonts w:ascii="Arial" w:hAnsi="Arial" w:cs="Arial"/>
          <w:sz w:val="22"/>
        </w:rPr>
        <w:t>Okobi</w:t>
      </w:r>
      <w:proofErr w:type="spellEnd"/>
      <w:r w:rsidRPr="00E91225">
        <w:rPr>
          <w:rFonts w:ascii="Arial" w:hAnsi="Arial" w:cs="Arial"/>
          <w:sz w:val="22"/>
        </w:rPr>
        <w:t xml:space="preserve">, O.E., </w:t>
      </w:r>
      <w:proofErr w:type="spellStart"/>
      <w:r w:rsidRPr="00E91225">
        <w:rPr>
          <w:rFonts w:ascii="Arial" w:hAnsi="Arial" w:cs="Arial"/>
          <w:sz w:val="22"/>
        </w:rPr>
        <w:t>Wambai</w:t>
      </w:r>
      <w:proofErr w:type="spellEnd"/>
      <w:r w:rsidRPr="00E91225">
        <w:rPr>
          <w:rFonts w:ascii="Arial" w:hAnsi="Arial" w:cs="Arial"/>
          <w:sz w:val="22"/>
        </w:rPr>
        <w:t xml:space="preserve">-Sani, H., Perera, G.S., Zaynieva, S., Okonkwo, C.C., </w:t>
      </w:r>
      <w:proofErr w:type="spellStart"/>
      <w:r w:rsidRPr="00E91225">
        <w:rPr>
          <w:rFonts w:ascii="Arial" w:hAnsi="Arial" w:cs="Arial"/>
          <w:sz w:val="22"/>
        </w:rPr>
        <w:t>Ohaiba</w:t>
      </w:r>
      <w:proofErr w:type="spellEnd"/>
      <w:r w:rsidRPr="00E91225">
        <w:rPr>
          <w:rFonts w:ascii="Arial" w:hAnsi="Arial" w:cs="Arial"/>
          <w:sz w:val="22"/>
        </w:rPr>
        <w:t>, M.M., William-</w:t>
      </w:r>
      <w:proofErr w:type="spellStart"/>
      <w:r w:rsidRPr="00E91225">
        <w:rPr>
          <w:rFonts w:ascii="Arial" w:hAnsi="Arial" w:cs="Arial"/>
          <w:sz w:val="22"/>
        </w:rPr>
        <w:t>Enemali</w:t>
      </w:r>
      <w:proofErr w:type="spellEnd"/>
      <w:r w:rsidRPr="00E91225">
        <w:rPr>
          <w:rFonts w:ascii="Arial" w:hAnsi="Arial" w:cs="Arial"/>
          <w:sz w:val="22"/>
        </w:rPr>
        <w:t xml:space="preserve">, P.C., Obodo, O.R. and </w:t>
      </w:r>
      <w:proofErr w:type="spellStart"/>
      <w:r w:rsidRPr="00E91225">
        <w:rPr>
          <w:rFonts w:ascii="Arial" w:hAnsi="Arial" w:cs="Arial"/>
          <w:sz w:val="22"/>
        </w:rPr>
        <w:t>Obiefuna</w:t>
      </w:r>
      <w:proofErr w:type="spellEnd"/>
      <w:r w:rsidRPr="00E91225">
        <w:rPr>
          <w:rFonts w:ascii="Arial" w:hAnsi="Arial" w:cs="Arial"/>
          <w:sz w:val="22"/>
        </w:rPr>
        <w:t>, N.G., 2024. Revolutionizing healthcare: how telemedicine is improving patient outcomes and expanding access to care. </w:t>
      </w:r>
      <w:r w:rsidRPr="00E91225">
        <w:rPr>
          <w:rFonts w:ascii="Arial" w:hAnsi="Arial" w:cs="Arial"/>
          <w:i/>
          <w:iCs/>
          <w:sz w:val="22"/>
        </w:rPr>
        <w:t>Cureus</w:t>
      </w:r>
      <w:r w:rsidRPr="00E91225">
        <w:rPr>
          <w:rFonts w:ascii="Arial" w:hAnsi="Arial" w:cs="Arial"/>
          <w:sz w:val="22"/>
        </w:rPr>
        <w:t>, </w:t>
      </w:r>
      <w:r w:rsidRPr="00E91225">
        <w:rPr>
          <w:rFonts w:ascii="Arial" w:hAnsi="Arial" w:cs="Arial"/>
          <w:i/>
          <w:iCs/>
          <w:sz w:val="22"/>
        </w:rPr>
        <w:t>16</w:t>
      </w:r>
      <w:r w:rsidRPr="00E91225">
        <w:rPr>
          <w:rFonts w:ascii="Arial" w:hAnsi="Arial" w:cs="Arial"/>
          <w:sz w:val="22"/>
        </w:rPr>
        <w:t>(7). Available: https://pmc.ncbi.nlm.nih.gov/articles/PMC11298029/ (Accessed on 7/7/2026).</w:t>
      </w:r>
    </w:p>
    <w:p w14:paraId="5585DE26"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t>Kemp, M., Rising, K.L., Laynor, G., Miao, J., Worster, B., Chang, A.M., Monick, A.J., Guth, A., Esteves Camacho, T., McIntosh, K. and Amadio, G., 2025. Barriers to telehealth uptake and use: a scoping review. </w:t>
      </w:r>
      <w:r w:rsidRPr="00E91225">
        <w:rPr>
          <w:rFonts w:ascii="Arial" w:hAnsi="Arial" w:cs="Arial"/>
          <w:i/>
          <w:iCs/>
          <w:sz w:val="22"/>
        </w:rPr>
        <w:t>JAMIA open</w:t>
      </w:r>
      <w:r w:rsidRPr="00E91225">
        <w:rPr>
          <w:rFonts w:ascii="Arial" w:hAnsi="Arial" w:cs="Arial"/>
          <w:sz w:val="22"/>
        </w:rPr>
        <w:t>, </w:t>
      </w:r>
      <w:r w:rsidRPr="00E91225">
        <w:rPr>
          <w:rFonts w:ascii="Arial" w:hAnsi="Arial" w:cs="Arial"/>
          <w:i/>
          <w:iCs/>
          <w:sz w:val="22"/>
        </w:rPr>
        <w:t>8</w:t>
      </w:r>
      <w:r w:rsidRPr="00E91225">
        <w:rPr>
          <w:rFonts w:ascii="Arial" w:hAnsi="Arial" w:cs="Arial"/>
          <w:sz w:val="22"/>
        </w:rPr>
        <w:t xml:space="preserve">(2), </w:t>
      </w:r>
      <w:proofErr w:type="gramStart"/>
      <w:r w:rsidRPr="00E91225">
        <w:rPr>
          <w:rFonts w:ascii="Arial" w:hAnsi="Arial" w:cs="Arial"/>
          <w:sz w:val="22"/>
        </w:rPr>
        <w:t>p.ooaf</w:t>
      </w:r>
      <w:proofErr w:type="gramEnd"/>
      <w:r w:rsidRPr="00E91225">
        <w:rPr>
          <w:rFonts w:ascii="Arial" w:hAnsi="Arial" w:cs="Arial"/>
          <w:sz w:val="22"/>
        </w:rPr>
        <w:t>019. Available:  https://pmc.ncbi.nlm.nih.gov/articles/PMC11921419/ (Accessed on 7/7/2026).</w:t>
      </w:r>
    </w:p>
    <w:p w14:paraId="0BA84BF2" w14:textId="77777777" w:rsidR="00E91225" w:rsidRPr="00E91225" w:rsidRDefault="00E91225" w:rsidP="00E91225">
      <w:pPr>
        <w:spacing w:line="360" w:lineRule="auto"/>
        <w:ind w:left="720" w:hanging="720"/>
        <w:rPr>
          <w:rFonts w:ascii="Arial" w:hAnsi="Arial" w:cs="Arial"/>
          <w:sz w:val="22"/>
        </w:rPr>
      </w:pPr>
      <w:proofErr w:type="spellStart"/>
      <w:r w:rsidRPr="00E91225">
        <w:rPr>
          <w:rFonts w:ascii="Arial" w:hAnsi="Arial" w:cs="Arial"/>
          <w:sz w:val="22"/>
        </w:rPr>
        <w:t>Labadorf</w:t>
      </w:r>
      <w:proofErr w:type="spellEnd"/>
      <w:r w:rsidRPr="00E91225">
        <w:rPr>
          <w:rFonts w:ascii="Arial" w:hAnsi="Arial" w:cs="Arial"/>
          <w:sz w:val="22"/>
        </w:rPr>
        <w:t xml:space="preserve">, J., Nichols, M., Williams, T., Cunanan, C. and </w:t>
      </w:r>
      <w:proofErr w:type="spellStart"/>
      <w:r w:rsidRPr="00E91225">
        <w:rPr>
          <w:rFonts w:ascii="Arial" w:hAnsi="Arial" w:cs="Arial"/>
          <w:sz w:val="22"/>
        </w:rPr>
        <w:t>D'Anza</w:t>
      </w:r>
      <w:proofErr w:type="spellEnd"/>
      <w:r w:rsidRPr="00E91225">
        <w:rPr>
          <w:rFonts w:ascii="Arial" w:hAnsi="Arial" w:cs="Arial"/>
          <w:sz w:val="22"/>
        </w:rPr>
        <w:t>, B., 2025. A Smartphone Is Not Enough: Telehealth Attendance and the Digital Divide. </w:t>
      </w:r>
      <w:r w:rsidRPr="00E91225">
        <w:rPr>
          <w:rFonts w:ascii="Arial" w:hAnsi="Arial" w:cs="Arial"/>
          <w:i/>
          <w:iCs/>
          <w:sz w:val="22"/>
        </w:rPr>
        <w:t>Health Care Science</w:t>
      </w:r>
      <w:r w:rsidRPr="00E91225">
        <w:rPr>
          <w:rFonts w:ascii="Arial" w:hAnsi="Arial" w:cs="Arial"/>
          <w:sz w:val="22"/>
        </w:rPr>
        <w:t>, </w:t>
      </w:r>
      <w:r w:rsidRPr="00E91225">
        <w:rPr>
          <w:rFonts w:ascii="Arial" w:hAnsi="Arial" w:cs="Arial"/>
          <w:i/>
          <w:iCs/>
          <w:sz w:val="22"/>
        </w:rPr>
        <w:t>4</w:t>
      </w:r>
      <w:r w:rsidRPr="00E91225">
        <w:rPr>
          <w:rFonts w:ascii="Arial" w:hAnsi="Arial" w:cs="Arial"/>
          <w:sz w:val="22"/>
        </w:rPr>
        <w:t>(4), pp.259-268. Available:  https://pmc.ncbi.nlm.nih.gov/articles/PMC12371716/ (Accessed on 7/7/2026).</w:t>
      </w:r>
    </w:p>
    <w:p w14:paraId="52764B38"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t>Leighton, C., Cooper, A., Porter, A., Edwards, A. and Joseph-Williams, N., 2024. Effectiveness and safety of asynchronous telemedicine consultations in general practice: a systematic review. </w:t>
      </w:r>
      <w:r w:rsidRPr="00E91225">
        <w:rPr>
          <w:rFonts w:ascii="Arial" w:hAnsi="Arial" w:cs="Arial"/>
          <w:i/>
          <w:iCs/>
          <w:sz w:val="22"/>
        </w:rPr>
        <w:t>BJGP open</w:t>
      </w:r>
      <w:r w:rsidRPr="00E91225">
        <w:rPr>
          <w:rFonts w:ascii="Arial" w:hAnsi="Arial" w:cs="Arial"/>
          <w:sz w:val="22"/>
        </w:rPr>
        <w:t>, </w:t>
      </w:r>
      <w:r w:rsidRPr="00E91225">
        <w:rPr>
          <w:rFonts w:ascii="Arial" w:hAnsi="Arial" w:cs="Arial"/>
          <w:i/>
          <w:iCs/>
          <w:sz w:val="22"/>
        </w:rPr>
        <w:t>8</w:t>
      </w:r>
      <w:r w:rsidRPr="00E91225">
        <w:rPr>
          <w:rFonts w:ascii="Arial" w:hAnsi="Arial" w:cs="Arial"/>
          <w:sz w:val="22"/>
        </w:rPr>
        <w:t>(1). Available: http://bjgpopen.org/content/bjgpoa/8/1/BJGPO.2023.0177.full.pdf (Accessed on 7/7/2026).</w:t>
      </w:r>
    </w:p>
    <w:p w14:paraId="1F30880D"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t>Murphy, M., Scott, L.J., Salisbury, C., Turner, A., Scott, A., Denholm, R., Lewis, R., Iyer, G., Macleod, J. and Horwood, J., 2021. Implementation of remote consulting in UK primary care following the COVID-19 pandemic: a mixed-methods longitudinal study. </w:t>
      </w:r>
      <w:r w:rsidRPr="00E91225">
        <w:rPr>
          <w:rFonts w:ascii="Arial" w:hAnsi="Arial" w:cs="Arial"/>
          <w:i/>
          <w:iCs/>
          <w:sz w:val="22"/>
        </w:rPr>
        <w:t>British Journal of General Practice</w:t>
      </w:r>
      <w:r w:rsidRPr="00E91225">
        <w:rPr>
          <w:rFonts w:ascii="Arial" w:hAnsi="Arial" w:cs="Arial"/>
          <w:sz w:val="22"/>
        </w:rPr>
        <w:t>. Available at: https://pmc.ncbi.nlm.nih.gov/articles/PMC7909923/ (Accessed on 7/7/2026).</w:t>
      </w:r>
    </w:p>
    <w:p w14:paraId="23E012FF"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lastRenderedPageBreak/>
        <w:t xml:space="preserve">Peters, M.D., Marnie, C., </w:t>
      </w:r>
      <w:proofErr w:type="spellStart"/>
      <w:r w:rsidRPr="00E91225">
        <w:rPr>
          <w:rFonts w:ascii="Arial" w:hAnsi="Arial" w:cs="Arial"/>
          <w:sz w:val="22"/>
        </w:rPr>
        <w:t>Tricco</w:t>
      </w:r>
      <w:proofErr w:type="spellEnd"/>
      <w:r w:rsidRPr="00E91225">
        <w:rPr>
          <w:rFonts w:ascii="Arial" w:hAnsi="Arial" w:cs="Arial"/>
          <w:sz w:val="22"/>
        </w:rPr>
        <w:t>, A.C., Pollock, D., Munn, Z., Alexander, L., McInerney, P., Godfrey, C.M. and Khalil, H., 2021. Updated methodological guidance for the conduct of scoping reviews. </w:t>
      </w:r>
      <w:r w:rsidRPr="00E91225">
        <w:rPr>
          <w:rFonts w:ascii="Arial" w:hAnsi="Arial" w:cs="Arial"/>
          <w:i/>
          <w:iCs/>
          <w:sz w:val="22"/>
        </w:rPr>
        <w:t>JBI evidence implementation</w:t>
      </w:r>
      <w:r w:rsidRPr="00E91225">
        <w:rPr>
          <w:rFonts w:ascii="Arial" w:hAnsi="Arial" w:cs="Arial"/>
          <w:sz w:val="22"/>
        </w:rPr>
        <w:t>, </w:t>
      </w:r>
      <w:r w:rsidRPr="00E91225">
        <w:rPr>
          <w:rFonts w:ascii="Arial" w:hAnsi="Arial" w:cs="Arial"/>
          <w:i/>
          <w:iCs/>
          <w:sz w:val="22"/>
        </w:rPr>
        <w:t>19</w:t>
      </w:r>
      <w:r w:rsidRPr="00E91225">
        <w:rPr>
          <w:rFonts w:ascii="Arial" w:hAnsi="Arial" w:cs="Arial"/>
          <w:sz w:val="22"/>
        </w:rPr>
        <w:t>(1), pp.3-10. Available: https://www.researchgate.net/profile/Hanan-Khalil/publication/349696581_Updated_methodological_guidance_for_the_conduct_of_scoping_reviews/links/604eeb9592851c2b23cd5f5e/Updated-methodological-guidance-for-the-conduct-of-scoping-reviews.pdf (Accessed on 7/7/2026).</w:t>
      </w:r>
    </w:p>
    <w:p w14:paraId="664583EC" w14:textId="77777777" w:rsidR="00E91225" w:rsidRPr="00E91225" w:rsidRDefault="00E91225" w:rsidP="00E91225">
      <w:pPr>
        <w:spacing w:line="360" w:lineRule="auto"/>
        <w:ind w:left="720" w:hanging="720"/>
        <w:rPr>
          <w:rFonts w:ascii="Arial" w:hAnsi="Arial" w:cs="Arial"/>
          <w:sz w:val="22"/>
        </w:rPr>
      </w:pPr>
      <w:proofErr w:type="spellStart"/>
      <w:r w:rsidRPr="00E91225">
        <w:rPr>
          <w:rFonts w:ascii="Arial" w:hAnsi="Arial" w:cs="Arial"/>
          <w:sz w:val="22"/>
        </w:rPr>
        <w:t>Snoswell</w:t>
      </w:r>
      <w:proofErr w:type="spellEnd"/>
      <w:r w:rsidRPr="00E91225">
        <w:rPr>
          <w:rFonts w:ascii="Arial" w:hAnsi="Arial" w:cs="Arial"/>
          <w:sz w:val="22"/>
        </w:rPr>
        <w:t>, C.L., Chelberg, G., De Guzman, K.R., Haydon, H.M., Thomas, E.E., Caffery, L.J. and Smith, A.C., 2023. The clinical effectiveness of telehealth: a systematic review of meta-analyses from 2010 to 2019. </w:t>
      </w:r>
      <w:r w:rsidRPr="00E91225">
        <w:rPr>
          <w:rFonts w:ascii="Arial" w:hAnsi="Arial" w:cs="Arial"/>
          <w:i/>
          <w:iCs/>
          <w:sz w:val="22"/>
        </w:rPr>
        <w:t>Journal of telemedicine and telecare</w:t>
      </w:r>
      <w:r w:rsidRPr="00E91225">
        <w:rPr>
          <w:rFonts w:ascii="Arial" w:hAnsi="Arial" w:cs="Arial"/>
          <w:sz w:val="22"/>
        </w:rPr>
        <w:t>, </w:t>
      </w:r>
      <w:r w:rsidRPr="00E91225">
        <w:rPr>
          <w:rFonts w:ascii="Arial" w:hAnsi="Arial" w:cs="Arial"/>
          <w:i/>
          <w:iCs/>
          <w:sz w:val="22"/>
        </w:rPr>
        <w:t>29</w:t>
      </w:r>
      <w:r w:rsidRPr="00E91225">
        <w:rPr>
          <w:rFonts w:ascii="Arial" w:hAnsi="Arial" w:cs="Arial"/>
          <w:sz w:val="22"/>
        </w:rPr>
        <w:t>(9), pp.669-684. Available at: https://doi.org/10.1177/1357633X211022907 (Accessed on 7/7/2026).</w:t>
      </w:r>
    </w:p>
    <w:p w14:paraId="13E2D2EC" w14:textId="77777777" w:rsidR="00E91225" w:rsidRPr="00E91225" w:rsidRDefault="00E91225" w:rsidP="00E91225">
      <w:pPr>
        <w:spacing w:line="360" w:lineRule="auto"/>
        <w:ind w:left="720" w:hanging="720"/>
        <w:rPr>
          <w:rFonts w:ascii="Arial" w:hAnsi="Arial" w:cs="Arial"/>
          <w:sz w:val="22"/>
        </w:rPr>
      </w:pPr>
      <w:r w:rsidRPr="00E91225">
        <w:rPr>
          <w:rFonts w:ascii="Arial" w:hAnsi="Arial" w:cs="Arial"/>
          <w:sz w:val="22"/>
        </w:rPr>
        <w:t>Xing, K., Wen, J., Xing, D. and Liang, B., 2026. Digital first primary care in NHS England: evaluating alignment with patient-</w:t>
      </w:r>
      <w:proofErr w:type="spellStart"/>
      <w:r w:rsidRPr="00E91225">
        <w:rPr>
          <w:rFonts w:ascii="Arial" w:hAnsi="Arial" w:cs="Arial"/>
          <w:sz w:val="22"/>
        </w:rPr>
        <w:t>centered</w:t>
      </w:r>
      <w:proofErr w:type="spellEnd"/>
      <w:r w:rsidRPr="00E91225">
        <w:rPr>
          <w:rFonts w:ascii="Arial" w:hAnsi="Arial" w:cs="Arial"/>
          <w:sz w:val="22"/>
        </w:rPr>
        <w:t xml:space="preserve"> care and implications for future practice. </w:t>
      </w:r>
      <w:r w:rsidRPr="00E91225">
        <w:rPr>
          <w:rFonts w:ascii="Arial" w:hAnsi="Arial" w:cs="Arial"/>
          <w:i/>
          <w:iCs/>
          <w:sz w:val="22"/>
        </w:rPr>
        <w:t>Frontiers in Digital Health</w:t>
      </w:r>
      <w:r w:rsidRPr="00E91225">
        <w:rPr>
          <w:rFonts w:ascii="Arial" w:hAnsi="Arial" w:cs="Arial"/>
          <w:sz w:val="22"/>
        </w:rPr>
        <w:t>, </w:t>
      </w:r>
      <w:r w:rsidRPr="00E91225">
        <w:rPr>
          <w:rFonts w:ascii="Arial" w:hAnsi="Arial" w:cs="Arial"/>
          <w:i/>
          <w:iCs/>
          <w:sz w:val="22"/>
        </w:rPr>
        <w:t>8</w:t>
      </w:r>
      <w:r w:rsidRPr="00E91225">
        <w:rPr>
          <w:rFonts w:ascii="Arial" w:hAnsi="Arial" w:cs="Arial"/>
          <w:sz w:val="22"/>
        </w:rPr>
        <w:t>, p.1723805. Available: https://www.frontiersin.org/journals/digital-health/articles/10.3389/fdgth.2026.1723805/full (Accessed on 7/7/2026).</w:t>
      </w:r>
    </w:p>
    <w:p w14:paraId="2AA24EEF" w14:textId="5002EC5D" w:rsidR="005A6551" w:rsidRPr="00E91225" w:rsidRDefault="005A6551" w:rsidP="00E91225">
      <w:pPr>
        <w:spacing w:line="360" w:lineRule="auto"/>
        <w:ind w:left="720" w:hanging="720"/>
        <w:rPr>
          <w:rFonts w:ascii="Arial" w:hAnsi="Arial" w:cs="Arial"/>
          <w:sz w:val="22"/>
        </w:rPr>
      </w:pPr>
    </w:p>
    <w:p w14:paraId="754CEB55" w14:textId="77777777" w:rsidR="00545684" w:rsidRPr="00AD0E8D" w:rsidRDefault="00545684" w:rsidP="00041A5A">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6D314" w14:textId="77777777" w:rsidR="00522A6B" w:rsidRDefault="00522A6B" w:rsidP="00545684">
      <w:pPr>
        <w:spacing w:after="0" w:line="240" w:lineRule="auto"/>
      </w:pPr>
      <w:r>
        <w:separator/>
      </w:r>
    </w:p>
  </w:endnote>
  <w:endnote w:type="continuationSeparator" w:id="0">
    <w:p w14:paraId="2B54077F" w14:textId="77777777" w:rsidR="00522A6B" w:rsidRDefault="00522A6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4D45D" w14:textId="77777777" w:rsidR="00522A6B" w:rsidRDefault="00522A6B" w:rsidP="00545684">
      <w:pPr>
        <w:spacing w:after="0" w:line="240" w:lineRule="auto"/>
      </w:pPr>
      <w:r>
        <w:separator/>
      </w:r>
    </w:p>
  </w:footnote>
  <w:footnote w:type="continuationSeparator" w:id="0">
    <w:p w14:paraId="0D65B5AF" w14:textId="77777777" w:rsidR="00522A6B" w:rsidRDefault="00522A6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E2070"/>
    <w:multiLevelType w:val="hybridMultilevel"/>
    <w:tmpl w:val="2780A872"/>
    <w:lvl w:ilvl="0" w:tplc="20000019">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9480496"/>
    <w:multiLevelType w:val="hybridMultilevel"/>
    <w:tmpl w:val="43D837DE"/>
    <w:lvl w:ilvl="0" w:tplc="20000019">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5F94249"/>
    <w:multiLevelType w:val="multilevel"/>
    <w:tmpl w:val="45288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894042917">
    <w:abstractNumId w:val="2"/>
  </w:num>
  <w:num w:numId="3" w16cid:durableId="1926644731">
    <w:abstractNumId w:val="1"/>
  </w:num>
  <w:num w:numId="4" w16cid:durableId="1976793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4525B"/>
    <w:rsid w:val="00191E3A"/>
    <w:rsid w:val="00216C85"/>
    <w:rsid w:val="00260277"/>
    <w:rsid w:val="00273EDD"/>
    <w:rsid w:val="002A15DA"/>
    <w:rsid w:val="002C3965"/>
    <w:rsid w:val="00321C4C"/>
    <w:rsid w:val="00380294"/>
    <w:rsid w:val="003A220F"/>
    <w:rsid w:val="003B5B7F"/>
    <w:rsid w:val="004050AA"/>
    <w:rsid w:val="004903AA"/>
    <w:rsid w:val="004E6C3B"/>
    <w:rsid w:val="00522A6B"/>
    <w:rsid w:val="00545684"/>
    <w:rsid w:val="00594243"/>
    <w:rsid w:val="005A6551"/>
    <w:rsid w:val="005F4185"/>
    <w:rsid w:val="0061260B"/>
    <w:rsid w:val="006A13A1"/>
    <w:rsid w:val="00715990"/>
    <w:rsid w:val="00784670"/>
    <w:rsid w:val="00792527"/>
    <w:rsid w:val="007F01B0"/>
    <w:rsid w:val="00856270"/>
    <w:rsid w:val="00866B7B"/>
    <w:rsid w:val="008C347B"/>
    <w:rsid w:val="008E5015"/>
    <w:rsid w:val="008F6C7E"/>
    <w:rsid w:val="009D1D1E"/>
    <w:rsid w:val="00A035FD"/>
    <w:rsid w:val="00AB3130"/>
    <w:rsid w:val="00AD0E8D"/>
    <w:rsid w:val="00D769F0"/>
    <w:rsid w:val="00E24DF2"/>
    <w:rsid w:val="00E50E64"/>
    <w:rsid w:val="00E614D4"/>
    <w:rsid w:val="00E91225"/>
    <w:rsid w:val="00EB17A6"/>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856270"/>
    <w:pPr>
      <w:ind w:left="720"/>
      <w:contextualSpacing/>
    </w:pPr>
  </w:style>
  <w:style w:type="character" w:styleId="Hyperlink">
    <w:name w:val="Hyperlink"/>
    <w:basedOn w:val="DefaultParagraphFont"/>
    <w:uiPriority w:val="99"/>
    <w:unhideWhenUsed/>
    <w:rsid w:val="005A6551"/>
    <w:rPr>
      <w:color w:val="0563C1" w:themeColor="hyperlink"/>
      <w:u w:val="single"/>
    </w:rPr>
  </w:style>
  <w:style w:type="character" w:styleId="UnresolvedMention">
    <w:name w:val="Unresolved Mention"/>
    <w:basedOn w:val="DefaultParagraphFont"/>
    <w:uiPriority w:val="99"/>
    <w:semiHidden/>
    <w:unhideWhenUsed/>
    <w:rsid w:val="005A6551"/>
    <w:rPr>
      <w:color w:val="605E5C"/>
      <w:shd w:val="clear" w:color="auto" w:fill="E1DFDD"/>
    </w:rPr>
  </w:style>
  <w:style w:type="paragraph" w:styleId="NoSpacing">
    <w:name w:val="No Spacing"/>
    <w:uiPriority w:val="1"/>
    <w:qFormat/>
    <w:rsid w:val="006A13A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879</Words>
  <Characters>6015</Characters>
  <Application>Microsoft Office Word</Application>
  <DocSecurity>0</DocSecurity>
  <Lines>122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2026-07-10T08:12:00Z</dcterms:created>
  <dcterms:modified xsi:type="dcterms:W3CDTF">2026-07-10T08:12:00Z</dcterms:modified>
</cp:coreProperties>
</file>