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Pr="00E73B6E" w:rsidRDefault="00063B4C">
      <w:r w:rsidRPr="00E73B6E">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E73B6E" w:rsidRDefault="00063B4C"/>
    <w:p w14:paraId="00DE7510" w14:textId="684CC594" w:rsidR="00063B4C" w:rsidRPr="00E73B6E" w:rsidRDefault="00063B4C"/>
    <w:p w14:paraId="62B6C1AB" w14:textId="77777777" w:rsidR="00063B4C" w:rsidRPr="00E73B6E" w:rsidRDefault="00063B4C"/>
    <w:p w14:paraId="19C1447B" w14:textId="77777777" w:rsidR="00063B4C" w:rsidRPr="00E73B6E" w:rsidRDefault="00063B4C" w:rsidP="00063B4C">
      <w:pPr>
        <w:ind w:right="1229"/>
      </w:pPr>
    </w:p>
    <w:p w14:paraId="4BD32C57" w14:textId="2FA64C13" w:rsidR="00063B4C" w:rsidRPr="00E73B6E" w:rsidRDefault="00063B4C" w:rsidP="00D62124">
      <w:pPr>
        <w:ind w:right="1229"/>
        <w:jc w:val="center"/>
        <w:rPr>
          <w:rFonts w:cs="Arial"/>
          <w:sz w:val="60"/>
          <w:szCs w:val="60"/>
        </w:rPr>
      </w:pPr>
      <w:r w:rsidRPr="00E73B6E">
        <w:rPr>
          <w:rFonts w:cs="Arial"/>
          <w:sz w:val="60"/>
          <w:szCs w:val="60"/>
        </w:rPr>
        <w:t>Institute of Inner-City Learning Birmingham Campus</w:t>
      </w:r>
    </w:p>
    <w:p w14:paraId="326283EA" w14:textId="77777777" w:rsidR="00D62124" w:rsidRPr="00E73B6E" w:rsidRDefault="00D62124" w:rsidP="00D62124">
      <w:pPr>
        <w:ind w:right="1229"/>
        <w:jc w:val="center"/>
        <w:rPr>
          <w:rFonts w:cs="Arial"/>
          <w:sz w:val="60"/>
          <w:szCs w:val="60"/>
        </w:rPr>
      </w:pPr>
    </w:p>
    <w:p w14:paraId="7F58ECA1" w14:textId="77777777" w:rsidR="00063B4C" w:rsidRPr="00E73B6E" w:rsidRDefault="00063B4C" w:rsidP="00D62124">
      <w:pPr>
        <w:pStyle w:val="BodyText"/>
        <w:jc w:val="center"/>
        <w:rPr>
          <w:rFonts w:ascii="Aptos" w:hAnsi="Aptos" w:cs="Arial"/>
          <w:sz w:val="20"/>
        </w:rPr>
      </w:pPr>
    </w:p>
    <w:p w14:paraId="3009F44A" w14:textId="2F598781" w:rsidR="00063B4C" w:rsidRPr="00E73B6E" w:rsidRDefault="00063B4C" w:rsidP="00D62124">
      <w:pPr>
        <w:spacing w:line="813" w:lineRule="exact"/>
        <w:jc w:val="center"/>
        <w:rPr>
          <w:rFonts w:cs="Arial"/>
          <w:sz w:val="60"/>
          <w:szCs w:val="60"/>
        </w:rPr>
      </w:pPr>
      <w:r w:rsidRPr="00E73B6E">
        <w:rPr>
          <w:rFonts w:cs="Arial"/>
          <w:sz w:val="60"/>
          <w:szCs w:val="60"/>
        </w:rPr>
        <w:t>BSc (Hons) Health and Social Care</w:t>
      </w:r>
      <w:r w:rsidRPr="00E73B6E">
        <w:rPr>
          <w:rFonts w:cs="Arial"/>
          <w:sz w:val="60"/>
          <w:szCs w:val="60"/>
        </w:rPr>
        <w:br/>
      </w:r>
    </w:p>
    <w:p w14:paraId="5B270734" w14:textId="55782988" w:rsidR="00063B4C" w:rsidRPr="00E73B6E" w:rsidRDefault="00063B4C"/>
    <w:p w14:paraId="2C0F81B3" w14:textId="77777777" w:rsidR="00995444" w:rsidRPr="00E73B6E" w:rsidRDefault="00995444" w:rsidP="00995444">
      <w:pPr>
        <w:pStyle w:val="Heading1"/>
        <w:ind w:left="0"/>
        <w:rPr>
          <w:rFonts w:ascii="Aptos" w:hAnsi="Aptos" w:cs="Arial"/>
        </w:rPr>
      </w:pPr>
    </w:p>
    <w:p w14:paraId="265E2262" w14:textId="77777777" w:rsidR="00730C3C" w:rsidRPr="00E73B6E" w:rsidRDefault="00730C3C" w:rsidP="00604A87">
      <w:pPr>
        <w:rPr>
          <w:b/>
          <w:bCs/>
        </w:rPr>
      </w:pPr>
    </w:p>
    <w:p w14:paraId="134B75B9" w14:textId="77777777" w:rsidR="00D62124" w:rsidRPr="00E73B6E" w:rsidRDefault="00D62124" w:rsidP="00604A87">
      <w:pPr>
        <w:rPr>
          <w:b/>
          <w:bCs/>
        </w:rPr>
      </w:pPr>
    </w:p>
    <w:p w14:paraId="1E02B552" w14:textId="77777777" w:rsidR="00D62124" w:rsidRPr="00E73B6E" w:rsidRDefault="00D62124" w:rsidP="00604A87">
      <w:pPr>
        <w:rPr>
          <w:b/>
          <w:bCs/>
        </w:rPr>
      </w:pPr>
    </w:p>
    <w:p w14:paraId="44713D41" w14:textId="77777777" w:rsidR="00D62124" w:rsidRPr="00E73B6E" w:rsidRDefault="00D62124" w:rsidP="00604A87">
      <w:pPr>
        <w:rPr>
          <w:b/>
          <w:bCs/>
        </w:rPr>
      </w:pPr>
    </w:p>
    <w:p w14:paraId="7253FFE0" w14:textId="77777777" w:rsidR="00732330" w:rsidRPr="00E73B6E" w:rsidRDefault="00732330" w:rsidP="00604A87">
      <w:pPr>
        <w:rPr>
          <w:b/>
          <w:bCs/>
        </w:rPr>
      </w:pPr>
    </w:p>
    <w:p w14:paraId="6C6DE7A6" w14:textId="77777777" w:rsidR="00732330" w:rsidRPr="00E73B6E" w:rsidRDefault="00732330" w:rsidP="00604A87">
      <w:pPr>
        <w:rPr>
          <w:b/>
          <w:bCs/>
        </w:rPr>
      </w:pPr>
    </w:p>
    <w:p w14:paraId="33B6460B" w14:textId="77777777" w:rsidR="00732330" w:rsidRPr="00E73B6E" w:rsidRDefault="00732330" w:rsidP="00604A87">
      <w:pPr>
        <w:rPr>
          <w:b/>
          <w:bCs/>
        </w:rPr>
      </w:pPr>
    </w:p>
    <w:p w14:paraId="253F045E" w14:textId="77777777" w:rsidR="00D62124" w:rsidRPr="00E73B6E" w:rsidRDefault="00D62124" w:rsidP="00604A87">
      <w:pPr>
        <w:rPr>
          <w:rFonts w:eastAsia="Times New Roman" w:cs="Arial"/>
          <w:b/>
          <w:sz w:val="28"/>
          <w:szCs w:val="28"/>
        </w:rPr>
      </w:pPr>
    </w:p>
    <w:p w14:paraId="3492E4C4" w14:textId="45AA03BC" w:rsidR="00604A87" w:rsidRPr="00E73B6E" w:rsidRDefault="00604A87" w:rsidP="00732330">
      <w:pPr>
        <w:jc w:val="center"/>
        <w:rPr>
          <w:rFonts w:eastAsia="Times New Roman" w:cs="Arial"/>
          <w:b/>
          <w:sz w:val="28"/>
          <w:szCs w:val="28"/>
        </w:rPr>
      </w:pPr>
      <w:r w:rsidRPr="00E73B6E">
        <w:rPr>
          <w:rFonts w:eastAsia="Times New Roman" w:cs="Arial"/>
          <w:b/>
          <w:sz w:val="28"/>
          <w:szCs w:val="28"/>
        </w:rPr>
        <w:lastRenderedPageBreak/>
        <w:t>DECLARATION</w:t>
      </w:r>
    </w:p>
    <w:p w14:paraId="113CAAED" w14:textId="2CC33593" w:rsidR="00604A87" w:rsidRPr="00E73B6E" w:rsidRDefault="00604A87" w:rsidP="00604A87">
      <w:pPr>
        <w:rPr>
          <w:rFonts w:eastAsia="Times New Roman" w:cs="Arial"/>
        </w:rPr>
      </w:pPr>
      <w:r w:rsidRPr="00E73B6E">
        <w:rPr>
          <w:rFonts w:eastAsia="Times New Roman" w:cs="Arial"/>
        </w:rPr>
        <w:t>This work has not previously been accepted in substance for any degree and is not being concurrently submitted in candidature for any degree</w:t>
      </w:r>
    </w:p>
    <w:p w14:paraId="3EF51212" w14:textId="5EF7E7B8" w:rsidR="00604A87" w:rsidRPr="00E73B6E" w:rsidRDefault="00732330" w:rsidP="00732330">
      <w:pPr>
        <w:rPr>
          <w:rFonts w:eastAsia="Times New Roman" w:cs="Arial"/>
        </w:rPr>
      </w:pPr>
      <w:r w:rsidRPr="00E73B6E">
        <w:rPr>
          <w:rFonts w:eastAsia="Times New Roman" w:cs="Arial"/>
        </w:rPr>
        <w:t xml:space="preserve">Signed: </w:t>
      </w:r>
      <w:r w:rsidRPr="00E73B6E">
        <w:rPr>
          <w:rFonts w:eastAsia="Times New Roman" w:cs="Arial"/>
          <w:b/>
          <w:bCs/>
        </w:rPr>
        <w:t>Salma Bibi</w:t>
      </w:r>
    </w:p>
    <w:p w14:paraId="16B6CB34" w14:textId="5E353820" w:rsidR="00604A87" w:rsidRPr="00E73B6E" w:rsidRDefault="00604A87" w:rsidP="00604A87">
      <w:pPr>
        <w:rPr>
          <w:rFonts w:eastAsia="Times New Roman" w:cs="Arial"/>
        </w:rPr>
      </w:pPr>
      <w:r w:rsidRPr="00E73B6E">
        <w:rPr>
          <w:rFonts w:eastAsia="Times New Roman" w:cs="Arial"/>
        </w:rPr>
        <w:t>Date</w:t>
      </w:r>
      <w:r w:rsidR="00732330" w:rsidRPr="00E73B6E">
        <w:rPr>
          <w:rFonts w:eastAsia="Times New Roman" w:cs="Arial"/>
        </w:rPr>
        <w:t>: 19.07.2026</w:t>
      </w:r>
    </w:p>
    <w:p w14:paraId="7D9E43A8" w14:textId="77777777" w:rsidR="00604A87" w:rsidRPr="00E73B6E" w:rsidRDefault="00604A87" w:rsidP="00604A87">
      <w:pPr>
        <w:rPr>
          <w:rFonts w:eastAsia="Times New Roman" w:cs="Arial"/>
          <w:bCs/>
          <w:kern w:val="32"/>
        </w:rPr>
      </w:pPr>
      <w:r w:rsidRPr="00E73B6E">
        <w:rPr>
          <w:rFonts w:eastAsia="Times New Roman" w:cs="Arial"/>
          <w:b/>
        </w:rPr>
        <w:t xml:space="preserve">STATEMENT 1 </w:t>
      </w:r>
    </w:p>
    <w:p w14:paraId="189DE0A6" w14:textId="710F2765" w:rsidR="00604A87" w:rsidRPr="00E73B6E" w:rsidRDefault="00604A87" w:rsidP="00604A87">
      <w:pPr>
        <w:rPr>
          <w:rFonts w:eastAsia="Times New Roman" w:cs="Arial"/>
        </w:rPr>
      </w:pPr>
      <w:r w:rsidRPr="00E73B6E">
        <w:rPr>
          <w:rFonts w:eastAsia="Times New Roman" w:cs="Arial"/>
        </w:rPr>
        <w:t>This dissertation is being submitted in partial fulfilment of the requirements for the degree of BSc.</w:t>
      </w:r>
    </w:p>
    <w:p w14:paraId="39F661A6" w14:textId="0358D35B" w:rsidR="00604A87" w:rsidRPr="00E73B6E" w:rsidRDefault="00604A87" w:rsidP="00604A87">
      <w:pPr>
        <w:rPr>
          <w:rFonts w:eastAsia="Times New Roman" w:cs="Arial"/>
        </w:rPr>
      </w:pPr>
      <w:r w:rsidRPr="00E73B6E">
        <w:rPr>
          <w:rFonts w:eastAsia="Times New Roman" w:cs="Arial"/>
        </w:rPr>
        <w:t>Signed</w:t>
      </w:r>
      <w:r w:rsidR="00732330" w:rsidRPr="00E73B6E">
        <w:rPr>
          <w:rFonts w:eastAsia="Times New Roman" w:cs="Arial"/>
        </w:rPr>
        <w:t xml:space="preserve">: </w:t>
      </w:r>
      <w:r w:rsidR="00732330" w:rsidRPr="00E73B6E">
        <w:rPr>
          <w:rFonts w:eastAsia="Times New Roman" w:cs="Arial"/>
          <w:b/>
          <w:bCs/>
        </w:rPr>
        <w:t>Salma Bibi</w:t>
      </w:r>
      <w:r w:rsidRPr="00E73B6E">
        <w:rPr>
          <w:rFonts w:eastAsia="Times New Roman" w:cs="Arial"/>
        </w:rPr>
        <w:t xml:space="preserve"> </w:t>
      </w:r>
    </w:p>
    <w:p w14:paraId="21F5E413" w14:textId="7C4E38AE" w:rsidR="00604A87" w:rsidRPr="00E73B6E" w:rsidRDefault="00604A87" w:rsidP="00604A87">
      <w:pPr>
        <w:rPr>
          <w:rFonts w:eastAsia="Times New Roman" w:cs="Arial"/>
        </w:rPr>
      </w:pPr>
      <w:r w:rsidRPr="00E73B6E">
        <w:rPr>
          <w:rFonts w:eastAsia="Times New Roman" w:cs="Arial"/>
        </w:rPr>
        <w:t>Date</w:t>
      </w:r>
      <w:r w:rsidR="00732330" w:rsidRPr="00E73B6E">
        <w:rPr>
          <w:rFonts w:eastAsia="Times New Roman" w:cs="Arial"/>
        </w:rPr>
        <w:t>: 19.07.2026</w:t>
      </w:r>
    </w:p>
    <w:p w14:paraId="713B64B9" w14:textId="77777777" w:rsidR="00604A87" w:rsidRPr="00E73B6E" w:rsidRDefault="00604A87" w:rsidP="00604A87">
      <w:pPr>
        <w:rPr>
          <w:rFonts w:eastAsia="Times New Roman" w:cs="Arial"/>
        </w:rPr>
      </w:pPr>
      <w:r w:rsidRPr="00E73B6E">
        <w:rPr>
          <w:rFonts w:eastAsia="Times New Roman" w:cs="Arial"/>
          <w:b/>
        </w:rPr>
        <w:t>STATEMENT 2</w:t>
      </w:r>
    </w:p>
    <w:p w14:paraId="4AA5D04A" w14:textId="65BB11AC" w:rsidR="00604A87" w:rsidRPr="00E73B6E" w:rsidRDefault="00604A87" w:rsidP="00604A87">
      <w:pPr>
        <w:rPr>
          <w:rFonts w:eastAsia="Times New Roman" w:cs="Arial"/>
        </w:rPr>
      </w:pPr>
      <w:r w:rsidRPr="00E73B6E">
        <w:rPr>
          <w:rFonts w:eastAsia="Times New Roman" w:cs="Arial"/>
        </w:rPr>
        <w:t>This dissertation is the result of my own independent work/investigation, except where otherwise stated. Other sources are acknowledged by footnotes giving explicit references.  A bibliography is appended.</w:t>
      </w:r>
    </w:p>
    <w:p w14:paraId="346260F3" w14:textId="77777777" w:rsidR="00732330" w:rsidRPr="00E73B6E" w:rsidRDefault="00732330" w:rsidP="00732330">
      <w:pPr>
        <w:rPr>
          <w:rFonts w:eastAsia="Times New Roman" w:cs="Arial"/>
        </w:rPr>
      </w:pPr>
      <w:r w:rsidRPr="00E73B6E">
        <w:rPr>
          <w:rFonts w:eastAsia="Times New Roman" w:cs="Arial"/>
        </w:rPr>
        <w:t xml:space="preserve">Signed: </w:t>
      </w:r>
      <w:r w:rsidRPr="00E73B6E">
        <w:rPr>
          <w:rFonts w:eastAsia="Times New Roman" w:cs="Arial"/>
          <w:b/>
          <w:bCs/>
        </w:rPr>
        <w:t>Salma Bibi</w:t>
      </w:r>
      <w:r w:rsidRPr="00E73B6E">
        <w:rPr>
          <w:rFonts w:eastAsia="Times New Roman" w:cs="Arial"/>
        </w:rPr>
        <w:t xml:space="preserve"> </w:t>
      </w:r>
    </w:p>
    <w:p w14:paraId="3D2E25FD" w14:textId="77777777" w:rsidR="00732330" w:rsidRPr="00E73B6E" w:rsidRDefault="00732330" w:rsidP="00732330">
      <w:pPr>
        <w:rPr>
          <w:rFonts w:eastAsia="Times New Roman" w:cs="Arial"/>
        </w:rPr>
      </w:pPr>
      <w:r w:rsidRPr="00E73B6E">
        <w:rPr>
          <w:rFonts w:eastAsia="Times New Roman" w:cs="Arial"/>
        </w:rPr>
        <w:t>Date: 19.07.2026</w:t>
      </w:r>
    </w:p>
    <w:p w14:paraId="42D5D0C6" w14:textId="77777777" w:rsidR="00604A87" w:rsidRPr="00E73B6E" w:rsidRDefault="00604A87" w:rsidP="00604A87">
      <w:pPr>
        <w:rPr>
          <w:rFonts w:eastAsia="Times New Roman" w:cs="Arial"/>
        </w:rPr>
      </w:pPr>
      <w:r w:rsidRPr="00E73B6E">
        <w:rPr>
          <w:rFonts w:eastAsia="Times New Roman" w:cs="Arial"/>
          <w:b/>
        </w:rPr>
        <w:t>STATEMENT 3</w:t>
      </w:r>
    </w:p>
    <w:p w14:paraId="4B58546E" w14:textId="61CCB29A" w:rsidR="00604A87" w:rsidRPr="00E73B6E" w:rsidRDefault="00604A87" w:rsidP="00604A87">
      <w:pPr>
        <w:rPr>
          <w:rFonts w:eastAsia="Times New Roman" w:cs="Arial"/>
        </w:rPr>
      </w:pPr>
      <w:r w:rsidRPr="00E73B6E">
        <w:rPr>
          <w:rFonts w:eastAsia="Times New Roman" w:cs="Arial"/>
        </w:rPr>
        <w:t>I hereby give consent for my dissertation, if accepted, to be available for photocopying and for interlibrary loan, and for the title and summary to be made available to outside organisations.</w:t>
      </w:r>
    </w:p>
    <w:p w14:paraId="2E744157" w14:textId="77777777" w:rsidR="00732330" w:rsidRPr="00E73B6E" w:rsidRDefault="00732330" w:rsidP="00732330">
      <w:pPr>
        <w:rPr>
          <w:rFonts w:eastAsia="Times New Roman" w:cs="Arial"/>
        </w:rPr>
      </w:pPr>
      <w:r w:rsidRPr="00E73B6E">
        <w:rPr>
          <w:rFonts w:eastAsia="Times New Roman" w:cs="Arial"/>
        </w:rPr>
        <w:t xml:space="preserve">Signed: </w:t>
      </w:r>
      <w:r w:rsidRPr="00E73B6E">
        <w:rPr>
          <w:rFonts w:eastAsia="Times New Roman" w:cs="Arial"/>
          <w:b/>
          <w:bCs/>
        </w:rPr>
        <w:t>Salma Bibi</w:t>
      </w:r>
      <w:r w:rsidRPr="00E73B6E">
        <w:rPr>
          <w:rFonts w:eastAsia="Times New Roman" w:cs="Arial"/>
        </w:rPr>
        <w:t xml:space="preserve"> </w:t>
      </w:r>
    </w:p>
    <w:p w14:paraId="3CFB65B2" w14:textId="77777777" w:rsidR="00732330" w:rsidRPr="00E73B6E" w:rsidRDefault="00732330" w:rsidP="00732330">
      <w:pPr>
        <w:rPr>
          <w:rFonts w:eastAsia="Times New Roman" w:cs="Arial"/>
        </w:rPr>
      </w:pPr>
      <w:r w:rsidRPr="00E73B6E">
        <w:rPr>
          <w:rFonts w:eastAsia="Times New Roman" w:cs="Arial"/>
        </w:rPr>
        <w:t>Date: 19.07.2026</w:t>
      </w:r>
    </w:p>
    <w:p w14:paraId="77D38054" w14:textId="77777777" w:rsidR="00604A87" w:rsidRPr="00E73B6E" w:rsidRDefault="00604A87" w:rsidP="00604A87">
      <w:pPr>
        <w:rPr>
          <w:rFonts w:eastAsia="Times New Roman" w:cs="Arial"/>
          <w:b/>
        </w:rPr>
      </w:pPr>
      <w:r w:rsidRPr="00E73B6E">
        <w:rPr>
          <w:rFonts w:eastAsia="Times New Roman" w:cs="Arial"/>
          <w:b/>
        </w:rPr>
        <w:t>STATEMENT 4</w:t>
      </w:r>
    </w:p>
    <w:p w14:paraId="0A15E499" w14:textId="1F9546C0" w:rsidR="00604A87" w:rsidRPr="00E73B6E" w:rsidRDefault="00604A87" w:rsidP="00604A87">
      <w:pPr>
        <w:rPr>
          <w:rFonts w:eastAsia="Times New Roman" w:cs="Arial"/>
        </w:rPr>
      </w:pPr>
      <w:r w:rsidRPr="00E73B6E">
        <w:rPr>
          <w:rFonts w:eastAsia="Times New Roman" w:cs="Arial"/>
        </w:rPr>
        <w:t>I hereby give consent for my dissertation, if accepted, to be available on the university’s IT system to those who have consent to use the system.</w:t>
      </w:r>
    </w:p>
    <w:p w14:paraId="13793542" w14:textId="77777777" w:rsidR="00732330" w:rsidRPr="00E73B6E" w:rsidRDefault="00732330" w:rsidP="00732330">
      <w:pPr>
        <w:rPr>
          <w:rFonts w:eastAsia="Times New Roman" w:cs="Arial"/>
        </w:rPr>
      </w:pPr>
      <w:r w:rsidRPr="00E73B6E">
        <w:rPr>
          <w:rFonts w:eastAsia="Times New Roman" w:cs="Arial"/>
        </w:rPr>
        <w:t xml:space="preserve">Signed: </w:t>
      </w:r>
      <w:r w:rsidRPr="00E73B6E">
        <w:rPr>
          <w:rFonts w:eastAsia="Times New Roman" w:cs="Arial"/>
          <w:b/>
          <w:bCs/>
        </w:rPr>
        <w:t>Salma Bibi</w:t>
      </w:r>
      <w:r w:rsidRPr="00E73B6E">
        <w:rPr>
          <w:rFonts w:eastAsia="Times New Roman" w:cs="Arial"/>
        </w:rPr>
        <w:t xml:space="preserve"> </w:t>
      </w:r>
    </w:p>
    <w:p w14:paraId="2BFCE56B" w14:textId="77777777" w:rsidR="00732330" w:rsidRPr="00E73B6E" w:rsidRDefault="00732330" w:rsidP="00732330">
      <w:pPr>
        <w:rPr>
          <w:rFonts w:eastAsia="Times New Roman" w:cs="Arial"/>
        </w:rPr>
      </w:pPr>
      <w:r w:rsidRPr="00E73B6E">
        <w:rPr>
          <w:rFonts w:eastAsia="Times New Roman" w:cs="Arial"/>
        </w:rPr>
        <w:t>Date: 19.07.2026</w:t>
      </w:r>
    </w:p>
    <w:p w14:paraId="324943A4" w14:textId="77777777" w:rsidR="00063B4C" w:rsidRPr="00E73B6E" w:rsidRDefault="00063B4C"/>
    <w:p w14:paraId="4E014F16" w14:textId="77777777" w:rsidR="00995444" w:rsidRPr="00E73B6E" w:rsidRDefault="00995444" w:rsidP="00C7565C">
      <w:pPr>
        <w:rPr>
          <w:rFonts w:ascii="Arial" w:eastAsia="Arial Unicode MS" w:hAnsi="Arial" w:cs="Arial"/>
          <w:b/>
          <w:sz w:val="56"/>
          <w:szCs w:val="56"/>
        </w:rPr>
      </w:pPr>
    </w:p>
    <w:p w14:paraId="0CEA6760" w14:textId="77777777" w:rsidR="00544EBC" w:rsidRPr="00E73B6E" w:rsidRDefault="00B23C20"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E73B6E">
        <w:rPr>
          <w:rFonts w:ascii="Arial" w:eastAsia="Arial Unicode MS" w:hAnsi="Arial" w:cs="Arial"/>
          <w:b/>
          <w:sz w:val="56"/>
          <w:szCs w:val="56"/>
        </w:rPr>
        <w:t>Cultural Barriers and Healthcare Access</w:t>
      </w:r>
    </w:p>
    <w:p w14:paraId="0FC75915" w14:textId="7224E822" w:rsidR="00995444" w:rsidRPr="00E73B6E" w:rsidRDefault="00B23C20"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i/>
          <w:iCs/>
          <w:sz w:val="56"/>
          <w:szCs w:val="56"/>
        </w:rPr>
      </w:pPr>
      <w:r w:rsidRPr="00E73B6E">
        <w:rPr>
          <w:rFonts w:ascii="Arial" w:eastAsia="Arial Unicode MS" w:hAnsi="Arial" w:cs="Arial"/>
          <w:bCs/>
          <w:i/>
          <w:iCs/>
          <w:sz w:val="56"/>
          <w:szCs w:val="56"/>
        </w:rPr>
        <w:t>A Study of Ethnic Minority Groups in the UK</w:t>
      </w:r>
    </w:p>
    <w:p w14:paraId="04F60717" w14:textId="77777777" w:rsidR="00B23C20" w:rsidRPr="00E73B6E" w:rsidRDefault="00B23C20"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2EC1AA38" w:rsidR="00995444" w:rsidRPr="00E73B6E" w:rsidRDefault="00C2439D" w:rsidP="00C243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E73B6E">
        <w:rPr>
          <w:rFonts w:eastAsia="Arial Unicode MS" w:cs="Arial"/>
          <w:b/>
          <w:sz w:val="56"/>
          <w:szCs w:val="56"/>
        </w:rPr>
        <w:t xml:space="preserve">Salma </w:t>
      </w:r>
      <w:r w:rsidR="00376F90" w:rsidRPr="00E73B6E">
        <w:rPr>
          <w:rFonts w:eastAsia="Arial Unicode MS" w:cs="Arial"/>
          <w:b/>
          <w:sz w:val="56"/>
          <w:szCs w:val="56"/>
        </w:rPr>
        <w:t>Bibi -</w:t>
      </w:r>
      <w:r w:rsidRPr="00E73B6E">
        <w:rPr>
          <w:rFonts w:eastAsia="Arial Unicode MS" w:cs="Arial"/>
          <w:b/>
          <w:sz w:val="56"/>
          <w:szCs w:val="56"/>
        </w:rPr>
        <w:t xml:space="preserve"> </w:t>
      </w:r>
      <w:r w:rsidRPr="00E73B6E">
        <w:rPr>
          <w:rFonts w:eastAsia="Arial Unicode MS" w:cs="Arial"/>
          <w:b/>
          <w:bCs/>
          <w:sz w:val="56"/>
          <w:szCs w:val="56"/>
        </w:rPr>
        <w:t>2315819</w:t>
      </w:r>
    </w:p>
    <w:p w14:paraId="3F8DA723" w14:textId="77777777" w:rsidR="00995444" w:rsidRPr="00E73B6E"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E73B6E"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E73B6E">
        <w:rPr>
          <w:rFonts w:eastAsia="Arial Unicode MS" w:cs="Arial Unicode MS"/>
        </w:rPr>
        <w:tab/>
      </w:r>
    </w:p>
    <w:p w14:paraId="359F5B0D" w14:textId="77777777" w:rsidR="00995444" w:rsidRPr="00E73B6E"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671DFCA6" w:rsidR="00995444" w:rsidRPr="00E73B6E" w:rsidRDefault="000472EE"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Pr>
          <w:rFonts w:eastAsia="Arial Unicode MS" w:cs="Arial"/>
          <w:sz w:val="40"/>
          <w:szCs w:val="40"/>
        </w:rPr>
        <w:t>July 2026</w:t>
      </w:r>
    </w:p>
    <w:p w14:paraId="2057C793" w14:textId="103D0F80" w:rsidR="00995444" w:rsidRPr="00E73B6E"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E73B6E">
        <w:rPr>
          <w:rFonts w:eastAsia="Arial Unicode MS" w:cs="Arial"/>
          <w:sz w:val="40"/>
          <w:szCs w:val="40"/>
        </w:rPr>
        <w:t>Dissertation submitted as part of the requirements for the award BSc (Hons) Health and Social Care</w:t>
      </w:r>
    </w:p>
    <w:p w14:paraId="65358A57" w14:textId="77777777" w:rsidR="00995444" w:rsidRPr="00E73B6E" w:rsidRDefault="00995444" w:rsidP="00E0223F">
      <w:pPr>
        <w:spacing w:before="240"/>
      </w:pPr>
    </w:p>
    <w:p w14:paraId="1B87EB2D" w14:textId="77777777" w:rsidR="00376F90" w:rsidRPr="00E73B6E" w:rsidRDefault="00376F90" w:rsidP="00E0223F">
      <w:pPr>
        <w:spacing w:before="240"/>
      </w:pPr>
    </w:p>
    <w:p w14:paraId="22667BBA" w14:textId="77777777" w:rsidR="00376F90" w:rsidRPr="00E73B6E" w:rsidRDefault="00376F90" w:rsidP="00E0223F">
      <w:pPr>
        <w:spacing w:before="240"/>
      </w:pPr>
    </w:p>
    <w:p w14:paraId="0F4A849F" w14:textId="0FAEB93F" w:rsidR="00995444" w:rsidRPr="00E73B6E" w:rsidRDefault="001D38C1" w:rsidP="004F619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w:b/>
          <w:bCs/>
          <w:sz w:val="40"/>
          <w:szCs w:val="40"/>
        </w:rPr>
      </w:pPr>
      <w:r w:rsidRPr="00E73B6E">
        <w:rPr>
          <w:rFonts w:eastAsia="Arial Unicode MS" w:cs="Arial"/>
          <w:b/>
          <w:bCs/>
          <w:sz w:val="40"/>
          <w:szCs w:val="40"/>
        </w:rPr>
        <w:lastRenderedPageBreak/>
        <w:t>Acknowledgements</w:t>
      </w:r>
    </w:p>
    <w:p w14:paraId="3E6D1A03" w14:textId="5405D236" w:rsidR="00995444" w:rsidRPr="00EC72F4" w:rsidRDefault="00235D94" w:rsidP="004F619E">
      <w:pPr>
        <w:pStyle w:val="NormalWeb"/>
        <w:shd w:val="clear" w:color="auto" w:fill="FFFFFF"/>
        <w:spacing w:before="240" w:beforeAutospacing="0" w:after="160" w:afterAutospacing="0" w:line="360" w:lineRule="auto"/>
        <w:rPr>
          <w:rFonts w:asciiTheme="minorBidi" w:eastAsia="Arial Unicode MS" w:hAnsiTheme="minorBidi" w:cstheme="minorBidi"/>
          <w:kern w:val="2"/>
          <w:sz w:val="22"/>
          <w:szCs w:val="22"/>
          <w:lang w:eastAsia="zh-CN"/>
          <w14:ligatures w14:val="standardContextual"/>
        </w:rPr>
      </w:pPr>
      <w:r w:rsidRPr="00EC72F4">
        <w:rPr>
          <w:rFonts w:asciiTheme="minorBidi" w:eastAsia="Arial Unicode MS" w:hAnsiTheme="minorBidi" w:cstheme="minorBidi"/>
          <w:kern w:val="2"/>
          <w:sz w:val="22"/>
          <w:szCs w:val="22"/>
          <w:lang w:eastAsia="zh-CN"/>
          <w14:ligatures w14:val="standardContextual"/>
        </w:rPr>
        <w:t>I would like to thank my dissertation supervisor for guiding, providing feedback and supporting me during the development of this dissertation. I would also like to express my thanks to the academic staff and library services for their helpful input and guidance in the research process. Thank you to the members of my class and colleagues for their encouragement and discussion to help me think through my topic further. Last, but not least, I would like to express thanks to my family and friends for their patience, motivation and support throughout the execution of this dissertation.</w:t>
      </w:r>
    </w:p>
    <w:p w14:paraId="40A3E6C2" w14:textId="77777777" w:rsidR="00995444" w:rsidRPr="00E73B6E" w:rsidRDefault="00995444" w:rsidP="00E0223F">
      <w:pPr>
        <w:spacing w:before="240"/>
      </w:pPr>
    </w:p>
    <w:p w14:paraId="7EA8A979" w14:textId="77777777" w:rsidR="0073280B" w:rsidRPr="00E73B6E" w:rsidRDefault="0073280B" w:rsidP="00E0223F">
      <w:pPr>
        <w:spacing w:before="240"/>
      </w:pPr>
    </w:p>
    <w:p w14:paraId="24382F47" w14:textId="77777777" w:rsidR="0073280B" w:rsidRPr="00E73B6E" w:rsidRDefault="0073280B" w:rsidP="00E0223F">
      <w:pPr>
        <w:spacing w:before="240"/>
      </w:pPr>
    </w:p>
    <w:p w14:paraId="6A8FCE15" w14:textId="77777777" w:rsidR="0073280B" w:rsidRPr="00E73B6E" w:rsidRDefault="0073280B" w:rsidP="00E0223F">
      <w:pPr>
        <w:spacing w:before="240"/>
      </w:pPr>
    </w:p>
    <w:p w14:paraId="5B45260B" w14:textId="77777777" w:rsidR="0073280B" w:rsidRPr="00E73B6E" w:rsidRDefault="0073280B" w:rsidP="00E0223F">
      <w:pPr>
        <w:spacing w:before="240"/>
      </w:pPr>
    </w:p>
    <w:p w14:paraId="29F99602" w14:textId="77777777" w:rsidR="0073280B" w:rsidRPr="00E73B6E" w:rsidRDefault="0073280B" w:rsidP="00E0223F">
      <w:pPr>
        <w:spacing w:before="240"/>
      </w:pPr>
    </w:p>
    <w:p w14:paraId="7FFDFCFF" w14:textId="77777777" w:rsidR="0073280B" w:rsidRPr="00E73B6E" w:rsidRDefault="0073280B" w:rsidP="00E0223F">
      <w:pPr>
        <w:spacing w:before="240"/>
      </w:pPr>
    </w:p>
    <w:p w14:paraId="1E61CB56" w14:textId="77777777" w:rsidR="0073280B" w:rsidRPr="00E73B6E" w:rsidRDefault="0073280B" w:rsidP="00E0223F">
      <w:pPr>
        <w:spacing w:before="240"/>
      </w:pPr>
    </w:p>
    <w:p w14:paraId="4650381F" w14:textId="77777777" w:rsidR="0073280B" w:rsidRPr="00E73B6E" w:rsidRDefault="0073280B" w:rsidP="00E0223F">
      <w:pPr>
        <w:spacing w:before="240"/>
      </w:pPr>
    </w:p>
    <w:p w14:paraId="413A9F5D" w14:textId="77777777" w:rsidR="0073280B" w:rsidRPr="00E73B6E" w:rsidRDefault="0073280B" w:rsidP="00E0223F">
      <w:pPr>
        <w:spacing w:before="240"/>
      </w:pPr>
    </w:p>
    <w:p w14:paraId="0F7E2C83" w14:textId="77777777" w:rsidR="0073280B" w:rsidRPr="00E73B6E" w:rsidRDefault="0073280B" w:rsidP="00E0223F">
      <w:pPr>
        <w:spacing w:before="240"/>
      </w:pPr>
    </w:p>
    <w:p w14:paraId="68D32102" w14:textId="77777777" w:rsidR="0073280B" w:rsidRPr="00E73B6E" w:rsidRDefault="0073280B" w:rsidP="00E0223F">
      <w:pPr>
        <w:spacing w:before="240"/>
      </w:pPr>
    </w:p>
    <w:p w14:paraId="3269986A" w14:textId="77777777" w:rsidR="0073280B" w:rsidRPr="00E73B6E" w:rsidRDefault="0073280B" w:rsidP="00E0223F">
      <w:pPr>
        <w:spacing w:before="240"/>
      </w:pPr>
    </w:p>
    <w:p w14:paraId="26B038C1" w14:textId="77777777" w:rsidR="0073280B" w:rsidRPr="00E73B6E" w:rsidRDefault="0073280B" w:rsidP="00E0223F">
      <w:pPr>
        <w:spacing w:before="240"/>
      </w:pPr>
    </w:p>
    <w:p w14:paraId="6976232E" w14:textId="77777777" w:rsidR="0073280B" w:rsidRPr="00E73B6E" w:rsidRDefault="0073280B" w:rsidP="00E0223F">
      <w:pPr>
        <w:spacing w:before="240"/>
      </w:pPr>
    </w:p>
    <w:p w14:paraId="16D78A60" w14:textId="77777777" w:rsidR="0073280B" w:rsidRPr="00E73B6E" w:rsidRDefault="0073280B" w:rsidP="00E0223F">
      <w:pPr>
        <w:spacing w:before="240"/>
      </w:pPr>
    </w:p>
    <w:p w14:paraId="310D40A5" w14:textId="6BCEDECC" w:rsidR="0073280B" w:rsidRPr="0065798E" w:rsidRDefault="00540CD3" w:rsidP="001125B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240"/>
        <w:jc w:val="center"/>
        <w:rPr>
          <w:rFonts w:eastAsia="Arial Unicode MS" w:cs="Arial"/>
          <w:sz w:val="32"/>
          <w:szCs w:val="32"/>
        </w:rPr>
      </w:pPr>
      <w:r w:rsidRPr="0065798E">
        <w:rPr>
          <w:rFonts w:eastAsia="Arial Unicode MS" w:cs="Arial"/>
          <w:b/>
          <w:sz w:val="32"/>
          <w:szCs w:val="32"/>
        </w:rPr>
        <w:lastRenderedPageBreak/>
        <w:t>Abstract</w:t>
      </w:r>
    </w:p>
    <w:p w14:paraId="75D1BFF4" w14:textId="77777777" w:rsidR="00200A9F" w:rsidRPr="00337C25" w:rsidRDefault="0044037C" w:rsidP="00E73B6E">
      <w:pPr>
        <w:spacing w:before="240"/>
        <w:jc w:val="left"/>
        <w:rPr>
          <w:rFonts w:asciiTheme="minorBidi" w:hAnsiTheme="minorBidi"/>
        </w:rPr>
      </w:pPr>
      <w:r w:rsidRPr="00337C25">
        <w:rPr>
          <w:rFonts w:asciiTheme="minorBidi" w:hAnsiTheme="minorBidi"/>
        </w:rPr>
        <w:t>This dissertation examines the cultural barriers and access to healthcare for ethnic minorities in the UK. The overall objective was to critically explore the impact of language barriers, cultural beliefs, health literacy, mistrust, discrimination and communication between patients and providers on access to NHS services and healthcare experiences. This is significant to the health and social care topic because although the principle of the NHS is universal access, there are still inequalities in accessing it, communication and in the outcomes of this care for ethnic minority communities.</w:t>
      </w:r>
    </w:p>
    <w:p w14:paraId="2303B082" w14:textId="7D00EF62" w:rsidR="004002E0" w:rsidRPr="00337C25" w:rsidRDefault="0044037C" w:rsidP="00E73B6E">
      <w:pPr>
        <w:spacing w:before="240"/>
        <w:jc w:val="left"/>
        <w:rPr>
          <w:rFonts w:asciiTheme="minorBidi" w:hAnsiTheme="minorBidi"/>
        </w:rPr>
      </w:pPr>
      <w:r w:rsidRPr="00337C25">
        <w:rPr>
          <w:rFonts w:asciiTheme="minorBidi" w:hAnsiTheme="minorBidi"/>
        </w:rPr>
        <w:t>The secondary research approach was used for the dissertation and was based on published academic literature, NHS reports, government reports and public health evidence. The search process was designed to ensure relevant sources were identified, and inclusion and exclusion criteria ensured focus on the most recent, credible and UK-based evidence. Selected literature was analysed thematically using an analysis method</w:t>
      </w:r>
      <w:r w:rsidR="00042358" w:rsidRPr="00337C25">
        <w:rPr>
          <w:rFonts w:asciiTheme="minorBidi" w:hAnsiTheme="minorBidi"/>
        </w:rPr>
        <w:t xml:space="preserve">, </w:t>
      </w:r>
      <w:r w:rsidR="0010568D" w:rsidRPr="00337C25">
        <w:rPr>
          <w:rFonts w:asciiTheme="minorBidi" w:hAnsiTheme="minorBidi"/>
        </w:rPr>
        <w:t xml:space="preserve">repeated to </w:t>
      </w:r>
      <w:r w:rsidRPr="00337C25">
        <w:rPr>
          <w:rFonts w:asciiTheme="minorBidi" w:hAnsiTheme="minorBidi"/>
        </w:rPr>
        <w:t>group similar patterns and issues into structured themes.</w:t>
      </w:r>
    </w:p>
    <w:p w14:paraId="7C163ED7" w14:textId="77777777" w:rsidR="002E33D8" w:rsidRPr="00337C25" w:rsidRDefault="0044037C" w:rsidP="00E73B6E">
      <w:pPr>
        <w:spacing w:before="240"/>
        <w:jc w:val="left"/>
        <w:rPr>
          <w:rFonts w:asciiTheme="minorBidi" w:hAnsiTheme="minorBidi"/>
        </w:rPr>
      </w:pPr>
      <w:r w:rsidRPr="00337C25">
        <w:rPr>
          <w:rFonts w:asciiTheme="minorBidi" w:hAnsiTheme="minorBidi"/>
        </w:rPr>
        <w:t>The results revealed three strands. First, language barriers and communication issues can impact the process of appointment scheduling, obtaining informed consent, comprehension of treatment, and patient safety. Second, cultural beliefs, low health literacy, and mistrust can decrease uptake of preventive services, screening, vaccination, and early health services support. Thirdly, discrimination, gaps in policy and differential culturally responsive practices remain a barrier to equal access to NHS services.</w:t>
      </w:r>
    </w:p>
    <w:p w14:paraId="52D47CD6" w14:textId="19FCFD21" w:rsidR="00E9691D" w:rsidRPr="00337C25" w:rsidRDefault="00FA671F" w:rsidP="00E73B6E">
      <w:pPr>
        <w:spacing w:before="240"/>
        <w:jc w:val="left"/>
        <w:rPr>
          <w:rFonts w:asciiTheme="minorBidi" w:hAnsiTheme="minorBidi"/>
        </w:rPr>
      </w:pPr>
      <w:r w:rsidRPr="00337C25">
        <w:rPr>
          <w:rFonts w:asciiTheme="minorBidi" w:hAnsiTheme="minorBidi"/>
        </w:rPr>
        <w:t xml:space="preserve">The study had a number of limitations. Due to the nature of secondary research, this dissertation did not acquire new perspectives from ethnic minority patients, but rather published literature, NHS data and public health data sources. This could have resulted in personal </w:t>
      </w:r>
      <w:r w:rsidR="003D7FBB" w:rsidRPr="00337C25">
        <w:rPr>
          <w:rFonts w:asciiTheme="minorBidi" w:hAnsiTheme="minorBidi"/>
        </w:rPr>
        <w:t xml:space="preserve">experiences </w:t>
      </w:r>
      <w:r w:rsidR="007C6F92" w:rsidRPr="00337C25">
        <w:rPr>
          <w:rFonts w:asciiTheme="minorBidi" w:hAnsiTheme="minorBidi"/>
        </w:rPr>
        <w:t>as local</w:t>
      </w:r>
      <w:r w:rsidRPr="00337C25">
        <w:rPr>
          <w:rFonts w:asciiTheme="minorBidi" w:hAnsiTheme="minorBidi"/>
        </w:rPr>
        <w:t xml:space="preserve"> variations and the perspectives and opinions of smaller ethnic groups not being represented. Research and health planning should focus more directly upon communities, with the aim of better understanding and meeting the needs of the ethnic minorities.</w:t>
      </w:r>
    </w:p>
    <w:p w14:paraId="540AFBBC" w14:textId="7F7AB22D" w:rsidR="006D4DD6" w:rsidRPr="00707825" w:rsidRDefault="0044037C" w:rsidP="00707825">
      <w:pPr>
        <w:spacing w:before="240"/>
        <w:jc w:val="left"/>
        <w:rPr>
          <w:rFonts w:asciiTheme="minorBidi" w:hAnsiTheme="minorBidi"/>
        </w:rPr>
      </w:pPr>
      <w:r w:rsidRPr="00337C25">
        <w:rPr>
          <w:rFonts w:asciiTheme="minorBidi" w:hAnsiTheme="minorBidi"/>
        </w:rPr>
        <w:t>The dissertation suggests that there should be more robust systems in place to support professional interpreters and the translated NHS communication</w:t>
      </w:r>
      <w:r w:rsidR="001300C4" w:rsidRPr="00337C25">
        <w:rPr>
          <w:rFonts w:asciiTheme="minorBidi" w:hAnsiTheme="minorBidi"/>
        </w:rPr>
        <w:t xml:space="preserve">, with </w:t>
      </w:r>
      <w:r w:rsidRPr="00337C25">
        <w:rPr>
          <w:rFonts w:asciiTheme="minorBidi" w:hAnsiTheme="minorBidi"/>
        </w:rPr>
        <w:t>culturally appropriate health literacy and outreach programmes should be developed and enhanced, and systems should be in place to ensure that anti-racist and culturally responsive practice is embedded in NHS training, service design and accountability. These recommendations are intended to support the UK's more inclusive, fair and effective healthcare practice.</w:t>
      </w:r>
    </w:p>
    <w:sdt>
      <w:sdtPr>
        <w:rPr>
          <w:rFonts w:ascii="Aptos" w:eastAsiaTheme="minorEastAsia" w:hAnsi="Aptos" w:cstheme="minorBidi"/>
          <w:color w:val="auto"/>
          <w:kern w:val="2"/>
          <w:sz w:val="22"/>
          <w:szCs w:val="22"/>
          <w:lang w:val="en-GB" w:eastAsia="zh-CN"/>
          <w14:ligatures w14:val="standardContextual"/>
        </w:rPr>
        <w:id w:val="-669410938"/>
        <w:docPartObj>
          <w:docPartGallery w:val="Table of Contents"/>
          <w:docPartUnique/>
        </w:docPartObj>
      </w:sdtPr>
      <w:sdtEndPr>
        <w:rPr>
          <w:b/>
          <w:bCs/>
          <w:noProof/>
        </w:rPr>
      </w:sdtEndPr>
      <w:sdtContent>
        <w:p w14:paraId="4129B837" w14:textId="40B9D64B" w:rsidR="00B37C80" w:rsidRPr="00F31C79" w:rsidRDefault="00B37C80" w:rsidP="00F31C79">
          <w:pPr>
            <w:pStyle w:val="TOCHeading"/>
            <w:spacing w:after="240" w:line="240" w:lineRule="auto"/>
            <w:jc w:val="center"/>
            <w:rPr>
              <w:rFonts w:ascii="Aptos" w:eastAsiaTheme="minorEastAsia" w:hAnsi="Aptos" w:cstheme="minorBidi"/>
              <w:b/>
              <w:bCs/>
              <w:color w:val="auto"/>
              <w:kern w:val="2"/>
              <w:lang w:val="en-GB" w:eastAsia="zh-CN"/>
              <w14:ligatures w14:val="standardContextual"/>
            </w:rPr>
          </w:pPr>
          <w:r w:rsidRPr="00F31C79">
            <w:rPr>
              <w:rFonts w:ascii="Aptos" w:eastAsiaTheme="minorEastAsia" w:hAnsi="Aptos" w:cstheme="minorBidi"/>
              <w:b/>
              <w:bCs/>
              <w:color w:val="auto"/>
              <w:kern w:val="2"/>
              <w:lang w:val="en-GB" w:eastAsia="zh-CN"/>
              <w14:ligatures w14:val="standardContextual"/>
            </w:rPr>
            <w:t>Table of Contents</w:t>
          </w:r>
        </w:p>
        <w:p w14:paraId="0FBA8E8A" w14:textId="7BD75D6C" w:rsidR="008F7652" w:rsidRPr="00F31C79" w:rsidRDefault="00B37C80" w:rsidP="00F31C79">
          <w:pPr>
            <w:pStyle w:val="TOC1"/>
            <w:spacing w:after="240" w:line="240" w:lineRule="auto"/>
            <w:rPr>
              <w:noProof/>
              <w:sz w:val="24"/>
              <w:szCs w:val="24"/>
            </w:rPr>
          </w:pPr>
          <w:r w:rsidRPr="00F31C79">
            <w:rPr>
              <w:sz w:val="24"/>
              <w:szCs w:val="24"/>
            </w:rPr>
            <w:fldChar w:fldCharType="begin"/>
          </w:r>
          <w:r w:rsidRPr="00F31C79">
            <w:rPr>
              <w:sz w:val="24"/>
              <w:szCs w:val="24"/>
            </w:rPr>
            <w:instrText xml:space="preserve"> TOC \o "1-3" \h \z \u </w:instrText>
          </w:r>
          <w:r w:rsidRPr="00F31C79">
            <w:rPr>
              <w:sz w:val="24"/>
              <w:szCs w:val="24"/>
            </w:rPr>
            <w:fldChar w:fldCharType="separate"/>
          </w:r>
          <w:hyperlink w:anchor="_Toc232051185" w:history="1">
            <w:r w:rsidR="008F7652" w:rsidRPr="00F31C79">
              <w:rPr>
                <w:noProof/>
                <w:sz w:val="24"/>
                <w:szCs w:val="24"/>
              </w:rPr>
              <w:t>1.</w:t>
            </w:r>
            <w:r w:rsidR="008F7652" w:rsidRPr="00F31C79">
              <w:rPr>
                <w:noProof/>
                <w:sz w:val="24"/>
                <w:szCs w:val="24"/>
              </w:rPr>
              <w:tab/>
              <w:t>Chapter 1: Introduction</w:t>
            </w:r>
            <w:r w:rsidR="008F7652" w:rsidRPr="00F31C79">
              <w:rPr>
                <w:noProof/>
                <w:webHidden/>
                <w:sz w:val="24"/>
                <w:szCs w:val="24"/>
              </w:rPr>
              <w:tab/>
            </w:r>
            <w:r w:rsidR="008F7652" w:rsidRPr="00F31C79">
              <w:rPr>
                <w:noProof/>
                <w:webHidden/>
                <w:sz w:val="24"/>
                <w:szCs w:val="24"/>
              </w:rPr>
              <w:fldChar w:fldCharType="begin"/>
            </w:r>
            <w:r w:rsidR="008F7652" w:rsidRPr="00F31C79">
              <w:rPr>
                <w:noProof/>
                <w:webHidden/>
                <w:sz w:val="24"/>
                <w:szCs w:val="24"/>
              </w:rPr>
              <w:instrText xml:space="preserve"> PAGEREF _Toc232051185 \h </w:instrText>
            </w:r>
            <w:r w:rsidR="008F7652" w:rsidRPr="00F31C79">
              <w:rPr>
                <w:noProof/>
                <w:webHidden/>
                <w:sz w:val="24"/>
                <w:szCs w:val="24"/>
              </w:rPr>
            </w:r>
            <w:r w:rsidR="008F7652" w:rsidRPr="00F31C79">
              <w:rPr>
                <w:noProof/>
                <w:webHidden/>
                <w:sz w:val="24"/>
                <w:szCs w:val="24"/>
              </w:rPr>
              <w:fldChar w:fldCharType="separate"/>
            </w:r>
            <w:r w:rsidR="0047294B">
              <w:rPr>
                <w:noProof/>
                <w:webHidden/>
                <w:sz w:val="24"/>
                <w:szCs w:val="24"/>
              </w:rPr>
              <w:t>9</w:t>
            </w:r>
            <w:r w:rsidR="008F7652" w:rsidRPr="00F31C79">
              <w:rPr>
                <w:noProof/>
                <w:webHidden/>
                <w:sz w:val="24"/>
                <w:szCs w:val="24"/>
              </w:rPr>
              <w:fldChar w:fldCharType="end"/>
            </w:r>
          </w:hyperlink>
        </w:p>
        <w:p w14:paraId="02FAFB82" w14:textId="6855F3BA"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86" w:history="1">
            <w:r w:rsidRPr="00F31C79">
              <w:rPr>
                <w:noProof/>
                <w:sz w:val="24"/>
                <w:szCs w:val="24"/>
              </w:rPr>
              <w:t>1.1</w:t>
            </w:r>
            <w:r w:rsidRPr="00F31C79">
              <w:rPr>
                <w:noProof/>
                <w:sz w:val="24"/>
                <w:szCs w:val="24"/>
              </w:rPr>
              <w:tab/>
              <w:t>Introduction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_Toc232051186 \h </w:instrText>
            </w:r>
            <w:r w:rsidRPr="00F31C79">
              <w:rPr>
                <w:noProof/>
                <w:webHidden/>
                <w:sz w:val="24"/>
                <w:szCs w:val="24"/>
              </w:rPr>
            </w:r>
            <w:r w:rsidRPr="00F31C79">
              <w:rPr>
                <w:noProof/>
                <w:webHidden/>
                <w:sz w:val="24"/>
                <w:szCs w:val="24"/>
              </w:rPr>
              <w:fldChar w:fldCharType="separate"/>
            </w:r>
            <w:r w:rsidR="0047294B">
              <w:rPr>
                <w:noProof/>
                <w:webHidden/>
                <w:sz w:val="24"/>
                <w:szCs w:val="24"/>
              </w:rPr>
              <w:t>9</w:t>
            </w:r>
            <w:r w:rsidRPr="00F31C79">
              <w:rPr>
                <w:noProof/>
                <w:webHidden/>
                <w:sz w:val="24"/>
                <w:szCs w:val="24"/>
              </w:rPr>
              <w:fldChar w:fldCharType="end"/>
            </w:r>
          </w:hyperlink>
        </w:p>
        <w:p w14:paraId="718F669E" w14:textId="32A7DDA7"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87" w:history="1">
            <w:r w:rsidRPr="00F31C79">
              <w:rPr>
                <w:noProof/>
                <w:sz w:val="24"/>
                <w:szCs w:val="24"/>
              </w:rPr>
              <w:t>1.2</w:t>
            </w:r>
            <w:r w:rsidRPr="00F31C79">
              <w:rPr>
                <w:noProof/>
                <w:sz w:val="24"/>
                <w:szCs w:val="24"/>
              </w:rPr>
              <w:tab/>
              <w:t>Definitions and Terminology</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_Toc232051187 \h </w:instrText>
            </w:r>
            <w:r w:rsidRPr="00F31C79">
              <w:rPr>
                <w:noProof/>
                <w:webHidden/>
                <w:sz w:val="24"/>
                <w:szCs w:val="24"/>
              </w:rPr>
            </w:r>
            <w:r w:rsidRPr="00F31C79">
              <w:rPr>
                <w:noProof/>
                <w:webHidden/>
                <w:sz w:val="24"/>
                <w:szCs w:val="24"/>
              </w:rPr>
              <w:fldChar w:fldCharType="separate"/>
            </w:r>
            <w:r w:rsidR="0047294B">
              <w:rPr>
                <w:noProof/>
                <w:webHidden/>
                <w:sz w:val="24"/>
                <w:szCs w:val="24"/>
              </w:rPr>
              <w:t>9</w:t>
            </w:r>
            <w:r w:rsidRPr="00F31C79">
              <w:rPr>
                <w:noProof/>
                <w:webHidden/>
                <w:sz w:val="24"/>
                <w:szCs w:val="24"/>
              </w:rPr>
              <w:fldChar w:fldCharType="end"/>
            </w:r>
          </w:hyperlink>
        </w:p>
        <w:p w14:paraId="2560A4AD" w14:textId="2B916F00"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88" w:history="1">
            <w:r w:rsidRPr="00F31C79">
              <w:rPr>
                <w:noProof/>
                <w:sz w:val="24"/>
                <w:szCs w:val="24"/>
              </w:rPr>
              <w:t>1.3</w:t>
            </w:r>
            <w:r w:rsidRPr="00F31C79">
              <w:rPr>
                <w:noProof/>
                <w:sz w:val="24"/>
                <w:szCs w:val="24"/>
              </w:rPr>
              <w:tab/>
              <w:t>Rationale for Research</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_Toc232051188 \h </w:instrText>
            </w:r>
            <w:r w:rsidRPr="00F31C79">
              <w:rPr>
                <w:noProof/>
                <w:webHidden/>
                <w:sz w:val="24"/>
                <w:szCs w:val="24"/>
              </w:rPr>
            </w:r>
            <w:r w:rsidRPr="00F31C79">
              <w:rPr>
                <w:noProof/>
                <w:webHidden/>
                <w:sz w:val="24"/>
                <w:szCs w:val="24"/>
              </w:rPr>
              <w:fldChar w:fldCharType="separate"/>
            </w:r>
            <w:r w:rsidR="0047294B">
              <w:rPr>
                <w:noProof/>
                <w:webHidden/>
                <w:sz w:val="24"/>
                <w:szCs w:val="24"/>
              </w:rPr>
              <w:t>10</w:t>
            </w:r>
            <w:r w:rsidRPr="00F31C79">
              <w:rPr>
                <w:noProof/>
                <w:webHidden/>
                <w:sz w:val="24"/>
                <w:szCs w:val="24"/>
              </w:rPr>
              <w:fldChar w:fldCharType="end"/>
            </w:r>
          </w:hyperlink>
        </w:p>
        <w:p w14:paraId="079A5333" w14:textId="375CFD63"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89" w:history="1">
            <w:r w:rsidRPr="00F31C79">
              <w:rPr>
                <w:noProof/>
                <w:sz w:val="24"/>
                <w:szCs w:val="24"/>
              </w:rPr>
              <w:t>1.4</w:t>
            </w:r>
            <w:r w:rsidRPr="00F31C79">
              <w:rPr>
                <w:noProof/>
                <w:sz w:val="24"/>
                <w:szCs w:val="24"/>
              </w:rPr>
              <w:tab/>
              <w:t>Aim and Objectives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_Toc232051189 \h </w:instrText>
            </w:r>
            <w:r w:rsidRPr="00F31C79">
              <w:rPr>
                <w:noProof/>
                <w:webHidden/>
                <w:sz w:val="24"/>
                <w:szCs w:val="24"/>
              </w:rPr>
            </w:r>
            <w:r w:rsidRPr="00F31C79">
              <w:rPr>
                <w:noProof/>
                <w:webHidden/>
                <w:sz w:val="24"/>
                <w:szCs w:val="24"/>
              </w:rPr>
              <w:fldChar w:fldCharType="separate"/>
            </w:r>
            <w:r w:rsidR="0047294B">
              <w:rPr>
                <w:noProof/>
                <w:webHidden/>
                <w:sz w:val="24"/>
                <w:szCs w:val="24"/>
              </w:rPr>
              <w:t>10</w:t>
            </w:r>
            <w:r w:rsidRPr="00F31C79">
              <w:rPr>
                <w:noProof/>
                <w:webHidden/>
                <w:sz w:val="24"/>
                <w:szCs w:val="24"/>
              </w:rPr>
              <w:fldChar w:fldCharType="end"/>
            </w:r>
          </w:hyperlink>
        </w:p>
        <w:p w14:paraId="4676708B" w14:textId="73085C9B"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0" w:history="1">
            <w:r w:rsidRPr="00F31C79">
              <w:rPr>
                <w:noProof/>
                <w:sz w:val="24"/>
                <w:szCs w:val="24"/>
              </w:rPr>
              <w:t>1.5</w:t>
            </w:r>
            <w:r w:rsidRPr="00F31C79">
              <w:rPr>
                <w:noProof/>
                <w:sz w:val="24"/>
                <w:szCs w:val="24"/>
              </w:rPr>
              <w:tab/>
              <w:t>Conclusion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_Toc232051190 \h </w:instrText>
            </w:r>
            <w:r w:rsidRPr="00F31C79">
              <w:rPr>
                <w:noProof/>
                <w:webHidden/>
                <w:sz w:val="24"/>
                <w:szCs w:val="24"/>
              </w:rPr>
            </w:r>
            <w:r w:rsidRPr="00F31C79">
              <w:rPr>
                <w:noProof/>
                <w:webHidden/>
                <w:sz w:val="24"/>
                <w:szCs w:val="24"/>
              </w:rPr>
              <w:fldChar w:fldCharType="separate"/>
            </w:r>
            <w:r w:rsidR="0047294B">
              <w:rPr>
                <w:noProof/>
                <w:webHidden/>
                <w:sz w:val="24"/>
                <w:szCs w:val="24"/>
              </w:rPr>
              <w:t>11</w:t>
            </w:r>
            <w:r w:rsidRPr="00F31C79">
              <w:rPr>
                <w:noProof/>
                <w:webHidden/>
                <w:sz w:val="24"/>
                <w:szCs w:val="24"/>
              </w:rPr>
              <w:fldChar w:fldCharType="end"/>
            </w:r>
          </w:hyperlink>
        </w:p>
        <w:p w14:paraId="48C853FF" w14:textId="79FCFA5A" w:rsidR="008F7652" w:rsidRPr="00F31C79" w:rsidRDefault="008F7652" w:rsidP="00F31C79">
          <w:pPr>
            <w:pStyle w:val="TOC1"/>
            <w:spacing w:after="240" w:line="240" w:lineRule="auto"/>
            <w:rPr>
              <w:noProof/>
              <w:sz w:val="24"/>
              <w:szCs w:val="24"/>
            </w:rPr>
          </w:pPr>
          <w:hyperlink w:anchor="_Toc232051191" w:history="1">
            <w:r w:rsidRPr="00F31C79">
              <w:rPr>
                <w:noProof/>
                <w:sz w:val="24"/>
                <w:szCs w:val="24"/>
              </w:rPr>
              <w:t>2.</w:t>
            </w:r>
            <w:r w:rsidRPr="00F31C79">
              <w:rPr>
                <w:noProof/>
                <w:sz w:val="24"/>
                <w:szCs w:val="24"/>
              </w:rPr>
              <w:tab/>
              <w:t>Chapter 2 – Background Information and Analysis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_Toc232051191 \h </w:instrText>
            </w:r>
            <w:r w:rsidRPr="00F31C79">
              <w:rPr>
                <w:noProof/>
                <w:webHidden/>
                <w:sz w:val="24"/>
                <w:szCs w:val="24"/>
              </w:rPr>
            </w:r>
            <w:r w:rsidRPr="00F31C79">
              <w:rPr>
                <w:noProof/>
                <w:webHidden/>
                <w:sz w:val="24"/>
                <w:szCs w:val="24"/>
              </w:rPr>
              <w:fldChar w:fldCharType="separate"/>
            </w:r>
            <w:r w:rsidR="0047294B">
              <w:rPr>
                <w:noProof/>
                <w:webHidden/>
                <w:sz w:val="24"/>
                <w:szCs w:val="24"/>
              </w:rPr>
              <w:t>12</w:t>
            </w:r>
            <w:r w:rsidRPr="00F31C79">
              <w:rPr>
                <w:noProof/>
                <w:webHidden/>
                <w:sz w:val="24"/>
                <w:szCs w:val="24"/>
              </w:rPr>
              <w:fldChar w:fldCharType="end"/>
            </w:r>
          </w:hyperlink>
        </w:p>
        <w:p w14:paraId="484B2CC3" w14:textId="70C828FF"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2" w:history="1">
            <w:r w:rsidRPr="00F31C79">
              <w:rPr>
                <w:noProof/>
                <w:sz w:val="24"/>
                <w:szCs w:val="24"/>
              </w:rPr>
              <w:t>2.1</w:t>
            </w:r>
            <w:r w:rsidRPr="00F31C79">
              <w:rPr>
                <w:noProof/>
                <w:sz w:val="24"/>
                <w:szCs w:val="24"/>
              </w:rPr>
              <w:tab/>
              <w:t>Introduction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_Toc232051192 \h </w:instrText>
            </w:r>
            <w:r w:rsidRPr="00F31C79">
              <w:rPr>
                <w:noProof/>
                <w:webHidden/>
                <w:sz w:val="24"/>
                <w:szCs w:val="24"/>
              </w:rPr>
            </w:r>
            <w:r w:rsidRPr="00F31C79">
              <w:rPr>
                <w:noProof/>
                <w:webHidden/>
                <w:sz w:val="24"/>
                <w:szCs w:val="24"/>
              </w:rPr>
              <w:fldChar w:fldCharType="separate"/>
            </w:r>
            <w:r w:rsidR="0047294B">
              <w:rPr>
                <w:noProof/>
                <w:webHidden/>
                <w:sz w:val="24"/>
                <w:szCs w:val="24"/>
              </w:rPr>
              <w:t>12</w:t>
            </w:r>
            <w:r w:rsidRPr="00F31C79">
              <w:rPr>
                <w:noProof/>
                <w:webHidden/>
                <w:sz w:val="24"/>
                <w:szCs w:val="24"/>
              </w:rPr>
              <w:fldChar w:fldCharType="end"/>
            </w:r>
          </w:hyperlink>
        </w:p>
        <w:p w14:paraId="0701077D" w14:textId="3FAF248B"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3" w:history="1">
            <w:r w:rsidRPr="00F31C79">
              <w:rPr>
                <w:noProof/>
                <w:sz w:val="24"/>
                <w:szCs w:val="24"/>
              </w:rPr>
              <w:t>2.2</w:t>
            </w:r>
            <w:r w:rsidRPr="00F31C79">
              <w:rPr>
                <w:noProof/>
                <w:sz w:val="24"/>
                <w:szCs w:val="24"/>
              </w:rPr>
              <w:tab/>
              <w:t>Historical Background</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_Toc232051193 \h </w:instrText>
            </w:r>
            <w:r w:rsidRPr="00F31C79">
              <w:rPr>
                <w:noProof/>
                <w:webHidden/>
                <w:sz w:val="24"/>
                <w:szCs w:val="24"/>
              </w:rPr>
            </w:r>
            <w:r w:rsidRPr="00F31C79">
              <w:rPr>
                <w:noProof/>
                <w:webHidden/>
                <w:sz w:val="24"/>
                <w:szCs w:val="24"/>
              </w:rPr>
              <w:fldChar w:fldCharType="separate"/>
            </w:r>
            <w:r w:rsidR="0047294B">
              <w:rPr>
                <w:noProof/>
                <w:webHidden/>
                <w:sz w:val="24"/>
                <w:szCs w:val="24"/>
              </w:rPr>
              <w:t>12</w:t>
            </w:r>
            <w:r w:rsidRPr="00F31C79">
              <w:rPr>
                <w:noProof/>
                <w:webHidden/>
                <w:sz w:val="24"/>
                <w:szCs w:val="24"/>
              </w:rPr>
              <w:fldChar w:fldCharType="end"/>
            </w:r>
          </w:hyperlink>
        </w:p>
        <w:p w14:paraId="4D89074C" w14:textId="224F3740"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4" w:history="1">
            <w:r w:rsidRPr="00F31C79">
              <w:rPr>
                <w:noProof/>
                <w:sz w:val="24"/>
                <w:szCs w:val="24"/>
              </w:rPr>
              <w:t>2.3</w:t>
            </w:r>
            <w:r w:rsidRPr="00F31C79">
              <w:rPr>
                <w:noProof/>
                <w:sz w:val="24"/>
                <w:szCs w:val="24"/>
              </w:rPr>
              <w:tab/>
              <w:t>Theoretical Background</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_Toc232051194 \h </w:instrText>
            </w:r>
            <w:r w:rsidRPr="00F31C79">
              <w:rPr>
                <w:noProof/>
                <w:webHidden/>
                <w:sz w:val="24"/>
                <w:szCs w:val="24"/>
              </w:rPr>
            </w:r>
            <w:r w:rsidRPr="00F31C79">
              <w:rPr>
                <w:noProof/>
                <w:webHidden/>
                <w:sz w:val="24"/>
                <w:szCs w:val="24"/>
              </w:rPr>
              <w:fldChar w:fldCharType="separate"/>
            </w:r>
            <w:r w:rsidR="0047294B">
              <w:rPr>
                <w:noProof/>
                <w:webHidden/>
                <w:sz w:val="24"/>
                <w:szCs w:val="24"/>
              </w:rPr>
              <w:t>13</w:t>
            </w:r>
            <w:r w:rsidRPr="00F31C79">
              <w:rPr>
                <w:noProof/>
                <w:webHidden/>
                <w:sz w:val="24"/>
                <w:szCs w:val="24"/>
              </w:rPr>
              <w:fldChar w:fldCharType="end"/>
            </w:r>
          </w:hyperlink>
        </w:p>
        <w:p w14:paraId="1CE9D3FD" w14:textId="37F08C63"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5" w:history="1">
            <w:r w:rsidRPr="00F31C79">
              <w:rPr>
                <w:noProof/>
                <w:sz w:val="24"/>
                <w:szCs w:val="24"/>
              </w:rPr>
              <w:t>2.4</w:t>
            </w:r>
            <w:r w:rsidRPr="00F31C79">
              <w:rPr>
                <w:noProof/>
                <w:sz w:val="24"/>
                <w:szCs w:val="24"/>
              </w:rPr>
              <w:tab/>
              <w:t>International Context</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_Toc232051195 \h </w:instrText>
            </w:r>
            <w:r w:rsidRPr="00F31C79">
              <w:rPr>
                <w:noProof/>
                <w:webHidden/>
                <w:sz w:val="24"/>
                <w:szCs w:val="24"/>
              </w:rPr>
            </w:r>
            <w:r w:rsidRPr="00F31C79">
              <w:rPr>
                <w:noProof/>
                <w:webHidden/>
                <w:sz w:val="24"/>
                <w:szCs w:val="24"/>
              </w:rPr>
              <w:fldChar w:fldCharType="separate"/>
            </w:r>
            <w:r w:rsidR="0047294B">
              <w:rPr>
                <w:noProof/>
                <w:webHidden/>
                <w:sz w:val="24"/>
                <w:szCs w:val="24"/>
              </w:rPr>
              <w:t>14</w:t>
            </w:r>
            <w:r w:rsidRPr="00F31C79">
              <w:rPr>
                <w:noProof/>
                <w:webHidden/>
                <w:sz w:val="24"/>
                <w:szCs w:val="24"/>
              </w:rPr>
              <w:fldChar w:fldCharType="end"/>
            </w:r>
          </w:hyperlink>
        </w:p>
        <w:p w14:paraId="51766188" w14:textId="0679DA81"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6" w:history="1">
            <w:r w:rsidRPr="00F31C79">
              <w:rPr>
                <w:noProof/>
                <w:sz w:val="24"/>
                <w:szCs w:val="24"/>
              </w:rPr>
              <w:t>2.5</w:t>
            </w:r>
            <w:r w:rsidRPr="00F31C79">
              <w:rPr>
                <w:noProof/>
                <w:sz w:val="24"/>
                <w:szCs w:val="24"/>
              </w:rPr>
              <w:tab/>
              <w:t>National/Local UK Context</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_Toc232051196 \h </w:instrText>
            </w:r>
            <w:r w:rsidRPr="00F31C79">
              <w:rPr>
                <w:noProof/>
                <w:webHidden/>
                <w:sz w:val="24"/>
                <w:szCs w:val="24"/>
              </w:rPr>
            </w:r>
            <w:r w:rsidRPr="00F31C79">
              <w:rPr>
                <w:noProof/>
                <w:webHidden/>
                <w:sz w:val="24"/>
                <w:szCs w:val="24"/>
              </w:rPr>
              <w:fldChar w:fldCharType="separate"/>
            </w:r>
            <w:r w:rsidR="0047294B">
              <w:rPr>
                <w:noProof/>
                <w:webHidden/>
                <w:sz w:val="24"/>
                <w:szCs w:val="24"/>
              </w:rPr>
              <w:t>15</w:t>
            </w:r>
            <w:r w:rsidRPr="00F31C79">
              <w:rPr>
                <w:noProof/>
                <w:webHidden/>
                <w:sz w:val="24"/>
                <w:szCs w:val="24"/>
              </w:rPr>
              <w:fldChar w:fldCharType="end"/>
            </w:r>
          </w:hyperlink>
        </w:p>
        <w:p w14:paraId="45888954" w14:textId="693A4563"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7" w:history="1">
            <w:r w:rsidRPr="00F31C79">
              <w:rPr>
                <w:noProof/>
                <w:sz w:val="24"/>
                <w:szCs w:val="24"/>
              </w:rPr>
              <w:t>2.6</w:t>
            </w:r>
            <w:r w:rsidRPr="00F31C79">
              <w:rPr>
                <w:noProof/>
                <w:sz w:val="24"/>
                <w:szCs w:val="24"/>
              </w:rPr>
              <w:tab/>
              <w:t>Conclusion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_Toc232051197 \h </w:instrText>
            </w:r>
            <w:r w:rsidRPr="00F31C79">
              <w:rPr>
                <w:noProof/>
                <w:webHidden/>
                <w:sz w:val="24"/>
                <w:szCs w:val="24"/>
              </w:rPr>
            </w:r>
            <w:r w:rsidRPr="00F31C79">
              <w:rPr>
                <w:noProof/>
                <w:webHidden/>
                <w:sz w:val="24"/>
                <w:szCs w:val="24"/>
              </w:rPr>
              <w:fldChar w:fldCharType="separate"/>
            </w:r>
            <w:r w:rsidR="0047294B">
              <w:rPr>
                <w:noProof/>
                <w:webHidden/>
                <w:sz w:val="24"/>
                <w:szCs w:val="24"/>
              </w:rPr>
              <w:t>17</w:t>
            </w:r>
            <w:r w:rsidRPr="00F31C79">
              <w:rPr>
                <w:noProof/>
                <w:webHidden/>
                <w:sz w:val="24"/>
                <w:szCs w:val="24"/>
              </w:rPr>
              <w:fldChar w:fldCharType="end"/>
            </w:r>
          </w:hyperlink>
        </w:p>
        <w:p w14:paraId="22093D13" w14:textId="316673AB" w:rsidR="008F7652" w:rsidRPr="00F31C79" w:rsidRDefault="008F7652" w:rsidP="00F31C79">
          <w:pPr>
            <w:pStyle w:val="TOC1"/>
            <w:spacing w:after="240" w:line="240" w:lineRule="auto"/>
            <w:rPr>
              <w:noProof/>
              <w:sz w:val="24"/>
              <w:szCs w:val="24"/>
            </w:rPr>
          </w:pPr>
          <w:hyperlink w:anchor="_Toc232051198" w:history="1">
            <w:r w:rsidRPr="00F31C79">
              <w:rPr>
                <w:noProof/>
                <w:sz w:val="24"/>
                <w:szCs w:val="24"/>
              </w:rPr>
              <w:t>3.</w:t>
            </w:r>
            <w:r w:rsidRPr="00F31C79">
              <w:rPr>
                <w:noProof/>
                <w:sz w:val="24"/>
                <w:szCs w:val="24"/>
              </w:rPr>
              <w:tab/>
              <w:t>Chapter 3 – Methods and Search Strategy</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_Toc232051198 \h </w:instrText>
            </w:r>
            <w:r w:rsidRPr="00F31C79">
              <w:rPr>
                <w:noProof/>
                <w:webHidden/>
                <w:sz w:val="24"/>
                <w:szCs w:val="24"/>
              </w:rPr>
            </w:r>
            <w:r w:rsidRPr="00F31C79">
              <w:rPr>
                <w:noProof/>
                <w:webHidden/>
                <w:sz w:val="24"/>
                <w:szCs w:val="24"/>
              </w:rPr>
              <w:fldChar w:fldCharType="separate"/>
            </w:r>
            <w:r w:rsidR="0047294B">
              <w:rPr>
                <w:noProof/>
                <w:webHidden/>
                <w:sz w:val="24"/>
                <w:szCs w:val="24"/>
              </w:rPr>
              <w:t>18</w:t>
            </w:r>
            <w:r w:rsidRPr="00F31C79">
              <w:rPr>
                <w:noProof/>
                <w:webHidden/>
                <w:sz w:val="24"/>
                <w:szCs w:val="24"/>
              </w:rPr>
              <w:fldChar w:fldCharType="end"/>
            </w:r>
          </w:hyperlink>
        </w:p>
        <w:p w14:paraId="5778C869" w14:textId="67ACACB6"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199" w:history="1">
            <w:r w:rsidRPr="00F31C79">
              <w:rPr>
                <w:noProof/>
                <w:sz w:val="24"/>
                <w:szCs w:val="24"/>
              </w:rPr>
              <w:t>3.1</w:t>
            </w:r>
            <w:r w:rsidRPr="00F31C79">
              <w:rPr>
                <w:noProof/>
                <w:sz w:val="24"/>
                <w:szCs w:val="24"/>
              </w:rPr>
              <w:tab/>
              <w:t>Introduction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_Toc232051199 \h </w:instrText>
            </w:r>
            <w:r w:rsidRPr="00F31C79">
              <w:rPr>
                <w:noProof/>
                <w:webHidden/>
                <w:sz w:val="24"/>
                <w:szCs w:val="24"/>
              </w:rPr>
            </w:r>
            <w:r w:rsidRPr="00F31C79">
              <w:rPr>
                <w:noProof/>
                <w:webHidden/>
                <w:sz w:val="24"/>
                <w:szCs w:val="24"/>
              </w:rPr>
              <w:fldChar w:fldCharType="separate"/>
            </w:r>
            <w:r w:rsidR="0047294B">
              <w:rPr>
                <w:noProof/>
                <w:webHidden/>
                <w:sz w:val="24"/>
                <w:szCs w:val="24"/>
              </w:rPr>
              <w:t>18</w:t>
            </w:r>
            <w:r w:rsidRPr="00F31C79">
              <w:rPr>
                <w:noProof/>
                <w:webHidden/>
                <w:sz w:val="24"/>
                <w:szCs w:val="24"/>
              </w:rPr>
              <w:fldChar w:fldCharType="end"/>
            </w:r>
          </w:hyperlink>
        </w:p>
        <w:p w14:paraId="4FAD3B10" w14:textId="233E540F"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0" w:history="1">
            <w:r w:rsidRPr="00F31C79">
              <w:rPr>
                <w:noProof/>
                <w:sz w:val="24"/>
                <w:szCs w:val="24"/>
              </w:rPr>
              <w:t>3.2</w:t>
            </w:r>
            <w:r w:rsidRPr="00F31C79">
              <w:rPr>
                <w:noProof/>
                <w:sz w:val="24"/>
                <w:szCs w:val="24"/>
              </w:rPr>
              <w:tab/>
              <w:t>Search Strategy</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_Toc232051200 \h </w:instrText>
            </w:r>
            <w:r w:rsidRPr="00F31C79">
              <w:rPr>
                <w:noProof/>
                <w:webHidden/>
                <w:sz w:val="24"/>
                <w:szCs w:val="24"/>
              </w:rPr>
            </w:r>
            <w:r w:rsidRPr="00F31C79">
              <w:rPr>
                <w:noProof/>
                <w:webHidden/>
                <w:sz w:val="24"/>
                <w:szCs w:val="24"/>
              </w:rPr>
              <w:fldChar w:fldCharType="separate"/>
            </w:r>
            <w:r w:rsidR="0047294B">
              <w:rPr>
                <w:noProof/>
                <w:webHidden/>
                <w:sz w:val="24"/>
                <w:szCs w:val="24"/>
              </w:rPr>
              <w:t>18</w:t>
            </w:r>
            <w:r w:rsidRPr="00F31C79">
              <w:rPr>
                <w:noProof/>
                <w:webHidden/>
                <w:sz w:val="24"/>
                <w:szCs w:val="24"/>
              </w:rPr>
              <w:fldChar w:fldCharType="end"/>
            </w:r>
          </w:hyperlink>
        </w:p>
        <w:p w14:paraId="43BFA343" w14:textId="03617511"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1" w:history="1">
            <w:r w:rsidRPr="00F31C79">
              <w:rPr>
                <w:noProof/>
                <w:sz w:val="24"/>
                <w:szCs w:val="24"/>
              </w:rPr>
              <w:t>3.3</w:t>
            </w:r>
            <w:r w:rsidRPr="00F31C79">
              <w:rPr>
                <w:noProof/>
                <w:sz w:val="24"/>
                <w:szCs w:val="24"/>
              </w:rPr>
              <w:tab/>
              <w:t>Searching for Information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_Toc232051201 \h </w:instrText>
            </w:r>
            <w:r w:rsidRPr="00F31C79">
              <w:rPr>
                <w:noProof/>
                <w:webHidden/>
                <w:sz w:val="24"/>
                <w:szCs w:val="24"/>
              </w:rPr>
            </w:r>
            <w:r w:rsidRPr="00F31C79">
              <w:rPr>
                <w:noProof/>
                <w:webHidden/>
                <w:sz w:val="24"/>
                <w:szCs w:val="24"/>
              </w:rPr>
              <w:fldChar w:fldCharType="separate"/>
            </w:r>
            <w:r w:rsidR="0047294B">
              <w:rPr>
                <w:noProof/>
                <w:webHidden/>
                <w:sz w:val="24"/>
                <w:szCs w:val="24"/>
              </w:rPr>
              <w:t>18</w:t>
            </w:r>
            <w:r w:rsidRPr="00F31C79">
              <w:rPr>
                <w:noProof/>
                <w:webHidden/>
                <w:sz w:val="24"/>
                <w:szCs w:val="24"/>
              </w:rPr>
              <w:fldChar w:fldCharType="end"/>
            </w:r>
          </w:hyperlink>
        </w:p>
        <w:p w14:paraId="29E72200" w14:textId="194B9434"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2" w:history="1">
            <w:r w:rsidRPr="00F31C79">
              <w:rPr>
                <w:noProof/>
                <w:sz w:val="24"/>
                <w:szCs w:val="24"/>
              </w:rPr>
              <w:t>3.4</w:t>
            </w:r>
            <w:r w:rsidRPr="00F31C79">
              <w:rPr>
                <w:noProof/>
                <w:sz w:val="24"/>
                <w:szCs w:val="24"/>
              </w:rPr>
              <w:tab/>
              <w:t>Research Validation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_Toc232051202 \h </w:instrText>
            </w:r>
            <w:r w:rsidRPr="00F31C79">
              <w:rPr>
                <w:noProof/>
                <w:webHidden/>
                <w:sz w:val="24"/>
                <w:szCs w:val="24"/>
              </w:rPr>
            </w:r>
            <w:r w:rsidRPr="00F31C79">
              <w:rPr>
                <w:noProof/>
                <w:webHidden/>
                <w:sz w:val="24"/>
                <w:szCs w:val="24"/>
              </w:rPr>
              <w:fldChar w:fldCharType="separate"/>
            </w:r>
            <w:r w:rsidR="0047294B">
              <w:rPr>
                <w:noProof/>
                <w:webHidden/>
                <w:sz w:val="24"/>
                <w:szCs w:val="24"/>
              </w:rPr>
              <w:t>19</w:t>
            </w:r>
            <w:r w:rsidRPr="00F31C79">
              <w:rPr>
                <w:noProof/>
                <w:webHidden/>
                <w:sz w:val="24"/>
                <w:szCs w:val="24"/>
              </w:rPr>
              <w:fldChar w:fldCharType="end"/>
            </w:r>
          </w:hyperlink>
        </w:p>
        <w:p w14:paraId="2310199E" w14:textId="14067D5A"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3" w:history="1">
            <w:r w:rsidRPr="00F31C79">
              <w:rPr>
                <w:noProof/>
                <w:sz w:val="24"/>
                <w:szCs w:val="24"/>
              </w:rPr>
              <w:t>3.5</w:t>
            </w:r>
            <w:r w:rsidRPr="00F31C79">
              <w:rPr>
                <w:noProof/>
                <w:sz w:val="24"/>
                <w:szCs w:val="24"/>
              </w:rPr>
              <w:tab/>
              <w:t>Inclusion and Exclusion Criteria</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_Toc232051203 \h </w:instrText>
            </w:r>
            <w:r w:rsidRPr="00F31C79">
              <w:rPr>
                <w:noProof/>
                <w:webHidden/>
                <w:sz w:val="24"/>
                <w:szCs w:val="24"/>
              </w:rPr>
            </w:r>
            <w:r w:rsidRPr="00F31C79">
              <w:rPr>
                <w:noProof/>
                <w:webHidden/>
                <w:sz w:val="24"/>
                <w:szCs w:val="24"/>
              </w:rPr>
              <w:fldChar w:fldCharType="separate"/>
            </w:r>
            <w:r w:rsidR="0047294B">
              <w:rPr>
                <w:noProof/>
                <w:webHidden/>
                <w:sz w:val="24"/>
                <w:szCs w:val="24"/>
              </w:rPr>
              <w:t>19</w:t>
            </w:r>
            <w:r w:rsidRPr="00F31C79">
              <w:rPr>
                <w:noProof/>
                <w:webHidden/>
                <w:sz w:val="24"/>
                <w:szCs w:val="24"/>
              </w:rPr>
              <w:fldChar w:fldCharType="end"/>
            </w:r>
          </w:hyperlink>
        </w:p>
        <w:p w14:paraId="3BB37E0B" w14:textId="2117509E"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4" w:history="1">
            <w:r w:rsidRPr="00F31C79">
              <w:rPr>
                <w:noProof/>
                <w:sz w:val="24"/>
                <w:szCs w:val="24"/>
              </w:rPr>
              <w:t>3.6</w:t>
            </w:r>
            <w:r w:rsidRPr="00F31C79">
              <w:rPr>
                <w:noProof/>
                <w:sz w:val="24"/>
                <w:szCs w:val="24"/>
              </w:rPr>
              <w:tab/>
              <w:t>Analysing Research</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_Toc232051204 \h </w:instrText>
            </w:r>
            <w:r w:rsidRPr="00F31C79">
              <w:rPr>
                <w:noProof/>
                <w:webHidden/>
                <w:sz w:val="24"/>
                <w:szCs w:val="24"/>
              </w:rPr>
            </w:r>
            <w:r w:rsidRPr="00F31C79">
              <w:rPr>
                <w:noProof/>
                <w:webHidden/>
                <w:sz w:val="24"/>
                <w:szCs w:val="24"/>
              </w:rPr>
              <w:fldChar w:fldCharType="separate"/>
            </w:r>
            <w:r w:rsidR="0047294B">
              <w:rPr>
                <w:noProof/>
                <w:webHidden/>
                <w:sz w:val="24"/>
                <w:szCs w:val="24"/>
              </w:rPr>
              <w:t>19</w:t>
            </w:r>
            <w:r w:rsidRPr="00F31C79">
              <w:rPr>
                <w:noProof/>
                <w:webHidden/>
                <w:sz w:val="24"/>
                <w:szCs w:val="24"/>
              </w:rPr>
              <w:fldChar w:fldCharType="end"/>
            </w:r>
          </w:hyperlink>
        </w:p>
        <w:p w14:paraId="6FF735F3" w14:textId="434D21A5"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5" w:history="1">
            <w:r w:rsidRPr="00F31C79">
              <w:rPr>
                <w:noProof/>
                <w:sz w:val="24"/>
                <w:szCs w:val="24"/>
              </w:rPr>
              <w:t>3.7</w:t>
            </w:r>
            <w:r w:rsidRPr="00F31C79">
              <w:rPr>
                <w:noProof/>
                <w:sz w:val="24"/>
                <w:szCs w:val="24"/>
              </w:rPr>
              <w:tab/>
              <w:t>Ethical Considerations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_Toc232051205 \h </w:instrText>
            </w:r>
            <w:r w:rsidRPr="00F31C79">
              <w:rPr>
                <w:noProof/>
                <w:webHidden/>
                <w:sz w:val="24"/>
                <w:szCs w:val="24"/>
              </w:rPr>
            </w:r>
            <w:r w:rsidRPr="00F31C79">
              <w:rPr>
                <w:noProof/>
                <w:webHidden/>
                <w:sz w:val="24"/>
                <w:szCs w:val="24"/>
              </w:rPr>
              <w:fldChar w:fldCharType="separate"/>
            </w:r>
            <w:r w:rsidR="0047294B">
              <w:rPr>
                <w:noProof/>
                <w:webHidden/>
                <w:sz w:val="24"/>
                <w:szCs w:val="24"/>
              </w:rPr>
              <w:t>20</w:t>
            </w:r>
            <w:r w:rsidRPr="00F31C79">
              <w:rPr>
                <w:noProof/>
                <w:webHidden/>
                <w:sz w:val="24"/>
                <w:szCs w:val="24"/>
              </w:rPr>
              <w:fldChar w:fldCharType="end"/>
            </w:r>
          </w:hyperlink>
        </w:p>
        <w:p w14:paraId="79DD8FD4" w14:textId="734A1D6E"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6" w:history="1">
            <w:r w:rsidRPr="00F31C79">
              <w:rPr>
                <w:noProof/>
                <w:sz w:val="24"/>
                <w:szCs w:val="24"/>
              </w:rPr>
              <w:t>3.8</w:t>
            </w:r>
            <w:r w:rsidRPr="00F31C79">
              <w:rPr>
                <w:noProof/>
                <w:sz w:val="24"/>
                <w:szCs w:val="24"/>
              </w:rPr>
              <w:tab/>
              <w:t>Chapter Conclusion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_Toc232051206 \h </w:instrText>
            </w:r>
            <w:r w:rsidRPr="00F31C79">
              <w:rPr>
                <w:noProof/>
                <w:webHidden/>
                <w:sz w:val="24"/>
                <w:szCs w:val="24"/>
              </w:rPr>
            </w:r>
            <w:r w:rsidRPr="00F31C79">
              <w:rPr>
                <w:noProof/>
                <w:webHidden/>
                <w:sz w:val="24"/>
                <w:szCs w:val="24"/>
              </w:rPr>
              <w:fldChar w:fldCharType="separate"/>
            </w:r>
            <w:r w:rsidR="0047294B">
              <w:rPr>
                <w:noProof/>
                <w:webHidden/>
                <w:sz w:val="24"/>
                <w:szCs w:val="24"/>
              </w:rPr>
              <w:t>20</w:t>
            </w:r>
            <w:r w:rsidRPr="00F31C79">
              <w:rPr>
                <w:noProof/>
                <w:webHidden/>
                <w:sz w:val="24"/>
                <w:szCs w:val="24"/>
              </w:rPr>
              <w:fldChar w:fldCharType="end"/>
            </w:r>
          </w:hyperlink>
        </w:p>
        <w:p w14:paraId="43E3AF3A" w14:textId="324CD641" w:rsidR="008F7652" w:rsidRPr="00F31C79" w:rsidRDefault="008F7652" w:rsidP="00F31C79">
          <w:pPr>
            <w:pStyle w:val="TOC1"/>
            <w:spacing w:after="240" w:line="240" w:lineRule="auto"/>
            <w:rPr>
              <w:noProof/>
              <w:sz w:val="24"/>
              <w:szCs w:val="24"/>
            </w:rPr>
          </w:pPr>
          <w:hyperlink w:anchor="_Toc232051207" w:history="1">
            <w:r w:rsidRPr="00F31C79">
              <w:rPr>
                <w:noProof/>
                <w:sz w:val="24"/>
                <w:szCs w:val="24"/>
              </w:rPr>
              <w:t>4.</w:t>
            </w:r>
            <w:r w:rsidRPr="00F31C79">
              <w:rPr>
                <w:noProof/>
                <w:sz w:val="24"/>
                <w:szCs w:val="24"/>
              </w:rPr>
              <w:tab/>
              <w:t>Chapter 4 – Findings and Discussion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_Toc232051207 \h </w:instrText>
            </w:r>
            <w:r w:rsidRPr="00F31C79">
              <w:rPr>
                <w:noProof/>
                <w:webHidden/>
                <w:sz w:val="24"/>
                <w:szCs w:val="24"/>
              </w:rPr>
            </w:r>
            <w:r w:rsidRPr="00F31C79">
              <w:rPr>
                <w:noProof/>
                <w:webHidden/>
                <w:sz w:val="24"/>
                <w:szCs w:val="24"/>
              </w:rPr>
              <w:fldChar w:fldCharType="separate"/>
            </w:r>
            <w:r w:rsidR="0047294B">
              <w:rPr>
                <w:noProof/>
                <w:webHidden/>
                <w:sz w:val="24"/>
                <w:szCs w:val="24"/>
              </w:rPr>
              <w:t>21</w:t>
            </w:r>
            <w:r w:rsidRPr="00F31C79">
              <w:rPr>
                <w:noProof/>
                <w:webHidden/>
                <w:sz w:val="24"/>
                <w:szCs w:val="24"/>
              </w:rPr>
              <w:fldChar w:fldCharType="end"/>
            </w:r>
          </w:hyperlink>
        </w:p>
        <w:p w14:paraId="10C61D9D" w14:textId="2F039555"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8" w:history="1">
            <w:r w:rsidRPr="00F31C79">
              <w:rPr>
                <w:noProof/>
                <w:sz w:val="24"/>
                <w:szCs w:val="24"/>
              </w:rPr>
              <w:t>4.1</w:t>
            </w:r>
            <w:r w:rsidRPr="00F31C79">
              <w:rPr>
                <w:noProof/>
                <w:sz w:val="24"/>
                <w:szCs w:val="24"/>
              </w:rPr>
              <w:tab/>
              <w:t>Introduction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_Toc232051208 \h </w:instrText>
            </w:r>
            <w:r w:rsidRPr="00F31C79">
              <w:rPr>
                <w:noProof/>
                <w:webHidden/>
                <w:sz w:val="24"/>
                <w:szCs w:val="24"/>
              </w:rPr>
            </w:r>
            <w:r w:rsidRPr="00F31C79">
              <w:rPr>
                <w:noProof/>
                <w:webHidden/>
                <w:sz w:val="24"/>
                <w:szCs w:val="24"/>
              </w:rPr>
              <w:fldChar w:fldCharType="separate"/>
            </w:r>
            <w:r w:rsidR="0047294B">
              <w:rPr>
                <w:noProof/>
                <w:webHidden/>
                <w:sz w:val="24"/>
                <w:szCs w:val="24"/>
              </w:rPr>
              <w:t>21</w:t>
            </w:r>
            <w:r w:rsidRPr="00F31C79">
              <w:rPr>
                <w:noProof/>
                <w:webHidden/>
                <w:sz w:val="24"/>
                <w:szCs w:val="24"/>
              </w:rPr>
              <w:fldChar w:fldCharType="end"/>
            </w:r>
          </w:hyperlink>
        </w:p>
        <w:p w14:paraId="1B6AC5D6" w14:textId="7630460D"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09" w:history="1">
            <w:r w:rsidRPr="00F31C79">
              <w:rPr>
                <w:noProof/>
                <w:sz w:val="24"/>
                <w:szCs w:val="24"/>
              </w:rPr>
              <w:t>4.2</w:t>
            </w:r>
            <w:r w:rsidRPr="00F31C79">
              <w:rPr>
                <w:noProof/>
                <w:sz w:val="24"/>
                <w:szCs w:val="24"/>
              </w:rPr>
              <w:tab/>
              <w:t>Thematic Analysis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_Toc232051209 \h </w:instrText>
            </w:r>
            <w:r w:rsidRPr="00F31C79">
              <w:rPr>
                <w:noProof/>
                <w:webHidden/>
                <w:sz w:val="24"/>
                <w:szCs w:val="24"/>
              </w:rPr>
            </w:r>
            <w:r w:rsidRPr="00F31C79">
              <w:rPr>
                <w:noProof/>
                <w:webHidden/>
                <w:sz w:val="24"/>
                <w:szCs w:val="24"/>
              </w:rPr>
              <w:fldChar w:fldCharType="separate"/>
            </w:r>
            <w:r w:rsidR="0047294B">
              <w:rPr>
                <w:noProof/>
                <w:webHidden/>
                <w:sz w:val="24"/>
                <w:szCs w:val="24"/>
              </w:rPr>
              <w:t>21</w:t>
            </w:r>
            <w:r w:rsidRPr="00F31C79">
              <w:rPr>
                <w:noProof/>
                <w:webHidden/>
                <w:sz w:val="24"/>
                <w:szCs w:val="24"/>
              </w:rPr>
              <w:fldChar w:fldCharType="end"/>
            </w:r>
          </w:hyperlink>
        </w:p>
        <w:p w14:paraId="6A346640" w14:textId="511F35D8"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10" w:history="1">
            <w:r w:rsidRPr="00F31C79">
              <w:rPr>
                <w:noProof/>
                <w:sz w:val="24"/>
                <w:szCs w:val="24"/>
              </w:rPr>
              <w:t>4.3</w:t>
            </w:r>
            <w:r w:rsidRPr="00F31C79">
              <w:rPr>
                <w:noProof/>
                <w:sz w:val="24"/>
                <w:szCs w:val="24"/>
              </w:rPr>
              <w:tab/>
              <w:t>Theme 1 Language Barriers, Communication Difficulties and Patient Safety</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_Toc232051210 \h </w:instrText>
            </w:r>
            <w:r w:rsidRPr="00F31C79">
              <w:rPr>
                <w:noProof/>
                <w:webHidden/>
                <w:sz w:val="24"/>
                <w:szCs w:val="24"/>
              </w:rPr>
            </w:r>
            <w:r w:rsidRPr="00F31C79">
              <w:rPr>
                <w:noProof/>
                <w:webHidden/>
                <w:sz w:val="24"/>
                <w:szCs w:val="24"/>
              </w:rPr>
              <w:fldChar w:fldCharType="separate"/>
            </w:r>
            <w:r w:rsidR="0047294B">
              <w:rPr>
                <w:noProof/>
                <w:webHidden/>
                <w:sz w:val="24"/>
                <w:szCs w:val="24"/>
              </w:rPr>
              <w:t>21</w:t>
            </w:r>
            <w:r w:rsidRPr="00F31C79">
              <w:rPr>
                <w:noProof/>
                <w:webHidden/>
                <w:sz w:val="24"/>
                <w:szCs w:val="24"/>
              </w:rPr>
              <w:fldChar w:fldCharType="end"/>
            </w:r>
          </w:hyperlink>
        </w:p>
        <w:p w14:paraId="77439856" w14:textId="7871B21E"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11" w:history="1">
            <w:r w:rsidRPr="00F31C79">
              <w:rPr>
                <w:noProof/>
                <w:sz w:val="24"/>
                <w:szCs w:val="24"/>
              </w:rPr>
              <w:t>4.4</w:t>
            </w:r>
            <w:r w:rsidRPr="00F31C79">
              <w:rPr>
                <w:noProof/>
                <w:sz w:val="24"/>
                <w:szCs w:val="24"/>
              </w:rPr>
              <w:tab/>
              <w:t>Theme 2: Cultural Beliefs, Health Literacy and Mistrust of Healthcare Services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_Toc232051211 \h </w:instrText>
            </w:r>
            <w:r w:rsidRPr="00F31C79">
              <w:rPr>
                <w:noProof/>
                <w:webHidden/>
                <w:sz w:val="24"/>
                <w:szCs w:val="24"/>
              </w:rPr>
            </w:r>
            <w:r w:rsidRPr="00F31C79">
              <w:rPr>
                <w:noProof/>
                <w:webHidden/>
                <w:sz w:val="24"/>
                <w:szCs w:val="24"/>
              </w:rPr>
              <w:fldChar w:fldCharType="separate"/>
            </w:r>
            <w:r w:rsidR="0047294B">
              <w:rPr>
                <w:noProof/>
                <w:webHidden/>
                <w:sz w:val="24"/>
                <w:szCs w:val="24"/>
              </w:rPr>
              <w:t>24</w:t>
            </w:r>
            <w:r w:rsidRPr="00F31C79">
              <w:rPr>
                <w:noProof/>
                <w:webHidden/>
                <w:sz w:val="24"/>
                <w:szCs w:val="24"/>
              </w:rPr>
              <w:fldChar w:fldCharType="end"/>
            </w:r>
          </w:hyperlink>
        </w:p>
        <w:p w14:paraId="77381B71" w14:textId="56E693C8"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12" w:history="1">
            <w:r w:rsidRPr="00F31C79">
              <w:rPr>
                <w:noProof/>
                <w:sz w:val="24"/>
                <w:szCs w:val="24"/>
              </w:rPr>
              <w:t>4.5</w:t>
            </w:r>
            <w:r w:rsidRPr="00F31C79">
              <w:rPr>
                <w:noProof/>
                <w:sz w:val="24"/>
                <w:szCs w:val="24"/>
              </w:rPr>
              <w:tab/>
              <w:t>Theme 3: Discrimination, Policy Gaps and Culturally Responsive Care</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_Toc232051212 \h </w:instrText>
            </w:r>
            <w:r w:rsidRPr="00F31C79">
              <w:rPr>
                <w:noProof/>
                <w:webHidden/>
                <w:sz w:val="24"/>
                <w:szCs w:val="24"/>
              </w:rPr>
            </w:r>
            <w:r w:rsidRPr="00F31C79">
              <w:rPr>
                <w:noProof/>
                <w:webHidden/>
                <w:sz w:val="24"/>
                <w:szCs w:val="24"/>
              </w:rPr>
              <w:fldChar w:fldCharType="separate"/>
            </w:r>
            <w:r w:rsidR="0047294B">
              <w:rPr>
                <w:noProof/>
                <w:webHidden/>
                <w:sz w:val="24"/>
                <w:szCs w:val="24"/>
              </w:rPr>
              <w:t>26</w:t>
            </w:r>
            <w:r w:rsidRPr="00F31C79">
              <w:rPr>
                <w:noProof/>
                <w:webHidden/>
                <w:sz w:val="24"/>
                <w:szCs w:val="24"/>
              </w:rPr>
              <w:fldChar w:fldCharType="end"/>
            </w:r>
          </w:hyperlink>
        </w:p>
        <w:p w14:paraId="3E81B629" w14:textId="7B220400"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13" w:history="1">
            <w:r w:rsidRPr="00F31C79">
              <w:rPr>
                <w:noProof/>
                <w:sz w:val="24"/>
                <w:szCs w:val="24"/>
              </w:rPr>
              <w:t>4.6</w:t>
            </w:r>
            <w:r w:rsidRPr="00F31C79">
              <w:rPr>
                <w:noProof/>
                <w:sz w:val="24"/>
                <w:szCs w:val="24"/>
              </w:rPr>
              <w:tab/>
              <w:t>Chapter Conclusion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_Toc232051213 \h </w:instrText>
            </w:r>
            <w:r w:rsidRPr="00F31C79">
              <w:rPr>
                <w:noProof/>
                <w:webHidden/>
                <w:sz w:val="24"/>
                <w:szCs w:val="24"/>
              </w:rPr>
            </w:r>
            <w:r w:rsidRPr="00F31C79">
              <w:rPr>
                <w:noProof/>
                <w:webHidden/>
                <w:sz w:val="24"/>
                <w:szCs w:val="24"/>
              </w:rPr>
              <w:fldChar w:fldCharType="separate"/>
            </w:r>
            <w:r w:rsidR="0047294B">
              <w:rPr>
                <w:noProof/>
                <w:webHidden/>
                <w:sz w:val="24"/>
                <w:szCs w:val="24"/>
              </w:rPr>
              <w:t>29</w:t>
            </w:r>
            <w:r w:rsidRPr="00F31C79">
              <w:rPr>
                <w:noProof/>
                <w:webHidden/>
                <w:sz w:val="24"/>
                <w:szCs w:val="24"/>
              </w:rPr>
              <w:fldChar w:fldCharType="end"/>
            </w:r>
          </w:hyperlink>
        </w:p>
        <w:p w14:paraId="11362355" w14:textId="20324633" w:rsidR="008F7652" w:rsidRPr="00F31C79" w:rsidRDefault="008F7652" w:rsidP="00F31C79">
          <w:pPr>
            <w:pStyle w:val="TOC1"/>
            <w:spacing w:after="240" w:line="240" w:lineRule="auto"/>
            <w:rPr>
              <w:noProof/>
              <w:sz w:val="24"/>
              <w:szCs w:val="24"/>
            </w:rPr>
          </w:pPr>
          <w:hyperlink w:anchor="_Toc232051214" w:history="1">
            <w:r w:rsidRPr="00F31C79">
              <w:rPr>
                <w:noProof/>
                <w:sz w:val="24"/>
                <w:szCs w:val="24"/>
              </w:rPr>
              <w:t>5.</w:t>
            </w:r>
            <w:r w:rsidRPr="00F31C79">
              <w:rPr>
                <w:noProof/>
                <w:sz w:val="24"/>
                <w:szCs w:val="24"/>
              </w:rPr>
              <w:tab/>
              <w:t>Chapter 5 – Conclusion and Recommendations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_Toc232051214 \h </w:instrText>
            </w:r>
            <w:r w:rsidRPr="00F31C79">
              <w:rPr>
                <w:noProof/>
                <w:webHidden/>
                <w:sz w:val="24"/>
                <w:szCs w:val="24"/>
              </w:rPr>
            </w:r>
            <w:r w:rsidRPr="00F31C79">
              <w:rPr>
                <w:noProof/>
                <w:webHidden/>
                <w:sz w:val="24"/>
                <w:szCs w:val="24"/>
              </w:rPr>
              <w:fldChar w:fldCharType="separate"/>
            </w:r>
            <w:r w:rsidR="0047294B">
              <w:rPr>
                <w:noProof/>
                <w:webHidden/>
                <w:sz w:val="24"/>
                <w:szCs w:val="24"/>
              </w:rPr>
              <w:t>31</w:t>
            </w:r>
            <w:r w:rsidRPr="00F31C79">
              <w:rPr>
                <w:noProof/>
                <w:webHidden/>
                <w:sz w:val="24"/>
                <w:szCs w:val="24"/>
              </w:rPr>
              <w:fldChar w:fldCharType="end"/>
            </w:r>
          </w:hyperlink>
        </w:p>
        <w:p w14:paraId="64F61E96" w14:textId="1714F59D"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15" w:history="1">
            <w:r w:rsidRPr="00F31C79">
              <w:rPr>
                <w:noProof/>
                <w:sz w:val="24"/>
                <w:szCs w:val="24"/>
              </w:rPr>
              <w:t>5.1</w:t>
            </w:r>
            <w:r w:rsidRPr="00F31C79">
              <w:rPr>
                <w:noProof/>
                <w:sz w:val="24"/>
                <w:szCs w:val="24"/>
              </w:rPr>
              <w:tab/>
              <w:t>Overall Conclusion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_Toc232051215 \h </w:instrText>
            </w:r>
            <w:r w:rsidRPr="00F31C79">
              <w:rPr>
                <w:noProof/>
                <w:webHidden/>
                <w:sz w:val="24"/>
                <w:szCs w:val="24"/>
              </w:rPr>
            </w:r>
            <w:r w:rsidRPr="00F31C79">
              <w:rPr>
                <w:noProof/>
                <w:webHidden/>
                <w:sz w:val="24"/>
                <w:szCs w:val="24"/>
              </w:rPr>
              <w:fldChar w:fldCharType="separate"/>
            </w:r>
            <w:r w:rsidR="0047294B">
              <w:rPr>
                <w:noProof/>
                <w:webHidden/>
                <w:sz w:val="24"/>
                <w:szCs w:val="24"/>
              </w:rPr>
              <w:t>31</w:t>
            </w:r>
            <w:r w:rsidRPr="00F31C79">
              <w:rPr>
                <w:noProof/>
                <w:webHidden/>
                <w:sz w:val="24"/>
                <w:szCs w:val="24"/>
              </w:rPr>
              <w:fldChar w:fldCharType="end"/>
            </w:r>
          </w:hyperlink>
        </w:p>
        <w:p w14:paraId="51004EDC" w14:textId="3D37AB5F" w:rsidR="008F7652" w:rsidRPr="00F31C79" w:rsidRDefault="008F7652" w:rsidP="00F31C79">
          <w:pPr>
            <w:pStyle w:val="TOC2"/>
            <w:tabs>
              <w:tab w:val="left" w:pos="960"/>
              <w:tab w:val="right" w:leader="dot" w:pos="9016"/>
            </w:tabs>
            <w:spacing w:before="240" w:after="240" w:line="240" w:lineRule="auto"/>
            <w:rPr>
              <w:noProof/>
              <w:sz w:val="24"/>
              <w:szCs w:val="24"/>
            </w:rPr>
          </w:pPr>
          <w:hyperlink w:anchor="_Toc232051216" w:history="1">
            <w:r w:rsidRPr="00F31C79">
              <w:rPr>
                <w:noProof/>
                <w:sz w:val="24"/>
                <w:szCs w:val="24"/>
              </w:rPr>
              <w:t>5.2</w:t>
            </w:r>
            <w:r w:rsidRPr="00F31C79">
              <w:rPr>
                <w:noProof/>
                <w:sz w:val="24"/>
                <w:szCs w:val="24"/>
              </w:rPr>
              <w:tab/>
              <w:t>Recommendations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_Toc232051216 \h </w:instrText>
            </w:r>
            <w:r w:rsidRPr="00F31C79">
              <w:rPr>
                <w:noProof/>
                <w:webHidden/>
                <w:sz w:val="24"/>
                <w:szCs w:val="24"/>
              </w:rPr>
            </w:r>
            <w:r w:rsidRPr="00F31C79">
              <w:rPr>
                <w:noProof/>
                <w:webHidden/>
                <w:sz w:val="24"/>
                <w:szCs w:val="24"/>
              </w:rPr>
              <w:fldChar w:fldCharType="separate"/>
            </w:r>
            <w:r w:rsidR="0047294B">
              <w:rPr>
                <w:noProof/>
                <w:webHidden/>
                <w:sz w:val="24"/>
                <w:szCs w:val="24"/>
              </w:rPr>
              <w:t>31</w:t>
            </w:r>
            <w:r w:rsidRPr="00F31C79">
              <w:rPr>
                <w:noProof/>
                <w:webHidden/>
                <w:sz w:val="24"/>
                <w:szCs w:val="24"/>
              </w:rPr>
              <w:fldChar w:fldCharType="end"/>
            </w:r>
          </w:hyperlink>
        </w:p>
        <w:p w14:paraId="13DE3D1E" w14:textId="3804310D" w:rsidR="008F7652" w:rsidRPr="00F31C79" w:rsidRDefault="008F7652" w:rsidP="00F31C79">
          <w:pPr>
            <w:pStyle w:val="TOC3"/>
            <w:tabs>
              <w:tab w:val="left" w:pos="1200"/>
              <w:tab w:val="right" w:leader="dot" w:pos="9016"/>
            </w:tabs>
            <w:spacing w:before="240" w:after="240" w:line="240" w:lineRule="auto"/>
            <w:rPr>
              <w:noProof/>
              <w:sz w:val="24"/>
              <w:szCs w:val="24"/>
            </w:rPr>
          </w:pPr>
          <w:hyperlink w:anchor="_Toc232051217" w:history="1">
            <w:r w:rsidRPr="00F31C79">
              <w:rPr>
                <w:noProof/>
                <w:sz w:val="24"/>
                <w:szCs w:val="24"/>
              </w:rPr>
              <w:t>5.2.1</w:t>
            </w:r>
            <w:r w:rsidRPr="00F31C79">
              <w:rPr>
                <w:noProof/>
                <w:sz w:val="24"/>
                <w:szCs w:val="24"/>
              </w:rPr>
              <w:tab/>
              <w:t>Strengthen Professional Interpreting and Translated NHS Communication</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_Toc232051217 \h </w:instrText>
            </w:r>
            <w:r w:rsidRPr="00F31C79">
              <w:rPr>
                <w:noProof/>
                <w:webHidden/>
                <w:sz w:val="24"/>
                <w:szCs w:val="24"/>
              </w:rPr>
            </w:r>
            <w:r w:rsidRPr="00F31C79">
              <w:rPr>
                <w:noProof/>
                <w:webHidden/>
                <w:sz w:val="24"/>
                <w:szCs w:val="24"/>
              </w:rPr>
              <w:fldChar w:fldCharType="separate"/>
            </w:r>
            <w:r w:rsidR="0047294B">
              <w:rPr>
                <w:noProof/>
                <w:webHidden/>
                <w:sz w:val="24"/>
                <w:szCs w:val="24"/>
              </w:rPr>
              <w:t>31</w:t>
            </w:r>
            <w:r w:rsidRPr="00F31C79">
              <w:rPr>
                <w:noProof/>
                <w:webHidden/>
                <w:sz w:val="24"/>
                <w:szCs w:val="24"/>
              </w:rPr>
              <w:fldChar w:fldCharType="end"/>
            </w:r>
          </w:hyperlink>
        </w:p>
        <w:p w14:paraId="4FDB70A7" w14:textId="40B883B9" w:rsidR="008F7652" w:rsidRPr="00F31C79" w:rsidRDefault="008F7652" w:rsidP="00F31C79">
          <w:pPr>
            <w:pStyle w:val="TOC3"/>
            <w:tabs>
              <w:tab w:val="left" w:pos="1200"/>
              <w:tab w:val="right" w:leader="dot" w:pos="9016"/>
            </w:tabs>
            <w:spacing w:before="240" w:after="240" w:line="240" w:lineRule="auto"/>
            <w:rPr>
              <w:noProof/>
              <w:sz w:val="24"/>
              <w:szCs w:val="24"/>
            </w:rPr>
          </w:pPr>
          <w:hyperlink w:anchor="_Toc232051218" w:history="1">
            <w:r w:rsidRPr="00F31C79">
              <w:rPr>
                <w:noProof/>
                <w:sz w:val="24"/>
                <w:szCs w:val="24"/>
              </w:rPr>
              <w:t>5.2.2</w:t>
            </w:r>
            <w:r w:rsidRPr="00F31C79">
              <w:rPr>
                <w:noProof/>
                <w:sz w:val="24"/>
                <w:szCs w:val="24"/>
              </w:rPr>
              <w:tab/>
              <w:t>Develop Culturally Appropriate Health Literacy and Community Outreach Programmes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_Toc232051218 \h </w:instrText>
            </w:r>
            <w:r w:rsidRPr="00F31C79">
              <w:rPr>
                <w:noProof/>
                <w:webHidden/>
                <w:sz w:val="24"/>
                <w:szCs w:val="24"/>
              </w:rPr>
            </w:r>
            <w:r w:rsidRPr="00F31C79">
              <w:rPr>
                <w:noProof/>
                <w:webHidden/>
                <w:sz w:val="24"/>
                <w:szCs w:val="24"/>
              </w:rPr>
              <w:fldChar w:fldCharType="separate"/>
            </w:r>
            <w:r w:rsidR="0047294B">
              <w:rPr>
                <w:noProof/>
                <w:webHidden/>
                <w:sz w:val="24"/>
                <w:szCs w:val="24"/>
              </w:rPr>
              <w:t>32</w:t>
            </w:r>
            <w:r w:rsidRPr="00F31C79">
              <w:rPr>
                <w:noProof/>
                <w:webHidden/>
                <w:sz w:val="24"/>
                <w:szCs w:val="24"/>
              </w:rPr>
              <w:fldChar w:fldCharType="end"/>
            </w:r>
          </w:hyperlink>
        </w:p>
        <w:p w14:paraId="307D9ED2" w14:textId="44340B8B" w:rsidR="008F7652" w:rsidRPr="00F31C79" w:rsidRDefault="008F7652" w:rsidP="00F31C79">
          <w:pPr>
            <w:pStyle w:val="TOC3"/>
            <w:tabs>
              <w:tab w:val="left" w:pos="1200"/>
              <w:tab w:val="right" w:leader="dot" w:pos="9016"/>
            </w:tabs>
            <w:spacing w:before="240" w:after="240" w:line="240" w:lineRule="auto"/>
            <w:rPr>
              <w:noProof/>
              <w:sz w:val="24"/>
              <w:szCs w:val="24"/>
            </w:rPr>
          </w:pPr>
          <w:hyperlink w:anchor="_Toc232051219" w:history="1">
            <w:r w:rsidRPr="00F31C79">
              <w:rPr>
                <w:noProof/>
                <w:sz w:val="24"/>
                <w:szCs w:val="24"/>
              </w:rPr>
              <w:t>5.2.3</w:t>
            </w:r>
            <w:r w:rsidRPr="00F31C79">
              <w:rPr>
                <w:noProof/>
                <w:sz w:val="24"/>
                <w:szCs w:val="24"/>
              </w:rPr>
              <w:tab/>
              <w:t>Embed Anti-Racist and Culturally Responsive Practice into NHS Accountability</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_Toc232051219 \h </w:instrText>
            </w:r>
            <w:r w:rsidRPr="00F31C79">
              <w:rPr>
                <w:noProof/>
                <w:webHidden/>
                <w:sz w:val="24"/>
                <w:szCs w:val="24"/>
              </w:rPr>
            </w:r>
            <w:r w:rsidRPr="00F31C79">
              <w:rPr>
                <w:noProof/>
                <w:webHidden/>
                <w:sz w:val="24"/>
                <w:szCs w:val="24"/>
              </w:rPr>
              <w:fldChar w:fldCharType="separate"/>
            </w:r>
            <w:r w:rsidR="0047294B">
              <w:rPr>
                <w:noProof/>
                <w:webHidden/>
                <w:sz w:val="24"/>
                <w:szCs w:val="24"/>
              </w:rPr>
              <w:t>32</w:t>
            </w:r>
            <w:r w:rsidRPr="00F31C79">
              <w:rPr>
                <w:noProof/>
                <w:webHidden/>
                <w:sz w:val="24"/>
                <w:szCs w:val="24"/>
              </w:rPr>
              <w:fldChar w:fldCharType="end"/>
            </w:r>
          </w:hyperlink>
        </w:p>
        <w:p w14:paraId="5E42A432" w14:textId="218D9741" w:rsidR="008F7652" w:rsidRPr="00F31C79" w:rsidRDefault="008F7652" w:rsidP="00F31C79">
          <w:pPr>
            <w:pStyle w:val="TOC1"/>
            <w:spacing w:after="240" w:line="240" w:lineRule="auto"/>
            <w:rPr>
              <w:noProof/>
              <w:sz w:val="24"/>
              <w:szCs w:val="24"/>
            </w:rPr>
          </w:pPr>
          <w:hyperlink w:anchor="_Toc232051220" w:history="1">
            <w:r w:rsidRPr="00F31C79">
              <w:rPr>
                <w:noProof/>
                <w:sz w:val="24"/>
                <w:szCs w:val="24"/>
              </w:rPr>
              <w:t>6.</w:t>
            </w:r>
            <w:r w:rsidRPr="00F31C79">
              <w:rPr>
                <w:noProof/>
                <w:sz w:val="24"/>
                <w:szCs w:val="24"/>
              </w:rPr>
              <w:tab/>
              <w:t>Chapter 6 – References</w:t>
            </w:r>
            <w:r w:rsidRPr="00F31C79">
              <w:rPr>
                <w:noProof/>
                <w:webHidden/>
                <w:sz w:val="24"/>
                <w:szCs w:val="24"/>
              </w:rPr>
              <w:tab/>
            </w:r>
            <w:r w:rsidRPr="00F31C79">
              <w:rPr>
                <w:noProof/>
                <w:webHidden/>
                <w:sz w:val="24"/>
                <w:szCs w:val="24"/>
              </w:rPr>
              <w:fldChar w:fldCharType="begin"/>
            </w:r>
            <w:r w:rsidRPr="00F31C79">
              <w:rPr>
                <w:noProof/>
                <w:webHidden/>
                <w:sz w:val="24"/>
                <w:szCs w:val="24"/>
              </w:rPr>
              <w:instrText xml:space="preserve"> PAGEREF _Toc232051220 \h </w:instrText>
            </w:r>
            <w:r w:rsidRPr="00F31C79">
              <w:rPr>
                <w:noProof/>
                <w:webHidden/>
                <w:sz w:val="24"/>
                <w:szCs w:val="24"/>
              </w:rPr>
            </w:r>
            <w:r w:rsidRPr="00F31C79">
              <w:rPr>
                <w:noProof/>
                <w:webHidden/>
                <w:sz w:val="24"/>
                <w:szCs w:val="24"/>
              </w:rPr>
              <w:fldChar w:fldCharType="separate"/>
            </w:r>
            <w:r w:rsidR="0047294B">
              <w:rPr>
                <w:noProof/>
                <w:webHidden/>
                <w:sz w:val="24"/>
                <w:szCs w:val="24"/>
              </w:rPr>
              <w:t>34</w:t>
            </w:r>
            <w:r w:rsidRPr="00F31C79">
              <w:rPr>
                <w:noProof/>
                <w:webHidden/>
                <w:sz w:val="24"/>
                <w:szCs w:val="24"/>
              </w:rPr>
              <w:fldChar w:fldCharType="end"/>
            </w:r>
          </w:hyperlink>
        </w:p>
        <w:p w14:paraId="5D0C8F49" w14:textId="77777777" w:rsidR="00542769" w:rsidRPr="00F31C79" w:rsidRDefault="00B37C80" w:rsidP="00F31C79">
          <w:pPr>
            <w:spacing w:before="240" w:line="240" w:lineRule="auto"/>
            <w:jc w:val="center"/>
            <w:rPr>
              <w:sz w:val="24"/>
              <w:szCs w:val="24"/>
            </w:rPr>
          </w:pPr>
          <w:r w:rsidRPr="00F31C79">
            <w:rPr>
              <w:sz w:val="24"/>
              <w:szCs w:val="24"/>
            </w:rPr>
            <w:fldChar w:fldCharType="end"/>
          </w:r>
        </w:p>
        <w:p w14:paraId="7FFC4629" w14:textId="77777777" w:rsidR="00542769" w:rsidRPr="00F31C79" w:rsidRDefault="00542769" w:rsidP="00F31C79">
          <w:pPr>
            <w:spacing w:before="240" w:line="240" w:lineRule="auto"/>
            <w:jc w:val="center"/>
            <w:rPr>
              <w:sz w:val="24"/>
              <w:szCs w:val="24"/>
            </w:rPr>
          </w:pPr>
        </w:p>
        <w:p w14:paraId="3D94CB3A" w14:textId="77777777" w:rsidR="00542769" w:rsidRPr="00F31C79" w:rsidRDefault="00542769" w:rsidP="00F31C79">
          <w:pPr>
            <w:spacing w:before="240" w:line="240" w:lineRule="auto"/>
            <w:jc w:val="center"/>
            <w:rPr>
              <w:sz w:val="24"/>
              <w:szCs w:val="24"/>
            </w:rPr>
          </w:pPr>
        </w:p>
        <w:p w14:paraId="4ED20E90" w14:textId="77777777" w:rsidR="00542769" w:rsidRDefault="00542769" w:rsidP="00F31C79">
          <w:pPr>
            <w:spacing w:before="240" w:line="240" w:lineRule="auto"/>
            <w:jc w:val="center"/>
            <w:rPr>
              <w:sz w:val="24"/>
              <w:szCs w:val="24"/>
            </w:rPr>
          </w:pPr>
        </w:p>
        <w:p w14:paraId="11C613AE" w14:textId="77777777" w:rsidR="00ED1B94" w:rsidRDefault="00ED1B94" w:rsidP="00F31C79">
          <w:pPr>
            <w:spacing w:before="240" w:line="240" w:lineRule="auto"/>
            <w:jc w:val="center"/>
            <w:rPr>
              <w:sz w:val="24"/>
              <w:szCs w:val="24"/>
            </w:rPr>
          </w:pPr>
        </w:p>
        <w:p w14:paraId="1580BDE2" w14:textId="77777777" w:rsidR="00ED1B94" w:rsidRDefault="00ED1B94" w:rsidP="00F31C79">
          <w:pPr>
            <w:spacing w:before="240" w:line="240" w:lineRule="auto"/>
            <w:jc w:val="center"/>
            <w:rPr>
              <w:sz w:val="24"/>
              <w:szCs w:val="24"/>
            </w:rPr>
          </w:pPr>
        </w:p>
        <w:p w14:paraId="552B51B2" w14:textId="77777777" w:rsidR="00ED1B94" w:rsidRDefault="00ED1B94" w:rsidP="00F31C79">
          <w:pPr>
            <w:spacing w:before="240" w:line="240" w:lineRule="auto"/>
            <w:jc w:val="center"/>
            <w:rPr>
              <w:sz w:val="24"/>
              <w:szCs w:val="24"/>
            </w:rPr>
          </w:pPr>
        </w:p>
        <w:p w14:paraId="205A6016" w14:textId="77777777" w:rsidR="00ED1B94" w:rsidRDefault="00ED1B94" w:rsidP="00F31C79">
          <w:pPr>
            <w:spacing w:before="240" w:line="240" w:lineRule="auto"/>
            <w:jc w:val="center"/>
            <w:rPr>
              <w:sz w:val="24"/>
              <w:szCs w:val="24"/>
            </w:rPr>
          </w:pPr>
        </w:p>
        <w:p w14:paraId="145519F4" w14:textId="77777777" w:rsidR="00ED1B94" w:rsidRDefault="00ED1B94" w:rsidP="00F31C79">
          <w:pPr>
            <w:spacing w:before="240" w:line="240" w:lineRule="auto"/>
            <w:jc w:val="center"/>
            <w:rPr>
              <w:sz w:val="24"/>
              <w:szCs w:val="24"/>
            </w:rPr>
          </w:pPr>
        </w:p>
        <w:p w14:paraId="3C96EE1B" w14:textId="77777777" w:rsidR="00ED1B94" w:rsidRDefault="00ED1B94" w:rsidP="00F31C79">
          <w:pPr>
            <w:spacing w:before="240" w:line="240" w:lineRule="auto"/>
            <w:jc w:val="center"/>
            <w:rPr>
              <w:sz w:val="24"/>
              <w:szCs w:val="24"/>
            </w:rPr>
          </w:pPr>
        </w:p>
        <w:p w14:paraId="04F0BBCF" w14:textId="77777777" w:rsidR="00ED1B94" w:rsidRDefault="00ED1B94" w:rsidP="00F31C79">
          <w:pPr>
            <w:spacing w:before="240" w:line="240" w:lineRule="auto"/>
            <w:jc w:val="center"/>
            <w:rPr>
              <w:sz w:val="24"/>
              <w:szCs w:val="24"/>
            </w:rPr>
          </w:pPr>
        </w:p>
        <w:p w14:paraId="15A43DF5" w14:textId="77777777" w:rsidR="00ED1B94" w:rsidRDefault="00ED1B94" w:rsidP="00F31C79">
          <w:pPr>
            <w:spacing w:before="240" w:line="240" w:lineRule="auto"/>
            <w:jc w:val="center"/>
            <w:rPr>
              <w:sz w:val="24"/>
              <w:szCs w:val="24"/>
            </w:rPr>
          </w:pPr>
        </w:p>
        <w:p w14:paraId="139229F2" w14:textId="77777777" w:rsidR="00ED1B94" w:rsidRDefault="00ED1B94" w:rsidP="00F31C79">
          <w:pPr>
            <w:spacing w:before="240" w:line="240" w:lineRule="auto"/>
            <w:jc w:val="center"/>
            <w:rPr>
              <w:sz w:val="24"/>
              <w:szCs w:val="24"/>
            </w:rPr>
          </w:pPr>
        </w:p>
        <w:p w14:paraId="1E5FF0F3" w14:textId="77777777" w:rsidR="00ED1B94" w:rsidRPr="00F31C79" w:rsidRDefault="00ED1B94" w:rsidP="00F31C79">
          <w:pPr>
            <w:spacing w:before="240" w:line="240" w:lineRule="auto"/>
            <w:jc w:val="center"/>
            <w:rPr>
              <w:sz w:val="24"/>
              <w:szCs w:val="24"/>
            </w:rPr>
          </w:pPr>
        </w:p>
        <w:p w14:paraId="7506FBCA" w14:textId="77777777" w:rsidR="007901C3" w:rsidRPr="00ED1B94" w:rsidRDefault="00495ADA" w:rsidP="00F31C79">
          <w:pPr>
            <w:spacing w:before="240" w:line="240" w:lineRule="auto"/>
            <w:jc w:val="center"/>
            <w:rPr>
              <w:b/>
              <w:bCs/>
              <w:sz w:val="28"/>
              <w:szCs w:val="28"/>
            </w:rPr>
          </w:pPr>
          <w:r w:rsidRPr="00ED1B94">
            <w:rPr>
              <w:b/>
              <w:bCs/>
              <w:sz w:val="28"/>
              <w:szCs w:val="28"/>
            </w:rPr>
            <w:t>Table of Figures</w:t>
          </w:r>
        </w:p>
        <w:p w14:paraId="0FB52B68" w14:textId="64DEA21E" w:rsidR="006C1161" w:rsidRPr="00F31C79" w:rsidRDefault="006C1161" w:rsidP="00F31C79">
          <w:pPr>
            <w:pStyle w:val="TableofFigures"/>
            <w:tabs>
              <w:tab w:val="right" w:leader="dot" w:pos="9016"/>
            </w:tabs>
            <w:spacing w:before="240" w:after="240" w:line="240" w:lineRule="auto"/>
            <w:rPr>
              <w:sz w:val="24"/>
              <w:szCs w:val="24"/>
            </w:rPr>
          </w:pPr>
          <w:r w:rsidRPr="00F31C79">
            <w:rPr>
              <w:sz w:val="24"/>
              <w:szCs w:val="24"/>
            </w:rPr>
            <w:fldChar w:fldCharType="begin"/>
          </w:r>
          <w:r w:rsidRPr="00F31C79">
            <w:rPr>
              <w:sz w:val="24"/>
              <w:szCs w:val="24"/>
            </w:rPr>
            <w:instrText xml:space="preserve"> TOC \h \z \c "Table" </w:instrText>
          </w:r>
          <w:r w:rsidRPr="00F31C79">
            <w:rPr>
              <w:sz w:val="24"/>
              <w:szCs w:val="24"/>
            </w:rPr>
            <w:fldChar w:fldCharType="separate"/>
          </w:r>
          <w:hyperlink w:anchor="_Toc232124647" w:history="1">
            <w:r w:rsidRPr="00F31C79">
              <w:rPr>
                <w:sz w:val="24"/>
                <w:szCs w:val="24"/>
              </w:rPr>
              <w:t>Table 1 Inclusion and Exclusion Table</w:t>
            </w:r>
            <w:r w:rsidRPr="00F31C79">
              <w:rPr>
                <w:webHidden/>
                <w:sz w:val="24"/>
                <w:szCs w:val="24"/>
              </w:rPr>
              <w:tab/>
            </w:r>
            <w:r w:rsidRPr="00F31C79">
              <w:rPr>
                <w:webHidden/>
                <w:sz w:val="24"/>
                <w:szCs w:val="24"/>
              </w:rPr>
              <w:fldChar w:fldCharType="begin"/>
            </w:r>
            <w:r w:rsidRPr="00F31C79">
              <w:rPr>
                <w:webHidden/>
                <w:sz w:val="24"/>
                <w:szCs w:val="24"/>
              </w:rPr>
              <w:instrText xml:space="preserve"> PAGEREF _Toc232124647 \h </w:instrText>
            </w:r>
            <w:r w:rsidRPr="00F31C79">
              <w:rPr>
                <w:webHidden/>
                <w:sz w:val="24"/>
                <w:szCs w:val="24"/>
              </w:rPr>
            </w:r>
            <w:r w:rsidRPr="00F31C79">
              <w:rPr>
                <w:webHidden/>
                <w:sz w:val="24"/>
                <w:szCs w:val="24"/>
              </w:rPr>
              <w:fldChar w:fldCharType="separate"/>
            </w:r>
            <w:r w:rsidRPr="00F31C79">
              <w:rPr>
                <w:webHidden/>
                <w:sz w:val="24"/>
                <w:szCs w:val="24"/>
              </w:rPr>
              <w:t>47</w:t>
            </w:r>
            <w:r w:rsidRPr="00F31C79">
              <w:rPr>
                <w:webHidden/>
                <w:sz w:val="24"/>
                <w:szCs w:val="24"/>
              </w:rPr>
              <w:fldChar w:fldCharType="end"/>
            </w:r>
          </w:hyperlink>
        </w:p>
        <w:p w14:paraId="344EF598" w14:textId="72F002B1" w:rsidR="006C1161" w:rsidRPr="00F31C79" w:rsidRDefault="006C1161" w:rsidP="00F31C79">
          <w:pPr>
            <w:pStyle w:val="TableofFigures"/>
            <w:tabs>
              <w:tab w:val="right" w:leader="dot" w:pos="9016"/>
            </w:tabs>
            <w:spacing w:before="240" w:after="240" w:line="240" w:lineRule="auto"/>
            <w:rPr>
              <w:sz w:val="24"/>
              <w:szCs w:val="24"/>
            </w:rPr>
          </w:pPr>
          <w:hyperlink w:anchor="_Toc232124648" w:history="1">
            <w:r w:rsidRPr="00F31C79">
              <w:rPr>
                <w:sz w:val="24"/>
                <w:szCs w:val="24"/>
              </w:rPr>
              <w:t>Table 2 Source Tracking Table</w:t>
            </w:r>
            <w:r w:rsidRPr="00F31C79">
              <w:rPr>
                <w:webHidden/>
                <w:sz w:val="24"/>
                <w:szCs w:val="24"/>
              </w:rPr>
              <w:tab/>
            </w:r>
            <w:r w:rsidRPr="00F31C79">
              <w:rPr>
                <w:webHidden/>
                <w:sz w:val="24"/>
                <w:szCs w:val="24"/>
              </w:rPr>
              <w:fldChar w:fldCharType="begin"/>
            </w:r>
            <w:r w:rsidRPr="00F31C79">
              <w:rPr>
                <w:webHidden/>
                <w:sz w:val="24"/>
                <w:szCs w:val="24"/>
              </w:rPr>
              <w:instrText xml:space="preserve"> PAGEREF _Toc232124648 \h </w:instrText>
            </w:r>
            <w:r w:rsidRPr="00F31C79">
              <w:rPr>
                <w:webHidden/>
                <w:sz w:val="24"/>
                <w:szCs w:val="24"/>
              </w:rPr>
            </w:r>
            <w:r w:rsidRPr="00F31C79">
              <w:rPr>
                <w:webHidden/>
                <w:sz w:val="24"/>
                <w:szCs w:val="24"/>
              </w:rPr>
              <w:fldChar w:fldCharType="separate"/>
            </w:r>
            <w:r w:rsidRPr="00F31C79">
              <w:rPr>
                <w:webHidden/>
                <w:sz w:val="24"/>
                <w:szCs w:val="24"/>
              </w:rPr>
              <w:t>48</w:t>
            </w:r>
            <w:r w:rsidRPr="00F31C79">
              <w:rPr>
                <w:webHidden/>
                <w:sz w:val="24"/>
                <w:szCs w:val="24"/>
              </w:rPr>
              <w:fldChar w:fldCharType="end"/>
            </w:r>
          </w:hyperlink>
        </w:p>
        <w:p w14:paraId="5430A6A1" w14:textId="4063139E" w:rsidR="006C1161" w:rsidRPr="00F31C79" w:rsidRDefault="006C1161" w:rsidP="00F31C79">
          <w:pPr>
            <w:pStyle w:val="TableofFigures"/>
            <w:tabs>
              <w:tab w:val="right" w:leader="dot" w:pos="9016"/>
            </w:tabs>
            <w:spacing w:before="240" w:after="240" w:line="240" w:lineRule="auto"/>
            <w:rPr>
              <w:sz w:val="24"/>
              <w:szCs w:val="24"/>
            </w:rPr>
          </w:pPr>
          <w:hyperlink w:anchor="_Toc232124649" w:history="1">
            <w:r w:rsidRPr="00F31C79">
              <w:rPr>
                <w:sz w:val="24"/>
                <w:szCs w:val="24"/>
              </w:rPr>
              <w:t>Table 3 Thematic Coding Table</w:t>
            </w:r>
            <w:r w:rsidRPr="00F31C79">
              <w:rPr>
                <w:webHidden/>
                <w:sz w:val="24"/>
                <w:szCs w:val="24"/>
              </w:rPr>
              <w:tab/>
            </w:r>
            <w:r w:rsidRPr="00F31C79">
              <w:rPr>
                <w:webHidden/>
                <w:sz w:val="24"/>
                <w:szCs w:val="24"/>
              </w:rPr>
              <w:fldChar w:fldCharType="begin"/>
            </w:r>
            <w:r w:rsidRPr="00F31C79">
              <w:rPr>
                <w:webHidden/>
                <w:sz w:val="24"/>
                <w:szCs w:val="24"/>
              </w:rPr>
              <w:instrText xml:space="preserve"> PAGEREF _Toc232124649 \h </w:instrText>
            </w:r>
            <w:r w:rsidRPr="00F31C79">
              <w:rPr>
                <w:webHidden/>
                <w:sz w:val="24"/>
                <w:szCs w:val="24"/>
              </w:rPr>
            </w:r>
            <w:r w:rsidRPr="00F31C79">
              <w:rPr>
                <w:webHidden/>
                <w:sz w:val="24"/>
                <w:szCs w:val="24"/>
              </w:rPr>
              <w:fldChar w:fldCharType="separate"/>
            </w:r>
            <w:r w:rsidRPr="00F31C79">
              <w:rPr>
                <w:webHidden/>
                <w:sz w:val="24"/>
                <w:szCs w:val="24"/>
              </w:rPr>
              <w:t>49</w:t>
            </w:r>
            <w:r w:rsidRPr="00F31C79">
              <w:rPr>
                <w:webHidden/>
                <w:sz w:val="24"/>
                <w:szCs w:val="24"/>
              </w:rPr>
              <w:fldChar w:fldCharType="end"/>
            </w:r>
          </w:hyperlink>
        </w:p>
        <w:p w14:paraId="6975433B" w14:textId="40A68952" w:rsidR="006C1161" w:rsidRPr="00F31C79" w:rsidRDefault="006C1161" w:rsidP="00F31C79">
          <w:pPr>
            <w:pStyle w:val="TableofFigures"/>
            <w:tabs>
              <w:tab w:val="right" w:leader="dot" w:pos="9016"/>
            </w:tabs>
            <w:spacing w:before="240" w:after="240" w:line="240" w:lineRule="auto"/>
            <w:rPr>
              <w:sz w:val="24"/>
              <w:szCs w:val="24"/>
            </w:rPr>
          </w:pPr>
          <w:hyperlink w:anchor="_Toc232124650" w:history="1">
            <w:r w:rsidRPr="00F31C79">
              <w:rPr>
                <w:sz w:val="24"/>
                <w:szCs w:val="24"/>
              </w:rPr>
              <w:t>Table 4 Summary of Findings by Theme</w:t>
            </w:r>
            <w:r w:rsidRPr="00F31C79">
              <w:rPr>
                <w:webHidden/>
                <w:sz w:val="24"/>
                <w:szCs w:val="24"/>
              </w:rPr>
              <w:tab/>
            </w:r>
            <w:r w:rsidRPr="00F31C79">
              <w:rPr>
                <w:webHidden/>
                <w:sz w:val="24"/>
                <w:szCs w:val="24"/>
              </w:rPr>
              <w:fldChar w:fldCharType="begin"/>
            </w:r>
            <w:r w:rsidRPr="00F31C79">
              <w:rPr>
                <w:webHidden/>
                <w:sz w:val="24"/>
                <w:szCs w:val="24"/>
              </w:rPr>
              <w:instrText xml:space="preserve"> PAGEREF _Toc232124650 \h </w:instrText>
            </w:r>
            <w:r w:rsidRPr="00F31C79">
              <w:rPr>
                <w:webHidden/>
                <w:sz w:val="24"/>
                <w:szCs w:val="24"/>
              </w:rPr>
            </w:r>
            <w:r w:rsidRPr="00F31C79">
              <w:rPr>
                <w:webHidden/>
                <w:sz w:val="24"/>
                <w:szCs w:val="24"/>
              </w:rPr>
              <w:fldChar w:fldCharType="separate"/>
            </w:r>
            <w:r w:rsidRPr="00F31C79">
              <w:rPr>
                <w:webHidden/>
                <w:sz w:val="24"/>
                <w:szCs w:val="24"/>
              </w:rPr>
              <w:t>50</w:t>
            </w:r>
            <w:r w:rsidRPr="00F31C79">
              <w:rPr>
                <w:webHidden/>
                <w:sz w:val="24"/>
                <w:szCs w:val="24"/>
              </w:rPr>
              <w:fldChar w:fldCharType="end"/>
            </w:r>
          </w:hyperlink>
        </w:p>
        <w:p w14:paraId="788CEF71" w14:textId="52A118FB" w:rsidR="00B37C80" w:rsidRPr="00E73B6E" w:rsidRDefault="006C1161" w:rsidP="00F31C79">
          <w:pPr>
            <w:spacing w:before="240" w:line="240" w:lineRule="auto"/>
            <w:jc w:val="center"/>
          </w:pPr>
          <w:r w:rsidRPr="00F31C79">
            <w:rPr>
              <w:sz w:val="24"/>
              <w:szCs w:val="24"/>
            </w:rPr>
            <w:fldChar w:fldCharType="end"/>
          </w:r>
        </w:p>
      </w:sdtContent>
    </w:sdt>
    <w:p w14:paraId="66BE3F66" w14:textId="77777777" w:rsidR="00730C3C" w:rsidRPr="00E73B6E" w:rsidRDefault="00730C3C" w:rsidP="003D109E"/>
    <w:p w14:paraId="7CAC8777" w14:textId="77777777" w:rsidR="00412CD7" w:rsidRPr="00E73B6E" w:rsidRDefault="00412CD7" w:rsidP="003D109E"/>
    <w:p w14:paraId="57612584" w14:textId="77777777" w:rsidR="006D5D35" w:rsidRPr="00E73B6E" w:rsidRDefault="006D5D35" w:rsidP="003D109E"/>
    <w:p w14:paraId="4B13572A" w14:textId="77777777" w:rsidR="0099152D" w:rsidRPr="00E73B6E" w:rsidRDefault="0099152D" w:rsidP="003D109E"/>
    <w:p w14:paraId="68AE6A9E" w14:textId="77777777" w:rsidR="0099152D" w:rsidRPr="00E73B6E" w:rsidRDefault="0099152D" w:rsidP="003D109E"/>
    <w:p w14:paraId="714FDB88" w14:textId="77777777" w:rsidR="0099152D" w:rsidRPr="00E73B6E" w:rsidRDefault="0099152D" w:rsidP="003D109E"/>
    <w:p w14:paraId="3C00E2F0" w14:textId="77777777" w:rsidR="0099152D" w:rsidRPr="00E73B6E" w:rsidRDefault="0099152D" w:rsidP="003D109E"/>
    <w:p w14:paraId="1A0DF7BB" w14:textId="77777777" w:rsidR="0099152D" w:rsidRPr="00E73B6E" w:rsidRDefault="0099152D" w:rsidP="003D109E"/>
    <w:p w14:paraId="11BE112C" w14:textId="77777777" w:rsidR="0099152D" w:rsidRPr="00E73B6E" w:rsidRDefault="0099152D" w:rsidP="003D109E"/>
    <w:p w14:paraId="40A31AAA" w14:textId="77777777" w:rsidR="0099152D" w:rsidRPr="00E73B6E" w:rsidRDefault="0099152D" w:rsidP="003D109E"/>
    <w:p w14:paraId="39A324BF" w14:textId="77777777" w:rsidR="0099152D" w:rsidRPr="00E73B6E" w:rsidRDefault="0099152D" w:rsidP="003D109E"/>
    <w:p w14:paraId="2C7D81A3" w14:textId="77777777" w:rsidR="0099152D" w:rsidRPr="00E73B6E" w:rsidRDefault="0099152D" w:rsidP="003D109E"/>
    <w:p w14:paraId="52D48252" w14:textId="77777777" w:rsidR="0099152D" w:rsidRPr="00E73B6E" w:rsidRDefault="0099152D" w:rsidP="003D109E"/>
    <w:p w14:paraId="1C57B81E" w14:textId="77777777" w:rsidR="0099152D" w:rsidRPr="00E73B6E" w:rsidRDefault="0099152D" w:rsidP="003D109E"/>
    <w:p w14:paraId="48C8BEB2" w14:textId="77777777" w:rsidR="0099152D" w:rsidRPr="00E73B6E" w:rsidRDefault="0099152D" w:rsidP="003D109E"/>
    <w:p w14:paraId="70DE9292" w14:textId="77777777" w:rsidR="0099152D" w:rsidRPr="00E73B6E" w:rsidRDefault="0099152D" w:rsidP="003D109E"/>
    <w:p w14:paraId="7EB8E90C" w14:textId="77777777" w:rsidR="0099152D" w:rsidRPr="00E73B6E" w:rsidRDefault="0099152D" w:rsidP="003D109E"/>
    <w:p w14:paraId="7002F87C" w14:textId="77777777" w:rsidR="003D109E" w:rsidRPr="00E73B6E" w:rsidRDefault="003D109E" w:rsidP="003D109E"/>
    <w:p w14:paraId="2C42D90D" w14:textId="31A2775D" w:rsidR="00D531A6" w:rsidRPr="0098683A" w:rsidRDefault="004279CC" w:rsidP="00915331">
      <w:pPr>
        <w:pStyle w:val="TableofFigures"/>
        <w:tabs>
          <w:tab w:val="right" w:leader="dot" w:pos="9016"/>
        </w:tabs>
        <w:spacing w:before="240" w:after="240"/>
        <w:jc w:val="center"/>
        <w:rPr>
          <w:rFonts w:asciiTheme="minorBidi" w:hAnsiTheme="minorBidi"/>
          <w:b/>
          <w:bCs/>
          <w:sz w:val="32"/>
          <w:szCs w:val="32"/>
        </w:rPr>
      </w:pPr>
      <w:bookmarkStart w:id="0" w:name="_Toc232051185"/>
      <w:r w:rsidRPr="0098683A">
        <w:rPr>
          <w:rFonts w:asciiTheme="minorBidi" w:hAnsiTheme="minorBidi"/>
          <w:b/>
          <w:bCs/>
          <w:sz w:val="32"/>
          <w:szCs w:val="32"/>
        </w:rPr>
        <w:lastRenderedPageBreak/>
        <w:t xml:space="preserve">Chapter </w:t>
      </w:r>
      <w:r w:rsidR="00D531A6" w:rsidRPr="0098683A">
        <w:rPr>
          <w:rFonts w:asciiTheme="minorBidi" w:hAnsiTheme="minorBidi"/>
          <w:b/>
          <w:bCs/>
          <w:sz w:val="32"/>
          <w:szCs w:val="32"/>
        </w:rPr>
        <w:t>1: Introduction</w:t>
      </w:r>
      <w:bookmarkEnd w:id="0"/>
    </w:p>
    <w:p w14:paraId="1B8D94E7" w14:textId="023E8D0C" w:rsidR="00D531A6" w:rsidRPr="00FD6FD9" w:rsidRDefault="00D531A6">
      <w:pPr>
        <w:pStyle w:val="Heading2"/>
        <w:numPr>
          <w:ilvl w:val="1"/>
          <w:numId w:val="2"/>
        </w:numPr>
        <w:spacing w:before="240" w:after="240"/>
        <w:jc w:val="left"/>
        <w:rPr>
          <w:rFonts w:asciiTheme="minorBidi" w:hAnsiTheme="minorBidi" w:cstheme="minorBidi"/>
          <w:b/>
          <w:bCs/>
          <w:color w:val="auto"/>
          <w:szCs w:val="24"/>
        </w:rPr>
      </w:pPr>
      <w:bookmarkStart w:id="1" w:name="_Toc232051186"/>
      <w:r w:rsidRPr="00FD6FD9">
        <w:rPr>
          <w:rStyle w:val="normaltextrun"/>
          <w:rFonts w:asciiTheme="minorBidi" w:hAnsiTheme="minorBidi" w:cstheme="minorBidi"/>
          <w:b/>
          <w:bCs/>
          <w:color w:val="auto"/>
          <w:szCs w:val="24"/>
        </w:rPr>
        <w:t>Introduction</w:t>
      </w:r>
      <w:bookmarkEnd w:id="1"/>
    </w:p>
    <w:p w14:paraId="219618D8" w14:textId="77777777" w:rsidR="00D531A6" w:rsidRPr="0098683A" w:rsidRDefault="00D531A6" w:rsidP="00915331">
      <w:pPr>
        <w:pStyle w:val="paragraph"/>
        <w:spacing w:before="240" w:beforeAutospacing="0" w:after="240" w:afterAutospacing="0" w:line="360" w:lineRule="auto"/>
        <w:textAlignment w:val="baseline"/>
        <w:rPr>
          <w:rFonts w:asciiTheme="minorBidi" w:hAnsiTheme="minorBidi" w:cstheme="minorBidi"/>
          <w:sz w:val="22"/>
          <w:szCs w:val="22"/>
        </w:rPr>
      </w:pPr>
      <w:r w:rsidRPr="0098683A">
        <w:rPr>
          <w:rFonts w:asciiTheme="minorBidi" w:hAnsiTheme="minorBidi" w:cstheme="minorBidi"/>
          <w:sz w:val="22"/>
          <w:szCs w:val="22"/>
        </w:rPr>
        <w:t xml:space="preserve">Although the National Health Service (NHS) was established with the aim of delivering free, universal healthcare at the point of care, still, inequality in the provision of health services is a significant public health issue in the UK (Khan, 2023). Health care inequality is unequal and preventable access to health care services, quality of care received and health outcomes for various population groups. The UK has become far more multicultural in recent decades and ethnic minority groups make up around 18% of the population of England and Wales (ONS, 2022). The diversity has created a greater need for culturally inclusive healthcare systems that are able to effectively respond to various languages, beliefs, traditions, and healthcare expectations. However, there are still barriers to accessing NHS services for ethnic minority communities such as language, discrimination, low health literacy, distrust of the NHS and a lack of provider-patient communication (UPD, 2026). Patient Safety Learning found that there were around 29% fewer General Practitioners (GPs) per 100,000 patients in areas with larger ethnic minority populations, which leads to unequal access to healthcare (García and Thomas, 2024). In addition, minority groups are less likely to use preventive health care services and minority groups are more likely to have poorer health care outcomes than the White British population (Dubay et al., 2024). Cultural barriers, including social, language, religious and behavioural issues, affect the way they engage with the health care system are therefore a significant problem in the UK health care system. The aim of this dissertation is to critique the role of cultural barriers in shaping access to health services for ethnic minority communities in the UK and to test their effects on experiences and outcomes of healthcare services. </w:t>
      </w:r>
    </w:p>
    <w:p w14:paraId="1643CF6B" w14:textId="253189D9" w:rsidR="00D531A6" w:rsidRPr="00187C6A" w:rsidRDefault="00D531A6">
      <w:pPr>
        <w:pStyle w:val="Heading2"/>
        <w:numPr>
          <w:ilvl w:val="1"/>
          <w:numId w:val="2"/>
        </w:numPr>
        <w:spacing w:before="240" w:after="240"/>
        <w:jc w:val="left"/>
        <w:rPr>
          <w:rStyle w:val="normaltextrun"/>
          <w:rFonts w:asciiTheme="minorBidi" w:hAnsiTheme="minorBidi" w:cstheme="minorBidi"/>
          <w:b/>
          <w:bCs/>
          <w:color w:val="auto"/>
          <w:szCs w:val="24"/>
        </w:rPr>
      </w:pPr>
      <w:bookmarkStart w:id="2" w:name="_Toc232051187"/>
      <w:r w:rsidRPr="00187C6A">
        <w:rPr>
          <w:rStyle w:val="normaltextrun"/>
          <w:rFonts w:asciiTheme="minorBidi" w:hAnsiTheme="minorBidi" w:cstheme="minorBidi"/>
          <w:b/>
          <w:bCs/>
          <w:color w:val="auto"/>
          <w:szCs w:val="24"/>
        </w:rPr>
        <w:t>Definitions and Terminology</w:t>
      </w:r>
      <w:bookmarkEnd w:id="2"/>
    </w:p>
    <w:p w14:paraId="4278F125" w14:textId="77777777" w:rsidR="00D531A6" w:rsidRPr="0098683A" w:rsidRDefault="00D531A6" w:rsidP="00915331">
      <w:pPr>
        <w:spacing w:before="240" w:after="240"/>
        <w:jc w:val="left"/>
        <w:rPr>
          <w:rFonts w:asciiTheme="minorBidi" w:hAnsiTheme="minorBidi"/>
        </w:rPr>
      </w:pPr>
      <w:r w:rsidRPr="0098683A">
        <w:rPr>
          <w:rFonts w:asciiTheme="minorBidi" w:hAnsiTheme="minorBidi"/>
        </w:rPr>
        <w:t xml:space="preserve">This dissertation contains a number of central concepts. Cultural barriers are social, linguistic, religious and behavioural factors that interfere in the effective communication between patients and health care professionals and frequently prevent minorities from accessing health care services (Taylan and Weber, 2022). Access to health care is the ability for people to receive the right, affordable and timely health care services they require when necessary. Ethnic minority groups are those which are distinct from White British people, based on ethnicity, culture, language and/or nationality (GOV.UK, 2024). Health inequalities refer to unhelpful and preventable disparities in health, health care access and outcomes among social groups. Cultural competence is the understanding, appreciation and </w:t>
      </w:r>
      <w:r w:rsidRPr="0098683A">
        <w:rPr>
          <w:rFonts w:asciiTheme="minorBidi" w:hAnsiTheme="minorBidi"/>
        </w:rPr>
        <w:lastRenderedPageBreak/>
        <w:t xml:space="preserve">responsiveness of health care providers and health care systems to individual and group cultural needs and beliefs (Stubbe, 2020). Health literacy is when people can read health information and make decisions about their health. There are also a few abbreviations used throughout this dissertation, such as NHS (National Health Service), the publicly funded health care system in the UK, and GP (General Practitioner), referring to the doctors in the community who provide primary healthcare services. </w:t>
      </w:r>
      <w:r w:rsidRPr="0098683A">
        <w:rPr>
          <w:rStyle w:val="eop"/>
          <w:rFonts w:asciiTheme="minorBidi" w:hAnsiTheme="minorBidi"/>
        </w:rPr>
        <w:t> </w:t>
      </w:r>
    </w:p>
    <w:p w14:paraId="34C7F7E7" w14:textId="13ECEE15" w:rsidR="00D531A6" w:rsidRPr="00187C6A" w:rsidRDefault="00D531A6">
      <w:pPr>
        <w:pStyle w:val="Heading2"/>
        <w:numPr>
          <w:ilvl w:val="1"/>
          <w:numId w:val="2"/>
        </w:numPr>
        <w:spacing w:before="240" w:after="240"/>
        <w:jc w:val="left"/>
        <w:rPr>
          <w:rStyle w:val="normaltextrun"/>
          <w:rFonts w:asciiTheme="minorBidi" w:hAnsiTheme="minorBidi" w:cstheme="minorBidi"/>
          <w:b/>
          <w:bCs/>
          <w:color w:val="auto"/>
          <w:szCs w:val="24"/>
        </w:rPr>
      </w:pPr>
      <w:bookmarkStart w:id="3" w:name="_Toc232051188"/>
      <w:r w:rsidRPr="00187C6A">
        <w:rPr>
          <w:rStyle w:val="normaltextrun"/>
          <w:rFonts w:asciiTheme="minorBidi" w:hAnsiTheme="minorBidi" w:cstheme="minorBidi"/>
          <w:b/>
          <w:bCs/>
          <w:color w:val="auto"/>
          <w:szCs w:val="24"/>
        </w:rPr>
        <w:t>Rationale for Research</w:t>
      </w:r>
      <w:bookmarkEnd w:id="3"/>
    </w:p>
    <w:p w14:paraId="767E1C20" w14:textId="77777777" w:rsidR="00D531A6" w:rsidRPr="0098683A" w:rsidRDefault="00D531A6" w:rsidP="00915331">
      <w:pPr>
        <w:spacing w:before="240" w:after="240"/>
        <w:jc w:val="left"/>
        <w:rPr>
          <w:rFonts w:asciiTheme="minorBidi" w:hAnsiTheme="minorBidi"/>
        </w:rPr>
      </w:pPr>
      <w:r w:rsidRPr="0098683A">
        <w:rPr>
          <w:rFonts w:asciiTheme="minorBidi" w:hAnsiTheme="minorBidi"/>
        </w:rPr>
        <w:t xml:space="preserve">The topic was chosen because there are increasing worries about the inequalities in care that ethnic minority groups are facing in the UK health service. The NHS was set up to ensure equal access to healthcare for everyone, but ethnic minority groups are still facing challenges regarding language, cultural beliefs, discrimination, and having less understanding of health (Robertson et al., 2021). There is also recent evidence that there is significant variation in the density of GP services across different ethnic minority groups, with minority patients less likely to make use of preventive health services and more likely to experience negative health service experiences (Burt et al., 2017). These differences gain more significance in ongoing public health debates about equality, inclusion, and culturally responsive health care delivery. The inequalities in healthcare are well documented, but existing studies are generally concerned with socioeconomic disadvantage without specifically considering the direct effects of cultural barriers on healthcare access, and patients' experiences of it (Abdi et al., 2025). Moreover, there are restricted studies that critically question the effectiveness of current NHS policies and cultural competence strategies in tackling these inequalities amongst a range of ethnic groups (Bansal et al., 2022). This dissertation therefore seeks to fill these research gaps by critically analysing cultural barriers to access to healthcare in ethnic minority groups in the UK. The study will build on the current body of knowledge by delivering a focused knowledge of cultural difficulties and suggestions to enhance inclusiveness, communication and equality in health care services. </w:t>
      </w:r>
    </w:p>
    <w:p w14:paraId="5F09F534" w14:textId="07BA353A" w:rsidR="00D531A6" w:rsidRPr="00187C6A" w:rsidRDefault="00D531A6">
      <w:pPr>
        <w:pStyle w:val="Heading2"/>
        <w:numPr>
          <w:ilvl w:val="1"/>
          <w:numId w:val="2"/>
        </w:numPr>
        <w:spacing w:before="240" w:after="240"/>
        <w:jc w:val="left"/>
        <w:rPr>
          <w:rStyle w:val="normaltextrun"/>
          <w:rFonts w:asciiTheme="minorBidi" w:hAnsiTheme="minorBidi" w:cstheme="minorBidi"/>
          <w:b/>
          <w:bCs/>
          <w:color w:val="auto"/>
          <w:szCs w:val="24"/>
        </w:rPr>
      </w:pPr>
      <w:bookmarkStart w:id="4" w:name="_Toc232051189"/>
      <w:r w:rsidRPr="00187C6A">
        <w:rPr>
          <w:rStyle w:val="normaltextrun"/>
          <w:rFonts w:asciiTheme="minorBidi" w:hAnsiTheme="minorBidi" w:cstheme="minorBidi"/>
          <w:b/>
          <w:bCs/>
          <w:color w:val="auto"/>
          <w:szCs w:val="24"/>
        </w:rPr>
        <w:t>Aim and Objectives</w:t>
      </w:r>
      <w:bookmarkEnd w:id="4"/>
    </w:p>
    <w:p w14:paraId="1C10B637" w14:textId="77777777" w:rsidR="00D531A6" w:rsidRPr="0098683A" w:rsidRDefault="00D531A6" w:rsidP="00915331">
      <w:pPr>
        <w:pStyle w:val="paragraph"/>
        <w:spacing w:before="240" w:beforeAutospacing="0" w:after="240" w:afterAutospacing="0" w:line="360" w:lineRule="auto"/>
        <w:textAlignment w:val="baseline"/>
        <w:rPr>
          <w:rStyle w:val="normaltextrun"/>
          <w:rFonts w:asciiTheme="minorBidi" w:hAnsiTheme="minorBidi" w:cstheme="minorBidi"/>
          <w:b/>
          <w:bCs/>
          <w:sz w:val="22"/>
          <w:szCs w:val="22"/>
        </w:rPr>
      </w:pPr>
      <w:r w:rsidRPr="0098683A">
        <w:rPr>
          <w:rStyle w:val="normaltextrun"/>
          <w:rFonts w:asciiTheme="minorBidi" w:hAnsiTheme="minorBidi" w:cstheme="minorBidi"/>
          <w:b/>
          <w:bCs/>
          <w:sz w:val="22"/>
          <w:szCs w:val="22"/>
        </w:rPr>
        <w:t>Research Aim</w:t>
      </w:r>
    </w:p>
    <w:p w14:paraId="482B2C27" w14:textId="77777777" w:rsidR="00D531A6" w:rsidRPr="0098683A" w:rsidRDefault="00D531A6" w:rsidP="00915331">
      <w:pPr>
        <w:pStyle w:val="paragraph"/>
        <w:spacing w:before="240" w:beforeAutospacing="0" w:after="240" w:afterAutospacing="0" w:line="360" w:lineRule="auto"/>
        <w:textAlignment w:val="baseline"/>
        <w:rPr>
          <w:rFonts w:asciiTheme="minorBidi" w:hAnsiTheme="minorBidi" w:cstheme="minorBidi"/>
          <w:sz w:val="22"/>
          <w:szCs w:val="22"/>
        </w:rPr>
      </w:pPr>
      <w:r w:rsidRPr="0098683A">
        <w:rPr>
          <w:rFonts w:asciiTheme="minorBidi" w:hAnsiTheme="minorBidi" w:cstheme="minorBidi"/>
          <w:sz w:val="22"/>
          <w:szCs w:val="22"/>
        </w:rPr>
        <w:t xml:space="preserve">This dissertation will critically explore the issue of cultural barriers to accessing health services amongst ethnic minority communities in the UK, and identify the language barrier, cultural beliefs, health literacy, discrimination and health provider-patient communication as potential factors. The study will also assess the effectiveness of existing culturally </w:t>
      </w:r>
      <w:r w:rsidRPr="0098683A">
        <w:rPr>
          <w:rFonts w:asciiTheme="minorBidi" w:hAnsiTheme="minorBidi" w:cstheme="minorBidi"/>
          <w:sz w:val="22"/>
          <w:szCs w:val="22"/>
        </w:rPr>
        <w:lastRenderedPageBreak/>
        <w:t xml:space="preserve">responsive healthcare practices and policies in minimizing healthcare disparities and enhancing healthcare experiences of various population groups. </w:t>
      </w:r>
      <w:r w:rsidRPr="0098683A">
        <w:rPr>
          <w:rStyle w:val="eop"/>
          <w:rFonts w:asciiTheme="minorBidi" w:hAnsiTheme="minorBidi" w:cstheme="minorBidi"/>
          <w:sz w:val="22"/>
          <w:szCs w:val="22"/>
        </w:rPr>
        <w:t> </w:t>
      </w:r>
    </w:p>
    <w:p w14:paraId="3B49BBA5" w14:textId="1D6A6D97" w:rsidR="00D531A6" w:rsidRPr="0098683A" w:rsidRDefault="00D531A6" w:rsidP="00915331">
      <w:pPr>
        <w:pStyle w:val="paragraph"/>
        <w:spacing w:before="240" w:beforeAutospacing="0" w:after="240" w:afterAutospacing="0" w:line="360" w:lineRule="auto"/>
        <w:textAlignment w:val="baseline"/>
        <w:rPr>
          <w:rFonts w:asciiTheme="minorBidi" w:hAnsiTheme="minorBidi" w:cstheme="minorBidi"/>
          <w:sz w:val="22"/>
          <w:szCs w:val="22"/>
        </w:rPr>
      </w:pPr>
      <w:r w:rsidRPr="0098683A">
        <w:rPr>
          <w:rStyle w:val="normaltextrun"/>
          <w:rFonts w:asciiTheme="minorBidi" w:hAnsiTheme="minorBidi" w:cstheme="minorBidi"/>
          <w:b/>
          <w:bCs/>
          <w:sz w:val="22"/>
          <w:szCs w:val="22"/>
        </w:rPr>
        <w:t>Research Objectives</w:t>
      </w:r>
    </w:p>
    <w:p w14:paraId="16B07CDD" w14:textId="77777777" w:rsidR="00D531A6" w:rsidRPr="0098683A" w:rsidRDefault="00D531A6">
      <w:pPr>
        <w:pStyle w:val="paragraph"/>
        <w:numPr>
          <w:ilvl w:val="0"/>
          <w:numId w:val="1"/>
        </w:numPr>
        <w:spacing w:before="240" w:beforeAutospacing="0" w:after="240" w:afterAutospacing="0" w:line="360" w:lineRule="auto"/>
        <w:textAlignment w:val="baseline"/>
        <w:rPr>
          <w:rFonts w:asciiTheme="minorBidi" w:hAnsiTheme="minorBidi" w:cstheme="minorBidi"/>
          <w:b/>
          <w:bCs/>
          <w:sz w:val="22"/>
          <w:szCs w:val="22"/>
          <w:lang w:eastAsia="en-US" w:bidi="en-GB"/>
        </w:rPr>
      </w:pPr>
      <w:r w:rsidRPr="0098683A">
        <w:rPr>
          <w:rFonts w:asciiTheme="minorBidi" w:hAnsiTheme="minorBidi" w:cstheme="minorBidi"/>
          <w:b/>
          <w:bCs/>
          <w:sz w:val="22"/>
          <w:szCs w:val="22"/>
          <w:lang w:eastAsia="en-US" w:bidi="en-GB"/>
        </w:rPr>
        <w:t xml:space="preserve">Objective 1: </w:t>
      </w:r>
      <w:r w:rsidRPr="0098683A">
        <w:rPr>
          <w:rFonts w:asciiTheme="minorBidi" w:hAnsiTheme="minorBidi" w:cstheme="minorBidi"/>
          <w:sz w:val="22"/>
          <w:szCs w:val="22"/>
          <w:lang w:eastAsia="en-US" w:bidi="en-GB"/>
        </w:rPr>
        <w:t>Understand and examine key cultural barriers that affect access to health services for ethnic minority populations in the UK, including language barriers, health perceptions, and cultural practices.</w:t>
      </w:r>
      <w:r w:rsidRPr="0098683A">
        <w:rPr>
          <w:rFonts w:asciiTheme="minorBidi" w:hAnsiTheme="minorBidi" w:cstheme="minorBidi"/>
          <w:b/>
          <w:bCs/>
          <w:sz w:val="22"/>
          <w:szCs w:val="22"/>
          <w:lang w:eastAsia="en-US" w:bidi="en-GB"/>
        </w:rPr>
        <w:t xml:space="preserve"> </w:t>
      </w:r>
    </w:p>
    <w:p w14:paraId="0BB2EE8C" w14:textId="77777777" w:rsidR="00D531A6" w:rsidRPr="0098683A" w:rsidRDefault="00D531A6">
      <w:pPr>
        <w:pStyle w:val="paragraph"/>
        <w:numPr>
          <w:ilvl w:val="0"/>
          <w:numId w:val="1"/>
        </w:numPr>
        <w:spacing w:before="240" w:beforeAutospacing="0" w:after="240" w:afterAutospacing="0" w:line="360" w:lineRule="auto"/>
        <w:textAlignment w:val="baseline"/>
        <w:rPr>
          <w:rFonts w:asciiTheme="minorBidi" w:hAnsiTheme="minorBidi" w:cstheme="minorBidi"/>
          <w:b/>
          <w:bCs/>
          <w:sz w:val="22"/>
          <w:szCs w:val="22"/>
          <w:lang w:eastAsia="en-US" w:bidi="en-GB"/>
        </w:rPr>
      </w:pPr>
      <w:r w:rsidRPr="0098683A">
        <w:rPr>
          <w:rFonts w:asciiTheme="minorBidi" w:hAnsiTheme="minorBidi" w:cstheme="minorBidi"/>
          <w:b/>
          <w:bCs/>
          <w:sz w:val="22"/>
          <w:szCs w:val="22"/>
          <w:lang w:eastAsia="en-US" w:bidi="en-GB"/>
        </w:rPr>
        <w:t xml:space="preserve">Objective 2: </w:t>
      </w:r>
      <w:r w:rsidRPr="0098683A">
        <w:rPr>
          <w:rFonts w:asciiTheme="minorBidi" w:hAnsiTheme="minorBidi" w:cstheme="minorBidi"/>
          <w:sz w:val="22"/>
          <w:szCs w:val="22"/>
          <w:lang w:eastAsia="en-US" w:bidi="en-GB"/>
        </w:rPr>
        <w:t>To identify how these cultural barriers affect uptake of services, patient-provider interactions and patient health care outcomes in NHS services.</w:t>
      </w:r>
      <w:r w:rsidRPr="0098683A">
        <w:rPr>
          <w:rFonts w:asciiTheme="minorBidi" w:hAnsiTheme="minorBidi" w:cstheme="minorBidi"/>
          <w:b/>
          <w:bCs/>
          <w:sz w:val="22"/>
          <w:szCs w:val="22"/>
          <w:lang w:eastAsia="en-US" w:bidi="en-GB"/>
        </w:rPr>
        <w:t xml:space="preserve"> </w:t>
      </w:r>
    </w:p>
    <w:p w14:paraId="6A76368A" w14:textId="77777777" w:rsidR="00D531A6" w:rsidRPr="0098683A" w:rsidRDefault="00D531A6">
      <w:pPr>
        <w:pStyle w:val="paragraph"/>
        <w:numPr>
          <w:ilvl w:val="0"/>
          <w:numId w:val="1"/>
        </w:numPr>
        <w:spacing w:before="240" w:beforeAutospacing="0" w:after="240" w:afterAutospacing="0" w:line="360" w:lineRule="auto"/>
        <w:textAlignment w:val="baseline"/>
        <w:rPr>
          <w:rFonts w:asciiTheme="minorBidi" w:hAnsiTheme="minorBidi" w:cstheme="minorBidi"/>
          <w:b/>
          <w:bCs/>
          <w:sz w:val="22"/>
          <w:szCs w:val="22"/>
          <w:lang w:eastAsia="en-US" w:bidi="en-GB"/>
        </w:rPr>
      </w:pPr>
      <w:r w:rsidRPr="0098683A">
        <w:rPr>
          <w:rFonts w:asciiTheme="minorBidi" w:hAnsiTheme="minorBidi" w:cstheme="minorBidi"/>
          <w:b/>
          <w:bCs/>
          <w:sz w:val="22"/>
          <w:szCs w:val="22"/>
          <w:lang w:eastAsia="en-US" w:bidi="en-GB"/>
        </w:rPr>
        <w:t xml:space="preserve">Objective 3: </w:t>
      </w:r>
      <w:r w:rsidRPr="0098683A">
        <w:rPr>
          <w:rFonts w:asciiTheme="minorBidi" w:hAnsiTheme="minorBidi" w:cstheme="minorBidi"/>
          <w:sz w:val="22"/>
          <w:szCs w:val="22"/>
          <w:lang w:eastAsia="en-US" w:bidi="en-GB"/>
        </w:rPr>
        <w:t>Explore the effectiveness of existing policies, support services and cultural responsive healthcare practices in tackling inequalities in healthcare access for ethnic minority communities.</w:t>
      </w:r>
      <w:r w:rsidRPr="0098683A">
        <w:rPr>
          <w:rFonts w:asciiTheme="minorBidi" w:hAnsiTheme="minorBidi" w:cstheme="minorBidi"/>
          <w:b/>
          <w:bCs/>
          <w:sz w:val="22"/>
          <w:szCs w:val="22"/>
          <w:lang w:eastAsia="en-US" w:bidi="en-GB"/>
        </w:rPr>
        <w:t xml:space="preserve"> </w:t>
      </w:r>
    </w:p>
    <w:p w14:paraId="5417497D" w14:textId="77777777" w:rsidR="00D531A6" w:rsidRPr="0098683A" w:rsidRDefault="00D531A6">
      <w:pPr>
        <w:pStyle w:val="paragraph"/>
        <w:numPr>
          <w:ilvl w:val="0"/>
          <w:numId w:val="1"/>
        </w:numPr>
        <w:spacing w:before="240" w:beforeAutospacing="0" w:after="240" w:afterAutospacing="0" w:line="360" w:lineRule="auto"/>
        <w:textAlignment w:val="baseline"/>
        <w:rPr>
          <w:rFonts w:asciiTheme="minorBidi" w:hAnsiTheme="minorBidi" w:cstheme="minorBidi"/>
          <w:b/>
          <w:bCs/>
          <w:sz w:val="22"/>
          <w:szCs w:val="22"/>
          <w:lang w:eastAsia="en-US" w:bidi="en-GB"/>
        </w:rPr>
      </w:pPr>
      <w:r w:rsidRPr="0098683A">
        <w:rPr>
          <w:rFonts w:asciiTheme="minorBidi" w:hAnsiTheme="minorBidi" w:cstheme="minorBidi"/>
          <w:b/>
          <w:bCs/>
          <w:sz w:val="22"/>
          <w:szCs w:val="22"/>
          <w:lang w:eastAsia="en-US" w:bidi="en-GB"/>
        </w:rPr>
        <w:t xml:space="preserve">Objective 4: </w:t>
      </w:r>
      <w:r w:rsidRPr="0098683A">
        <w:rPr>
          <w:rFonts w:asciiTheme="minorBidi" w:hAnsiTheme="minorBidi" w:cstheme="minorBidi"/>
          <w:sz w:val="22"/>
          <w:szCs w:val="22"/>
          <w:lang w:eastAsia="en-US" w:bidi="en-GB"/>
        </w:rPr>
        <w:t>To make recommendations to both health care professionals and policy makers on increasing cultural competence, inclusivity and equal access to health care in the UK health care system.</w:t>
      </w:r>
      <w:r w:rsidRPr="0098683A">
        <w:rPr>
          <w:rFonts w:asciiTheme="minorBidi" w:hAnsiTheme="minorBidi" w:cstheme="minorBidi"/>
          <w:b/>
          <w:bCs/>
          <w:sz w:val="22"/>
          <w:szCs w:val="22"/>
          <w:lang w:eastAsia="en-US" w:bidi="en-GB"/>
        </w:rPr>
        <w:t xml:space="preserve">  </w:t>
      </w:r>
      <w:r w:rsidRPr="0098683A">
        <w:rPr>
          <w:rStyle w:val="eop"/>
          <w:rFonts w:asciiTheme="minorBidi" w:hAnsiTheme="minorBidi" w:cstheme="minorBidi"/>
          <w:sz w:val="22"/>
          <w:szCs w:val="22"/>
        </w:rPr>
        <w:t> </w:t>
      </w:r>
    </w:p>
    <w:p w14:paraId="1C6B15D5" w14:textId="3714C7C3" w:rsidR="00D531A6" w:rsidRPr="00187C6A" w:rsidRDefault="00D531A6">
      <w:pPr>
        <w:pStyle w:val="Heading2"/>
        <w:numPr>
          <w:ilvl w:val="1"/>
          <w:numId w:val="2"/>
        </w:numPr>
        <w:spacing w:before="240" w:after="240"/>
        <w:jc w:val="left"/>
        <w:rPr>
          <w:rStyle w:val="normaltextrun"/>
          <w:rFonts w:asciiTheme="minorBidi" w:hAnsiTheme="minorBidi" w:cstheme="minorBidi"/>
          <w:color w:val="auto"/>
          <w:sz w:val="28"/>
          <w:szCs w:val="28"/>
        </w:rPr>
      </w:pPr>
      <w:bookmarkStart w:id="5" w:name="_Toc232051190"/>
      <w:r w:rsidRPr="00187C6A">
        <w:rPr>
          <w:rStyle w:val="normaltextrun"/>
          <w:rFonts w:asciiTheme="minorBidi" w:hAnsiTheme="minorBidi" w:cstheme="minorBidi"/>
          <w:b/>
          <w:bCs/>
          <w:color w:val="auto"/>
          <w:sz w:val="28"/>
          <w:szCs w:val="28"/>
        </w:rPr>
        <w:t>Conclusion</w:t>
      </w:r>
      <w:bookmarkEnd w:id="5"/>
    </w:p>
    <w:p w14:paraId="5331428D" w14:textId="77777777" w:rsidR="00D531A6" w:rsidRPr="0098683A" w:rsidRDefault="00D531A6" w:rsidP="00915331">
      <w:pPr>
        <w:pStyle w:val="paragraph"/>
        <w:spacing w:before="240" w:beforeAutospacing="0" w:after="240" w:afterAutospacing="0" w:line="360" w:lineRule="auto"/>
        <w:textAlignment w:val="baseline"/>
        <w:rPr>
          <w:rFonts w:asciiTheme="minorBidi" w:hAnsiTheme="minorBidi" w:cstheme="minorBidi"/>
          <w:sz w:val="22"/>
          <w:szCs w:val="22"/>
        </w:rPr>
      </w:pPr>
      <w:r w:rsidRPr="0098683A">
        <w:rPr>
          <w:rFonts w:asciiTheme="minorBidi" w:hAnsiTheme="minorBidi" w:cstheme="minorBidi"/>
          <w:sz w:val="22"/>
          <w:szCs w:val="22"/>
        </w:rPr>
        <w:t>This chapter raised awareness of inequalities in the UK health services for ethnic minorities and the importance of cultural barriers in the health services. To ensure clarity of the study, key concepts and terminology were defined in the context of healthcare access issues, cultural competence, and health inequalities. The chapter also provided an explanation for the research undertaken by outlining gaps in the literature and why more culturally inclusive healthcare practices and support should be in place within the National Health Service. Furthermore, a research aim and objectives were explained to help to direct the research. Chapter 2 will critically examine literature and research on cultural barriers, ethnic minority health inequalities and experiences of ethnic minority health services in the UK.</w:t>
      </w:r>
      <w:r w:rsidRPr="0098683A">
        <w:rPr>
          <w:rStyle w:val="normaltextrun"/>
          <w:rFonts w:asciiTheme="minorBidi" w:hAnsiTheme="minorBidi" w:cstheme="minorBidi"/>
          <w:sz w:val="22"/>
          <w:szCs w:val="22"/>
        </w:rPr>
        <w:t> </w:t>
      </w:r>
      <w:r w:rsidRPr="0098683A">
        <w:rPr>
          <w:rStyle w:val="eop"/>
          <w:rFonts w:asciiTheme="minorBidi" w:hAnsiTheme="minorBidi" w:cstheme="minorBidi"/>
          <w:sz w:val="22"/>
          <w:szCs w:val="22"/>
        </w:rPr>
        <w:t> </w:t>
      </w:r>
    </w:p>
    <w:p w14:paraId="23D30194" w14:textId="77777777" w:rsidR="00D531A6" w:rsidRPr="00E73B6E" w:rsidRDefault="00D531A6" w:rsidP="00EE3D27">
      <w:pPr>
        <w:spacing w:before="240" w:after="240"/>
        <w:rPr>
          <w:rFonts w:ascii="Times New Roman" w:hAnsi="Times New Roman" w:cs="Times New Roman"/>
          <w:sz w:val="24"/>
          <w:szCs w:val="24"/>
        </w:rPr>
      </w:pPr>
    </w:p>
    <w:p w14:paraId="417230EA" w14:textId="77777777" w:rsidR="00D86E8F" w:rsidRDefault="00D86E8F" w:rsidP="00EE3D27">
      <w:pPr>
        <w:spacing w:before="240" w:after="240"/>
        <w:rPr>
          <w:rFonts w:ascii="Times New Roman" w:hAnsi="Times New Roman" w:cs="Times New Roman"/>
          <w:sz w:val="24"/>
          <w:szCs w:val="24"/>
        </w:rPr>
      </w:pPr>
    </w:p>
    <w:p w14:paraId="3398340C" w14:textId="77777777" w:rsidR="003738B9" w:rsidRDefault="003738B9" w:rsidP="00EE3D27">
      <w:pPr>
        <w:spacing w:before="240" w:after="240"/>
        <w:rPr>
          <w:rFonts w:ascii="Times New Roman" w:hAnsi="Times New Roman" w:cs="Times New Roman"/>
          <w:sz w:val="24"/>
          <w:szCs w:val="24"/>
        </w:rPr>
      </w:pPr>
    </w:p>
    <w:p w14:paraId="2AE4009D" w14:textId="77777777" w:rsidR="003738B9" w:rsidRPr="00E73B6E" w:rsidRDefault="003738B9" w:rsidP="00EE3D27">
      <w:pPr>
        <w:spacing w:before="240" w:after="240"/>
        <w:rPr>
          <w:rFonts w:ascii="Times New Roman" w:hAnsi="Times New Roman" w:cs="Times New Roman"/>
          <w:sz w:val="24"/>
          <w:szCs w:val="24"/>
        </w:rPr>
      </w:pPr>
    </w:p>
    <w:p w14:paraId="70F042E2" w14:textId="13A01933" w:rsidR="00D531A6" w:rsidRPr="006D0CD6" w:rsidRDefault="00A97C2A">
      <w:pPr>
        <w:pStyle w:val="Heading1"/>
        <w:numPr>
          <w:ilvl w:val="0"/>
          <w:numId w:val="3"/>
        </w:numPr>
        <w:spacing w:before="240" w:after="240" w:line="360" w:lineRule="auto"/>
        <w:rPr>
          <w:rFonts w:asciiTheme="minorBidi" w:hAnsiTheme="minorBidi" w:cstheme="minorBidi"/>
        </w:rPr>
      </w:pPr>
      <w:bookmarkStart w:id="6" w:name="_Toc232051191"/>
      <w:r w:rsidRPr="006D0CD6">
        <w:rPr>
          <w:rFonts w:asciiTheme="minorBidi" w:hAnsiTheme="minorBidi" w:cstheme="minorBidi"/>
        </w:rPr>
        <w:lastRenderedPageBreak/>
        <w:t xml:space="preserve">Chapter </w:t>
      </w:r>
      <w:r w:rsidR="00D531A6" w:rsidRPr="006D0CD6">
        <w:rPr>
          <w:rFonts w:asciiTheme="minorBidi" w:hAnsiTheme="minorBidi" w:cstheme="minorBidi"/>
        </w:rPr>
        <w:t>2 – Background Information and Analysis</w:t>
      </w:r>
      <w:bookmarkEnd w:id="6"/>
    </w:p>
    <w:p w14:paraId="4C42DA2D" w14:textId="7BE83B49" w:rsidR="00D531A6" w:rsidRPr="00665335" w:rsidRDefault="00D531A6">
      <w:pPr>
        <w:pStyle w:val="Heading2"/>
        <w:numPr>
          <w:ilvl w:val="1"/>
          <w:numId w:val="2"/>
        </w:numPr>
        <w:spacing w:before="240" w:after="240"/>
        <w:jc w:val="left"/>
        <w:rPr>
          <w:rStyle w:val="normaltextrun"/>
          <w:rFonts w:asciiTheme="minorBidi" w:hAnsiTheme="minorBidi" w:cstheme="minorBidi"/>
          <w:b/>
          <w:bCs/>
          <w:color w:val="auto"/>
          <w:sz w:val="28"/>
          <w:szCs w:val="28"/>
        </w:rPr>
      </w:pPr>
      <w:bookmarkStart w:id="7" w:name="_Toc232051192"/>
      <w:r w:rsidRPr="00665335">
        <w:rPr>
          <w:rStyle w:val="normaltextrun"/>
          <w:rFonts w:asciiTheme="minorBidi" w:hAnsiTheme="minorBidi" w:cstheme="minorBidi"/>
          <w:b/>
          <w:bCs/>
          <w:color w:val="auto"/>
          <w:sz w:val="28"/>
          <w:szCs w:val="28"/>
        </w:rPr>
        <w:t>Introduction</w:t>
      </w:r>
      <w:bookmarkEnd w:id="7"/>
    </w:p>
    <w:p w14:paraId="3BB8D6C6"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This chapter includes contextual and general background information, which will inform the dissertation, by outlining inequalities in the context of social, cultural and healthcare settings for ethnic minority populations in the United Kingdom. The chapter explores the history of the NHS's approach to access and equality in healthcare provision, as well as the UK's population becoming more culturally diverse and culturally competent healthcare practices becoming more prominent. Furthermore, the chapter examines the theoretical frameworks, public health issues, policy changes, and current health care issues that are relevant to ethnic minority experiences in health care. The chapter provides broader background to the understanding of cultural barriers and health care access to ethnic minority groups in the UK and the impact these have on health care outcomes.  </w:t>
      </w:r>
      <w:r w:rsidRPr="006D0CD6">
        <w:rPr>
          <w:rStyle w:val="normaltextrun"/>
          <w:rFonts w:asciiTheme="minorBidi" w:hAnsiTheme="minorBidi" w:cstheme="minorBidi"/>
          <w:sz w:val="22"/>
          <w:szCs w:val="22"/>
        </w:rPr>
        <w:t> </w:t>
      </w:r>
      <w:r w:rsidRPr="006D0CD6">
        <w:rPr>
          <w:rStyle w:val="eop"/>
          <w:rFonts w:asciiTheme="minorBidi" w:eastAsia="Calibri Light" w:hAnsiTheme="minorBidi" w:cstheme="minorBidi"/>
          <w:sz w:val="22"/>
          <w:szCs w:val="22"/>
        </w:rPr>
        <w:t>  </w:t>
      </w:r>
    </w:p>
    <w:p w14:paraId="3D144F62" w14:textId="582C6D91" w:rsidR="00D531A6" w:rsidRPr="00AA5C84" w:rsidRDefault="00D531A6">
      <w:pPr>
        <w:pStyle w:val="Heading2"/>
        <w:numPr>
          <w:ilvl w:val="1"/>
          <w:numId w:val="2"/>
        </w:numPr>
        <w:spacing w:before="240" w:after="240"/>
        <w:jc w:val="left"/>
        <w:rPr>
          <w:rStyle w:val="normaltextrun"/>
          <w:color w:val="auto"/>
          <w:sz w:val="28"/>
          <w:szCs w:val="28"/>
        </w:rPr>
      </w:pPr>
      <w:bookmarkStart w:id="8" w:name="_Toc232051193"/>
      <w:r w:rsidRPr="00AA5C84">
        <w:rPr>
          <w:rStyle w:val="normaltextrun"/>
          <w:rFonts w:asciiTheme="minorBidi" w:hAnsiTheme="minorBidi" w:cstheme="minorBidi"/>
          <w:b/>
          <w:bCs/>
          <w:color w:val="auto"/>
          <w:sz w:val="28"/>
          <w:szCs w:val="28"/>
        </w:rPr>
        <w:t>Historical Background</w:t>
      </w:r>
      <w:bookmarkEnd w:id="8"/>
    </w:p>
    <w:p w14:paraId="4F363A31" w14:textId="77777777" w:rsidR="00D531A6" w:rsidRPr="006D0CD6" w:rsidRDefault="00D531A6" w:rsidP="00BE5950">
      <w:pPr>
        <w:spacing w:before="240" w:after="240"/>
        <w:jc w:val="left"/>
        <w:rPr>
          <w:rFonts w:asciiTheme="minorBidi" w:hAnsiTheme="minorBidi"/>
        </w:rPr>
      </w:pPr>
      <w:r w:rsidRPr="006D0CD6">
        <w:rPr>
          <w:rFonts w:asciiTheme="minorBidi" w:hAnsiTheme="minorBidi"/>
        </w:rPr>
        <w:t>The inequalities in the UK between ethnic minority groups have been created over many years of social, political and institutional transformation. The creation of the National Health Service in 1948 was a significant milestone in the history of the healthcare system in Great Britain, as it was established on the premise of giving universal healthcare free at the point of utilization (Clement, 2023). However commitment to equality has not been realised in the delivery of health care services to all communities. After World War 2, the UK faced a shortage of labour following large-scale migration by South Asians, Africans and Caribbean people in the 1950s and 1960s (BBC, 2024). The ethnic minority population in England and Wales made up about 18% of the population at the 2021 Census, highlighting a profound demographic shift in British society (ONS, 2023). Yet historically, healthcare systems continued to be predominantly around the cultural norms and modes of communication of white British people, creating access challenges for minorities.</w:t>
      </w:r>
    </w:p>
    <w:p w14:paraId="6E63509A" w14:textId="77777777" w:rsidR="00D531A6" w:rsidRPr="006D0CD6" w:rsidRDefault="00D531A6" w:rsidP="00BE5950">
      <w:pPr>
        <w:spacing w:before="240" w:after="240"/>
        <w:jc w:val="left"/>
        <w:rPr>
          <w:rFonts w:asciiTheme="minorBidi" w:hAnsiTheme="minorBidi"/>
        </w:rPr>
      </w:pPr>
      <w:r w:rsidRPr="006D0CD6">
        <w:rPr>
          <w:rFonts w:asciiTheme="minorBidi" w:hAnsiTheme="minorBidi"/>
        </w:rPr>
        <w:t xml:space="preserve">A number of historical events have brought structural inequalities to the fore in healthcare provision. The ethnic health inequalities which were exposed during the COVID-19 pandemic are, for instance, in early 2020, Black African men were around three and a half times more likely to die of COVID-19 than White British men (LSE, 2026). Likewise, the Black Report of 1981 was one of the first major government reports to highlight the longstanding health inequalities associated with social and economic disadvantage in the UK, but many of its recommendations were not translated into practice (UK Parliament, </w:t>
      </w:r>
      <w:r w:rsidRPr="006D0CD6">
        <w:rPr>
          <w:rFonts w:asciiTheme="minorBidi" w:hAnsiTheme="minorBidi"/>
        </w:rPr>
        <w:lastRenderedPageBreak/>
        <w:t>2025). Since then, organisations including the NHS England and the World Health Organisation have played a major role in raising awareness of health equity, cultural competence and patient-centred care. The implementation of policies like the Equality Act 2010 made it even stronger to protect against racial discrimination in health care organisations (NHS England, 2025). However, reforms in healthcare have paid more attention to rhetoric than to real implementation, with ethnic minority groups still reporting worse experiences of health care, problems with communication and unequal access to preventative health care services.  </w:t>
      </w:r>
      <w:r w:rsidRPr="006D0CD6">
        <w:rPr>
          <w:rStyle w:val="eop"/>
          <w:rFonts w:asciiTheme="minorBidi" w:eastAsia="Calibri Light" w:hAnsiTheme="minorBidi"/>
        </w:rPr>
        <w:t>   </w:t>
      </w:r>
    </w:p>
    <w:p w14:paraId="731805E0" w14:textId="588F75A9" w:rsidR="00D531A6" w:rsidRPr="0073524D" w:rsidRDefault="00D531A6">
      <w:pPr>
        <w:pStyle w:val="Heading2"/>
        <w:numPr>
          <w:ilvl w:val="1"/>
          <w:numId w:val="2"/>
        </w:numPr>
        <w:spacing w:before="240" w:after="240"/>
        <w:jc w:val="left"/>
        <w:rPr>
          <w:rFonts w:asciiTheme="minorBidi" w:hAnsiTheme="minorBidi" w:cstheme="minorBidi"/>
          <w:b/>
          <w:bCs/>
          <w:color w:val="auto"/>
          <w:sz w:val="28"/>
          <w:szCs w:val="28"/>
        </w:rPr>
      </w:pPr>
      <w:bookmarkStart w:id="9" w:name="_Toc232051194"/>
      <w:r w:rsidRPr="0073524D">
        <w:rPr>
          <w:rStyle w:val="normaltextrun"/>
          <w:rFonts w:asciiTheme="minorBidi" w:hAnsiTheme="minorBidi" w:cstheme="minorBidi"/>
          <w:b/>
          <w:bCs/>
          <w:color w:val="auto"/>
          <w:sz w:val="28"/>
          <w:szCs w:val="28"/>
        </w:rPr>
        <w:t>Theoretical Background</w:t>
      </w:r>
      <w:bookmarkEnd w:id="9"/>
    </w:p>
    <w:p w14:paraId="7BA64BCC" w14:textId="77777777" w:rsidR="00D531A6" w:rsidRPr="006D0CD6" w:rsidRDefault="00D531A6">
      <w:pPr>
        <w:pStyle w:val="paragraph"/>
        <w:numPr>
          <w:ilvl w:val="0"/>
          <w:numId w:val="4"/>
        </w:numPr>
        <w:spacing w:before="240" w:beforeAutospacing="0" w:after="240" w:afterAutospacing="0" w:line="360" w:lineRule="auto"/>
        <w:textAlignment w:val="baseline"/>
        <w:rPr>
          <w:rFonts w:asciiTheme="minorBidi" w:hAnsiTheme="minorBidi" w:cstheme="minorBidi"/>
          <w:b/>
          <w:bCs/>
          <w:sz w:val="22"/>
          <w:szCs w:val="22"/>
        </w:rPr>
      </w:pPr>
      <w:r w:rsidRPr="006D0CD6">
        <w:rPr>
          <w:rFonts w:asciiTheme="minorBidi" w:hAnsiTheme="minorBidi" w:cstheme="minorBidi"/>
          <w:b/>
          <w:bCs/>
          <w:sz w:val="22"/>
          <w:szCs w:val="22"/>
        </w:rPr>
        <w:t>Health Inequality and Social Determinants of Health Theory</w:t>
      </w:r>
    </w:p>
    <w:p w14:paraId="35B6C0D4"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The Social Determinants of Health theory by the World Health Organization (WHO) is one of the primary theories that underpins this research. The theory suggests that social and economic factors like income level, education attainment, housing and discrimination have an impact on health, not just biological factors (Braveman and Gottlieb, 2014). This theory also accounts for the poor health indicators of ethnic minorities in the United Kingdom, where everyone is supplied with health care via the National Health Service. Structural inequalities in health and social care were reported as Black African men were around 3.5 times more likely to die from COVID-19 than White British men during the pandemic (Croxford, 2020). While the theory does a good job at explaining systemic disadvantage, it has been criticized for not adequately considering individual cultural beliefs and healthcare behaviours.</w:t>
      </w:r>
    </w:p>
    <w:p w14:paraId="3F105843" w14:textId="77777777" w:rsidR="00D531A6" w:rsidRPr="006D0CD6" w:rsidRDefault="00D531A6">
      <w:pPr>
        <w:pStyle w:val="paragraph"/>
        <w:numPr>
          <w:ilvl w:val="0"/>
          <w:numId w:val="4"/>
        </w:numPr>
        <w:spacing w:before="240" w:beforeAutospacing="0" w:after="240" w:afterAutospacing="0" w:line="360" w:lineRule="auto"/>
        <w:textAlignment w:val="baseline"/>
        <w:rPr>
          <w:rFonts w:asciiTheme="minorBidi" w:hAnsiTheme="minorBidi" w:cstheme="minorBidi"/>
          <w:b/>
          <w:bCs/>
          <w:sz w:val="22"/>
          <w:szCs w:val="22"/>
        </w:rPr>
      </w:pPr>
      <w:r w:rsidRPr="006D0CD6">
        <w:rPr>
          <w:rFonts w:asciiTheme="minorBidi" w:hAnsiTheme="minorBidi" w:cstheme="minorBidi"/>
          <w:b/>
          <w:bCs/>
          <w:sz w:val="22"/>
          <w:szCs w:val="22"/>
        </w:rPr>
        <w:t>Cultural Competence Theory</w:t>
      </w:r>
    </w:p>
    <w:p w14:paraId="7116D49C"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 xml:space="preserve">Another important theory that is relevant to this dissertation is the Cultural Competence Theory. It posits that healthcare practitioners need to be knowledgeable, aware and skilled in communicating with patients of different cultures. Cultural competence involves being familiar with other people's health beliefs, religious practices, communication styles, and expectations for health care treatment (Swihart, Martin and </w:t>
      </w:r>
      <w:proofErr w:type="spellStart"/>
      <w:r w:rsidRPr="006D0CD6">
        <w:rPr>
          <w:rFonts w:asciiTheme="minorBidi" w:hAnsiTheme="minorBidi" w:cstheme="minorBidi"/>
          <w:sz w:val="22"/>
          <w:szCs w:val="22"/>
        </w:rPr>
        <w:t>Yarrarapu</w:t>
      </w:r>
      <w:proofErr w:type="spellEnd"/>
      <w:r w:rsidRPr="006D0CD6">
        <w:rPr>
          <w:rFonts w:asciiTheme="minorBidi" w:hAnsiTheme="minorBidi" w:cstheme="minorBidi"/>
          <w:sz w:val="22"/>
          <w:szCs w:val="22"/>
        </w:rPr>
        <w:t>, 2023). This approach has been widely adopted in the health sector to account for poor communication and mistrust between ethnic minority patients and health care providers. Research exploring experiences of maternity care in the UK identified issues of cultural insensitivity and language barriers during consultations, causing women from South Asian and Black communities to feel misunderstood or ignored (Healthwatch, 2024). In addition, NHS England launched cultural competence training programmes to enhance care that is patient-</w:t>
      </w:r>
      <w:r w:rsidRPr="006D0CD6">
        <w:rPr>
          <w:rFonts w:asciiTheme="minorBidi" w:hAnsiTheme="minorBidi" w:cstheme="minorBidi"/>
          <w:sz w:val="22"/>
          <w:szCs w:val="22"/>
        </w:rPr>
        <w:lastRenderedPageBreak/>
        <w:t>centred and to address inequalities in health (NHS England, 2025b). Although Cultural Competence Theory holds great significance, there are also criticisms that it may be too superficial to acknowledge all the nuances of culture and that it can lead to stereotyping if it is based on the assumption that all members of a particular ethnic group have the same beliefs and expectations about health and health care. Now some scholars believe that a more appropriate term is “cultural humility,” which is based on the idea of ongoing learning and self-reflection among health care providers (Yeager and Bauer-Wu, 2013).</w:t>
      </w:r>
    </w:p>
    <w:p w14:paraId="13E74F73" w14:textId="77777777" w:rsidR="00D531A6" w:rsidRPr="006D0CD6" w:rsidRDefault="00D531A6">
      <w:pPr>
        <w:pStyle w:val="paragraph"/>
        <w:numPr>
          <w:ilvl w:val="0"/>
          <w:numId w:val="4"/>
        </w:numPr>
        <w:spacing w:before="240" w:beforeAutospacing="0" w:after="240" w:afterAutospacing="0" w:line="360" w:lineRule="auto"/>
        <w:textAlignment w:val="baseline"/>
        <w:rPr>
          <w:rFonts w:asciiTheme="minorBidi" w:hAnsiTheme="minorBidi" w:cstheme="minorBidi"/>
          <w:b/>
          <w:bCs/>
          <w:sz w:val="22"/>
          <w:szCs w:val="22"/>
        </w:rPr>
      </w:pPr>
      <w:r w:rsidRPr="006D0CD6">
        <w:rPr>
          <w:rFonts w:asciiTheme="minorBidi" w:hAnsiTheme="minorBidi" w:cstheme="minorBidi"/>
          <w:b/>
          <w:bCs/>
          <w:sz w:val="22"/>
          <w:szCs w:val="22"/>
        </w:rPr>
        <w:t>Application of Health Belief Model and Theory</w:t>
      </w:r>
    </w:p>
    <w:p w14:paraId="2BDF9C1C"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The Health Belief Model (HBM) is used to understand the relationship between beliefs and healthcare behaviours and the use of healthcare services (</w:t>
      </w:r>
      <w:proofErr w:type="spellStart"/>
      <w:r w:rsidRPr="006D0CD6">
        <w:rPr>
          <w:rFonts w:asciiTheme="minorBidi" w:hAnsiTheme="minorBidi" w:cstheme="minorBidi"/>
          <w:sz w:val="22"/>
          <w:szCs w:val="22"/>
        </w:rPr>
        <w:t>Alyafei</w:t>
      </w:r>
      <w:proofErr w:type="spellEnd"/>
      <w:r w:rsidRPr="006D0CD6">
        <w:rPr>
          <w:rFonts w:asciiTheme="minorBidi" w:hAnsiTheme="minorBidi" w:cstheme="minorBidi"/>
          <w:sz w:val="22"/>
          <w:szCs w:val="22"/>
        </w:rPr>
        <w:t xml:space="preserve"> and Carr, 2024). It is theorized that people are more likely to seek care when they think they are at risk for getting sick and when they think the benefits of care are greater than the barriers to care. The model has been extensively used in research on uptake of vaccinations among ethnically diverse populations in the UK and for preventive health services in general. Minority groups had lower levels of participation in mental health services and cancer screening because of a lack of trust, fear, and health literacy (Cotterill, 2022). While the model provides insights into healthcare decision-making, critics suggest that it has been limited in its attention to the individual and failed to address broader structural determinants of health, like discrimination and unequal access to health services.</w:t>
      </w:r>
      <w:r w:rsidRPr="006D0CD6">
        <w:rPr>
          <w:rStyle w:val="eop"/>
          <w:rFonts w:asciiTheme="minorBidi" w:eastAsia="Calibri Light" w:hAnsiTheme="minorBidi" w:cstheme="minorBidi"/>
          <w:sz w:val="22"/>
          <w:szCs w:val="22"/>
        </w:rPr>
        <w:t> </w:t>
      </w:r>
    </w:p>
    <w:p w14:paraId="3C74B3E4" w14:textId="4A9B2A93" w:rsidR="00D531A6" w:rsidRPr="009A5810" w:rsidRDefault="00D531A6">
      <w:pPr>
        <w:pStyle w:val="Heading2"/>
        <w:numPr>
          <w:ilvl w:val="1"/>
          <w:numId w:val="2"/>
        </w:numPr>
        <w:spacing w:before="240" w:after="240"/>
        <w:jc w:val="left"/>
        <w:rPr>
          <w:rFonts w:asciiTheme="minorBidi" w:hAnsiTheme="minorBidi" w:cstheme="minorBidi"/>
          <w:b/>
          <w:bCs/>
          <w:color w:val="auto"/>
          <w:sz w:val="28"/>
          <w:szCs w:val="28"/>
        </w:rPr>
      </w:pPr>
      <w:bookmarkStart w:id="10" w:name="_Toc232051195"/>
      <w:r w:rsidRPr="009A5810">
        <w:rPr>
          <w:rStyle w:val="normaltextrun"/>
          <w:rFonts w:asciiTheme="minorBidi" w:hAnsiTheme="minorBidi" w:cstheme="minorBidi"/>
          <w:b/>
          <w:bCs/>
          <w:color w:val="auto"/>
          <w:sz w:val="28"/>
          <w:szCs w:val="28"/>
        </w:rPr>
        <w:t>International Context</w:t>
      </w:r>
      <w:bookmarkEnd w:id="10"/>
    </w:p>
    <w:p w14:paraId="642603DF"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Ethnic minority inequalities in health are acknowledged as a global public health problem, not just a UK problem. There are still many countries that have cultural differences that still have those communities having unequal access to the health care system, a lack of understanding of how to communicate with, be treated by, and how they are treated, and health outcomes in relation to the majority culture (Ramšak et al., 2023). The World Health Organization (WHO) reports that minority groups and socially disadvantaged populations around the world are at greater risk of suffering from chronic disease, late diagnosis, and limited use of preventive health services (WHO, 2025). Debates around culturally inclusive health care systems, the role of interpreters and equitable provision of health care have been further exacerbated by increasing global migration. As a result, cultural competence, patient-centred approaches, and equality in healthcare are now a major focus of international healthcare organisations in public health policies.</w:t>
      </w:r>
    </w:p>
    <w:p w14:paraId="216F7E3F" w14:textId="58515F0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lastRenderedPageBreak/>
        <w:t>Various countries have had differing strategies for dealing with ethnic health inequalities. Canada and Australia have implemented multicultural healthcare policies that incorporate interpreter services, cultural sensitivity training, and community engagement initiatives into the healthcare system (Chauhan et al., 2021). The multilingual healthcare support and culturally responsive care are of major importance in Canada, where about 23% of the population was born abroad (</w:t>
      </w:r>
      <w:proofErr w:type="spellStart"/>
      <w:r w:rsidRPr="006D0CD6">
        <w:rPr>
          <w:rFonts w:asciiTheme="minorBidi" w:hAnsiTheme="minorBidi" w:cstheme="minorBidi"/>
          <w:sz w:val="22"/>
          <w:szCs w:val="22"/>
        </w:rPr>
        <w:t>Zghal</w:t>
      </w:r>
      <w:proofErr w:type="spellEnd"/>
      <w:r w:rsidRPr="006D0CD6">
        <w:rPr>
          <w:rFonts w:asciiTheme="minorBidi" w:hAnsiTheme="minorBidi" w:cstheme="minorBidi"/>
          <w:sz w:val="22"/>
          <w:szCs w:val="22"/>
        </w:rPr>
        <w:t xml:space="preserve"> et al., 2020). Australia has created the National Aboriginal and Torres Strait Islander Health Plan, which addresses the long-term indigenous health issues (Health.gov., 2020). At the same time, the United States still suffers from significant disparities in health care, as a result of </w:t>
      </w:r>
      <w:proofErr w:type="spellStart"/>
      <w:r w:rsidRPr="006D0CD6">
        <w:rPr>
          <w:rFonts w:asciiTheme="minorBidi" w:hAnsiTheme="minorBidi" w:cstheme="minorBidi"/>
          <w:sz w:val="22"/>
          <w:szCs w:val="22"/>
        </w:rPr>
        <w:t>it’s</w:t>
      </w:r>
      <w:proofErr w:type="spellEnd"/>
      <w:r w:rsidRPr="006D0CD6">
        <w:rPr>
          <w:rFonts w:asciiTheme="minorBidi" w:hAnsiTheme="minorBidi" w:cstheme="minorBidi"/>
          <w:sz w:val="22"/>
          <w:szCs w:val="22"/>
        </w:rPr>
        <w:t xml:space="preserve"> healthcare system that relies primarily on insurance. The </w:t>
      </w:r>
      <w:r w:rsidR="0069105A" w:rsidRPr="006D0CD6">
        <w:rPr>
          <w:rFonts w:asciiTheme="minorBidi" w:hAnsiTheme="minorBidi" w:cstheme="minorBidi"/>
          <w:sz w:val="22"/>
          <w:szCs w:val="22"/>
        </w:rPr>
        <w:t>Centres</w:t>
      </w:r>
      <w:r w:rsidRPr="006D0CD6">
        <w:rPr>
          <w:rFonts w:asciiTheme="minorBidi" w:hAnsiTheme="minorBidi" w:cstheme="minorBidi"/>
          <w:sz w:val="22"/>
          <w:szCs w:val="22"/>
        </w:rPr>
        <w:t xml:space="preserve"> for Disease Control and Prevention found Black Americans are significantly more likely to have hypertension, diabetes and maternal mortality than White Americans (CDC, 2024). These disparities have become even more pronounced in the COVID-19 pandemic, when minority populations worldwide were at a higher risk for infection and death.</w:t>
      </w:r>
    </w:p>
    <w:p w14:paraId="4D4AF082" w14:textId="4F633775"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 xml:space="preserve">There are a number of international case studies of both successes and continuing issues. In New Zealand, culturally inclusive health services for Māori communities have been achieved by the engagement of Māori-based organisations and healthcare providers, which has increased healthcare participation and trust among Māori (Ministry of Health NZ, 2026). But world's health care policies are still not fully geared towards </w:t>
      </w:r>
      <w:r w:rsidR="0069105A" w:rsidRPr="006D0CD6">
        <w:rPr>
          <w:rFonts w:asciiTheme="minorBidi" w:hAnsiTheme="minorBidi" w:cstheme="minorBidi"/>
          <w:sz w:val="22"/>
          <w:szCs w:val="22"/>
        </w:rPr>
        <w:t>implementation but</w:t>
      </w:r>
      <w:r w:rsidRPr="006D0CD6">
        <w:rPr>
          <w:rFonts w:asciiTheme="minorBidi" w:hAnsiTheme="minorBidi" w:cstheme="minorBidi"/>
          <w:sz w:val="22"/>
          <w:szCs w:val="22"/>
        </w:rPr>
        <w:t xml:space="preserve"> are still more geared towards policy creation. Although the world has agreed to provide equal healthcare, ethnic minorities in many nations still claim to face discrimination, mistrust, language barriers and inequalities in healthcare (</w:t>
      </w:r>
      <w:proofErr w:type="spellStart"/>
      <w:r w:rsidRPr="006D0CD6">
        <w:rPr>
          <w:rFonts w:asciiTheme="minorBidi" w:hAnsiTheme="minorBidi" w:cstheme="minorBidi"/>
          <w:sz w:val="22"/>
          <w:szCs w:val="22"/>
        </w:rPr>
        <w:t>Hayanga</w:t>
      </w:r>
      <w:proofErr w:type="spellEnd"/>
      <w:r w:rsidRPr="006D0CD6">
        <w:rPr>
          <w:rFonts w:asciiTheme="minorBidi" w:hAnsiTheme="minorBidi" w:cstheme="minorBidi"/>
          <w:sz w:val="22"/>
          <w:szCs w:val="22"/>
        </w:rPr>
        <w:t xml:space="preserve">, Stafford and </w:t>
      </w:r>
      <w:proofErr w:type="spellStart"/>
      <w:r w:rsidRPr="006D0CD6">
        <w:rPr>
          <w:rFonts w:asciiTheme="minorBidi" w:hAnsiTheme="minorBidi" w:cstheme="minorBidi"/>
          <w:sz w:val="22"/>
          <w:szCs w:val="22"/>
        </w:rPr>
        <w:t>Bécares</w:t>
      </w:r>
      <w:proofErr w:type="spellEnd"/>
      <w:r w:rsidRPr="006D0CD6">
        <w:rPr>
          <w:rFonts w:asciiTheme="minorBidi" w:hAnsiTheme="minorBidi" w:cstheme="minorBidi"/>
          <w:sz w:val="22"/>
          <w:szCs w:val="22"/>
        </w:rPr>
        <w:t>, 2021). This indicates that inequality in health services is a complicated cross-border problem that calls for the improvement of health services and their responsiveness to the cultural needs of those who use them.</w:t>
      </w:r>
    </w:p>
    <w:p w14:paraId="4EF978DA" w14:textId="689A27AA" w:rsidR="00D531A6" w:rsidRPr="0069105A" w:rsidRDefault="00D531A6">
      <w:pPr>
        <w:pStyle w:val="Heading2"/>
        <w:numPr>
          <w:ilvl w:val="1"/>
          <w:numId w:val="2"/>
        </w:numPr>
        <w:spacing w:before="240" w:after="240"/>
        <w:jc w:val="left"/>
        <w:rPr>
          <w:rFonts w:asciiTheme="minorBidi" w:hAnsiTheme="minorBidi" w:cstheme="minorBidi"/>
          <w:b/>
          <w:bCs/>
          <w:color w:val="auto"/>
          <w:sz w:val="28"/>
          <w:szCs w:val="28"/>
        </w:rPr>
      </w:pPr>
      <w:bookmarkStart w:id="11" w:name="_Toc232051196"/>
      <w:r w:rsidRPr="0069105A">
        <w:rPr>
          <w:rStyle w:val="normaltextrun"/>
          <w:rFonts w:asciiTheme="minorBidi" w:hAnsiTheme="minorBidi" w:cstheme="minorBidi"/>
          <w:b/>
          <w:bCs/>
          <w:color w:val="auto"/>
          <w:sz w:val="28"/>
          <w:szCs w:val="28"/>
        </w:rPr>
        <w:t>National/Local UK Context</w:t>
      </w:r>
      <w:bookmarkEnd w:id="11"/>
    </w:p>
    <w:p w14:paraId="539E23ED"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 xml:space="preserve">Inequalities in the health of ethnic minority groups have grown to be a major public health issue in the UK. While the National Health Service is based on equality of access to healthcare, evidence suggests inequalities continue to exist between minorities and the majority in the experiences and outcomes of the health service (Salway et al., 2016). The 2021 Census, carried out by the Office for National Statistics, shows that there are around 18% of people in England and Wales who identify as ethnic minorities, making culturally inclusive healthcare services more important (ONS, 2021). But there are continuing challenges that have been seen, such as language problems and health literacy, distrust of </w:t>
      </w:r>
      <w:r w:rsidRPr="006D0CD6">
        <w:rPr>
          <w:rFonts w:asciiTheme="minorBidi" w:hAnsiTheme="minorBidi" w:cstheme="minorBidi"/>
          <w:sz w:val="22"/>
          <w:szCs w:val="22"/>
        </w:rPr>
        <w:lastRenderedPageBreak/>
        <w:t>healthcare providers and discrimination in healthcare settings. The UK has been exposed to long-term inequalities in healthcare access and living conditions during the COVID-19 pandemic, with consistently greater numbers of deaths and hospitalisations among ethnic minority groups (LSE, 2026). Ethnic minority populations in larger areas were around 29% less likely to have a GP on their books per 100,000 people, which could be affecting the equality of access to primary care services and wait times (</w:t>
      </w:r>
      <w:proofErr w:type="spellStart"/>
      <w:r w:rsidRPr="006D0CD6">
        <w:rPr>
          <w:rFonts w:asciiTheme="minorBidi" w:hAnsiTheme="minorBidi" w:cstheme="minorBidi"/>
          <w:sz w:val="22"/>
          <w:szCs w:val="22"/>
        </w:rPr>
        <w:t>Maternityaction</w:t>
      </w:r>
      <w:proofErr w:type="spellEnd"/>
      <w:r w:rsidRPr="006D0CD6">
        <w:rPr>
          <w:rFonts w:asciiTheme="minorBidi" w:hAnsiTheme="minorBidi" w:cstheme="minorBidi"/>
          <w:sz w:val="22"/>
          <w:szCs w:val="22"/>
        </w:rPr>
        <w:t>, 2026).</w:t>
      </w:r>
    </w:p>
    <w:p w14:paraId="74D5280A" w14:textId="77777777"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There are a number of national policies and legislation that have been enacted to tackle inequalities in the healthcare sector and enhance equality in the delivery of healthcare. The Equality Act 2010 ensures that people are not discriminated against on the basis of their racial group in health and social care services and in public services (GOV.UK, 2013). The NHS Long Term Plan highlights the importance of reducing inequalities in health and improving personalised care for diverse communities. Furthermore, NHS England launched cultural competence training and interpreter services to enhance the communication between the healthcare workers and patients belonging to various cultures (Hulme et al., 2023). The Patient and Carer Race Equality Framework is one of the policies that has been introduced to increase ethnic equity in mental health services (ELFT, 2025). However, these policies fail to actually tackle structural inequalities and workforce shortages, and that too much emphasis is placed on equality targets and policy statements. Some existing interventions have proven to be less effective, as revealed by ongoing reports of disparities in access to and uptake of preventive health services, such as cancer screening and mental health care, among ethnic minority patients (Richardson-Parry et al., 2023).</w:t>
      </w:r>
    </w:p>
    <w:p w14:paraId="306E0BE2" w14:textId="26D7CB4A" w:rsidR="00D531A6" w:rsidRPr="006D0CD6" w:rsidRDefault="00D531A6" w:rsidP="00BE5950">
      <w:pPr>
        <w:pStyle w:val="paragraph"/>
        <w:spacing w:before="240" w:beforeAutospacing="0" w:after="240" w:afterAutospacing="0" w:line="360" w:lineRule="auto"/>
        <w:textAlignment w:val="baseline"/>
        <w:rPr>
          <w:rFonts w:asciiTheme="minorBidi" w:hAnsiTheme="minorBidi" w:cstheme="minorBidi"/>
          <w:sz w:val="22"/>
          <w:szCs w:val="22"/>
        </w:rPr>
      </w:pPr>
      <w:r w:rsidRPr="006D0CD6">
        <w:rPr>
          <w:rFonts w:asciiTheme="minorBidi" w:hAnsiTheme="minorBidi" w:cstheme="minorBidi"/>
          <w:sz w:val="22"/>
          <w:szCs w:val="22"/>
        </w:rPr>
        <w:t xml:space="preserve">In the local area, there are also pockets of differences in access to healthcare around the UK. Large cities like London, Birmingham and Manchester tend to offer a wider range of interpreter services, community outreach programmes and </w:t>
      </w:r>
      <w:r w:rsidR="00064CD6" w:rsidRPr="006D0CD6">
        <w:rPr>
          <w:rFonts w:asciiTheme="minorBidi" w:hAnsiTheme="minorBidi" w:cstheme="minorBidi"/>
          <w:sz w:val="22"/>
          <w:szCs w:val="22"/>
        </w:rPr>
        <w:t>culturally sensitive</w:t>
      </w:r>
      <w:r w:rsidRPr="006D0CD6">
        <w:rPr>
          <w:rFonts w:asciiTheme="minorBidi" w:hAnsiTheme="minorBidi" w:cstheme="minorBidi"/>
          <w:sz w:val="22"/>
          <w:szCs w:val="22"/>
        </w:rPr>
        <w:t xml:space="preserve"> health services, due to their multicultural communities (MLM, 2026). The multilingual nature of some NHS Trusts in London can also be seen as a successful practice to boost vaccination uptake due to low uptake rates during the COVID-19 pandemic (Vilar-Lluch et al., 2023). Access to healthcare is patchy in deprived local areas, however, because of GP shortages and funding strains, and the uneven distribution of healthcare resources (Barlow et al., 2021). Ethnic minority patients in some areas still report that they are unable to communicate with their healthcare providers and feel less satisfied with their experiences of care than White British patients. The regional disparities highlight that whilst national policy attempts to ensure equality in healthcare, culturally inclusive healthcare practice may be implemented and effective in different ways across local healthcare systems in the UK.</w:t>
      </w:r>
      <w:r w:rsidRPr="006D0CD6">
        <w:rPr>
          <w:rStyle w:val="eop"/>
          <w:rFonts w:asciiTheme="minorBidi" w:eastAsia="Calibri Light" w:hAnsiTheme="minorBidi" w:cstheme="minorBidi"/>
          <w:sz w:val="22"/>
          <w:szCs w:val="22"/>
        </w:rPr>
        <w:t> </w:t>
      </w:r>
    </w:p>
    <w:p w14:paraId="08CAA782" w14:textId="4F74DA85" w:rsidR="00D531A6" w:rsidRPr="00F0764B" w:rsidRDefault="00D531A6">
      <w:pPr>
        <w:pStyle w:val="Heading2"/>
        <w:numPr>
          <w:ilvl w:val="1"/>
          <w:numId w:val="2"/>
        </w:numPr>
        <w:spacing w:before="240" w:after="240"/>
        <w:jc w:val="left"/>
        <w:rPr>
          <w:rFonts w:asciiTheme="minorBidi" w:hAnsiTheme="minorBidi" w:cstheme="minorBidi"/>
          <w:b/>
          <w:bCs/>
          <w:color w:val="auto"/>
          <w:sz w:val="28"/>
          <w:szCs w:val="28"/>
        </w:rPr>
      </w:pPr>
      <w:bookmarkStart w:id="12" w:name="_Toc232051197"/>
      <w:r w:rsidRPr="00F0764B">
        <w:rPr>
          <w:rStyle w:val="normaltextrun"/>
          <w:rFonts w:asciiTheme="minorBidi" w:hAnsiTheme="minorBidi" w:cstheme="minorBidi"/>
          <w:b/>
          <w:bCs/>
          <w:color w:val="auto"/>
          <w:sz w:val="28"/>
          <w:szCs w:val="28"/>
        </w:rPr>
        <w:lastRenderedPageBreak/>
        <w:t>Conclusion</w:t>
      </w:r>
      <w:bookmarkEnd w:id="12"/>
    </w:p>
    <w:p w14:paraId="466B0331" w14:textId="6ACCD20E" w:rsidR="000D0641" w:rsidRPr="006D0CD6" w:rsidRDefault="00D531A6" w:rsidP="00BE5950">
      <w:pPr>
        <w:spacing w:before="240" w:after="240"/>
        <w:jc w:val="left"/>
        <w:rPr>
          <w:rFonts w:asciiTheme="minorBidi" w:eastAsia="Times New Roman" w:hAnsiTheme="minorBidi"/>
          <w:kern w:val="0"/>
          <w14:ligatures w14:val="none"/>
        </w:rPr>
      </w:pPr>
      <w:r w:rsidRPr="006D0CD6">
        <w:rPr>
          <w:rFonts w:asciiTheme="minorBidi" w:eastAsia="Times New Roman" w:hAnsiTheme="minorBidi"/>
          <w:kern w:val="0"/>
          <w14:ligatures w14:val="none"/>
        </w:rPr>
        <w:t>The wider context and background of health inequalities that ethnic minority groups might face in the UK were explored in this chapter. The historical development of healthcare inequality, key theoretical perspectives, international approaches to healthcare, and national and local policies and practices in the UK relating to cultural barriers and access to healthcare were discussed. The chapter pointed out that although the National Health Service's principles focus on universal health care, ethnic minority groups remain underrepresented in health care, have communication barriers, and are less likely to receive quality health care. The methodology for the research conducted in this dissertation will be explained in the following chapter, including the research design, data collection and analysis strategies to investigate cultural barriers to access to healthcare in the UK.</w:t>
      </w:r>
    </w:p>
    <w:p w14:paraId="5DDAF423" w14:textId="77777777" w:rsidR="000D0641" w:rsidRPr="00E73B6E" w:rsidRDefault="000D0641" w:rsidP="00EE3D27">
      <w:pPr>
        <w:spacing w:before="240" w:after="240"/>
      </w:pPr>
    </w:p>
    <w:p w14:paraId="0775F236" w14:textId="77777777" w:rsidR="00292A36" w:rsidRPr="00E73B6E" w:rsidRDefault="00292A36" w:rsidP="00EE3D27">
      <w:pPr>
        <w:spacing w:before="240" w:after="240"/>
      </w:pPr>
    </w:p>
    <w:p w14:paraId="360ADA1A" w14:textId="77777777" w:rsidR="00292A36" w:rsidRPr="00E73B6E" w:rsidRDefault="00292A36" w:rsidP="00EE3D27">
      <w:pPr>
        <w:spacing w:before="240" w:after="240"/>
      </w:pPr>
    </w:p>
    <w:p w14:paraId="4E2D256A" w14:textId="77777777" w:rsidR="00880B2D" w:rsidRPr="00E73B6E" w:rsidRDefault="00880B2D" w:rsidP="00EE3D27">
      <w:pPr>
        <w:spacing w:before="240" w:after="240"/>
      </w:pPr>
    </w:p>
    <w:p w14:paraId="0A075791" w14:textId="77777777" w:rsidR="00880B2D" w:rsidRPr="00E73B6E" w:rsidRDefault="00880B2D" w:rsidP="00EE3D27">
      <w:pPr>
        <w:spacing w:before="240" w:after="240"/>
      </w:pPr>
    </w:p>
    <w:p w14:paraId="407ABDAE" w14:textId="4F32BB8B" w:rsidR="00880B2D" w:rsidRPr="00E73B6E" w:rsidRDefault="00880B2D" w:rsidP="00EE3D27">
      <w:pPr>
        <w:spacing w:before="240" w:after="240"/>
        <w:sectPr w:rsidR="00880B2D" w:rsidRPr="00E73B6E">
          <w:footerReference w:type="default" r:id="rId9"/>
          <w:pgSz w:w="11906" w:h="16838"/>
          <w:pgMar w:top="1440" w:right="1440" w:bottom="1440" w:left="1440" w:header="708" w:footer="708" w:gutter="0"/>
          <w:cols w:space="708"/>
          <w:docGrid w:linePitch="360"/>
        </w:sectPr>
      </w:pPr>
    </w:p>
    <w:p w14:paraId="1DFAFBD2" w14:textId="3AA8EBC1" w:rsidR="00292A36" w:rsidRPr="00C27191" w:rsidRDefault="00705CE5">
      <w:pPr>
        <w:pStyle w:val="Heading1"/>
        <w:numPr>
          <w:ilvl w:val="0"/>
          <w:numId w:val="5"/>
        </w:numPr>
        <w:spacing w:before="240" w:after="240" w:line="360" w:lineRule="auto"/>
        <w:jc w:val="center"/>
        <w:rPr>
          <w:rFonts w:asciiTheme="minorBidi" w:hAnsiTheme="minorBidi" w:cstheme="minorBidi"/>
        </w:rPr>
      </w:pPr>
      <w:bookmarkStart w:id="13" w:name="_Toc232051198"/>
      <w:r w:rsidRPr="00C27191">
        <w:rPr>
          <w:rFonts w:asciiTheme="minorBidi" w:hAnsiTheme="minorBidi" w:cstheme="minorBidi"/>
        </w:rPr>
        <w:lastRenderedPageBreak/>
        <w:t xml:space="preserve">Chapter </w:t>
      </w:r>
      <w:r w:rsidR="00292A36" w:rsidRPr="00C27191">
        <w:rPr>
          <w:rFonts w:asciiTheme="minorBidi" w:hAnsiTheme="minorBidi" w:cstheme="minorBidi"/>
        </w:rPr>
        <w:t xml:space="preserve">3 – </w:t>
      </w:r>
      <w:r w:rsidR="00E325CF" w:rsidRPr="00C27191">
        <w:rPr>
          <w:rFonts w:asciiTheme="minorBidi" w:hAnsiTheme="minorBidi" w:cstheme="minorBidi"/>
        </w:rPr>
        <w:t>Methods and Search Strategy</w:t>
      </w:r>
      <w:bookmarkEnd w:id="13"/>
    </w:p>
    <w:p w14:paraId="5A7AB555" w14:textId="5A743570" w:rsidR="003A66FD" w:rsidRPr="001E7D3B"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14" w:name="_Toc232051199"/>
      <w:r w:rsidRPr="001E7D3B">
        <w:rPr>
          <w:rFonts w:asciiTheme="minorBidi" w:hAnsiTheme="minorBidi" w:cstheme="minorBidi"/>
          <w:b/>
          <w:bCs/>
          <w:color w:val="auto"/>
          <w:sz w:val="28"/>
          <w:szCs w:val="28"/>
        </w:rPr>
        <w:t>Introduction</w:t>
      </w:r>
      <w:bookmarkEnd w:id="14"/>
    </w:p>
    <w:p w14:paraId="6CBC7EFF" w14:textId="5C39DA29" w:rsidR="003A66FD" w:rsidRPr="00C27191" w:rsidRDefault="00AA29CD" w:rsidP="00AB143E">
      <w:pPr>
        <w:spacing w:before="240" w:after="240"/>
        <w:jc w:val="left"/>
        <w:rPr>
          <w:rFonts w:asciiTheme="minorBidi" w:hAnsiTheme="minorBidi"/>
          <w:lang w:eastAsia="en-US"/>
        </w:rPr>
      </w:pPr>
      <w:r w:rsidRPr="00C27191">
        <w:rPr>
          <w:rFonts w:asciiTheme="minorBidi" w:hAnsiTheme="minorBidi"/>
          <w:lang w:eastAsia="en-US"/>
        </w:rPr>
        <w:t xml:space="preserve">This chapter describes the methodology and search strategy that were employed to carry out this dissertation in a desk-based and literature-based approach. This study is a secondary study, meaning that it does not involve the collection of primary data, but only secondary data from academic literature, NHS reports, government publications and public health evidence. This chapter goes into </w:t>
      </w:r>
      <w:r w:rsidR="00133D92" w:rsidRPr="00C27191">
        <w:rPr>
          <w:rFonts w:asciiTheme="minorBidi" w:hAnsiTheme="minorBidi"/>
          <w:lang w:eastAsia="en-US"/>
        </w:rPr>
        <w:t>further</w:t>
      </w:r>
      <w:r w:rsidRPr="00C27191">
        <w:rPr>
          <w:rFonts w:asciiTheme="minorBidi" w:hAnsiTheme="minorBidi"/>
          <w:lang w:eastAsia="en-US"/>
        </w:rPr>
        <w:t xml:space="preserve"> detail on each stage, with the academic methodology poster giving a visual summary of the research process. Their significance is that they inform the selection of a source and the thematic findings for Chapter 4.</w:t>
      </w:r>
    </w:p>
    <w:p w14:paraId="644CE1D2" w14:textId="554FD3BC" w:rsidR="009E5B14" w:rsidRPr="00436212"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15" w:name="_Toc232051200"/>
      <w:r w:rsidRPr="00436212">
        <w:rPr>
          <w:rFonts w:asciiTheme="minorBidi" w:hAnsiTheme="minorBidi" w:cstheme="minorBidi"/>
          <w:b/>
          <w:bCs/>
          <w:color w:val="auto"/>
          <w:sz w:val="28"/>
          <w:szCs w:val="28"/>
        </w:rPr>
        <w:t>Search Strategy</w:t>
      </w:r>
      <w:bookmarkEnd w:id="15"/>
      <w:r w:rsidRPr="00436212">
        <w:rPr>
          <w:rFonts w:asciiTheme="minorBidi" w:hAnsiTheme="minorBidi" w:cstheme="minorBidi"/>
          <w:b/>
          <w:bCs/>
          <w:color w:val="auto"/>
          <w:sz w:val="28"/>
          <w:szCs w:val="28"/>
        </w:rPr>
        <w:t xml:space="preserve"> </w:t>
      </w:r>
    </w:p>
    <w:p w14:paraId="0293381E" w14:textId="24DB1F09" w:rsidR="00D13A82" w:rsidRPr="00C27191" w:rsidRDefault="00A63387" w:rsidP="00AB143E">
      <w:pPr>
        <w:spacing w:before="240" w:after="240"/>
        <w:jc w:val="left"/>
        <w:rPr>
          <w:rFonts w:asciiTheme="minorBidi" w:hAnsiTheme="minorBidi"/>
          <w:lang w:eastAsia="en-US"/>
        </w:rPr>
      </w:pPr>
      <w:r w:rsidRPr="00C27191">
        <w:rPr>
          <w:rFonts w:asciiTheme="minorBidi" w:hAnsiTheme="minorBidi"/>
          <w:lang w:eastAsia="en-US"/>
        </w:rPr>
        <w:t>The search strategy was designed based on the dissertation title and the aim of the research. Main keywords were</w:t>
      </w:r>
      <w:r w:rsidR="00832237" w:rsidRPr="00C27191">
        <w:rPr>
          <w:rFonts w:asciiTheme="minorBidi" w:hAnsiTheme="minorBidi"/>
          <w:lang w:eastAsia="en-US"/>
        </w:rPr>
        <w:t xml:space="preserve"> </w:t>
      </w:r>
      <w:r w:rsidRPr="00C27191">
        <w:rPr>
          <w:rFonts w:asciiTheme="minorBidi" w:hAnsiTheme="minorBidi"/>
          <w:i/>
          <w:iCs/>
          <w:lang w:eastAsia="en-US"/>
        </w:rPr>
        <w:t xml:space="preserve">cultural barriers, ethnic minority groups, NHS inequalities, health literacy, cultural competence, communication between patient and provider, </w:t>
      </w:r>
      <w:r w:rsidRPr="00C27191">
        <w:rPr>
          <w:rFonts w:asciiTheme="minorBidi" w:hAnsiTheme="minorBidi"/>
          <w:lang w:eastAsia="en-US"/>
        </w:rPr>
        <w:t>and</w:t>
      </w:r>
      <w:r w:rsidRPr="00C27191">
        <w:rPr>
          <w:rFonts w:asciiTheme="minorBidi" w:hAnsiTheme="minorBidi"/>
          <w:i/>
          <w:iCs/>
          <w:lang w:eastAsia="en-US"/>
        </w:rPr>
        <w:t xml:space="preserve"> access to healthcare.</w:t>
      </w:r>
      <w:r w:rsidRPr="00C27191">
        <w:rPr>
          <w:rFonts w:asciiTheme="minorBidi" w:hAnsiTheme="minorBidi"/>
          <w:lang w:eastAsia="en-US"/>
        </w:rPr>
        <w:t xml:space="preserve"> Boolean operators were used to enhance the search</w:t>
      </w:r>
      <w:r w:rsidR="00C51F2C" w:rsidRPr="00C27191">
        <w:rPr>
          <w:rFonts w:asciiTheme="minorBidi" w:hAnsiTheme="minorBidi"/>
          <w:lang w:eastAsia="en-US"/>
        </w:rPr>
        <w:t xml:space="preserve"> (</w:t>
      </w:r>
      <w:proofErr w:type="spellStart"/>
      <w:r w:rsidR="00C51F2C" w:rsidRPr="00C27191">
        <w:rPr>
          <w:rFonts w:asciiTheme="minorBidi" w:hAnsiTheme="minorBidi"/>
          <w:lang w:eastAsia="en-US"/>
        </w:rPr>
        <w:t>Utoronto</w:t>
      </w:r>
      <w:proofErr w:type="spellEnd"/>
      <w:r w:rsidR="00C51F2C" w:rsidRPr="00C27191">
        <w:rPr>
          <w:rFonts w:asciiTheme="minorBidi" w:hAnsiTheme="minorBidi"/>
          <w:lang w:eastAsia="en-US"/>
        </w:rPr>
        <w:t>, 2026)</w:t>
      </w:r>
      <w:r w:rsidRPr="00C27191">
        <w:rPr>
          <w:rFonts w:asciiTheme="minorBidi" w:hAnsiTheme="minorBidi"/>
          <w:lang w:eastAsia="en-US"/>
        </w:rPr>
        <w:t>. AND was combined with similar terms, for instance, ethnic minorities AND healthcare access</w:t>
      </w:r>
      <w:r w:rsidR="007A1191" w:rsidRPr="00C27191">
        <w:rPr>
          <w:rFonts w:asciiTheme="minorBidi" w:hAnsiTheme="minorBidi"/>
          <w:lang w:eastAsia="en-US"/>
        </w:rPr>
        <w:t xml:space="preserve"> and </w:t>
      </w:r>
      <w:r w:rsidRPr="00C27191">
        <w:rPr>
          <w:rFonts w:asciiTheme="minorBidi" w:hAnsiTheme="minorBidi"/>
          <w:lang w:eastAsia="en-US"/>
        </w:rPr>
        <w:t>OR was combined with similar terms, for instance, cultural barriers OR language barriers. Search words were noted to maintain the process.</w:t>
      </w:r>
    </w:p>
    <w:p w14:paraId="57AFDE7A" w14:textId="0FE47F46" w:rsidR="00B575E2" w:rsidRPr="0006209D"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16" w:name="_Toc232051201"/>
      <w:r w:rsidRPr="0006209D">
        <w:rPr>
          <w:rFonts w:asciiTheme="minorBidi" w:hAnsiTheme="minorBidi" w:cstheme="minorBidi"/>
          <w:b/>
          <w:bCs/>
          <w:color w:val="auto"/>
          <w:sz w:val="28"/>
          <w:szCs w:val="28"/>
        </w:rPr>
        <w:t>Searching for Information</w:t>
      </w:r>
      <w:bookmarkEnd w:id="16"/>
    </w:p>
    <w:p w14:paraId="6F09D47B" w14:textId="730694F6" w:rsidR="00B575E2" w:rsidRPr="00C27191" w:rsidRDefault="009378E1" w:rsidP="00AB143E">
      <w:pPr>
        <w:spacing w:before="240" w:after="240"/>
        <w:jc w:val="left"/>
        <w:rPr>
          <w:rFonts w:asciiTheme="minorBidi" w:hAnsiTheme="minorBidi"/>
          <w:lang w:eastAsia="en-US"/>
        </w:rPr>
      </w:pPr>
      <w:r w:rsidRPr="00C27191">
        <w:rPr>
          <w:rFonts w:asciiTheme="minorBidi" w:hAnsiTheme="minorBidi"/>
          <w:lang w:eastAsia="en-US"/>
        </w:rPr>
        <w:t>Academic databases and reliable health-related websites and databases were used to search for information, including Google Scholar, PubMed, UWTSD Library, NHS websites and UK government sources. These sources were chosen as they all offer access to peer-reviewed journal articles, healthcare reports, public health evidence and policy documents that relate to ethnic minority groups and access to healthcare in the UK. Google Scholar proved to be helpful for broader academic literature, and PubMed for health and medical research</w:t>
      </w:r>
      <w:r w:rsidR="004B32EA" w:rsidRPr="00C27191">
        <w:rPr>
          <w:rFonts w:asciiTheme="minorBidi" w:hAnsiTheme="minorBidi"/>
          <w:lang w:eastAsia="en-US"/>
        </w:rPr>
        <w:t xml:space="preserve"> (Nourbakhsh et al., 2012)</w:t>
      </w:r>
      <w:r w:rsidRPr="00C27191">
        <w:rPr>
          <w:rFonts w:asciiTheme="minorBidi" w:hAnsiTheme="minorBidi"/>
          <w:lang w:eastAsia="en-US"/>
        </w:rPr>
        <w:t xml:space="preserve">. NHS and government websites have been used as they contain official evidence relating to inequalities in health, access to services and policy responses. </w:t>
      </w:r>
      <w:r w:rsidR="00AF0CA4" w:rsidRPr="00C27191">
        <w:rPr>
          <w:rFonts w:asciiTheme="minorBidi" w:hAnsiTheme="minorBidi"/>
          <w:lang w:eastAsia="en-US"/>
        </w:rPr>
        <w:t>Furthermore,</w:t>
      </w:r>
      <w:r w:rsidRPr="00C27191">
        <w:rPr>
          <w:rFonts w:asciiTheme="minorBidi" w:hAnsiTheme="minorBidi"/>
          <w:lang w:eastAsia="en-US"/>
        </w:rPr>
        <w:t xml:space="preserve"> filters </w:t>
      </w:r>
      <w:r w:rsidR="00F55851" w:rsidRPr="00C27191">
        <w:rPr>
          <w:rFonts w:asciiTheme="minorBidi" w:hAnsiTheme="minorBidi"/>
          <w:lang w:eastAsia="en-US"/>
        </w:rPr>
        <w:t>were</w:t>
      </w:r>
      <w:r w:rsidRPr="00C27191">
        <w:rPr>
          <w:rFonts w:asciiTheme="minorBidi" w:hAnsiTheme="minorBidi"/>
          <w:lang w:eastAsia="en-US"/>
        </w:rPr>
        <w:t xml:space="preserve"> been used to ensure that search results are meaningful and relevant</w:t>
      </w:r>
      <w:r w:rsidR="004477D1" w:rsidRPr="00C27191">
        <w:rPr>
          <w:rFonts w:asciiTheme="minorBidi" w:hAnsiTheme="minorBidi"/>
          <w:lang w:eastAsia="en-US"/>
        </w:rPr>
        <w:t xml:space="preserve"> (Salvador-</w:t>
      </w:r>
      <w:proofErr w:type="spellStart"/>
      <w:r w:rsidR="004477D1" w:rsidRPr="00C27191">
        <w:rPr>
          <w:rFonts w:asciiTheme="minorBidi" w:hAnsiTheme="minorBidi"/>
          <w:lang w:eastAsia="en-US"/>
        </w:rPr>
        <w:t>Oliván</w:t>
      </w:r>
      <w:proofErr w:type="spellEnd"/>
      <w:r w:rsidR="004477D1" w:rsidRPr="00C27191">
        <w:rPr>
          <w:rFonts w:asciiTheme="minorBidi" w:hAnsiTheme="minorBidi"/>
          <w:lang w:eastAsia="en-US"/>
        </w:rPr>
        <w:t>, Marco-Cuenca and Arquero-Avilés, 2021)</w:t>
      </w:r>
      <w:r w:rsidRPr="00C27191">
        <w:rPr>
          <w:rFonts w:asciiTheme="minorBidi" w:hAnsiTheme="minorBidi"/>
          <w:lang w:eastAsia="en-US"/>
        </w:rPr>
        <w:t>. These encompassed studies and research which had been conducted in the UK, cultural barriers or NHS inequalities, and also English-language sources published within the past decade, and studies written in English. In the process of searching, the keywords were modified if the results were too extensive or were not directly related</w:t>
      </w:r>
      <w:r w:rsidR="00213CB6" w:rsidRPr="00C27191">
        <w:rPr>
          <w:rFonts w:asciiTheme="minorBidi" w:hAnsiTheme="minorBidi"/>
          <w:lang w:eastAsia="en-US"/>
        </w:rPr>
        <w:t xml:space="preserve"> (HANDLEY, 2024)</w:t>
      </w:r>
      <w:r w:rsidRPr="00C27191">
        <w:rPr>
          <w:rFonts w:asciiTheme="minorBidi" w:hAnsiTheme="minorBidi"/>
          <w:lang w:eastAsia="en-US"/>
        </w:rPr>
        <w:t xml:space="preserve">. For instance, the </w:t>
      </w:r>
      <w:r w:rsidRPr="00C27191">
        <w:rPr>
          <w:rFonts w:asciiTheme="minorBidi" w:hAnsiTheme="minorBidi"/>
          <w:lang w:eastAsia="en-US"/>
        </w:rPr>
        <w:lastRenderedPageBreak/>
        <w:t>general search for healthcare inequality was followed by the use of other terms like language barriers, cultural competence, health literacy and ethnic minority groups. A source tracking table was created to document useful and relevant sources and the key findings.</w:t>
      </w:r>
    </w:p>
    <w:p w14:paraId="0BEB0164" w14:textId="01F0FED2" w:rsidR="00E325CF" w:rsidRPr="003E41E9"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17" w:name="_Toc232051202"/>
      <w:r w:rsidRPr="003E41E9">
        <w:rPr>
          <w:rFonts w:asciiTheme="minorBidi" w:hAnsiTheme="minorBidi" w:cstheme="minorBidi"/>
          <w:b/>
          <w:bCs/>
          <w:color w:val="auto"/>
          <w:sz w:val="28"/>
          <w:szCs w:val="28"/>
        </w:rPr>
        <w:t>Research Validation</w:t>
      </w:r>
      <w:bookmarkEnd w:id="17"/>
    </w:p>
    <w:p w14:paraId="1C1CD00C" w14:textId="643D5454" w:rsidR="00B575E2" w:rsidRPr="00C27191" w:rsidRDefault="00DA7068" w:rsidP="00AB143E">
      <w:pPr>
        <w:spacing w:before="240" w:after="240"/>
        <w:jc w:val="left"/>
        <w:rPr>
          <w:rFonts w:asciiTheme="minorBidi" w:hAnsiTheme="minorBidi"/>
          <w:lang w:eastAsia="en-US"/>
        </w:rPr>
      </w:pPr>
      <w:r w:rsidRPr="00C27191">
        <w:rPr>
          <w:rFonts w:asciiTheme="minorBidi" w:hAnsiTheme="minorBidi"/>
          <w:lang w:eastAsia="en-US"/>
        </w:rPr>
        <w:t>All the chosen sources were checked prior to their use within the Dissertation. Articles were initially skimmed by reading the title, abstract, introduction and conclusion to see if the article was directly relevant to ethnocultural groups, ethnocultural barriers and access to healthcare services in the UK. The CRAAP test was then applied to test the Currency, Relevance, Authority, Accuracy and Purpose</w:t>
      </w:r>
      <w:r w:rsidR="002C69DF" w:rsidRPr="00C27191">
        <w:rPr>
          <w:rFonts w:asciiTheme="minorBidi" w:hAnsiTheme="minorBidi"/>
          <w:lang w:eastAsia="en-US"/>
        </w:rPr>
        <w:t xml:space="preserve"> (Van Kampen, 2023)</w:t>
      </w:r>
      <w:r w:rsidRPr="00C27191">
        <w:rPr>
          <w:rFonts w:asciiTheme="minorBidi" w:hAnsiTheme="minorBidi"/>
          <w:lang w:eastAsia="en-US"/>
        </w:rPr>
        <w:t>. Not all sources fulfilled all five areas, but priority has been given to recent, relevant sources from credible authors or organisations. For instance, websites that included opinions with little academic backing were excluded, while websites from the NHS, government and peer-reviewed journals were included due to the reliable evidence provided.</w:t>
      </w:r>
    </w:p>
    <w:p w14:paraId="0E7E3997" w14:textId="57021CB7" w:rsidR="0021364B" w:rsidRPr="00140259"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18" w:name="_Toc232051203"/>
      <w:r w:rsidRPr="00140259">
        <w:rPr>
          <w:rStyle w:val="Heading2Char"/>
          <w:rFonts w:asciiTheme="minorBidi" w:hAnsiTheme="minorBidi" w:cstheme="minorBidi"/>
          <w:b/>
          <w:bCs/>
          <w:color w:val="auto"/>
          <w:sz w:val="28"/>
          <w:szCs w:val="28"/>
        </w:rPr>
        <w:t>Inclusion and Exclusion Criteria</w:t>
      </w:r>
      <w:bookmarkEnd w:id="18"/>
    </w:p>
    <w:p w14:paraId="6E546D79" w14:textId="5AFED072" w:rsidR="00B575E2" w:rsidRPr="00C27191" w:rsidRDefault="00DA7A2E" w:rsidP="00AB143E">
      <w:pPr>
        <w:spacing w:before="240" w:after="240"/>
        <w:jc w:val="left"/>
        <w:rPr>
          <w:rFonts w:asciiTheme="minorBidi" w:hAnsiTheme="minorBidi"/>
          <w:lang w:eastAsia="en-US"/>
        </w:rPr>
      </w:pPr>
      <w:r w:rsidRPr="00C27191">
        <w:rPr>
          <w:rFonts w:asciiTheme="minorBidi" w:hAnsiTheme="minorBidi"/>
          <w:lang w:eastAsia="en-US"/>
        </w:rPr>
        <w:t>Peer-reviewed journal articles, NHS reports, government publications and public health sources appearing in the past decade were included in the research. Sources were included if they covered health inequalities in the UK, ethnic minorities, cultural issues, language issues, health literacy, discrimination or access to NHS services. Sources were omitted if more than 10 years old, not written in English, outside the UK, opinion-based, inaccessible online or not relevant to ethnic minority healthcare access. The criteria ensured the research remained focused, current and pertinent to cultural barriers within the UK healthcare system.</w:t>
      </w:r>
    </w:p>
    <w:p w14:paraId="2527B73C" w14:textId="6A242A31" w:rsidR="00B01396" w:rsidRPr="007E1499"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19" w:name="_Toc232051204"/>
      <w:r w:rsidRPr="007E1499">
        <w:rPr>
          <w:rFonts w:asciiTheme="minorBidi" w:hAnsiTheme="minorBidi" w:cstheme="minorBidi"/>
          <w:b/>
          <w:bCs/>
          <w:color w:val="auto"/>
          <w:sz w:val="28"/>
          <w:szCs w:val="28"/>
        </w:rPr>
        <w:t>Analysing Research</w:t>
      </w:r>
      <w:bookmarkEnd w:id="19"/>
      <w:r w:rsidRPr="007E1499">
        <w:rPr>
          <w:rFonts w:asciiTheme="minorBidi" w:hAnsiTheme="minorBidi" w:cstheme="minorBidi"/>
          <w:b/>
          <w:bCs/>
          <w:color w:val="auto"/>
          <w:sz w:val="28"/>
          <w:szCs w:val="28"/>
        </w:rPr>
        <w:t xml:space="preserve"> </w:t>
      </w:r>
    </w:p>
    <w:p w14:paraId="701C686E" w14:textId="4280B3A4" w:rsidR="00C17A49" w:rsidRPr="00C27191" w:rsidRDefault="00BE766E" w:rsidP="00AB143E">
      <w:pPr>
        <w:spacing w:before="240" w:after="240"/>
        <w:jc w:val="left"/>
        <w:rPr>
          <w:rFonts w:asciiTheme="minorBidi" w:hAnsiTheme="minorBidi"/>
          <w:lang w:eastAsia="en-US"/>
        </w:rPr>
      </w:pPr>
      <w:r w:rsidRPr="00C27191">
        <w:rPr>
          <w:rFonts w:asciiTheme="minorBidi" w:hAnsiTheme="minorBidi"/>
          <w:lang w:eastAsia="en-US"/>
        </w:rPr>
        <w:t>A thematic coding method was used for analysing the selected sources</w:t>
      </w:r>
      <w:r w:rsidR="0094454E" w:rsidRPr="00C27191">
        <w:rPr>
          <w:rFonts w:asciiTheme="minorBidi" w:hAnsiTheme="minorBidi"/>
          <w:lang w:eastAsia="en-US"/>
        </w:rPr>
        <w:t xml:space="preserve"> (Ahmed et al., 2025)</w:t>
      </w:r>
      <w:r w:rsidRPr="00C27191">
        <w:rPr>
          <w:rFonts w:asciiTheme="minorBidi" w:hAnsiTheme="minorBidi"/>
          <w:lang w:eastAsia="en-US"/>
        </w:rPr>
        <w:t>. Every article, report and policy was thoroughly scrutinized to determine common themes and terms related to cultural barriers and access to healthcare. Some initial codes were language barriers, cultural beliefs, health literacy, discrimination, mistrust, interpreter use and patient-provider communication. Broad themes were then identified that correspond to the research aim and objectives, and similar codes were clustered around these themes. This information was organised in a table to list the sources, key findings, codes and emerging themes. This enabled the analysis to be structured in support of the findings of Chapter 4.</w:t>
      </w:r>
    </w:p>
    <w:p w14:paraId="34D844F4" w14:textId="0D140189" w:rsidR="00B01396" w:rsidRPr="00AE5B3C"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20" w:name="_Toc232051205"/>
      <w:r w:rsidRPr="00AE5B3C">
        <w:rPr>
          <w:rFonts w:asciiTheme="minorBidi" w:hAnsiTheme="minorBidi" w:cstheme="minorBidi"/>
          <w:b/>
          <w:bCs/>
          <w:color w:val="auto"/>
          <w:sz w:val="28"/>
          <w:szCs w:val="28"/>
        </w:rPr>
        <w:lastRenderedPageBreak/>
        <w:t>Ethical Considerations</w:t>
      </w:r>
      <w:bookmarkEnd w:id="20"/>
      <w:r w:rsidRPr="00AE5B3C">
        <w:rPr>
          <w:rFonts w:asciiTheme="minorBidi" w:hAnsiTheme="minorBidi" w:cstheme="minorBidi"/>
          <w:b/>
          <w:bCs/>
          <w:color w:val="auto"/>
          <w:sz w:val="28"/>
          <w:szCs w:val="28"/>
        </w:rPr>
        <w:t xml:space="preserve"> </w:t>
      </w:r>
    </w:p>
    <w:p w14:paraId="5569F915" w14:textId="627182E2" w:rsidR="001C3AF6" w:rsidRPr="00C27191" w:rsidRDefault="002D02F8" w:rsidP="00AB143E">
      <w:pPr>
        <w:spacing w:before="240" w:after="240"/>
        <w:jc w:val="left"/>
        <w:rPr>
          <w:rFonts w:asciiTheme="minorBidi" w:hAnsiTheme="minorBidi"/>
          <w:lang w:eastAsia="en-US"/>
        </w:rPr>
      </w:pPr>
      <w:r w:rsidRPr="00C27191">
        <w:rPr>
          <w:rFonts w:asciiTheme="minorBidi" w:hAnsiTheme="minorBidi"/>
          <w:lang w:eastAsia="en-US"/>
        </w:rPr>
        <w:t xml:space="preserve">This research used only secondary data, with no new data being gathered from participants and no consent required. </w:t>
      </w:r>
      <w:r w:rsidR="00AD3582" w:rsidRPr="00C27191">
        <w:rPr>
          <w:rFonts w:asciiTheme="minorBidi" w:hAnsiTheme="minorBidi"/>
          <w:lang w:eastAsia="en-US"/>
        </w:rPr>
        <w:t>However,</w:t>
      </w:r>
      <w:r w:rsidRPr="00C27191">
        <w:rPr>
          <w:rFonts w:asciiTheme="minorBidi" w:hAnsiTheme="minorBidi"/>
          <w:lang w:eastAsia="en-US"/>
        </w:rPr>
        <w:t xml:space="preserve"> ethical practice throughout the dissertation</w:t>
      </w:r>
      <w:r w:rsidR="005D665C" w:rsidRPr="00C27191">
        <w:rPr>
          <w:rFonts w:asciiTheme="minorBidi" w:hAnsiTheme="minorBidi"/>
          <w:lang w:eastAsia="en-US"/>
        </w:rPr>
        <w:t xml:space="preserve"> were given </w:t>
      </w:r>
      <w:r w:rsidR="004322BB" w:rsidRPr="00C27191">
        <w:rPr>
          <w:rFonts w:asciiTheme="minorBidi" w:hAnsiTheme="minorBidi"/>
          <w:lang w:eastAsia="en-US"/>
        </w:rPr>
        <w:t>importance</w:t>
      </w:r>
      <w:r w:rsidR="006D4434" w:rsidRPr="00C27191">
        <w:rPr>
          <w:rFonts w:asciiTheme="minorBidi" w:hAnsiTheme="minorBidi"/>
          <w:lang w:eastAsia="en-US"/>
        </w:rPr>
        <w:t xml:space="preserve"> (</w:t>
      </w:r>
      <w:proofErr w:type="spellStart"/>
      <w:r w:rsidR="006D4434" w:rsidRPr="00C27191">
        <w:rPr>
          <w:rFonts w:asciiTheme="minorBidi" w:hAnsiTheme="minorBidi"/>
          <w:lang w:eastAsia="en-US"/>
        </w:rPr>
        <w:t>Falconediting</w:t>
      </w:r>
      <w:proofErr w:type="spellEnd"/>
      <w:r w:rsidR="006D4434" w:rsidRPr="00C27191">
        <w:rPr>
          <w:rFonts w:asciiTheme="minorBidi" w:hAnsiTheme="minorBidi"/>
          <w:lang w:eastAsia="en-US"/>
        </w:rPr>
        <w:t>, 2023)</w:t>
      </w:r>
      <w:r w:rsidRPr="00C27191">
        <w:rPr>
          <w:rFonts w:asciiTheme="minorBidi" w:hAnsiTheme="minorBidi"/>
          <w:lang w:eastAsia="en-US"/>
        </w:rPr>
        <w:t>. All sources were cited accurately and in accordance with the Harvard referencing system, and plagiarism or misrepresentation of evidence was not used, thus ensuring academic integrity was upheld. Literature was chosen and presented fairly to minimise bias and contribute to credibility</w:t>
      </w:r>
      <w:r w:rsidR="000A6823" w:rsidRPr="00C27191">
        <w:rPr>
          <w:rFonts w:asciiTheme="minorBidi" w:hAnsiTheme="minorBidi"/>
          <w:lang w:eastAsia="en-US"/>
        </w:rPr>
        <w:t xml:space="preserve"> (Paré and </w:t>
      </w:r>
      <w:proofErr w:type="spellStart"/>
      <w:r w:rsidR="000A6823" w:rsidRPr="00C27191">
        <w:rPr>
          <w:rFonts w:asciiTheme="minorBidi" w:hAnsiTheme="minorBidi"/>
          <w:lang w:eastAsia="en-US"/>
        </w:rPr>
        <w:t>Kitsiou</w:t>
      </w:r>
      <w:proofErr w:type="spellEnd"/>
      <w:r w:rsidR="000A6823" w:rsidRPr="00C27191">
        <w:rPr>
          <w:rFonts w:asciiTheme="minorBidi" w:hAnsiTheme="minorBidi"/>
          <w:lang w:eastAsia="en-US"/>
        </w:rPr>
        <w:t>, 2017)</w:t>
      </w:r>
      <w:r w:rsidRPr="00C27191">
        <w:rPr>
          <w:rFonts w:asciiTheme="minorBidi" w:hAnsiTheme="minorBidi"/>
          <w:lang w:eastAsia="en-US"/>
        </w:rPr>
        <w:t>. Sensitive topics relating to ethnicity, discrimination and inequalities in health care were also addressed sensitively and responsibly.</w:t>
      </w:r>
    </w:p>
    <w:p w14:paraId="7F51675F" w14:textId="43035C05" w:rsidR="00292A36" w:rsidRPr="00034FAF" w:rsidRDefault="00292A36">
      <w:pPr>
        <w:pStyle w:val="Heading2"/>
        <w:numPr>
          <w:ilvl w:val="1"/>
          <w:numId w:val="2"/>
        </w:numPr>
        <w:spacing w:before="240" w:after="240"/>
        <w:jc w:val="left"/>
        <w:rPr>
          <w:rFonts w:asciiTheme="minorBidi" w:hAnsiTheme="minorBidi" w:cstheme="minorBidi"/>
          <w:b/>
          <w:bCs/>
          <w:color w:val="auto"/>
          <w:sz w:val="28"/>
          <w:szCs w:val="28"/>
        </w:rPr>
      </w:pPr>
      <w:bookmarkStart w:id="21" w:name="_Toc232051206"/>
      <w:r w:rsidRPr="00034FAF">
        <w:rPr>
          <w:rFonts w:asciiTheme="minorBidi" w:hAnsiTheme="minorBidi" w:cstheme="minorBidi"/>
          <w:b/>
          <w:bCs/>
          <w:color w:val="auto"/>
          <w:sz w:val="28"/>
          <w:szCs w:val="28"/>
        </w:rPr>
        <w:t>Chapter Conclusion</w:t>
      </w:r>
      <w:bookmarkEnd w:id="21"/>
    </w:p>
    <w:p w14:paraId="73898CB8" w14:textId="3338875E" w:rsidR="001F19A6" w:rsidRPr="00C27191" w:rsidRDefault="00537C39" w:rsidP="00AB143E">
      <w:pPr>
        <w:spacing w:before="240" w:after="240"/>
        <w:jc w:val="left"/>
        <w:rPr>
          <w:rFonts w:asciiTheme="minorBidi" w:hAnsiTheme="minorBidi"/>
          <w:lang w:eastAsia="en-US"/>
        </w:rPr>
      </w:pPr>
      <w:r w:rsidRPr="00C27191">
        <w:rPr>
          <w:rFonts w:asciiTheme="minorBidi" w:hAnsiTheme="minorBidi"/>
          <w:lang w:eastAsia="en-US"/>
        </w:rPr>
        <w:t xml:space="preserve">The methods and search strategy adopted for conducting the secondary research are explained in this chapter. It described the methods of accessing relevant literature both via academic databases and via NHS sources and government </w:t>
      </w:r>
      <w:r w:rsidR="00020BA4" w:rsidRPr="00C27191">
        <w:rPr>
          <w:rFonts w:asciiTheme="minorBidi" w:hAnsiTheme="minorBidi"/>
          <w:lang w:eastAsia="en-US"/>
        </w:rPr>
        <w:t>publications and</w:t>
      </w:r>
      <w:r w:rsidRPr="00C27191">
        <w:rPr>
          <w:rFonts w:asciiTheme="minorBidi" w:hAnsiTheme="minorBidi"/>
          <w:lang w:eastAsia="en-US"/>
        </w:rPr>
        <w:t xml:space="preserve"> sets out the inclusion criteria and methods of research validation used to assess the sources. The chapter also explained how the recurring problems associated with culture and access to health care were identified using a thematic coding approach. The findings from this analysis will be presented in Chapter 4 in the form of key themes, relating to the research question.</w:t>
      </w:r>
    </w:p>
    <w:p w14:paraId="7828E111" w14:textId="77777777" w:rsidR="0079267F" w:rsidRPr="00E73B6E" w:rsidRDefault="0079267F" w:rsidP="00EE3D27">
      <w:pPr>
        <w:spacing w:before="240" w:after="240"/>
        <w:rPr>
          <w:lang w:eastAsia="en-US"/>
        </w:rPr>
      </w:pPr>
    </w:p>
    <w:p w14:paraId="234BE529" w14:textId="77777777" w:rsidR="0079267F" w:rsidRPr="00E73B6E" w:rsidRDefault="0079267F" w:rsidP="00EE3D27">
      <w:pPr>
        <w:spacing w:before="240" w:after="240"/>
        <w:rPr>
          <w:lang w:eastAsia="en-US"/>
        </w:rPr>
      </w:pPr>
    </w:p>
    <w:p w14:paraId="595A5446" w14:textId="77777777" w:rsidR="0079267F" w:rsidRPr="00E73B6E" w:rsidRDefault="0079267F" w:rsidP="00EE3D27">
      <w:pPr>
        <w:spacing w:before="240" w:after="240"/>
        <w:rPr>
          <w:lang w:eastAsia="en-US"/>
        </w:rPr>
      </w:pPr>
    </w:p>
    <w:p w14:paraId="6F3A82EA" w14:textId="77777777" w:rsidR="0079267F" w:rsidRPr="00E73B6E" w:rsidRDefault="0079267F" w:rsidP="00EE3D27">
      <w:pPr>
        <w:spacing w:before="240" w:after="240"/>
        <w:rPr>
          <w:lang w:eastAsia="en-US"/>
        </w:rPr>
      </w:pPr>
    </w:p>
    <w:p w14:paraId="213ABC8A" w14:textId="77777777" w:rsidR="0079267F" w:rsidRPr="00E73B6E" w:rsidRDefault="0079267F" w:rsidP="00EE3D27">
      <w:pPr>
        <w:spacing w:before="240" w:after="240"/>
        <w:rPr>
          <w:lang w:eastAsia="en-US"/>
        </w:rPr>
      </w:pPr>
    </w:p>
    <w:p w14:paraId="27E96DEA" w14:textId="77777777" w:rsidR="0079267F" w:rsidRPr="00E73B6E" w:rsidRDefault="0079267F" w:rsidP="00EE3D27">
      <w:pPr>
        <w:spacing w:before="240" w:after="240"/>
        <w:rPr>
          <w:lang w:eastAsia="en-US"/>
        </w:rPr>
      </w:pPr>
    </w:p>
    <w:p w14:paraId="16DA4FF7" w14:textId="77777777" w:rsidR="0079267F" w:rsidRPr="00E73B6E" w:rsidRDefault="0079267F" w:rsidP="00EE3D27">
      <w:pPr>
        <w:spacing w:before="240" w:after="240"/>
        <w:rPr>
          <w:lang w:eastAsia="en-US"/>
        </w:rPr>
      </w:pPr>
    </w:p>
    <w:p w14:paraId="6C3462FC" w14:textId="77777777" w:rsidR="0079267F" w:rsidRPr="00E73B6E" w:rsidRDefault="0079267F" w:rsidP="00EE3D27">
      <w:pPr>
        <w:spacing w:before="240" w:after="240"/>
        <w:rPr>
          <w:lang w:eastAsia="en-US"/>
        </w:rPr>
      </w:pPr>
    </w:p>
    <w:p w14:paraId="417269AD" w14:textId="77777777" w:rsidR="0079267F" w:rsidRPr="00E73B6E" w:rsidRDefault="0079267F" w:rsidP="00EE3D27">
      <w:pPr>
        <w:spacing w:before="240" w:after="240"/>
        <w:rPr>
          <w:lang w:eastAsia="en-US"/>
        </w:rPr>
      </w:pPr>
    </w:p>
    <w:p w14:paraId="6C731FAA" w14:textId="77777777" w:rsidR="0079267F" w:rsidRPr="00E73B6E" w:rsidRDefault="0079267F" w:rsidP="00EE3D27">
      <w:pPr>
        <w:spacing w:before="240" w:after="240"/>
        <w:rPr>
          <w:lang w:eastAsia="en-US"/>
        </w:rPr>
      </w:pPr>
    </w:p>
    <w:p w14:paraId="3E27A013" w14:textId="263BD836" w:rsidR="001C3AF6" w:rsidRPr="00E63A05" w:rsidRDefault="005F7AE5">
      <w:pPr>
        <w:pStyle w:val="Heading1"/>
        <w:numPr>
          <w:ilvl w:val="0"/>
          <w:numId w:val="6"/>
        </w:numPr>
        <w:spacing w:before="240" w:after="240" w:line="360" w:lineRule="auto"/>
        <w:jc w:val="center"/>
        <w:rPr>
          <w:rFonts w:asciiTheme="minorBidi" w:hAnsiTheme="minorBidi" w:cstheme="minorBidi"/>
        </w:rPr>
      </w:pPr>
      <w:bookmarkStart w:id="22" w:name="_Toc232051207"/>
      <w:r w:rsidRPr="00E63A05">
        <w:rPr>
          <w:rFonts w:asciiTheme="minorBidi" w:hAnsiTheme="minorBidi" w:cstheme="minorBidi"/>
        </w:rPr>
        <w:lastRenderedPageBreak/>
        <w:t xml:space="preserve">Chapter </w:t>
      </w:r>
      <w:r w:rsidR="001C3AF6" w:rsidRPr="00E63A05">
        <w:rPr>
          <w:rFonts w:asciiTheme="minorBidi" w:hAnsiTheme="minorBidi" w:cstheme="minorBidi"/>
        </w:rPr>
        <w:t>4 – Findings and Discussion</w:t>
      </w:r>
      <w:bookmarkEnd w:id="22"/>
    </w:p>
    <w:p w14:paraId="0CB43921" w14:textId="500EE50A" w:rsidR="001C3AF6" w:rsidRPr="0028278B" w:rsidRDefault="001C3AF6">
      <w:pPr>
        <w:pStyle w:val="Heading2"/>
        <w:numPr>
          <w:ilvl w:val="1"/>
          <w:numId w:val="2"/>
        </w:numPr>
        <w:spacing w:before="240" w:after="240"/>
        <w:jc w:val="left"/>
        <w:rPr>
          <w:rFonts w:asciiTheme="minorBidi" w:hAnsiTheme="minorBidi" w:cstheme="minorBidi"/>
          <w:b/>
          <w:bCs/>
          <w:color w:val="auto"/>
          <w:sz w:val="28"/>
          <w:szCs w:val="28"/>
        </w:rPr>
      </w:pPr>
      <w:bookmarkStart w:id="23" w:name="_Toc232051208"/>
      <w:r w:rsidRPr="0028278B">
        <w:rPr>
          <w:rFonts w:asciiTheme="minorBidi" w:hAnsiTheme="minorBidi" w:cstheme="minorBidi"/>
          <w:b/>
          <w:bCs/>
          <w:color w:val="auto"/>
          <w:sz w:val="28"/>
          <w:szCs w:val="28"/>
        </w:rPr>
        <w:t>Introduction</w:t>
      </w:r>
      <w:bookmarkEnd w:id="23"/>
    </w:p>
    <w:p w14:paraId="7B6D738E" w14:textId="41739A82" w:rsidR="002865F5" w:rsidRPr="00B03B0C" w:rsidRDefault="005E69E4" w:rsidP="00B03B0C">
      <w:pPr>
        <w:spacing w:before="240" w:after="240"/>
        <w:jc w:val="left"/>
        <w:rPr>
          <w:rFonts w:asciiTheme="minorBidi" w:hAnsiTheme="minorBidi"/>
          <w:lang w:eastAsia="en-US"/>
        </w:rPr>
      </w:pPr>
      <w:r w:rsidRPr="00B03B0C">
        <w:rPr>
          <w:rFonts w:asciiTheme="minorBidi" w:hAnsiTheme="minorBidi"/>
          <w:lang w:eastAsia="en-US"/>
        </w:rPr>
        <w:t>This chapter describes and analyses the results from the secondary research undertaken into cultural barriers and access to healthcare for ethnic minority groups in the UK. The results are presented as a thematic analysis, which enabled grouping the repeated issues that were presented in the selected literature into themes. The process of thematic analysis will be explained at the beginning of the chapter, followed by the discussion of three major themes</w:t>
      </w:r>
      <w:r w:rsidR="008520B5" w:rsidRPr="00B03B0C">
        <w:rPr>
          <w:rFonts w:asciiTheme="minorBidi" w:hAnsiTheme="minorBidi"/>
          <w:lang w:eastAsia="en-US"/>
        </w:rPr>
        <w:t xml:space="preserve"> like </w:t>
      </w:r>
      <w:r w:rsidRPr="00B03B0C">
        <w:rPr>
          <w:rFonts w:asciiTheme="minorBidi" w:hAnsiTheme="minorBidi"/>
          <w:lang w:eastAsia="en-US"/>
        </w:rPr>
        <w:t>Language barriers and communication challenges, cultural beliefs, health literacy and mistrust, and discrimination, policy gaps and culturally responsive care. These themes are explored in terms of the research aim and objectives.</w:t>
      </w:r>
    </w:p>
    <w:p w14:paraId="49AC5888" w14:textId="5DA2042C" w:rsidR="001C3AF6" w:rsidRPr="00B85ACA" w:rsidRDefault="001C3AF6">
      <w:pPr>
        <w:pStyle w:val="Heading2"/>
        <w:numPr>
          <w:ilvl w:val="1"/>
          <w:numId w:val="2"/>
        </w:numPr>
        <w:spacing w:before="240" w:after="240"/>
        <w:jc w:val="left"/>
        <w:rPr>
          <w:rFonts w:asciiTheme="minorBidi" w:hAnsiTheme="minorBidi" w:cstheme="minorBidi"/>
          <w:b/>
          <w:bCs/>
          <w:color w:val="auto"/>
          <w:sz w:val="28"/>
          <w:szCs w:val="28"/>
        </w:rPr>
      </w:pPr>
      <w:bookmarkStart w:id="24" w:name="_Toc232051209"/>
      <w:r w:rsidRPr="00B85ACA">
        <w:rPr>
          <w:rFonts w:asciiTheme="minorBidi" w:hAnsiTheme="minorBidi" w:cstheme="minorBidi"/>
          <w:b/>
          <w:bCs/>
          <w:color w:val="auto"/>
          <w:sz w:val="28"/>
          <w:szCs w:val="28"/>
        </w:rPr>
        <w:t>Thematic Analysis</w:t>
      </w:r>
      <w:bookmarkEnd w:id="24"/>
    </w:p>
    <w:p w14:paraId="3B39D7B4" w14:textId="491B0B4D" w:rsidR="00636D9A" w:rsidRPr="00B03B0C" w:rsidRDefault="004D038E" w:rsidP="00B03B0C">
      <w:pPr>
        <w:spacing w:before="240" w:after="240"/>
        <w:jc w:val="left"/>
        <w:rPr>
          <w:rFonts w:asciiTheme="minorBidi" w:hAnsiTheme="minorBidi"/>
          <w:lang w:eastAsia="en-US"/>
        </w:rPr>
      </w:pPr>
      <w:r w:rsidRPr="00B03B0C">
        <w:rPr>
          <w:rFonts w:asciiTheme="minorBidi" w:hAnsiTheme="minorBidi"/>
          <w:lang w:eastAsia="en-US"/>
        </w:rPr>
        <w:t>Thematic analysis is a qualitative approach to finding out patterns or themes in data that occur more than once</w:t>
      </w:r>
      <w:r w:rsidR="00387150" w:rsidRPr="00B03B0C">
        <w:rPr>
          <w:rFonts w:asciiTheme="minorBidi" w:hAnsiTheme="minorBidi"/>
          <w:lang w:eastAsia="en-US"/>
        </w:rPr>
        <w:t xml:space="preserve">, as per </w:t>
      </w:r>
      <w:r w:rsidR="005A7979" w:rsidRPr="00B03B0C">
        <w:rPr>
          <w:rFonts w:asciiTheme="minorBidi" w:hAnsiTheme="minorBidi"/>
          <w:lang w:eastAsia="en-US"/>
        </w:rPr>
        <w:t>Braun and Clarke</w:t>
      </w:r>
      <w:r w:rsidR="001D50E0" w:rsidRPr="00B03B0C">
        <w:rPr>
          <w:rFonts w:asciiTheme="minorBidi" w:hAnsiTheme="minorBidi"/>
          <w:lang w:eastAsia="en-US"/>
        </w:rPr>
        <w:t xml:space="preserve"> </w:t>
      </w:r>
      <w:r w:rsidR="006C6972" w:rsidRPr="00B03B0C">
        <w:rPr>
          <w:rFonts w:asciiTheme="minorBidi" w:hAnsiTheme="minorBidi"/>
          <w:lang w:eastAsia="en-US"/>
        </w:rPr>
        <w:t>(Yardley, 2024)</w:t>
      </w:r>
      <w:r w:rsidRPr="00B03B0C">
        <w:rPr>
          <w:rFonts w:asciiTheme="minorBidi" w:hAnsiTheme="minorBidi"/>
          <w:lang w:eastAsia="en-US"/>
        </w:rPr>
        <w:t>. Thematic analysis was used for secondary research, comprising peer-reviewed articles, NHS reports, government publications and public health evidence used in this dissertation. Selected literature was carefully reviewed, and the common themes associated with cultural barriers and access to health care services were identified for ethnic minority groups in the UK. The following were repeated ideas and were coded in the coding/results table as initial codes, e.g., language barriers, mistrust, discrimination, cultural beliefs, health literacy and patient-provider communication. Codes were later aggregated at a higher level of abstraction to organise the findings in the form of themes</w:t>
      </w:r>
      <w:r w:rsidR="00042869" w:rsidRPr="00B03B0C">
        <w:rPr>
          <w:rFonts w:asciiTheme="minorBidi" w:hAnsiTheme="minorBidi"/>
          <w:lang w:eastAsia="en-US"/>
        </w:rPr>
        <w:t xml:space="preserve"> (</w:t>
      </w:r>
      <w:proofErr w:type="spellStart"/>
      <w:r w:rsidR="00042869" w:rsidRPr="00B03B0C">
        <w:rPr>
          <w:rFonts w:asciiTheme="minorBidi" w:hAnsiTheme="minorBidi"/>
          <w:lang w:eastAsia="en-US"/>
        </w:rPr>
        <w:t>Wæraas</w:t>
      </w:r>
      <w:proofErr w:type="spellEnd"/>
      <w:r w:rsidR="00042869" w:rsidRPr="00B03B0C">
        <w:rPr>
          <w:rFonts w:asciiTheme="minorBidi" w:hAnsiTheme="minorBidi"/>
          <w:lang w:eastAsia="en-US"/>
        </w:rPr>
        <w:t>, 2022)</w:t>
      </w:r>
      <w:r w:rsidRPr="00B03B0C">
        <w:rPr>
          <w:rFonts w:asciiTheme="minorBidi" w:hAnsiTheme="minorBidi"/>
          <w:lang w:eastAsia="en-US"/>
        </w:rPr>
        <w:t>. Three major themes emerged from the focus groups</w:t>
      </w:r>
      <w:r w:rsidR="001442FF" w:rsidRPr="00B03B0C">
        <w:rPr>
          <w:rFonts w:asciiTheme="minorBidi" w:hAnsiTheme="minorBidi"/>
          <w:lang w:eastAsia="en-US"/>
        </w:rPr>
        <w:t xml:space="preserve"> such as</w:t>
      </w:r>
      <w:r w:rsidRPr="00B03B0C">
        <w:rPr>
          <w:rFonts w:asciiTheme="minorBidi" w:hAnsiTheme="minorBidi"/>
          <w:lang w:eastAsia="en-US"/>
        </w:rPr>
        <w:t xml:space="preserve"> language barriers</w:t>
      </w:r>
      <w:r w:rsidR="00C3114B" w:rsidRPr="00B03B0C">
        <w:rPr>
          <w:rFonts w:asciiTheme="minorBidi" w:hAnsiTheme="minorBidi"/>
          <w:lang w:eastAsia="en-US"/>
        </w:rPr>
        <w:t xml:space="preserve">, </w:t>
      </w:r>
      <w:r w:rsidRPr="00B03B0C">
        <w:rPr>
          <w:rFonts w:asciiTheme="minorBidi" w:hAnsiTheme="minorBidi"/>
          <w:lang w:eastAsia="en-US"/>
        </w:rPr>
        <w:t>communication challenges, cultural beliefs, health literacy</w:t>
      </w:r>
      <w:r w:rsidR="0088455F" w:rsidRPr="00B03B0C">
        <w:rPr>
          <w:rFonts w:asciiTheme="minorBidi" w:hAnsiTheme="minorBidi"/>
          <w:lang w:eastAsia="en-US"/>
        </w:rPr>
        <w:t xml:space="preserve">, </w:t>
      </w:r>
      <w:r w:rsidRPr="00B03B0C">
        <w:rPr>
          <w:rFonts w:asciiTheme="minorBidi" w:hAnsiTheme="minorBidi"/>
          <w:lang w:eastAsia="en-US"/>
        </w:rPr>
        <w:t>mistrust, discrimination, policy gaps, and culturally responsive care. These themes are discussed in the following sections.</w:t>
      </w:r>
    </w:p>
    <w:p w14:paraId="7F885927" w14:textId="07D15C4F" w:rsidR="00636D9A" w:rsidRPr="000D3761" w:rsidRDefault="001C3AF6">
      <w:pPr>
        <w:pStyle w:val="Heading2"/>
        <w:numPr>
          <w:ilvl w:val="1"/>
          <w:numId w:val="2"/>
        </w:numPr>
        <w:spacing w:before="240" w:after="240"/>
        <w:jc w:val="left"/>
        <w:rPr>
          <w:rFonts w:asciiTheme="minorBidi" w:hAnsiTheme="minorBidi" w:cstheme="minorBidi"/>
          <w:b/>
          <w:bCs/>
          <w:color w:val="auto"/>
          <w:sz w:val="28"/>
          <w:szCs w:val="28"/>
        </w:rPr>
      </w:pPr>
      <w:bookmarkStart w:id="25" w:name="_Toc232051210"/>
      <w:r w:rsidRPr="000D3761">
        <w:rPr>
          <w:rFonts w:asciiTheme="minorBidi" w:hAnsiTheme="minorBidi" w:cstheme="minorBidi"/>
          <w:b/>
          <w:bCs/>
          <w:color w:val="auto"/>
          <w:sz w:val="28"/>
          <w:szCs w:val="28"/>
        </w:rPr>
        <w:t xml:space="preserve">Theme 1 </w:t>
      </w:r>
      <w:r w:rsidR="00DD16B7" w:rsidRPr="000D3761">
        <w:rPr>
          <w:rFonts w:asciiTheme="minorBidi" w:hAnsiTheme="minorBidi" w:cstheme="minorBidi"/>
          <w:b/>
          <w:bCs/>
          <w:color w:val="auto"/>
          <w:sz w:val="28"/>
          <w:szCs w:val="28"/>
        </w:rPr>
        <w:t>Language Barriers, Communication Difficulties and Patient Safety</w:t>
      </w:r>
      <w:bookmarkEnd w:id="25"/>
      <w:r w:rsidRPr="000D3761">
        <w:rPr>
          <w:rFonts w:asciiTheme="minorBidi" w:hAnsiTheme="minorBidi" w:cstheme="minorBidi"/>
          <w:b/>
          <w:bCs/>
          <w:color w:val="auto"/>
          <w:sz w:val="28"/>
          <w:szCs w:val="28"/>
        </w:rPr>
        <w:t xml:space="preserve"> </w:t>
      </w:r>
    </w:p>
    <w:p w14:paraId="4470DF9C" w14:textId="19D09950" w:rsidR="007928CF" w:rsidRPr="00B03B0C" w:rsidRDefault="008A3DF3" w:rsidP="00B03B0C">
      <w:pPr>
        <w:spacing w:before="240" w:after="240"/>
        <w:jc w:val="left"/>
        <w:rPr>
          <w:rFonts w:asciiTheme="minorBidi" w:hAnsiTheme="minorBidi"/>
        </w:rPr>
      </w:pPr>
      <w:r w:rsidRPr="00B03B0C">
        <w:rPr>
          <w:rFonts w:asciiTheme="minorBidi" w:hAnsiTheme="minorBidi"/>
        </w:rPr>
        <w:t>This theme can also be understood through Andersen’s Behavioural Model of Health Service Use.</w:t>
      </w:r>
      <w:r w:rsidR="00FD7EEA" w:rsidRPr="00B03B0C">
        <w:rPr>
          <w:rFonts w:asciiTheme="minorBidi" w:hAnsiTheme="minorBidi"/>
        </w:rPr>
        <w:t xml:space="preserve"> According to Andersen, there are three components of access to health care</w:t>
      </w:r>
      <w:r w:rsidR="00BE2FC0" w:rsidRPr="00B03B0C">
        <w:rPr>
          <w:rFonts w:asciiTheme="minorBidi" w:hAnsiTheme="minorBidi"/>
        </w:rPr>
        <w:t xml:space="preserve"> such as </w:t>
      </w:r>
      <w:r w:rsidR="00FD7EEA" w:rsidRPr="00B03B0C">
        <w:rPr>
          <w:rFonts w:asciiTheme="minorBidi" w:hAnsiTheme="minorBidi"/>
        </w:rPr>
        <w:t>predisposing factors, enabling factors, and need factors</w:t>
      </w:r>
      <w:r w:rsidR="007572B1" w:rsidRPr="00B03B0C">
        <w:rPr>
          <w:rFonts w:asciiTheme="minorBidi" w:hAnsiTheme="minorBidi"/>
        </w:rPr>
        <w:t xml:space="preserve"> (</w:t>
      </w:r>
      <w:proofErr w:type="spellStart"/>
      <w:r w:rsidR="007572B1" w:rsidRPr="00B03B0C">
        <w:rPr>
          <w:rFonts w:asciiTheme="minorBidi" w:hAnsiTheme="minorBidi"/>
        </w:rPr>
        <w:t>Alkhawaldeh</w:t>
      </w:r>
      <w:proofErr w:type="spellEnd"/>
      <w:r w:rsidR="007572B1" w:rsidRPr="00B03B0C">
        <w:rPr>
          <w:rFonts w:asciiTheme="minorBidi" w:hAnsiTheme="minorBidi"/>
        </w:rPr>
        <w:t xml:space="preserve"> et al., 2023)</w:t>
      </w:r>
      <w:r w:rsidR="00FD7EEA" w:rsidRPr="00B03B0C">
        <w:rPr>
          <w:rFonts w:asciiTheme="minorBidi" w:hAnsiTheme="minorBidi"/>
        </w:rPr>
        <w:t>. Language is strongly associated with the enabling factor, as language is a factor that can stop an ethnic minority patient from using the service, even if they need it</w:t>
      </w:r>
      <w:r w:rsidR="00BA2872" w:rsidRPr="00B03B0C">
        <w:rPr>
          <w:rFonts w:asciiTheme="minorBidi" w:hAnsiTheme="minorBidi"/>
        </w:rPr>
        <w:t xml:space="preserve"> and</w:t>
      </w:r>
      <w:r w:rsidR="00FD7EEA" w:rsidRPr="00B03B0C">
        <w:rPr>
          <w:rFonts w:asciiTheme="minorBidi" w:hAnsiTheme="minorBidi"/>
        </w:rPr>
        <w:t xml:space="preserve"> they might not </w:t>
      </w:r>
      <w:r w:rsidR="00FD7EEA" w:rsidRPr="00B03B0C">
        <w:rPr>
          <w:rFonts w:asciiTheme="minorBidi" w:hAnsiTheme="minorBidi"/>
        </w:rPr>
        <w:lastRenderedPageBreak/>
        <w:t xml:space="preserve">be able to communicate symptoms, book appointments, read letters and follow treatment advice. This indicates not just that NHS services are </w:t>
      </w:r>
      <w:r w:rsidR="003D44B1" w:rsidRPr="00B03B0C">
        <w:rPr>
          <w:rFonts w:asciiTheme="minorBidi" w:hAnsiTheme="minorBidi"/>
        </w:rPr>
        <w:t>available but</w:t>
      </w:r>
      <w:r w:rsidR="00FD7EEA" w:rsidRPr="00B03B0C">
        <w:rPr>
          <w:rFonts w:asciiTheme="minorBidi" w:hAnsiTheme="minorBidi"/>
        </w:rPr>
        <w:t xml:space="preserve"> can be accessed by those who have access to them. </w:t>
      </w:r>
      <w:r w:rsidR="00FA07DE" w:rsidRPr="00B03B0C">
        <w:rPr>
          <w:rFonts w:asciiTheme="minorBidi" w:hAnsiTheme="minorBidi"/>
        </w:rPr>
        <w:t>T</w:t>
      </w:r>
      <w:r w:rsidR="00FD7EEA" w:rsidRPr="00B03B0C">
        <w:rPr>
          <w:rFonts w:asciiTheme="minorBidi" w:hAnsiTheme="minorBidi"/>
        </w:rPr>
        <w:t>he ONS Census 2021 reveals that 5.1 million people in England and Wales speak English or Welsh as an additional languag</w:t>
      </w:r>
      <w:r w:rsidR="00E0470A" w:rsidRPr="00B03B0C">
        <w:rPr>
          <w:rFonts w:asciiTheme="minorBidi" w:hAnsiTheme="minorBidi"/>
        </w:rPr>
        <w:t>e,</w:t>
      </w:r>
      <w:r w:rsidR="00FD7EEA" w:rsidRPr="00B03B0C">
        <w:rPr>
          <w:rFonts w:asciiTheme="minorBidi" w:hAnsiTheme="minorBidi"/>
        </w:rPr>
        <w:t xml:space="preserve"> </w:t>
      </w:r>
      <w:r w:rsidR="00E0470A" w:rsidRPr="00B03B0C">
        <w:rPr>
          <w:rFonts w:asciiTheme="minorBidi" w:hAnsiTheme="minorBidi"/>
        </w:rPr>
        <w:t>and o</w:t>
      </w:r>
      <w:r w:rsidR="00FD7EEA" w:rsidRPr="00B03B0C">
        <w:rPr>
          <w:rFonts w:asciiTheme="minorBidi" w:hAnsiTheme="minorBidi"/>
        </w:rPr>
        <w:t xml:space="preserve">f this 880,000 were unable to speak English very well, 161,000 were unable to speak English at all </w:t>
      </w:r>
      <w:r w:rsidR="00FF04D4" w:rsidRPr="00B03B0C">
        <w:rPr>
          <w:rFonts w:asciiTheme="minorBidi" w:hAnsiTheme="minorBidi"/>
        </w:rPr>
        <w:t>(Office for National Statistics, 2022)</w:t>
      </w:r>
      <w:r w:rsidR="00FD7EEA" w:rsidRPr="00B03B0C">
        <w:rPr>
          <w:rFonts w:asciiTheme="minorBidi" w:hAnsiTheme="minorBidi"/>
        </w:rPr>
        <w:t>. This indicates that language barriers are structural, rather than personal, issues of communication.</w:t>
      </w:r>
    </w:p>
    <w:p w14:paraId="287F09D6" w14:textId="0FBB0A0B" w:rsidR="00FC3D87" w:rsidRPr="00B03B0C" w:rsidRDefault="00FD7EEA" w:rsidP="00B03B0C">
      <w:pPr>
        <w:spacing w:before="240" w:after="240"/>
        <w:jc w:val="left"/>
        <w:rPr>
          <w:rFonts w:asciiTheme="minorBidi" w:hAnsiTheme="minorBidi"/>
        </w:rPr>
      </w:pPr>
      <w:r w:rsidRPr="00B03B0C">
        <w:rPr>
          <w:rFonts w:asciiTheme="minorBidi" w:hAnsiTheme="minorBidi"/>
        </w:rPr>
        <w:t>Levesque's “patient-centred” access framework also proves helpful for the analysis of this theme. The framework defines access as a process of being able to perceive, seek, reach, pay and participate in health services</w:t>
      </w:r>
      <w:r w:rsidR="0062701B" w:rsidRPr="00B03B0C">
        <w:rPr>
          <w:rFonts w:asciiTheme="minorBidi" w:hAnsiTheme="minorBidi"/>
        </w:rPr>
        <w:t xml:space="preserve"> (Levesque, Harris and Russell, 2013)</w:t>
      </w:r>
      <w:r w:rsidRPr="00B03B0C">
        <w:rPr>
          <w:rFonts w:asciiTheme="minorBidi" w:hAnsiTheme="minorBidi"/>
        </w:rPr>
        <w:t>. Several of these stages are affected by language barriers</w:t>
      </w:r>
      <w:r w:rsidR="00045A94" w:rsidRPr="00B03B0C">
        <w:rPr>
          <w:rFonts w:asciiTheme="minorBidi" w:hAnsiTheme="minorBidi"/>
        </w:rPr>
        <w:t xml:space="preserve"> as i</w:t>
      </w:r>
      <w:r w:rsidRPr="00B03B0C">
        <w:rPr>
          <w:rFonts w:asciiTheme="minorBidi" w:hAnsiTheme="minorBidi"/>
        </w:rPr>
        <w:t>f information about public health is not accessible in a patient's language, they may not feel their need for care. If GP booking systems and reception communication are only in English, they may find it difficult to seek care if they do not speak the language</w:t>
      </w:r>
      <w:r w:rsidR="00814801" w:rsidRPr="00B03B0C">
        <w:rPr>
          <w:rFonts w:asciiTheme="minorBidi" w:hAnsiTheme="minorBidi"/>
        </w:rPr>
        <w:t xml:space="preserve"> (Al Shamsi et al., 2020)</w:t>
      </w:r>
      <w:r w:rsidRPr="00B03B0C">
        <w:rPr>
          <w:rFonts w:asciiTheme="minorBidi" w:hAnsiTheme="minorBidi"/>
        </w:rPr>
        <w:t>. If the instructions for the medication, consent forms or referral letters are not translated, they may also struggle to participate in treatment. This is significant as it demonstrates that language issues are not relevant just to the consultation room but are relevant to the entire health journey.</w:t>
      </w:r>
    </w:p>
    <w:p w14:paraId="15D1554B" w14:textId="1C637E27" w:rsidR="00FF4C25" w:rsidRPr="00B03B0C" w:rsidRDefault="00DD34A1" w:rsidP="00B03B0C">
      <w:pPr>
        <w:spacing w:before="240" w:after="240"/>
        <w:jc w:val="left"/>
        <w:rPr>
          <w:rFonts w:asciiTheme="minorBidi" w:hAnsiTheme="minorBidi"/>
        </w:rPr>
      </w:pPr>
      <w:r w:rsidRPr="00B03B0C">
        <w:rPr>
          <w:rFonts w:asciiTheme="minorBidi" w:hAnsiTheme="minorBidi"/>
        </w:rPr>
        <w:t>The national evidence on limited English proficiency and NHS communication is a stronger example. Beyond the large number of people who identified as not being able to speak English well or not at all in England and Wales (over 1 million), it is clear that language access is a major healthcare challenge and not a simple administrative problem</w:t>
      </w:r>
      <w:r w:rsidR="003522D0" w:rsidRPr="00B03B0C">
        <w:rPr>
          <w:rFonts w:asciiTheme="minorBidi" w:hAnsiTheme="minorBidi"/>
        </w:rPr>
        <w:t xml:space="preserve"> (NHS England, 2025)</w:t>
      </w:r>
      <w:r w:rsidRPr="00B03B0C">
        <w:rPr>
          <w:rFonts w:asciiTheme="minorBidi" w:hAnsiTheme="minorBidi"/>
        </w:rPr>
        <w:t>. Primary care is particularly impacted as accounting for over 90% of NHS activity, maintaining the accuracy of information for all three key stages of communication</w:t>
      </w:r>
      <w:r w:rsidR="005A74FF" w:rsidRPr="00B03B0C">
        <w:rPr>
          <w:rFonts w:asciiTheme="minorBidi" w:hAnsiTheme="minorBidi"/>
        </w:rPr>
        <w:t xml:space="preserve"> such as </w:t>
      </w:r>
      <w:r w:rsidRPr="00B03B0C">
        <w:rPr>
          <w:rFonts w:asciiTheme="minorBidi" w:hAnsiTheme="minorBidi"/>
        </w:rPr>
        <w:t>booking, triage, diagnosis and follow up</w:t>
      </w:r>
      <w:r w:rsidR="001E36ED" w:rsidRPr="00B03B0C">
        <w:rPr>
          <w:rFonts w:asciiTheme="minorBidi" w:hAnsiTheme="minorBidi"/>
        </w:rPr>
        <w:t xml:space="preserve"> (NHS England, 2023)</w:t>
      </w:r>
      <w:r w:rsidRPr="00B03B0C">
        <w:rPr>
          <w:rFonts w:asciiTheme="minorBidi" w:hAnsiTheme="minorBidi"/>
        </w:rPr>
        <w:t>. NHS England's community language translation and interpreting framework or guidance confirms that the delayed process or lack of translation can convey risks of safety, delays and misunderstanding to people whose first language is not English. In one real case, a family of Romanians whose child needed to have an MRI scan under general anaesthetic. The family was not aware of the requirement for fasting due to the lack of written information in their language of the Communion Services. It was cancelled, the referral was lost and care was delayed by 11 weeks</w:t>
      </w:r>
      <w:r w:rsidR="000B0337" w:rsidRPr="00B03B0C">
        <w:rPr>
          <w:rFonts w:asciiTheme="minorBidi" w:hAnsiTheme="minorBidi"/>
        </w:rPr>
        <w:t xml:space="preserve"> (NHS England, 2025)</w:t>
      </w:r>
      <w:r w:rsidRPr="00B03B0C">
        <w:rPr>
          <w:rFonts w:asciiTheme="minorBidi" w:hAnsiTheme="minorBidi"/>
        </w:rPr>
        <w:t>. The communication failure was repeated when rescheduling the scan</w:t>
      </w:r>
      <w:r w:rsidR="005E2B3B" w:rsidRPr="00B03B0C">
        <w:rPr>
          <w:rFonts w:asciiTheme="minorBidi" w:hAnsiTheme="minorBidi"/>
        </w:rPr>
        <w:t xml:space="preserve">, </w:t>
      </w:r>
      <w:r w:rsidRPr="00B03B0C">
        <w:rPr>
          <w:rFonts w:asciiTheme="minorBidi" w:hAnsiTheme="minorBidi"/>
        </w:rPr>
        <w:t>demonstrat</w:t>
      </w:r>
      <w:r w:rsidR="005E2B3B" w:rsidRPr="00B03B0C">
        <w:rPr>
          <w:rFonts w:asciiTheme="minorBidi" w:hAnsiTheme="minorBidi"/>
        </w:rPr>
        <w:t>ing</w:t>
      </w:r>
      <w:r w:rsidRPr="00B03B0C">
        <w:rPr>
          <w:rFonts w:asciiTheme="minorBidi" w:hAnsiTheme="minorBidi"/>
        </w:rPr>
        <w:t xml:space="preserve"> that the actual translation itself is not the only point of patient impact, but the entire patient journey. It also provides some insight into why there is a need to be able to include written communication, consent forms, appointment letters and preparation instructions in language support</w:t>
      </w:r>
      <w:r w:rsidR="00E74A7A" w:rsidRPr="00B03B0C">
        <w:rPr>
          <w:rFonts w:asciiTheme="minorBidi" w:hAnsiTheme="minorBidi"/>
        </w:rPr>
        <w:t xml:space="preserve"> (Zimmermann et al., 2021)</w:t>
      </w:r>
      <w:r w:rsidRPr="00B03B0C">
        <w:rPr>
          <w:rFonts w:asciiTheme="minorBidi" w:hAnsiTheme="minorBidi"/>
        </w:rPr>
        <w:t xml:space="preserve">. This is of critical </w:t>
      </w:r>
      <w:r w:rsidRPr="00B03B0C">
        <w:rPr>
          <w:rFonts w:asciiTheme="minorBidi" w:hAnsiTheme="minorBidi"/>
        </w:rPr>
        <w:lastRenderedPageBreak/>
        <w:t>importance, as this is also connected with health inequality issues as translation-poor patients find it less likely to raise issues when waiting for services, properly follow treatment, and make informed decisions concerning their treatment.</w:t>
      </w:r>
    </w:p>
    <w:p w14:paraId="6B6EF28F" w14:textId="23D1A3D5" w:rsidR="004535A5" w:rsidRPr="00B03B0C" w:rsidRDefault="00FD7EEA" w:rsidP="00B03B0C">
      <w:pPr>
        <w:spacing w:before="240" w:after="240"/>
        <w:jc w:val="left"/>
        <w:rPr>
          <w:rFonts w:asciiTheme="minorBidi" w:hAnsiTheme="minorBidi"/>
        </w:rPr>
      </w:pPr>
      <w:r w:rsidRPr="00B03B0C">
        <w:rPr>
          <w:rFonts w:asciiTheme="minorBidi" w:hAnsiTheme="minorBidi"/>
        </w:rPr>
        <w:t>Another real case study is Nottingham University Hospitals NHS Trust, which adopted a blended interpreting service following a patient experience audit that revealed complaints, cost problems and issues with the quality of interpreting in 2014</w:t>
      </w:r>
      <w:r w:rsidR="00315F6A" w:rsidRPr="00B03B0C">
        <w:rPr>
          <w:rFonts w:asciiTheme="minorBidi" w:hAnsiTheme="minorBidi"/>
        </w:rPr>
        <w:t xml:space="preserve"> (BBC, 2023)</w:t>
      </w:r>
      <w:r w:rsidRPr="00B03B0C">
        <w:rPr>
          <w:rFonts w:asciiTheme="minorBidi" w:hAnsiTheme="minorBidi"/>
        </w:rPr>
        <w:t>. The model used in-house professional interpreters alongside the use of external services, prioritising face-to-face interpreting where this was clinically needed and telephone interpreting where this was less. The model included the use of in-house professional interpreters and the use of external services, with a focus on face-to-face interpreting where this was clinically required and telephone interpreting where this was not</w:t>
      </w:r>
      <w:r w:rsidR="000A7707" w:rsidRPr="00B03B0C">
        <w:rPr>
          <w:rFonts w:asciiTheme="minorBidi" w:hAnsiTheme="minorBidi"/>
        </w:rPr>
        <w:t xml:space="preserve"> (</w:t>
      </w:r>
      <w:proofErr w:type="spellStart"/>
      <w:r w:rsidR="000A7707" w:rsidRPr="00B03B0C">
        <w:rPr>
          <w:rFonts w:asciiTheme="minorBidi" w:hAnsiTheme="minorBidi"/>
        </w:rPr>
        <w:t>Yargawa</w:t>
      </w:r>
      <w:proofErr w:type="spellEnd"/>
      <w:r w:rsidR="000A7707" w:rsidRPr="00B03B0C">
        <w:rPr>
          <w:rFonts w:asciiTheme="minorBidi" w:hAnsiTheme="minorBidi"/>
        </w:rPr>
        <w:t xml:space="preserve"> et al., 2026)</w:t>
      </w:r>
      <w:r w:rsidRPr="00B03B0C">
        <w:rPr>
          <w:rFonts w:asciiTheme="minorBidi" w:hAnsiTheme="minorBidi"/>
        </w:rPr>
        <w:t>. This case demonstrates how language barriers can be minimized when interpretations are seen as part of clinical governance and not an ad hoc administrative function. It also demonstrates that good practice can vary among local NHS leaders and resources, so that patients in other areas may not be provided with the same level of language support as they are in this area</w:t>
      </w:r>
      <w:r w:rsidR="00EE6A9C" w:rsidRPr="00B03B0C">
        <w:rPr>
          <w:rFonts w:asciiTheme="minorBidi" w:hAnsiTheme="minorBidi"/>
        </w:rPr>
        <w:t xml:space="preserve"> (</w:t>
      </w:r>
      <w:proofErr w:type="spellStart"/>
      <w:r w:rsidR="00EE6A9C" w:rsidRPr="00B03B0C">
        <w:rPr>
          <w:rFonts w:asciiTheme="minorBidi" w:hAnsiTheme="minorBidi"/>
        </w:rPr>
        <w:t>Mikelyte</w:t>
      </w:r>
      <w:proofErr w:type="spellEnd"/>
      <w:r w:rsidR="00EE6A9C" w:rsidRPr="00B03B0C">
        <w:rPr>
          <w:rFonts w:asciiTheme="minorBidi" w:hAnsiTheme="minorBidi"/>
        </w:rPr>
        <w:t xml:space="preserve"> et al., 2024)</w:t>
      </w:r>
      <w:r w:rsidRPr="00B03B0C">
        <w:rPr>
          <w:rFonts w:asciiTheme="minorBidi" w:hAnsiTheme="minorBidi"/>
        </w:rPr>
        <w:t>.</w:t>
      </w:r>
    </w:p>
    <w:p w14:paraId="201B9005" w14:textId="7FA77FD9" w:rsidR="005D1FE1" w:rsidRPr="00B03B0C" w:rsidRDefault="00FD7EEA" w:rsidP="00B03B0C">
      <w:pPr>
        <w:spacing w:before="240" w:after="240"/>
        <w:jc w:val="left"/>
        <w:rPr>
          <w:rFonts w:asciiTheme="minorBidi" w:hAnsiTheme="minorBidi"/>
        </w:rPr>
      </w:pPr>
      <w:r w:rsidRPr="00B03B0C">
        <w:rPr>
          <w:rFonts w:asciiTheme="minorBidi" w:hAnsiTheme="minorBidi"/>
        </w:rPr>
        <w:t>The subject is also related to informed consent and patient safety. GOV.UK guidance outlines the need for healthcare professionals to take all reasonable steps to communicate with patients, including the need for arrangements to support communication needs in languages other than English</w:t>
      </w:r>
      <w:r w:rsidR="00770706" w:rsidRPr="00B03B0C">
        <w:rPr>
          <w:rFonts w:asciiTheme="minorBidi" w:hAnsiTheme="minorBidi"/>
        </w:rPr>
        <w:t xml:space="preserve"> </w:t>
      </w:r>
      <w:r w:rsidR="00F76FBB" w:rsidRPr="00B03B0C">
        <w:rPr>
          <w:rFonts w:asciiTheme="minorBidi" w:hAnsiTheme="minorBidi"/>
        </w:rPr>
        <w:t>(GOV.UK, 2021)</w:t>
      </w:r>
      <w:r w:rsidR="00141D05" w:rsidRPr="00B03B0C">
        <w:rPr>
          <w:rFonts w:asciiTheme="minorBidi" w:hAnsiTheme="minorBidi"/>
        </w:rPr>
        <w:t>.</w:t>
      </w:r>
      <w:r w:rsidRPr="00B03B0C">
        <w:rPr>
          <w:rFonts w:asciiTheme="minorBidi" w:hAnsiTheme="minorBidi"/>
        </w:rPr>
        <w:t xml:space="preserve"> It also highlights that individuals with good conversational English might not be able to comprehend, communicate or read health-related content in English</w:t>
      </w:r>
      <w:r w:rsidR="00844470" w:rsidRPr="00B03B0C">
        <w:rPr>
          <w:rFonts w:asciiTheme="minorBidi" w:hAnsiTheme="minorBidi"/>
        </w:rPr>
        <w:t xml:space="preserve">, </w:t>
      </w:r>
      <w:r w:rsidRPr="00B03B0C">
        <w:rPr>
          <w:rFonts w:asciiTheme="minorBidi" w:hAnsiTheme="minorBidi"/>
        </w:rPr>
        <w:t>especially applicable to consent, diagnosis and prescribing</w:t>
      </w:r>
      <w:r w:rsidR="00AD36FE" w:rsidRPr="00B03B0C">
        <w:rPr>
          <w:rFonts w:asciiTheme="minorBidi" w:hAnsiTheme="minorBidi"/>
        </w:rPr>
        <w:t xml:space="preserve"> (Twersky et al., 2024)</w:t>
      </w:r>
      <w:r w:rsidRPr="00B03B0C">
        <w:rPr>
          <w:rFonts w:asciiTheme="minorBidi" w:hAnsiTheme="minorBidi"/>
        </w:rPr>
        <w:t>. For instance, patients might seem to comprehend everyday conversation but fail to comprehend the risks associated with surgery, side effects of medication and urgent safety-netting advice. Thus, relying on conversational English may pose potential hazards to the decision-making process in health care.</w:t>
      </w:r>
    </w:p>
    <w:p w14:paraId="1494B8D4" w14:textId="57CE83EE" w:rsidR="000A5B32" w:rsidRPr="00B03B0C" w:rsidRDefault="00FD7EEA" w:rsidP="00B03B0C">
      <w:pPr>
        <w:spacing w:before="240" w:after="240"/>
        <w:jc w:val="left"/>
        <w:rPr>
          <w:rFonts w:asciiTheme="minorBidi" w:hAnsiTheme="minorBidi"/>
        </w:rPr>
      </w:pPr>
      <w:r w:rsidRPr="00B03B0C">
        <w:rPr>
          <w:rFonts w:asciiTheme="minorBidi" w:hAnsiTheme="minorBidi"/>
        </w:rPr>
        <w:t>Another issue that is crucial is the use of family members as interpreters. The British Medical Association recommends that refugees and asylum seekers should be given special consideration because using a family member or a friend to provide interpretation may not give refugees the freedom to discuss sensitive matters</w:t>
      </w:r>
      <w:r w:rsidR="000701F4" w:rsidRPr="00B03B0C">
        <w:rPr>
          <w:rFonts w:asciiTheme="minorBidi" w:hAnsiTheme="minorBidi"/>
        </w:rPr>
        <w:t xml:space="preserve"> (British Medical Association, 2022)</w:t>
      </w:r>
      <w:r w:rsidRPr="00B03B0C">
        <w:rPr>
          <w:rFonts w:asciiTheme="minorBidi" w:hAnsiTheme="minorBidi"/>
        </w:rPr>
        <w:t>. This is particularly the case in mental health, safeguarding, domestic abuse, sexual health and maternity care. This is consistent with the notion that informal interpreting can be seen to alleviate immediate communication obstacles, but can detract from the quality of confidentiality, patient autonomy and clinical accuracy</w:t>
      </w:r>
      <w:r w:rsidR="002F2EB8" w:rsidRPr="00B03B0C">
        <w:rPr>
          <w:rFonts w:asciiTheme="minorBidi" w:hAnsiTheme="minorBidi"/>
        </w:rPr>
        <w:t xml:space="preserve"> (Scharf, 2021)</w:t>
      </w:r>
      <w:r w:rsidRPr="00B03B0C">
        <w:rPr>
          <w:rFonts w:asciiTheme="minorBidi" w:hAnsiTheme="minorBidi"/>
        </w:rPr>
        <w:t xml:space="preserve">. It can also perpetuate </w:t>
      </w:r>
      <w:r w:rsidRPr="00B03B0C">
        <w:rPr>
          <w:rFonts w:asciiTheme="minorBidi" w:hAnsiTheme="minorBidi"/>
        </w:rPr>
        <w:lastRenderedPageBreak/>
        <w:t>power imbalances in families if there is a tendency to have children, husbands or wives, or community members interpret private health information.</w:t>
      </w:r>
    </w:p>
    <w:p w14:paraId="4B93F5CB" w14:textId="694AEAB6" w:rsidR="007063BA" w:rsidRPr="00B03B0C" w:rsidRDefault="00FD7EEA" w:rsidP="00B03B0C">
      <w:pPr>
        <w:spacing w:before="240" w:after="240"/>
        <w:jc w:val="left"/>
        <w:rPr>
          <w:rFonts w:asciiTheme="minorBidi" w:hAnsiTheme="minorBidi"/>
        </w:rPr>
      </w:pPr>
      <w:r w:rsidRPr="00B03B0C">
        <w:rPr>
          <w:rFonts w:asciiTheme="minorBidi" w:hAnsiTheme="minorBidi"/>
        </w:rPr>
        <w:t xml:space="preserve">Most crucially, language barriers must not be seen outside the context of ethnicity, class, migration and health literacy. A second-generation ethnic minority patient who speaks fluent English will access the NHS differently from a newly arrived migrant, whose English is limited, has a low income, and so has little knowledge of the NHS. Thus, the issue is not ethnicity, but the interplay of language barriers with other social determinants of health. This confirms the theory of Social Determinants of Health, which </w:t>
      </w:r>
      <w:r w:rsidR="007B152F" w:rsidRPr="00B03B0C">
        <w:rPr>
          <w:rFonts w:asciiTheme="minorBidi" w:hAnsiTheme="minorBidi"/>
        </w:rPr>
        <w:t xml:space="preserve">convey </w:t>
      </w:r>
      <w:r w:rsidRPr="00B03B0C">
        <w:rPr>
          <w:rFonts w:asciiTheme="minorBidi" w:hAnsiTheme="minorBidi"/>
        </w:rPr>
        <w:t>that communication is influenced by education, migration history, employment, housing, access to digital technology and social support</w:t>
      </w:r>
      <w:r w:rsidR="00CE72EE" w:rsidRPr="00B03B0C">
        <w:rPr>
          <w:rFonts w:asciiTheme="minorBidi" w:hAnsiTheme="minorBidi"/>
        </w:rPr>
        <w:t xml:space="preserve"> (</w:t>
      </w:r>
      <w:proofErr w:type="spellStart"/>
      <w:r w:rsidR="00CE72EE" w:rsidRPr="00B03B0C">
        <w:rPr>
          <w:rFonts w:asciiTheme="minorBidi" w:hAnsiTheme="minorBidi"/>
        </w:rPr>
        <w:t>Vrtikapa</w:t>
      </w:r>
      <w:proofErr w:type="spellEnd"/>
      <w:r w:rsidR="00CE72EE" w:rsidRPr="00B03B0C">
        <w:rPr>
          <w:rFonts w:asciiTheme="minorBidi" w:hAnsiTheme="minorBidi"/>
        </w:rPr>
        <w:t xml:space="preserve">, </w:t>
      </w:r>
      <w:proofErr w:type="spellStart"/>
      <w:r w:rsidR="00CE72EE" w:rsidRPr="00B03B0C">
        <w:rPr>
          <w:rFonts w:asciiTheme="minorBidi" w:hAnsiTheme="minorBidi"/>
        </w:rPr>
        <w:t>Urmy</w:t>
      </w:r>
      <w:proofErr w:type="spellEnd"/>
      <w:r w:rsidR="00CE72EE" w:rsidRPr="00B03B0C">
        <w:rPr>
          <w:rFonts w:asciiTheme="minorBidi" w:hAnsiTheme="minorBidi"/>
        </w:rPr>
        <w:t xml:space="preserve"> and Hoque, 2025)</w:t>
      </w:r>
      <w:r w:rsidRPr="00B03B0C">
        <w:rPr>
          <w:rFonts w:asciiTheme="minorBidi" w:hAnsiTheme="minorBidi"/>
        </w:rPr>
        <w:t>. This can lead to inequalities being further exacerbated and poorer outcomes for some ethnic minority groups due to a lack of language.</w:t>
      </w:r>
    </w:p>
    <w:p w14:paraId="620F671D" w14:textId="6D11869F" w:rsidR="001C3AF6" w:rsidRPr="00754F5C" w:rsidRDefault="001C3AF6">
      <w:pPr>
        <w:pStyle w:val="Heading2"/>
        <w:numPr>
          <w:ilvl w:val="1"/>
          <w:numId w:val="2"/>
        </w:numPr>
        <w:spacing w:before="240" w:after="240"/>
        <w:jc w:val="left"/>
        <w:rPr>
          <w:rFonts w:asciiTheme="minorBidi" w:hAnsiTheme="minorBidi" w:cstheme="minorBidi"/>
          <w:b/>
          <w:bCs/>
          <w:color w:val="auto"/>
          <w:sz w:val="28"/>
          <w:szCs w:val="28"/>
        </w:rPr>
      </w:pPr>
      <w:bookmarkStart w:id="26" w:name="_Toc232051211"/>
      <w:r w:rsidRPr="00754F5C">
        <w:rPr>
          <w:rFonts w:asciiTheme="minorBidi" w:hAnsiTheme="minorBidi" w:cstheme="minorBidi"/>
          <w:b/>
          <w:bCs/>
          <w:color w:val="auto"/>
          <w:sz w:val="28"/>
          <w:szCs w:val="28"/>
        </w:rPr>
        <w:t>Theme 2</w:t>
      </w:r>
      <w:r w:rsidR="0014339B" w:rsidRPr="00754F5C">
        <w:rPr>
          <w:rFonts w:asciiTheme="minorBidi" w:hAnsiTheme="minorBidi" w:cstheme="minorBidi"/>
          <w:b/>
          <w:bCs/>
          <w:color w:val="auto"/>
          <w:sz w:val="28"/>
          <w:szCs w:val="28"/>
        </w:rPr>
        <w:t>: Cultural Beliefs, Health Literacy and Mistrust of Healthcare Services</w:t>
      </w:r>
      <w:bookmarkEnd w:id="26"/>
      <w:r w:rsidRPr="00754F5C">
        <w:rPr>
          <w:rFonts w:asciiTheme="minorBidi" w:hAnsiTheme="minorBidi" w:cstheme="minorBidi"/>
          <w:b/>
          <w:bCs/>
          <w:color w:val="auto"/>
          <w:sz w:val="28"/>
          <w:szCs w:val="28"/>
        </w:rPr>
        <w:t xml:space="preserve"> </w:t>
      </w:r>
    </w:p>
    <w:p w14:paraId="2EA558A7" w14:textId="069C5B86" w:rsidR="000546C8"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An additional example is cervical screening, where cultural beliefs, embarrassment, lack of awareness and mistrust of services are barriers to accessing preventive services. Although screening can detect changes that may develop into cervical cancer, an estimated approximately 3,200 women are diagnosed with cervical cancer and approximately 850 women die from the disease in the UK every year</w:t>
      </w:r>
      <w:r w:rsidR="00DD14DE" w:rsidRPr="00B03B0C">
        <w:rPr>
          <w:rFonts w:asciiTheme="minorBidi" w:hAnsiTheme="minorBidi"/>
          <w:lang w:eastAsia="en-US"/>
        </w:rPr>
        <w:t xml:space="preserve"> (Long, 2022)</w:t>
      </w:r>
      <w:r w:rsidRPr="00B03B0C">
        <w:rPr>
          <w:rFonts w:asciiTheme="minorBidi" w:hAnsiTheme="minorBidi"/>
          <w:lang w:eastAsia="en-US"/>
        </w:rPr>
        <w:t>. New data also indicate that participation in cervical screening in the UK is down from 72.2% in 2020 to 68.4% in 2024, and that approximately 1 in 3 women eligible for screening have not been screened</w:t>
      </w:r>
      <w:r w:rsidR="009F50C1" w:rsidRPr="00B03B0C">
        <w:rPr>
          <w:rFonts w:asciiTheme="minorBidi" w:hAnsiTheme="minorBidi"/>
          <w:lang w:eastAsia="en-US"/>
        </w:rPr>
        <w:t xml:space="preserve"> (Thomas, 2025)</w:t>
      </w:r>
      <w:r w:rsidRPr="00B03B0C">
        <w:rPr>
          <w:rFonts w:asciiTheme="minorBidi" w:hAnsiTheme="minorBidi"/>
          <w:lang w:eastAsia="en-US"/>
        </w:rPr>
        <w:t>. This is important for ethnic minority healthcare access, as research indicates that women from ethnic minority communities may experience further barriers such as fear and shame, language barriers, a lack of culturally relevant information and a desire for a female practitioner</w:t>
      </w:r>
      <w:r w:rsidR="00A02C9F" w:rsidRPr="00B03B0C">
        <w:rPr>
          <w:rFonts w:asciiTheme="minorBidi" w:hAnsiTheme="minorBidi"/>
          <w:lang w:eastAsia="en-US"/>
        </w:rPr>
        <w:t xml:space="preserve"> (Sanhueza-Morales et al., 2025)</w:t>
      </w:r>
      <w:r w:rsidRPr="00B03B0C">
        <w:rPr>
          <w:rFonts w:asciiTheme="minorBidi" w:hAnsiTheme="minorBidi"/>
          <w:lang w:eastAsia="en-US"/>
        </w:rPr>
        <w:t>. This fits in with the Health Belief Model, as even if screening is free, women with perceived barriers will not attend screening as long as the perceived barriers outweigh the perceived benefits.</w:t>
      </w:r>
    </w:p>
    <w:p w14:paraId="6FBAB62B" w14:textId="57589E3D" w:rsidR="00CA65DC"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 xml:space="preserve">The UK case study of </w:t>
      </w:r>
      <w:proofErr w:type="spellStart"/>
      <w:r w:rsidRPr="00B03B0C">
        <w:rPr>
          <w:rFonts w:asciiTheme="minorBidi" w:hAnsiTheme="minorBidi"/>
          <w:lang w:eastAsia="en-US"/>
        </w:rPr>
        <w:t>YouScreen</w:t>
      </w:r>
      <w:proofErr w:type="spellEnd"/>
      <w:r w:rsidRPr="00B03B0C">
        <w:rPr>
          <w:rFonts w:asciiTheme="minorBidi" w:hAnsiTheme="minorBidi"/>
          <w:lang w:eastAsia="en-US"/>
        </w:rPr>
        <w:t>, led by King's College London, investigated self-sampling for cervical screening in GP practices, and is a real-life study. The trial demonstrated that the provision of home testing has the potential to increase uptake of the screening test, particularly among those who are underserved and may not feel comfortable visiting a clinic due to embarrassment, anxiety, or other factors</w:t>
      </w:r>
      <w:r w:rsidR="003D5201" w:rsidRPr="00B03B0C">
        <w:rPr>
          <w:rFonts w:asciiTheme="minorBidi" w:hAnsiTheme="minorBidi"/>
          <w:lang w:eastAsia="en-US"/>
        </w:rPr>
        <w:t xml:space="preserve"> (King's College London, 2025)</w:t>
      </w:r>
      <w:r w:rsidRPr="00B03B0C">
        <w:rPr>
          <w:rFonts w:asciiTheme="minorBidi" w:hAnsiTheme="minorBidi"/>
          <w:lang w:eastAsia="en-US"/>
        </w:rPr>
        <w:t>. This is significant for ethnic minority women as self-sampling could mitigate cultural and practical limitations associated with modesty, childcare, travel, and discomfort with intimate exams.</w:t>
      </w:r>
      <w:r w:rsidR="000F1E59" w:rsidRPr="00B03B0C">
        <w:rPr>
          <w:rFonts w:asciiTheme="minorBidi" w:hAnsiTheme="minorBidi"/>
          <w:lang w:eastAsia="en-US"/>
        </w:rPr>
        <w:t xml:space="preserve"> </w:t>
      </w:r>
      <w:r w:rsidRPr="00B03B0C">
        <w:rPr>
          <w:rFonts w:asciiTheme="minorBidi" w:hAnsiTheme="minorBidi"/>
          <w:lang w:eastAsia="en-US"/>
        </w:rPr>
        <w:lastRenderedPageBreak/>
        <w:t xml:space="preserve">While self-sampling can enhance accessibility, it is not a solution to broader issues like low health literacy, mistrust, language barriers, or limited </w:t>
      </w:r>
      <w:r w:rsidR="00FC79DF" w:rsidRPr="00B03B0C">
        <w:rPr>
          <w:rFonts w:asciiTheme="minorBidi" w:hAnsiTheme="minorBidi"/>
          <w:lang w:eastAsia="en-US"/>
        </w:rPr>
        <w:t>culturally sensitive</w:t>
      </w:r>
      <w:r w:rsidRPr="00B03B0C">
        <w:rPr>
          <w:rFonts w:asciiTheme="minorBidi" w:hAnsiTheme="minorBidi"/>
          <w:lang w:eastAsia="en-US"/>
        </w:rPr>
        <w:t xml:space="preserve"> communication.</w:t>
      </w:r>
    </w:p>
    <w:p w14:paraId="25A3DEB2" w14:textId="224E14E7" w:rsidR="00D92F3D"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Another powerful example of cultural beliefs and mistrust having an impact on health care access is mental health. In some ethnic minority communities, mental illness may be linked to dishonour, shame in the family, religious explanations or fear of social judgemen</w:t>
      </w:r>
      <w:r w:rsidR="006B16FC" w:rsidRPr="00B03B0C">
        <w:rPr>
          <w:rFonts w:asciiTheme="minorBidi" w:hAnsiTheme="minorBidi"/>
          <w:lang w:eastAsia="en-US"/>
        </w:rPr>
        <w:t>t,</w:t>
      </w:r>
      <w:r w:rsidRPr="00B03B0C">
        <w:rPr>
          <w:rFonts w:asciiTheme="minorBidi" w:hAnsiTheme="minorBidi"/>
          <w:lang w:eastAsia="en-US"/>
        </w:rPr>
        <w:t xml:space="preserve"> caus</w:t>
      </w:r>
      <w:r w:rsidR="006B16FC" w:rsidRPr="00B03B0C">
        <w:rPr>
          <w:rFonts w:asciiTheme="minorBidi" w:hAnsiTheme="minorBidi"/>
          <w:lang w:eastAsia="en-US"/>
        </w:rPr>
        <w:t>ing</w:t>
      </w:r>
      <w:r w:rsidRPr="00B03B0C">
        <w:rPr>
          <w:rFonts w:asciiTheme="minorBidi" w:hAnsiTheme="minorBidi"/>
          <w:lang w:eastAsia="en-US"/>
        </w:rPr>
        <w:t xml:space="preserve"> a delay in seeking health assistance until the symptoms are very advanced. Black mothers were 2.5 times more likely than White mothers to be admitted to hospital with perinatal mental illnesses in England</w:t>
      </w:r>
      <w:r w:rsidR="0029570E" w:rsidRPr="00B03B0C">
        <w:rPr>
          <w:rFonts w:asciiTheme="minorBidi" w:hAnsiTheme="minorBidi"/>
          <w:lang w:eastAsia="en-US"/>
        </w:rPr>
        <w:t xml:space="preserve"> (Thomas, Health and correspondent, 2024)</w:t>
      </w:r>
      <w:r w:rsidRPr="00B03B0C">
        <w:rPr>
          <w:rFonts w:asciiTheme="minorBidi" w:hAnsiTheme="minorBidi"/>
          <w:lang w:eastAsia="en-US"/>
        </w:rPr>
        <w:t>. Black women's deliveries accounted for approximately 5% of deliveries, while their puerperal mental disorders accounted for 12% of hospital admissions between 2020 and 2023</w:t>
      </w:r>
      <w:r w:rsidR="009302A7" w:rsidRPr="00B03B0C">
        <w:rPr>
          <w:rFonts w:asciiTheme="minorBidi" w:hAnsiTheme="minorBidi"/>
          <w:lang w:eastAsia="en-US"/>
        </w:rPr>
        <w:t xml:space="preserve"> (Floyd James et al., 2023)</w:t>
      </w:r>
      <w:r w:rsidRPr="00B03B0C">
        <w:rPr>
          <w:rFonts w:asciiTheme="minorBidi" w:hAnsiTheme="minorBidi"/>
          <w:lang w:eastAsia="en-US"/>
        </w:rPr>
        <w:t>. This implies that the effectiveness of early, community-based mental health assistance for all groups may not be equal.</w:t>
      </w:r>
    </w:p>
    <w:p w14:paraId="107EB20A" w14:textId="3CCF47B4" w:rsidR="00850BAD"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An important point to consider about this case is that the mistrust and cultural stigma are not just associated with service utilization, but with when people use services. If the early support to ethnic minority mothers is not effective, they are more likely to be admitted to the system during a crisis or hospital stay</w:t>
      </w:r>
      <w:r w:rsidR="00417862" w:rsidRPr="00B03B0C">
        <w:rPr>
          <w:rFonts w:asciiTheme="minorBidi" w:hAnsiTheme="minorBidi"/>
          <w:lang w:eastAsia="en-US"/>
        </w:rPr>
        <w:t xml:space="preserve"> (Parliament.uk, 2024)</w:t>
      </w:r>
      <w:r w:rsidRPr="00B03B0C">
        <w:rPr>
          <w:rFonts w:asciiTheme="minorBidi" w:hAnsiTheme="minorBidi"/>
          <w:lang w:eastAsia="en-US"/>
        </w:rPr>
        <w:t>. This is connected with Andersen's Behavioural Model, as need does not prepare for service. Patients can only take steps to improve their health if they can access trusted professionals, culturally sensitive mental health care and the information they need, as well as have accessible pathways to referrals. However, the issue is not only about individual disaffirmation, but an incongruity between the service design and community experience.</w:t>
      </w:r>
    </w:p>
    <w:p w14:paraId="749FBF86" w14:textId="0D17A345" w:rsidR="005D40BF"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Mistrust in maternity care is another example of how patterns of inequality can influence mistrust. The recent reporting on a maternity safety incident at the NHS shows that black women in the UK are almost four times more likely to die from childbirth or during pregnancy than white women, and black babies are twice as likely as white babies to die before 24 weeks of pregnancy</w:t>
      </w:r>
      <w:r w:rsidR="00AC677A" w:rsidRPr="00B03B0C">
        <w:rPr>
          <w:rFonts w:asciiTheme="minorBidi" w:hAnsiTheme="minorBidi"/>
          <w:lang w:eastAsia="en-US"/>
        </w:rPr>
        <w:t xml:space="preserve"> (NHS England, 2026)</w:t>
      </w:r>
      <w:r w:rsidRPr="00B03B0C">
        <w:rPr>
          <w:rFonts w:asciiTheme="minorBidi" w:hAnsiTheme="minorBidi"/>
          <w:lang w:eastAsia="en-US"/>
        </w:rPr>
        <w:t xml:space="preserve">. These are not just clinical figures, but they also shape the perceptions of the community around the NHS and its safety and fairness. </w:t>
      </w:r>
      <w:r w:rsidR="00A23557" w:rsidRPr="00B03B0C">
        <w:rPr>
          <w:rFonts w:asciiTheme="minorBidi" w:hAnsiTheme="minorBidi"/>
          <w:lang w:eastAsia="en-US"/>
        </w:rPr>
        <w:t>Repeated negative experiences can reduce trust in healthcare services and make people less likely to engage with future care</w:t>
      </w:r>
      <w:r w:rsidR="003129C4" w:rsidRPr="00B03B0C">
        <w:rPr>
          <w:rFonts w:asciiTheme="minorBidi" w:hAnsiTheme="minorBidi"/>
          <w:lang w:eastAsia="en-US"/>
        </w:rPr>
        <w:t xml:space="preserve"> (Shukla, Schilt-Solberg and Gibson-Scipio, 2025)</w:t>
      </w:r>
      <w:r w:rsidR="00A23557" w:rsidRPr="00B03B0C">
        <w:rPr>
          <w:rFonts w:asciiTheme="minorBidi" w:hAnsiTheme="minorBidi"/>
          <w:lang w:eastAsia="en-US"/>
        </w:rPr>
        <w:t>.</w:t>
      </w:r>
    </w:p>
    <w:p w14:paraId="575D41A1" w14:textId="7C932B80" w:rsidR="006C74AD"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The Core20PLUS5 policy framework is a relevant policy response to the inequality in health care, with priority areas set out as maternity care, severe mental illness, chronic respiratory disease, early cancer diagnosis and hypertension case-finding</w:t>
      </w:r>
      <w:r w:rsidR="00365F0D" w:rsidRPr="00B03B0C">
        <w:rPr>
          <w:rFonts w:asciiTheme="minorBidi" w:hAnsiTheme="minorBidi"/>
          <w:lang w:eastAsia="en-US"/>
        </w:rPr>
        <w:t xml:space="preserve"> (</w:t>
      </w:r>
      <w:proofErr w:type="spellStart"/>
      <w:r w:rsidR="00365F0D" w:rsidRPr="00B03B0C">
        <w:rPr>
          <w:rFonts w:asciiTheme="minorBidi" w:hAnsiTheme="minorBidi"/>
          <w:lang w:eastAsia="en-US"/>
        </w:rPr>
        <w:t>Cambridgeshireinsight</w:t>
      </w:r>
      <w:proofErr w:type="spellEnd"/>
      <w:r w:rsidR="00365F0D" w:rsidRPr="00B03B0C">
        <w:rPr>
          <w:rFonts w:asciiTheme="minorBidi" w:hAnsiTheme="minorBidi"/>
          <w:lang w:eastAsia="en-US"/>
        </w:rPr>
        <w:t>, 2026)</w:t>
      </w:r>
      <w:r w:rsidRPr="00B03B0C">
        <w:rPr>
          <w:rFonts w:asciiTheme="minorBidi" w:hAnsiTheme="minorBidi"/>
          <w:lang w:eastAsia="en-US"/>
        </w:rPr>
        <w:t xml:space="preserve">. This is directly related to Theme 2 because these situations involve patients having to access health information, trust professionals and access preventive or early intervention </w:t>
      </w:r>
      <w:r w:rsidRPr="00B03B0C">
        <w:rPr>
          <w:rFonts w:asciiTheme="minorBidi" w:hAnsiTheme="minorBidi"/>
          <w:lang w:eastAsia="en-US"/>
        </w:rPr>
        <w:lastRenderedPageBreak/>
        <w:t>services. It also demonstrates, however, the power of a policy without a local implementation. National frameworks could not fully address language barriers, cultural stigma and mistrust if they are not complemented by community outreach and culturally appropriate information and ongoing relationship building within the community</w:t>
      </w:r>
      <w:r w:rsidR="009247BC" w:rsidRPr="00B03B0C">
        <w:rPr>
          <w:rFonts w:asciiTheme="minorBidi" w:hAnsiTheme="minorBidi"/>
          <w:lang w:eastAsia="en-US"/>
        </w:rPr>
        <w:t xml:space="preserve"> (Hood, Campbell and Baker, 2023)</w:t>
      </w:r>
      <w:r w:rsidRPr="00B03B0C">
        <w:rPr>
          <w:rFonts w:asciiTheme="minorBidi" w:hAnsiTheme="minorBidi"/>
          <w:lang w:eastAsia="en-US"/>
        </w:rPr>
        <w:t>.</w:t>
      </w:r>
    </w:p>
    <w:p w14:paraId="0EBB78CA" w14:textId="75463474" w:rsidR="002865F5" w:rsidRPr="00B03B0C" w:rsidRDefault="009A65C6" w:rsidP="00B03B0C">
      <w:pPr>
        <w:spacing w:before="240" w:after="240"/>
        <w:jc w:val="left"/>
        <w:rPr>
          <w:rFonts w:asciiTheme="minorBidi" w:hAnsiTheme="minorBidi"/>
          <w:lang w:eastAsia="en-US"/>
        </w:rPr>
      </w:pPr>
      <w:r w:rsidRPr="00B03B0C">
        <w:rPr>
          <w:rFonts w:asciiTheme="minorBidi" w:hAnsiTheme="minorBidi"/>
          <w:lang w:eastAsia="en-US"/>
        </w:rPr>
        <w:t xml:space="preserve">The evidence also highlights that cultural barriers can coincide with deprivation. </w:t>
      </w:r>
      <w:r w:rsidR="009F1AC6" w:rsidRPr="00B03B0C">
        <w:rPr>
          <w:rFonts w:asciiTheme="minorBidi" w:hAnsiTheme="minorBidi"/>
          <w:lang w:eastAsia="en-US"/>
        </w:rPr>
        <w:t>I</w:t>
      </w:r>
      <w:r w:rsidRPr="00B03B0C">
        <w:rPr>
          <w:rFonts w:asciiTheme="minorBidi" w:hAnsiTheme="minorBidi"/>
          <w:lang w:eastAsia="en-US"/>
        </w:rPr>
        <w:t>n England, 46.8% of individuals of Pakistani ethnic background were in the most deprived areas, as reported in recent research on ethnic differences in outcomes of COVID-19</w:t>
      </w:r>
      <w:r w:rsidR="008303C6" w:rsidRPr="00B03B0C">
        <w:rPr>
          <w:rFonts w:asciiTheme="minorBidi" w:hAnsiTheme="minorBidi"/>
          <w:lang w:eastAsia="en-US"/>
        </w:rPr>
        <w:t xml:space="preserve"> (Pineda-</w:t>
      </w:r>
      <w:proofErr w:type="spellStart"/>
      <w:r w:rsidR="008303C6" w:rsidRPr="00B03B0C">
        <w:rPr>
          <w:rFonts w:asciiTheme="minorBidi" w:hAnsiTheme="minorBidi"/>
          <w:lang w:eastAsia="en-US"/>
        </w:rPr>
        <w:t>Moncusí</w:t>
      </w:r>
      <w:proofErr w:type="spellEnd"/>
      <w:r w:rsidR="008303C6" w:rsidRPr="00B03B0C">
        <w:rPr>
          <w:rFonts w:asciiTheme="minorBidi" w:hAnsiTheme="minorBidi"/>
          <w:lang w:eastAsia="en-US"/>
        </w:rPr>
        <w:t xml:space="preserve"> et al., 2025)</w:t>
      </w:r>
      <w:r w:rsidRPr="00B03B0C">
        <w:rPr>
          <w:rFonts w:asciiTheme="minorBidi" w:hAnsiTheme="minorBidi"/>
          <w:lang w:eastAsia="en-US"/>
        </w:rPr>
        <w:t xml:space="preserve">. This is important as health literacy and mistrust are not just cultural problems </w:t>
      </w:r>
      <w:r w:rsidR="003923FD" w:rsidRPr="00B03B0C">
        <w:rPr>
          <w:rFonts w:asciiTheme="minorBidi" w:hAnsiTheme="minorBidi"/>
          <w:lang w:eastAsia="en-US"/>
        </w:rPr>
        <w:t xml:space="preserve">such as </w:t>
      </w:r>
      <w:r w:rsidRPr="00B03B0C">
        <w:rPr>
          <w:rFonts w:asciiTheme="minorBidi" w:hAnsiTheme="minorBidi"/>
          <w:lang w:eastAsia="en-US"/>
        </w:rPr>
        <w:t xml:space="preserve">poverty, housing, employment, education, and digital exclusion are all factors that can affect health literacy and mistrust. </w:t>
      </w:r>
      <w:r w:rsidR="00DE3FFD" w:rsidRPr="00B03B0C">
        <w:rPr>
          <w:rFonts w:asciiTheme="minorBidi" w:hAnsiTheme="minorBidi"/>
          <w:lang w:eastAsia="en-US"/>
        </w:rPr>
        <w:t>People may miss screening or vaccination appointments not because they reject healthcare, but because they face barriers such as poor understanding of information, inability to take time off work, or mistrust of a system that has failed them before</w:t>
      </w:r>
      <w:r w:rsidR="0056021D" w:rsidRPr="00B03B0C">
        <w:rPr>
          <w:rFonts w:asciiTheme="minorBidi" w:hAnsiTheme="minorBidi"/>
          <w:lang w:eastAsia="en-US"/>
        </w:rPr>
        <w:t xml:space="preserve"> (</w:t>
      </w:r>
      <w:proofErr w:type="spellStart"/>
      <w:r w:rsidR="0056021D" w:rsidRPr="00B03B0C">
        <w:rPr>
          <w:rFonts w:asciiTheme="minorBidi" w:hAnsiTheme="minorBidi"/>
          <w:lang w:eastAsia="en-US"/>
        </w:rPr>
        <w:t>Uğrak</w:t>
      </w:r>
      <w:proofErr w:type="spellEnd"/>
      <w:r w:rsidR="0056021D" w:rsidRPr="00B03B0C">
        <w:rPr>
          <w:rFonts w:asciiTheme="minorBidi" w:hAnsiTheme="minorBidi"/>
          <w:lang w:eastAsia="en-US"/>
        </w:rPr>
        <w:t xml:space="preserve"> et al., 2025)</w:t>
      </w:r>
      <w:r w:rsidR="00DE3FFD" w:rsidRPr="00B03B0C">
        <w:rPr>
          <w:rFonts w:asciiTheme="minorBidi" w:hAnsiTheme="minorBidi"/>
          <w:lang w:eastAsia="en-US"/>
        </w:rPr>
        <w:t>.</w:t>
      </w:r>
      <w:r w:rsidRPr="00B03B0C">
        <w:rPr>
          <w:rFonts w:asciiTheme="minorBidi" w:hAnsiTheme="minorBidi"/>
          <w:lang w:eastAsia="en-US"/>
        </w:rPr>
        <w:t xml:space="preserve"> This supports the theory of SDOH by examining cultural beliefs in conjunction with structural inequality.</w:t>
      </w:r>
    </w:p>
    <w:p w14:paraId="2B062D77" w14:textId="0DC6029B" w:rsidR="009A7DA2" w:rsidRPr="00FC79DF" w:rsidRDefault="001C3AF6">
      <w:pPr>
        <w:pStyle w:val="Heading2"/>
        <w:numPr>
          <w:ilvl w:val="1"/>
          <w:numId w:val="2"/>
        </w:numPr>
        <w:spacing w:before="240" w:after="240"/>
        <w:jc w:val="left"/>
        <w:rPr>
          <w:rFonts w:asciiTheme="minorBidi" w:hAnsiTheme="minorBidi" w:cstheme="minorBidi"/>
          <w:b/>
          <w:bCs/>
          <w:color w:val="auto"/>
          <w:sz w:val="28"/>
          <w:szCs w:val="28"/>
        </w:rPr>
      </w:pPr>
      <w:bookmarkStart w:id="27" w:name="_Toc232051212"/>
      <w:r w:rsidRPr="00FC79DF">
        <w:rPr>
          <w:rFonts w:asciiTheme="minorBidi" w:hAnsiTheme="minorBidi" w:cstheme="minorBidi"/>
          <w:b/>
          <w:bCs/>
          <w:color w:val="auto"/>
          <w:sz w:val="28"/>
          <w:szCs w:val="28"/>
        </w:rPr>
        <w:t>Theme 3</w:t>
      </w:r>
      <w:r w:rsidR="002A452A" w:rsidRPr="00FC79DF">
        <w:rPr>
          <w:rFonts w:asciiTheme="minorBidi" w:hAnsiTheme="minorBidi" w:cstheme="minorBidi"/>
          <w:b/>
          <w:bCs/>
          <w:color w:val="auto"/>
          <w:sz w:val="28"/>
          <w:szCs w:val="28"/>
        </w:rPr>
        <w:t>: Discrimination, Policy Gaps and Culturally Responsive Care</w:t>
      </w:r>
      <w:bookmarkEnd w:id="27"/>
      <w:r w:rsidRPr="00FC79DF">
        <w:rPr>
          <w:rFonts w:asciiTheme="minorBidi" w:hAnsiTheme="minorBidi" w:cstheme="minorBidi"/>
          <w:b/>
          <w:bCs/>
          <w:color w:val="auto"/>
          <w:sz w:val="28"/>
          <w:szCs w:val="28"/>
        </w:rPr>
        <w:t xml:space="preserve"> </w:t>
      </w:r>
    </w:p>
    <w:p w14:paraId="36896D0E" w14:textId="5A372CB6" w:rsidR="00F806D9"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The third key theme in the literature reviewed was discrimination, gaps in policy and culturally responsive care. For the purpose of this dissertation, discrimination is the experience of unequal or unfair treatment of ethnic minority patients in the use of healthcare services. This can be direct</w:t>
      </w:r>
      <w:r w:rsidR="00DC2CA7" w:rsidRPr="00B03B0C">
        <w:rPr>
          <w:rFonts w:asciiTheme="minorBidi" w:hAnsiTheme="minorBidi"/>
          <w:lang w:eastAsia="en-US"/>
        </w:rPr>
        <w:t xml:space="preserve">, </w:t>
      </w:r>
      <w:r w:rsidRPr="00B03B0C">
        <w:rPr>
          <w:rFonts w:asciiTheme="minorBidi" w:hAnsiTheme="minorBidi"/>
          <w:lang w:eastAsia="en-US"/>
        </w:rPr>
        <w:t>racist behaviour, racist language</w:t>
      </w:r>
      <w:r w:rsidR="000C2A60" w:rsidRPr="00B03B0C">
        <w:rPr>
          <w:rFonts w:asciiTheme="minorBidi" w:hAnsiTheme="minorBidi"/>
          <w:lang w:eastAsia="en-US"/>
        </w:rPr>
        <w:t xml:space="preserve">, </w:t>
      </w:r>
      <w:r w:rsidRPr="00B03B0C">
        <w:rPr>
          <w:rFonts w:asciiTheme="minorBidi" w:hAnsiTheme="minorBidi"/>
          <w:lang w:eastAsia="en-US"/>
        </w:rPr>
        <w:t>or indirect</w:t>
      </w:r>
      <w:r w:rsidR="006A019C" w:rsidRPr="00B03B0C">
        <w:rPr>
          <w:rFonts w:asciiTheme="minorBidi" w:hAnsiTheme="minorBidi"/>
          <w:lang w:eastAsia="en-US"/>
        </w:rPr>
        <w:t xml:space="preserve"> </w:t>
      </w:r>
      <w:r w:rsidRPr="00B03B0C">
        <w:rPr>
          <w:rFonts w:asciiTheme="minorBidi" w:hAnsiTheme="minorBidi"/>
          <w:lang w:eastAsia="en-US"/>
        </w:rPr>
        <w:t>where systems are organised in ways that disadvantage specific groups</w:t>
      </w:r>
      <w:r w:rsidR="00F72B51" w:rsidRPr="00B03B0C">
        <w:rPr>
          <w:rFonts w:asciiTheme="minorBidi" w:hAnsiTheme="minorBidi"/>
          <w:lang w:eastAsia="en-US"/>
        </w:rPr>
        <w:t xml:space="preserve"> (American Psychological Association, 2022)</w:t>
      </w:r>
      <w:r w:rsidRPr="00B03B0C">
        <w:rPr>
          <w:rFonts w:asciiTheme="minorBidi" w:hAnsiTheme="minorBidi"/>
          <w:lang w:eastAsia="en-US"/>
        </w:rPr>
        <w:t>. Policy gaps are the mismatch between commitments to equality in the NHS and the experiences of ethnic minority patients. Culturally responsive care is when healthcare acknowledges and responds to patients' cultural and linguistic beliefs, values, and practices, as well as their religious and social needs</w:t>
      </w:r>
      <w:r w:rsidR="00990AC6" w:rsidRPr="00B03B0C">
        <w:rPr>
          <w:rFonts w:asciiTheme="minorBidi" w:hAnsiTheme="minorBidi"/>
          <w:lang w:eastAsia="en-US"/>
        </w:rPr>
        <w:t xml:space="preserve"> (</w:t>
      </w:r>
      <w:proofErr w:type="spellStart"/>
      <w:r w:rsidR="00990AC6" w:rsidRPr="00B03B0C">
        <w:rPr>
          <w:rFonts w:asciiTheme="minorBidi" w:hAnsiTheme="minorBidi"/>
          <w:lang w:eastAsia="en-US"/>
        </w:rPr>
        <w:t>Chartspan</w:t>
      </w:r>
      <w:proofErr w:type="spellEnd"/>
      <w:r w:rsidR="00990AC6" w:rsidRPr="00B03B0C">
        <w:rPr>
          <w:rFonts w:asciiTheme="minorBidi" w:hAnsiTheme="minorBidi"/>
          <w:lang w:eastAsia="en-US"/>
        </w:rPr>
        <w:t>, 2025)</w:t>
      </w:r>
      <w:r w:rsidRPr="00B03B0C">
        <w:rPr>
          <w:rFonts w:asciiTheme="minorBidi" w:hAnsiTheme="minorBidi"/>
          <w:lang w:eastAsia="en-US"/>
        </w:rPr>
        <w:t>. This theme is key to the research question, as although patients have access to free NHS care, this does not necessarily imply that they have equal access if they feel that they are not being cared for well, that they are being stereotyped, that they do not feel safe, and that their needs are not being met.</w:t>
      </w:r>
    </w:p>
    <w:p w14:paraId="453D0C75" w14:textId="785D26A7" w:rsidR="005E7DC4"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This theme has a historical context that is related to the broader structural racism and inequalities in the UK. The NHS was established in 1948 to ensure access to health services for everyone, but this does not always lead to equal access</w:t>
      </w:r>
      <w:r w:rsidR="003C512E" w:rsidRPr="00B03B0C">
        <w:rPr>
          <w:rFonts w:asciiTheme="minorBidi" w:hAnsiTheme="minorBidi"/>
          <w:lang w:eastAsia="en-US"/>
        </w:rPr>
        <w:t xml:space="preserve"> (Gorsky, 2015)</w:t>
      </w:r>
      <w:r w:rsidRPr="00B03B0C">
        <w:rPr>
          <w:rFonts w:asciiTheme="minorBidi" w:hAnsiTheme="minorBidi"/>
          <w:lang w:eastAsia="en-US"/>
        </w:rPr>
        <w:t xml:space="preserve">. It is common that ethnic minority communities have faced unequal treatment in all public institutions, such </w:t>
      </w:r>
      <w:r w:rsidRPr="00B03B0C">
        <w:rPr>
          <w:rFonts w:asciiTheme="minorBidi" w:hAnsiTheme="minorBidi"/>
          <w:lang w:eastAsia="en-US"/>
        </w:rPr>
        <w:lastRenderedPageBreak/>
        <w:t>as healthcare, housing, employment and education. These disparities are broader and have a significant impact on health care experiences, as patients do not use the NHS services in isolation from their social lives. Past discrimination can decrease trust, confidence and provision of care</w:t>
      </w:r>
      <w:r w:rsidR="002A0BE4" w:rsidRPr="00B03B0C">
        <w:rPr>
          <w:rFonts w:asciiTheme="minorBidi" w:hAnsiTheme="minorBidi"/>
          <w:lang w:eastAsia="en-US"/>
        </w:rPr>
        <w:t xml:space="preserve"> (Devjani et al., 2026)</w:t>
      </w:r>
      <w:r w:rsidRPr="00B03B0C">
        <w:rPr>
          <w:rFonts w:asciiTheme="minorBidi" w:hAnsiTheme="minorBidi"/>
          <w:lang w:eastAsia="en-US"/>
        </w:rPr>
        <w:t>. It is important that discrimination is seen as more than just individual prejudice and as part of the broader institutional practices, working culture and allocation of resources.</w:t>
      </w:r>
    </w:p>
    <w:p w14:paraId="12A76C9E" w14:textId="7304929F" w:rsidR="00616591"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The Social Determinants of Health theory can help explain this theme as it suggests that poverty, housing, education, employment and discrimination are social factors that impact health. Discrimination can be a social determinant for ethnic minority groups as it impacts access to services, communication with services, gaps in trust and gaps in treatment outcomes</w:t>
      </w:r>
      <w:r w:rsidR="00376C34" w:rsidRPr="00B03B0C">
        <w:rPr>
          <w:rFonts w:asciiTheme="minorBidi" w:hAnsiTheme="minorBidi"/>
          <w:lang w:eastAsia="en-US"/>
        </w:rPr>
        <w:t xml:space="preserve"> (Bazargan, Cobb and </w:t>
      </w:r>
      <w:proofErr w:type="spellStart"/>
      <w:r w:rsidR="00376C34" w:rsidRPr="00B03B0C">
        <w:rPr>
          <w:rFonts w:asciiTheme="minorBidi" w:hAnsiTheme="minorBidi"/>
          <w:lang w:eastAsia="en-US"/>
        </w:rPr>
        <w:t>Assari</w:t>
      </w:r>
      <w:proofErr w:type="spellEnd"/>
      <w:r w:rsidR="00376C34" w:rsidRPr="00B03B0C">
        <w:rPr>
          <w:rFonts w:asciiTheme="minorBidi" w:hAnsiTheme="minorBidi"/>
          <w:lang w:eastAsia="en-US"/>
        </w:rPr>
        <w:t>, 2021)</w:t>
      </w:r>
      <w:r w:rsidRPr="00B03B0C">
        <w:rPr>
          <w:rFonts w:asciiTheme="minorBidi" w:hAnsiTheme="minorBidi"/>
          <w:lang w:eastAsia="en-US"/>
        </w:rPr>
        <w:t>. If ethnic minority patients are in deprived communities where there are fewer GP appointments, where a racist attitude exists within health services, or where their symptoms are discounted or their seriousness is overlooked, their health may suffer despite the availability of the NHS</w:t>
      </w:r>
      <w:r w:rsidR="0086681C" w:rsidRPr="00B03B0C">
        <w:rPr>
          <w:rFonts w:asciiTheme="minorBidi" w:hAnsiTheme="minorBidi"/>
          <w:lang w:eastAsia="en-US"/>
        </w:rPr>
        <w:t xml:space="preserve"> (Mirage News, 2026)</w:t>
      </w:r>
      <w:r w:rsidRPr="00B03B0C">
        <w:rPr>
          <w:rFonts w:asciiTheme="minorBidi" w:hAnsiTheme="minorBidi"/>
          <w:lang w:eastAsia="en-US"/>
        </w:rPr>
        <w:t>. This demonstrates cultural barriers are not just about language or beliefs, but also about fairness, power and institutional trust.</w:t>
      </w:r>
    </w:p>
    <w:p w14:paraId="0C9B303E" w14:textId="552D99DF" w:rsidR="007144D4"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Studies indicate that there is a clear problem of discrimination, which can be seen in the number of patients who are lost from healthcare services. Evidence shows that the problem of discrimination is a serious problem in accessing healthcare services. 51% of those surveyed reported some level of discrimination at their GP surgery by the NHS Race and Health Observatory</w:t>
      </w:r>
      <w:r w:rsidR="00FF0CA0" w:rsidRPr="00B03B0C">
        <w:rPr>
          <w:rFonts w:asciiTheme="minorBidi" w:hAnsiTheme="minorBidi"/>
          <w:lang w:eastAsia="en-US"/>
        </w:rPr>
        <w:t>, s</w:t>
      </w:r>
      <w:r w:rsidRPr="00B03B0C">
        <w:rPr>
          <w:rFonts w:asciiTheme="minorBidi" w:hAnsiTheme="minorBidi"/>
          <w:lang w:eastAsia="en-US"/>
        </w:rPr>
        <w:t>pecifically, 38% of Asians and 49% of blacks said their primary care providers treated them differently based on ethnicity</w:t>
      </w:r>
      <w:r w:rsidR="00E34325" w:rsidRPr="00B03B0C">
        <w:rPr>
          <w:rFonts w:asciiTheme="minorBidi" w:hAnsiTheme="minorBidi"/>
          <w:lang w:eastAsia="en-US"/>
        </w:rPr>
        <w:t xml:space="preserve"> (O’Dowd, 2025)</w:t>
      </w:r>
      <w:r w:rsidRPr="00B03B0C">
        <w:rPr>
          <w:rFonts w:asciiTheme="minorBidi" w:hAnsiTheme="minorBidi"/>
          <w:lang w:eastAsia="en-US"/>
        </w:rPr>
        <w:t xml:space="preserve">. This is important as primary care is likely to be the </w:t>
      </w:r>
      <w:r w:rsidR="00340D21" w:rsidRPr="00B03B0C">
        <w:rPr>
          <w:rFonts w:asciiTheme="minorBidi" w:hAnsiTheme="minorBidi"/>
          <w:lang w:eastAsia="en-US"/>
        </w:rPr>
        <w:t>first-place</w:t>
      </w:r>
      <w:r w:rsidRPr="00B03B0C">
        <w:rPr>
          <w:rFonts w:asciiTheme="minorBidi" w:hAnsiTheme="minorBidi"/>
          <w:lang w:eastAsia="en-US"/>
        </w:rPr>
        <w:t xml:space="preserve"> patients will turn to the NHS. Discrimination at this stage can cause patients to put off treatment, not come back in for more, or not trust professional advice</w:t>
      </w:r>
      <w:r w:rsidR="00117056" w:rsidRPr="00B03B0C">
        <w:rPr>
          <w:rFonts w:asciiTheme="minorBidi" w:hAnsiTheme="minorBidi"/>
          <w:lang w:eastAsia="en-US"/>
        </w:rPr>
        <w:t xml:space="preserve"> (Bidgoli et al., 2025)</w:t>
      </w:r>
      <w:r w:rsidRPr="00B03B0C">
        <w:rPr>
          <w:rFonts w:asciiTheme="minorBidi" w:hAnsiTheme="minorBidi"/>
          <w:lang w:eastAsia="en-US"/>
        </w:rPr>
        <w:t xml:space="preserve">. </w:t>
      </w:r>
      <w:r w:rsidR="00997466" w:rsidRPr="00B03B0C">
        <w:rPr>
          <w:rFonts w:asciiTheme="minorBidi" w:hAnsiTheme="minorBidi"/>
          <w:lang w:eastAsia="en-US"/>
        </w:rPr>
        <w:t>These figures show that discrimination is not a minor issue, but a direct barrier to accessing healthcare.</w:t>
      </w:r>
    </w:p>
    <w:p w14:paraId="09731161" w14:textId="53A6BE2B" w:rsidR="001838F9"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Maternal care is one of the best "real-life" examples of the impact of ethnic inequality on health outcomes. The national maternity review by the Care Quality Commission also revealed South Asian and Black women were more likely to have babies born too early or too small for their gestation age</w:t>
      </w:r>
      <w:r w:rsidR="00BA0B43" w:rsidRPr="00B03B0C">
        <w:rPr>
          <w:rFonts w:asciiTheme="minorBidi" w:hAnsiTheme="minorBidi"/>
          <w:lang w:eastAsia="en-US"/>
        </w:rPr>
        <w:t xml:space="preserve"> as</w:t>
      </w:r>
      <w:r w:rsidRPr="00B03B0C">
        <w:rPr>
          <w:rFonts w:asciiTheme="minorBidi" w:hAnsiTheme="minorBidi"/>
          <w:lang w:eastAsia="en-US"/>
        </w:rPr>
        <w:t xml:space="preserve"> there was also a higher risk of stillbirths for babies born to South Asian and Black women</w:t>
      </w:r>
      <w:r w:rsidR="00D2477C" w:rsidRPr="00B03B0C">
        <w:rPr>
          <w:rFonts w:asciiTheme="minorBidi" w:hAnsiTheme="minorBidi"/>
          <w:lang w:eastAsia="en-US"/>
        </w:rPr>
        <w:t xml:space="preserve"> (CQC, 2022)</w:t>
      </w:r>
      <w:r w:rsidRPr="00B03B0C">
        <w:rPr>
          <w:rFonts w:asciiTheme="minorBidi" w:hAnsiTheme="minorBidi"/>
          <w:lang w:eastAsia="en-US"/>
        </w:rPr>
        <w:t>. This is important because maternity services are a highly monitored service in the NHS, but ethnic inequalities are still present. Black maternal health is a marker of this seriousness, with bountiful evidence in the UK showing that women of Black ethnic background are several times more likely to die during their pregnancy or following childbirth than women of White ethnic background</w:t>
      </w:r>
      <w:r w:rsidR="00C33FDE" w:rsidRPr="00B03B0C">
        <w:rPr>
          <w:rFonts w:asciiTheme="minorBidi" w:hAnsiTheme="minorBidi"/>
          <w:lang w:eastAsia="en-US"/>
        </w:rPr>
        <w:t xml:space="preserve"> (Summers, 2021)</w:t>
      </w:r>
      <w:r w:rsidRPr="00B03B0C">
        <w:rPr>
          <w:rFonts w:asciiTheme="minorBidi" w:hAnsiTheme="minorBidi"/>
          <w:lang w:eastAsia="en-US"/>
        </w:rPr>
        <w:t xml:space="preserve">. </w:t>
      </w:r>
      <w:r w:rsidRPr="00B03B0C">
        <w:rPr>
          <w:rFonts w:asciiTheme="minorBidi" w:hAnsiTheme="minorBidi"/>
          <w:lang w:eastAsia="en-US"/>
        </w:rPr>
        <w:lastRenderedPageBreak/>
        <w:t>Although the causes are complex, they have been linked to delayed escalation of symptoms, poor communication, implicit bias, socioeconomic inequality and lack of culturally sensitive care.</w:t>
      </w:r>
    </w:p>
    <w:p w14:paraId="491586C5" w14:textId="7680FC7D" w:rsidR="00F57FC9"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 xml:space="preserve">The NHS work experience is also significant as it plays a role in the care provided to patients as well as organisational culture. BME staff were more likely to suffer discrimination from other staff members than White </w:t>
      </w:r>
      <w:r w:rsidR="00A840CB" w:rsidRPr="00B03B0C">
        <w:rPr>
          <w:rFonts w:asciiTheme="minorBidi" w:hAnsiTheme="minorBidi"/>
          <w:lang w:eastAsia="en-US"/>
        </w:rPr>
        <w:t>staff as</w:t>
      </w:r>
      <w:r w:rsidR="000B27D5" w:rsidRPr="00B03B0C">
        <w:rPr>
          <w:rFonts w:asciiTheme="minorBidi" w:hAnsiTheme="minorBidi"/>
          <w:lang w:eastAsia="en-US"/>
        </w:rPr>
        <w:t xml:space="preserve"> </w:t>
      </w:r>
      <w:r w:rsidRPr="00B03B0C">
        <w:rPr>
          <w:rFonts w:asciiTheme="minorBidi" w:hAnsiTheme="minorBidi"/>
          <w:lang w:eastAsia="en-US"/>
        </w:rPr>
        <w:t>15.5% of BME staff vs 6.7% of White staff</w:t>
      </w:r>
      <w:r w:rsidR="00365494" w:rsidRPr="00B03B0C">
        <w:rPr>
          <w:rFonts w:asciiTheme="minorBidi" w:hAnsiTheme="minorBidi"/>
          <w:lang w:eastAsia="en-US"/>
        </w:rPr>
        <w:t xml:space="preserve"> </w:t>
      </w:r>
      <w:r w:rsidR="00557B07" w:rsidRPr="00B03B0C">
        <w:rPr>
          <w:rFonts w:asciiTheme="minorBidi" w:hAnsiTheme="minorBidi"/>
          <w:lang w:eastAsia="en-US"/>
        </w:rPr>
        <w:t>(NHS BME Network, 2026)</w:t>
      </w:r>
      <w:r w:rsidRPr="00B03B0C">
        <w:rPr>
          <w:rFonts w:asciiTheme="minorBidi" w:hAnsiTheme="minorBidi"/>
          <w:lang w:eastAsia="en-US"/>
        </w:rPr>
        <w:t>. This is because they are more likely to be less successful in developing fully inclusive care environments if their workforce is racist. It can also impact staff morale, ethnic minority staff retention and staff confidence</w:t>
      </w:r>
      <w:r w:rsidR="007B2B92" w:rsidRPr="00B03B0C">
        <w:rPr>
          <w:rFonts w:asciiTheme="minorBidi" w:hAnsiTheme="minorBidi"/>
          <w:lang w:eastAsia="en-US"/>
        </w:rPr>
        <w:t xml:space="preserve">, demonstrating </w:t>
      </w:r>
      <w:r w:rsidRPr="00B03B0C">
        <w:rPr>
          <w:rFonts w:asciiTheme="minorBidi" w:hAnsiTheme="minorBidi"/>
          <w:lang w:eastAsia="en-US"/>
        </w:rPr>
        <w:t>that culturally responsive care is not just a matter of patient-facing policies</w:t>
      </w:r>
      <w:r w:rsidR="007B62A5" w:rsidRPr="00B03B0C">
        <w:rPr>
          <w:rFonts w:asciiTheme="minorBidi" w:hAnsiTheme="minorBidi"/>
          <w:lang w:eastAsia="en-US"/>
        </w:rPr>
        <w:t xml:space="preserve"> as</w:t>
      </w:r>
      <w:r w:rsidRPr="00B03B0C">
        <w:rPr>
          <w:rFonts w:asciiTheme="minorBidi" w:hAnsiTheme="minorBidi"/>
          <w:lang w:eastAsia="en-US"/>
        </w:rPr>
        <w:t xml:space="preserve"> it's a matter of culture</w:t>
      </w:r>
      <w:r w:rsidR="00931C5E" w:rsidRPr="00B03B0C">
        <w:rPr>
          <w:rFonts w:asciiTheme="minorBidi" w:hAnsiTheme="minorBidi"/>
          <w:lang w:eastAsia="en-US"/>
        </w:rPr>
        <w:t xml:space="preserve"> (Cawthorn, 2025)</w:t>
      </w:r>
      <w:r w:rsidRPr="00B03B0C">
        <w:rPr>
          <w:rFonts w:asciiTheme="minorBidi" w:hAnsiTheme="minorBidi"/>
          <w:lang w:eastAsia="en-US"/>
        </w:rPr>
        <w:t>. It also calls for action on racism in NHS organisations.</w:t>
      </w:r>
    </w:p>
    <w:p w14:paraId="668EBB85" w14:textId="0B54EE1A" w:rsidR="00F5359B"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This theme is also very relevant to Cultural Competence Theory. The theory posits that the health care worker requires awareness, knowledge and skills to function in a culturally diverse environment with patients from diverse cultural backgrounds</w:t>
      </w:r>
      <w:r w:rsidR="00F0729E" w:rsidRPr="00B03B0C">
        <w:rPr>
          <w:rFonts w:asciiTheme="minorBidi" w:hAnsiTheme="minorBidi"/>
          <w:lang w:eastAsia="en-US"/>
        </w:rPr>
        <w:t xml:space="preserve"> (Lee, Sung and Fan, 2025)</w:t>
      </w:r>
      <w:r w:rsidRPr="00B03B0C">
        <w:rPr>
          <w:rFonts w:asciiTheme="minorBidi" w:hAnsiTheme="minorBidi"/>
          <w:lang w:eastAsia="en-US"/>
        </w:rPr>
        <w:t xml:space="preserve">. </w:t>
      </w:r>
      <w:r w:rsidR="004D0988" w:rsidRPr="00B03B0C">
        <w:rPr>
          <w:rFonts w:asciiTheme="minorBidi" w:hAnsiTheme="minorBidi"/>
          <w:lang w:eastAsia="en-US"/>
        </w:rPr>
        <w:t>However,</w:t>
      </w:r>
      <w:r w:rsidRPr="00B03B0C">
        <w:rPr>
          <w:rFonts w:asciiTheme="minorBidi" w:hAnsiTheme="minorBidi"/>
          <w:lang w:eastAsia="en-US"/>
        </w:rPr>
        <w:t xml:space="preserve"> the evidence indicates that cultural competence in and of itself may be insufficient when it is provided in isolation, in the form of short cultural training sessions, and without altering organizational behaviour</w:t>
      </w:r>
      <w:r w:rsidR="00445FBC" w:rsidRPr="00B03B0C">
        <w:rPr>
          <w:rFonts w:asciiTheme="minorBidi" w:hAnsiTheme="minorBidi"/>
          <w:lang w:eastAsia="en-US"/>
        </w:rPr>
        <w:t xml:space="preserve"> (Chao, 2025)</w:t>
      </w:r>
      <w:r w:rsidRPr="00B03B0C">
        <w:rPr>
          <w:rFonts w:asciiTheme="minorBidi" w:hAnsiTheme="minorBidi"/>
          <w:lang w:eastAsia="en-US"/>
        </w:rPr>
        <w:t>. For instance, a hospital can conduct cultural awareness training, but if the level of communication is still poor, diagnosis or treatment is delayed, or ethnic minority patients are treated with a sense of superiority, then the training has failed to produce any real changes.</w:t>
      </w:r>
      <w:r w:rsidR="00AA6648" w:rsidRPr="00B03B0C">
        <w:rPr>
          <w:rFonts w:asciiTheme="minorBidi" w:hAnsiTheme="minorBidi"/>
          <w:lang w:eastAsia="en-US"/>
        </w:rPr>
        <w:t xml:space="preserve"> </w:t>
      </w:r>
      <w:r w:rsidRPr="00B03B0C">
        <w:rPr>
          <w:rFonts w:asciiTheme="minorBidi" w:hAnsiTheme="minorBidi"/>
          <w:lang w:eastAsia="en-US"/>
        </w:rPr>
        <w:t>Cultural humility and anti-racist practice are important</w:t>
      </w:r>
      <w:r w:rsidR="009A7017" w:rsidRPr="00B03B0C">
        <w:rPr>
          <w:rFonts w:asciiTheme="minorBidi" w:hAnsiTheme="minorBidi"/>
          <w:lang w:eastAsia="en-US"/>
        </w:rPr>
        <w:t xml:space="preserve"> </w:t>
      </w:r>
      <w:r w:rsidRPr="00B03B0C">
        <w:rPr>
          <w:rFonts w:asciiTheme="minorBidi" w:hAnsiTheme="minorBidi"/>
          <w:lang w:eastAsia="en-US"/>
        </w:rPr>
        <w:t>too because of this. Professionals need to listen and make no assumptions about a person's culture</w:t>
      </w:r>
      <w:r w:rsidR="00BE08B5" w:rsidRPr="00B03B0C">
        <w:rPr>
          <w:rFonts w:asciiTheme="minorBidi" w:hAnsiTheme="minorBidi"/>
          <w:lang w:eastAsia="en-US"/>
        </w:rPr>
        <w:t xml:space="preserve">, </w:t>
      </w:r>
      <w:r w:rsidR="005E463A" w:rsidRPr="00B03B0C">
        <w:rPr>
          <w:rFonts w:asciiTheme="minorBidi" w:hAnsiTheme="minorBidi"/>
          <w:lang w:eastAsia="en-US"/>
        </w:rPr>
        <w:t>under</w:t>
      </w:r>
      <w:r w:rsidRPr="00B03B0C">
        <w:rPr>
          <w:rFonts w:asciiTheme="minorBidi" w:hAnsiTheme="minorBidi"/>
          <w:lang w:eastAsia="en-US"/>
        </w:rPr>
        <w:t xml:space="preserve"> cultural humility</w:t>
      </w:r>
      <w:r w:rsidR="00ED0475" w:rsidRPr="00B03B0C">
        <w:rPr>
          <w:rFonts w:asciiTheme="minorBidi" w:hAnsiTheme="minorBidi"/>
          <w:lang w:eastAsia="en-US"/>
        </w:rPr>
        <w:t xml:space="preserve"> (Khan, 2021)</w:t>
      </w:r>
      <w:r w:rsidRPr="00B03B0C">
        <w:rPr>
          <w:rFonts w:asciiTheme="minorBidi" w:hAnsiTheme="minorBidi"/>
          <w:lang w:eastAsia="en-US"/>
        </w:rPr>
        <w:t>. And anti-racist practice demands action to address inequitable treatment</w:t>
      </w:r>
      <w:r w:rsidR="00B87C39" w:rsidRPr="00B03B0C">
        <w:rPr>
          <w:rFonts w:asciiTheme="minorBidi" w:hAnsiTheme="minorBidi"/>
          <w:lang w:eastAsia="en-US"/>
        </w:rPr>
        <w:t xml:space="preserve">, </w:t>
      </w:r>
      <w:r w:rsidRPr="00B03B0C">
        <w:rPr>
          <w:rFonts w:asciiTheme="minorBidi" w:hAnsiTheme="minorBidi"/>
          <w:lang w:eastAsia="en-US"/>
        </w:rPr>
        <w:t>which is not the same as cultural humility.</w:t>
      </w:r>
    </w:p>
    <w:p w14:paraId="27B47AFB" w14:textId="5FC5CCBB" w:rsidR="004072FF"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Policy and legislation apply to this theme</w:t>
      </w:r>
      <w:r w:rsidR="00E44ED9" w:rsidRPr="00B03B0C">
        <w:rPr>
          <w:rFonts w:asciiTheme="minorBidi" w:hAnsiTheme="minorBidi"/>
          <w:lang w:eastAsia="en-US"/>
        </w:rPr>
        <w:t xml:space="preserve"> as well</w:t>
      </w:r>
      <w:r w:rsidRPr="00B03B0C">
        <w:rPr>
          <w:rFonts w:asciiTheme="minorBidi" w:hAnsiTheme="minorBidi"/>
          <w:lang w:eastAsia="en-US"/>
        </w:rPr>
        <w:t>. The Equality Act 2010 recognises race as a protected characteristic and the duty for health and social care organisations to prevent unlawful discrimination</w:t>
      </w:r>
      <w:r w:rsidR="007629C1" w:rsidRPr="00B03B0C">
        <w:rPr>
          <w:rFonts w:asciiTheme="minorBidi" w:hAnsiTheme="minorBidi"/>
          <w:lang w:eastAsia="en-US"/>
        </w:rPr>
        <w:t xml:space="preserve"> (GOV.UK, 2013)</w:t>
      </w:r>
      <w:r w:rsidRPr="00B03B0C">
        <w:rPr>
          <w:rFonts w:asciiTheme="minorBidi" w:hAnsiTheme="minorBidi"/>
          <w:lang w:eastAsia="en-US"/>
        </w:rPr>
        <w:t>. The roles of NHS England and ICBs also include the duty to minimise inequalities in access and outcomes. Ethnic health inequalities are recognised at a national level through a number of policies, including Core20PLUS5, the Patient and Carer Race Equality Framework and the NHS Race and Health Observatory</w:t>
      </w:r>
      <w:r w:rsidR="000E11B3" w:rsidRPr="00B03B0C">
        <w:rPr>
          <w:rFonts w:asciiTheme="minorBidi" w:hAnsiTheme="minorBidi"/>
          <w:lang w:eastAsia="en-US"/>
        </w:rPr>
        <w:t xml:space="preserve"> (</w:t>
      </w:r>
      <w:proofErr w:type="spellStart"/>
      <w:r w:rsidR="000E11B3" w:rsidRPr="00B03B0C">
        <w:rPr>
          <w:rFonts w:asciiTheme="minorBidi" w:hAnsiTheme="minorBidi"/>
          <w:lang w:eastAsia="en-US"/>
        </w:rPr>
        <w:t>Nhsrho</w:t>
      </w:r>
      <w:proofErr w:type="spellEnd"/>
      <w:r w:rsidR="000E11B3" w:rsidRPr="00B03B0C">
        <w:rPr>
          <w:rFonts w:asciiTheme="minorBidi" w:hAnsiTheme="minorBidi"/>
          <w:lang w:eastAsia="en-US"/>
        </w:rPr>
        <w:t>, 2025)</w:t>
      </w:r>
      <w:r w:rsidRPr="00B03B0C">
        <w:rPr>
          <w:rFonts w:asciiTheme="minorBidi" w:hAnsiTheme="minorBidi"/>
          <w:lang w:eastAsia="en-US"/>
        </w:rPr>
        <w:t>. The lack of implementation, however, is the weakness</w:t>
      </w:r>
      <w:r w:rsidR="00C47B74" w:rsidRPr="00B03B0C">
        <w:rPr>
          <w:rFonts w:asciiTheme="minorBidi" w:hAnsiTheme="minorBidi"/>
          <w:lang w:eastAsia="en-US"/>
        </w:rPr>
        <w:t xml:space="preserve"> as h</w:t>
      </w:r>
      <w:r w:rsidRPr="00B03B0C">
        <w:rPr>
          <w:rFonts w:asciiTheme="minorBidi" w:hAnsiTheme="minorBidi"/>
          <w:lang w:eastAsia="en-US"/>
        </w:rPr>
        <w:t>aving policies in place doesn't mean patient experiences are equal. Further evidence of inequality and discrimination in maternity outcomes and low levels of trust indicate that policy support has not yet overcome ethnic inequalities.</w:t>
      </w:r>
    </w:p>
    <w:p w14:paraId="6BDB04F5" w14:textId="5A8DFB15" w:rsidR="00B14B9B" w:rsidRPr="00B03B0C" w:rsidRDefault="004072FF" w:rsidP="00B03B0C">
      <w:pPr>
        <w:spacing w:before="240" w:after="240"/>
        <w:jc w:val="left"/>
        <w:rPr>
          <w:rFonts w:asciiTheme="minorBidi" w:hAnsiTheme="minorBidi"/>
          <w:lang w:eastAsia="en-US"/>
        </w:rPr>
      </w:pPr>
      <w:r w:rsidRPr="00B03B0C">
        <w:rPr>
          <w:rFonts w:asciiTheme="minorBidi" w:hAnsiTheme="minorBidi"/>
          <w:lang w:eastAsia="en-US"/>
        </w:rPr>
        <w:lastRenderedPageBreak/>
        <w:t>T</w:t>
      </w:r>
      <w:r w:rsidR="00192C74" w:rsidRPr="00B03B0C">
        <w:rPr>
          <w:rFonts w:asciiTheme="minorBidi" w:hAnsiTheme="minorBidi"/>
          <w:lang w:eastAsia="en-US"/>
        </w:rPr>
        <w:t>he literature reviewed reveals that, when used appropriately, culturally responsive care can be beneficial. Community outreach, translated information, culturally appropriate mental health support, using interpreters, having a diverse workforce and engaging with the community from a faith perspective can enhance both trust and access</w:t>
      </w:r>
      <w:r w:rsidR="006735CC" w:rsidRPr="00B03B0C">
        <w:rPr>
          <w:rFonts w:asciiTheme="minorBidi" w:hAnsiTheme="minorBidi"/>
          <w:lang w:eastAsia="en-US"/>
        </w:rPr>
        <w:t xml:space="preserve"> (</w:t>
      </w:r>
      <w:proofErr w:type="spellStart"/>
      <w:r w:rsidR="006735CC" w:rsidRPr="00B03B0C">
        <w:rPr>
          <w:rFonts w:asciiTheme="minorBidi" w:hAnsiTheme="minorBidi"/>
          <w:lang w:eastAsia="en-US"/>
        </w:rPr>
        <w:t>Prohens</w:t>
      </w:r>
      <w:proofErr w:type="spellEnd"/>
      <w:r w:rsidR="006735CC" w:rsidRPr="00B03B0C">
        <w:rPr>
          <w:rFonts w:asciiTheme="minorBidi" w:hAnsiTheme="minorBidi"/>
          <w:lang w:eastAsia="en-US"/>
        </w:rPr>
        <w:t>, 2024)</w:t>
      </w:r>
      <w:r w:rsidR="00192C74" w:rsidRPr="00B03B0C">
        <w:rPr>
          <w:rFonts w:asciiTheme="minorBidi" w:hAnsiTheme="minorBidi"/>
          <w:lang w:eastAsia="en-US"/>
        </w:rPr>
        <w:t>. Some parts of the NHS approached faith leaders and community groups to try to tackle mistrust and misinformation during the vaccination programme for the COVID-19 pandemic. This was better than using just national health messages because local networks were used</w:t>
      </w:r>
      <w:r w:rsidR="00DC35CA" w:rsidRPr="00B03B0C">
        <w:rPr>
          <w:rFonts w:asciiTheme="minorBidi" w:hAnsiTheme="minorBidi"/>
          <w:lang w:eastAsia="en-US"/>
        </w:rPr>
        <w:t>, b</w:t>
      </w:r>
      <w:r w:rsidR="00192C74" w:rsidRPr="00B03B0C">
        <w:rPr>
          <w:rFonts w:asciiTheme="minorBidi" w:hAnsiTheme="minorBidi"/>
          <w:lang w:eastAsia="en-US"/>
        </w:rPr>
        <w:t>ut it is during crises that such interventions seem to be at their best. One of the weaknesses in this is that culturally responsive care does not necessarily become a permanent element within NHS planning</w:t>
      </w:r>
      <w:r w:rsidR="00E04204" w:rsidRPr="00B03B0C">
        <w:rPr>
          <w:rFonts w:asciiTheme="minorBidi" w:hAnsiTheme="minorBidi"/>
          <w:lang w:eastAsia="en-US"/>
        </w:rPr>
        <w:t xml:space="preserve"> (Vandecasteele et al., 2024)</w:t>
      </w:r>
      <w:r w:rsidR="00192C74" w:rsidRPr="00B03B0C">
        <w:rPr>
          <w:rFonts w:asciiTheme="minorBidi" w:hAnsiTheme="minorBidi"/>
          <w:lang w:eastAsia="en-US"/>
        </w:rPr>
        <w:t>.</w:t>
      </w:r>
    </w:p>
    <w:p w14:paraId="7E09D307" w14:textId="5DAB3A43" w:rsidR="00B45549"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The consequences of non-responsiveness are far-reaching. Patients might have the feeling of being misunderstood or rejected</w:t>
      </w:r>
      <w:r w:rsidR="00524FF6" w:rsidRPr="00B03B0C">
        <w:rPr>
          <w:rFonts w:asciiTheme="minorBidi" w:hAnsiTheme="minorBidi"/>
          <w:lang w:eastAsia="en-US"/>
        </w:rPr>
        <w:t>, and t</w:t>
      </w:r>
      <w:r w:rsidRPr="00B03B0C">
        <w:rPr>
          <w:rFonts w:asciiTheme="minorBidi" w:hAnsiTheme="minorBidi"/>
          <w:lang w:eastAsia="en-US"/>
        </w:rPr>
        <w:t>his can be associated with delays in help-seeking, lower take-up of screening, reduced adherence to treatment and less trust in NHS services. Discrimination can also further emotional stress and pass down health disparities from one generation to the next</w:t>
      </w:r>
      <w:r w:rsidR="00A069E9" w:rsidRPr="00B03B0C">
        <w:rPr>
          <w:rFonts w:asciiTheme="minorBidi" w:hAnsiTheme="minorBidi"/>
          <w:lang w:eastAsia="en-US"/>
        </w:rPr>
        <w:t xml:space="preserve"> (Aran et al., 2025)</w:t>
      </w:r>
      <w:r w:rsidRPr="00B03B0C">
        <w:rPr>
          <w:rFonts w:asciiTheme="minorBidi" w:hAnsiTheme="minorBidi"/>
          <w:lang w:eastAsia="en-US"/>
        </w:rPr>
        <w:t>. For instance, if a family has a poor experience with maternity care or mental health services, this can impact others' perception of the NHS in their community. Hence, the effects of discrimination are at the individual and community level.</w:t>
      </w:r>
    </w:p>
    <w:p w14:paraId="76F9D44C" w14:textId="6E278AEF" w:rsidR="00106499" w:rsidRPr="00B03B0C" w:rsidRDefault="00192C74" w:rsidP="00B03B0C">
      <w:pPr>
        <w:spacing w:before="240" w:after="240"/>
        <w:jc w:val="left"/>
        <w:rPr>
          <w:rFonts w:asciiTheme="minorBidi" w:hAnsiTheme="minorBidi"/>
          <w:lang w:eastAsia="en-US"/>
        </w:rPr>
      </w:pPr>
      <w:r w:rsidRPr="00B03B0C">
        <w:rPr>
          <w:rFonts w:asciiTheme="minorBidi" w:hAnsiTheme="minorBidi"/>
          <w:lang w:eastAsia="en-US"/>
        </w:rPr>
        <w:t>This theme ties nicely with the two previous themes. There may be language barriers, and so sometimes patients are not aware of how to voice their complaints or to explain bad treatment. A lack of health literacy can also increase the difficulty a patient may have in asserting their rights or challenging decisions. Ongoing experiences of discrimination and ineffective communication can lead to mistrust. Hence, the three themes should not be dealt with as isolated themes. There is overlap and reinforcement between them.</w:t>
      </w:r>
    </w:p>
    <w:p w14:paraId="0B7345EE" w14:textId="47F14363" w:rsidR="001C3AF6" w:rsidRPr="00B2522E" w:rsidRDefault="001C3AF6">
      <w:pPr>
        <w:pStyle w:val="Heading2"/>
        <w:numPr>
          <w:ilvl w:val="1"/>
          <w:numId w:val="2"/>
        </w:numPr>
        <w:spacing w:before="240" w:after="240"/>
        <w:jc w:val="left"/>
        <w:rPr>
          <w:rFonts w:asciiTheme="minorBidi" w:hAnsiTheme="minorBidi" w:cstheme="minorBidi"/>
          <w:b/>
          <w:bCs/>
          <w:color w:val="auto"/>
          <w:sz w:val="28"/>
          <w:szCs w:val="28"/>
        </w:rPr>
      </w:pPr>
      <w:bookmarkStart w:id="28" w:name="_Toc232051213"/>
      <w:r w:rsidRPr="00B2522E">
        <w:rPr>
          <w:rFonts w:asciiTheme="minorBidi" w:hAnsiTheme="minorBidi" w:cstheme="minorBidi"/>
          <w:b/>
          <w:bCs/>
          <w:color w:val="auto"/>
          <w:sz w:val="28"/>
          <w:szCs w:val="28"/>
        </w:rPr>
        <w:t>Chapter Conclusion</w:t>
      </w:r>
      <w:bookmarkEnd w:id="28"/>
      <w:r w:rsidRPr="00B2522E">
        <w:rPr>
          <w:rFonts w:asciiTheme="minorBidi" w:hAnsiTheme="minorBidi" w:cstheme="minorBidi"/>
          <w:b/>
          <w:bCs/>
          <w:color w:val="auto"/>
          <w:sz w:val="28"/>
          <w:szCs w:val="28"/>
        </w:rPr>
        <w:t xml:space="preserve"> </w:t>
      </w:r>
    </w:p>
    <w:p w14:paraId="4CCD70FC" w14:textId="5E828CD8" w:rsidR="00341C9A" w:rsidRPr="00B03B0C" w:rsidRDefault="00CE590F" w:rsidP="00B03B0C">
      <w:pPr>
        <w:spacing w:before="240" w:after="240"/>
        <w:jc w:val="left"/>
        <w:rPr>
          <w:rFonts w:asciiTheme="minorBidi" w:hAnsiTheme="minorBidi"/>
          <w:lang w:eastAsia="en-US"/>
        </w:rPr>
      </w:pPr>
      <w:r w:rsidRPr="00B03B0C">
        <w:rPr>
          <w:rFonts w:asciiTheme="minorBidi" w:hAnsiTheme="minorBidi"/>
          <w:lang w:eastAsia="en-US"/>
        </w:rPr>
        <w:t xml:space="preserve">This chapter outlined and explored the main findings of the thematic analysis of secondary data on culture and the access of ethnic minority groups to healthcare in the UK. Three main themes were identified. First theme highlighted poor translation and communication issues that can impact the ability to make appointments, paperwork, consent, safety and treatment understanding. The second theme illustrated how cultural attitudes could play a role in decreasing participation in preventive care, screening, vaccination, and early health care services, along with low levels of health literacy and mistrust. The third theme emphasised the continued role of discrimination, policy gaps and inequalities in culturally responsive care in the NHS in limiting equal access. Overall, the results indicated that there are both </w:t>
      </w:r>
      <w:r w:rsidRPr="00B03B0C">
        <w:rPr>
          <w:rFonts w:asciiTheme="minorBidi" w:hAnsiTheme="minorBidi"/>
          <w:lang w:eastAsia="en-US"/>
        </w:rPr>
        <w:lastRenderedPageBreak/>
        <w:t>individual and structural barriers that influence access to healthcare. The overall conclusions of the dissertation will be assessed in the following chapter, and suggestions for better culturally inclusive healthcare practice within the UK will be given.</w:t>
      </w:r>
    </w:p>
    <w:p w14:paraId="09C3380B" w14:textId="77777777" w:rsidR="008603A3" w:rsidRPr="00E73B6E" w:rsidRDefault="008603A3" w:rsidP="00EE3D27">
      <w:pPr>
        <w:spacing w:before="240" w:after="240"/>
        <w:rPr>
          <w:lang w:eastAsia="en-US"/>
        </w:rPr>
      </w:pPr>
    </w:p>
    <w:p w14:paraId="247A9180" w14:textId="77777777" w:rsidR="008603A3" w:rsidRPr="00E73B6E" w:rsidRDefault="008603A3" w:rsidP="00EE3D27">
      <w:pPr>
        <w:spacing w:before="240" w:after="240"/>
        <w:rPr>
          <w:lang w:eastAsia="en-US"/>
        </w:rPr>
      </w:pPr>
    </w:p>
    <w:p w14:paraId="03DFE2B1" w14:textId="77777777" w:rsidR="008603A3" w:rsidRPr="00E73B6E" w:rsidRDefault="008603A3" w:rsidP="00EE3D27">
      <w:pPr>
        <w:spacing w:before="240" w:after="240"/>
        <w:rPr>
          <w:lang w:eastAsia="en-US"/>
        </w:rPr>
      </w:pPr>
    </w:p>
    <w:p w14:paraId="0B3388CA" w14:textId="77777777" w:rsidR="00AC5A73" w:rsidRPr="00E73B6E" w:rsidRDefault="00AC5A73" w:rsidP="00EE3D27">
      <w:pPr>
        <w:spacing w:before="240" w:after="240"/>
        <w:rPr>
          <w:lang w:eastAsia="en-US"/>
        </w:rPr>
      </w:pPr>
    </w:p>
    <w:p w14:paraId="28C39411" w14:textId="77777777" w:rsidR="00AC5A73" w:rsidRPr="00E73B6E" w:rsidRDefault="00AC5A73" w:rsidP="00EE3D27">
      <w:pPr>
        <w:spacing w:before="240" w:after="240"/>
        <w:rPr>
          <w:lang w:eastAsia="en-US"/>
        </w:rPr>
      </w:pPr>
    </w:p>
    <w:p w14:paraId="083868AD" w14:textId="77777777" w:rsidR="00AC5A73" w:rsidRPr="00E73B6E" w:rsidRDefault="00AC5A73" w:rsidP="00EE3D27">
      <w:pPr>
        <w:spacing w:before="240" w:after="240"/>
        <w:rPr>
          <w:lang w:eastAsia="en-US"/>
        </w:rPr>
      </w:pPr>
    </w:p>
    <w:p w14:paraId="6B0B7D49" w14:textId="77777777" w:rsidR="00BD1D4E" w:rsidRPr="00E73B6E" w:rsidRDefault="00BD1D4E" w:rsidP="00EE3D27">
      <w:pPr>
        <w:spacing w:before="240" w:after="240"/>
        <w:rPr>
          <w:lang w:eastAsia="en-US"/>
        </w:rPr>
      </w:pPr>
    </w:p>
    <w:p w14:paraId="4B1F1C13" w14:textId="77777777" w:rsidR="00BD1D4E" w:rsidRPr="00E73B6E" w:rsidRDefault="00BD1D4E" w:rsidP="00EE3D27">
      <w:pPr>
        <w:spacing w:before="240" w:after="240"/>
        <w:rPr>
          <w:lang w:eastAsia="en-US"/>
        </w:rPr>
      </w:pPr>
    </w:p>
    <w:p w14:paraId="1B145431" w14:textId="77777777" w:rsidR="00BD1D4E" w:rsidRPr="00E73B6E" w:rsidRDefault="00BD1D4E" w:rsidP="00EE3D27">
      <w:pPr>
        <w:spacing w:before="240" w:after="240"/>
        <w:rPr>
          <w:lang w:eastAsia="en-US"/>
        </w:rPr>
      </w:pPr>
    </w:p>
    <w:p w14:paraId="5B578FD6" w14:textId="77777777" w:rsidR="00BD1D4E" w:rsidRPr="00E73B6E" w:rsidRDefault="00BD1D4E" w:rsidP="00EE3D27">
      <w:pPr>
        <w:spacing w:before="240" w:after="240"/>
        <w:rPr>
          <w:lang w:eastAsia="en-US"/>
        </w:rPr>
      </w:pPr>
    </w:p>
    <w:p w14:paraId="334F844D" w14:textId="77777777" w:rsidR="00BD1D4E" w:rsidRPr="00E73B6E" w:rsidRDefault="00BD1D4E" w:rsidP="00EE3D27">
      <w:pPr>
        <w:spacing w:before="240" w:after="240"/>
        <w:rPr>
          <w:lang w:eastAsia="en-US"/>
        </w:rPr>
      </w:pPr>
    </w:p>
    <w:p w14:paraId="0A382846" w14:textId="77777777" w:rsidR="00BD1D4E" w:rsidRPr="00E73B6E" w:rsidRDefault="00BD1D4E" w:rsidP="00EE3D27">
      <w:pPr>
        <w:spacing w:before="240" w:after="240"/>
        <w:rPr>
          <w:lang w:eastAsia="en-US"/>
        </w:rPr>
      </w:pPr>
    </w:p>
    <w:p w14:paraId="39219985" w14:textId="77777777" w:rsidR="00BD1D4E" w:rsidRPr="00E73B6E" w:rsidRDefault="00BD1D4E" w:rsidP="00EE3D27">
      <w:pPr>
        <w:spacing w:before="240" w:after="240"/>
        <w:rPr>
          <w:lang w:eastAsia="en-US"/>
        </w:rPr>
      </w:pPr>
    </w:p>
    <w:p w14:paraId="2418982C" w14:textId="77777777" w:rsidR="00BD1D4E" w:rsidRPr="00E73B6E" w:rsidRDefault="00BD1D4E" w:rsidP="00EE3D27">
      <w:pPr>
        <w:spacing w:before="240" w:after="240"/>
        <w:rPr>
          <w:lang w:eastAsia="en-US"/>
        </w:rPr>
      </w:pPr>
    </w:p>
    <w:p w14:paraId="3687CF01" w14:textId="77777777" w:rsidR="00BD1D4E" w:rsidRPr="00E73B6E" w:rsidRDefault="00BD1D4E" w:rsidP="00EE3D27">
      <w:pPr>
        <w:spacing w:before="240" w:after="240"/>
        <w:rPr>
          <w:lang w:eastAsia="en-US"/>
        </w:rPr>
      </w:pPr>
    </w:p>
    <w:p w14:paraId="61ACAA49" w14:textId="77777777" w:rsidR="00BD1D4E" w:rsidRPr="00E73B6E" w:rsidRDefault="00BD1D4E" w:rsidP="00EE3D27">
      <w:pPr>
        <w:spacing w:before="240" w:after="240"/>
        <w:rPr>
          <w:lang w:eastAsia="en-US"/>
        </w:rPr>
      </w:pPr>
    </w:p>
    <w:p w14:paraId="3CE4B214" w14:textId="77777777" w:rsidR="008603A3" w:rsidRPr="00E73B6E" w:rsidRDefault="008603A3" w:rsidP="00EE3D27">
      <w:pPr>
        <w:spacing w:before="240" w:after="240"/>
        <w:rPr>
          <w:lang w:eastAsia="en-US"/>
        </w:rPr>
      </w:pPr>
    </w:p>
    <w:p w14:paraId="73555521" w14:textId="77777777" w:rsidR="009529DA" w:rsidRPr="00E73B6E" w:rsidRDefault="009529DA" w:rsidP="00EE3D27">
      <w:pPr>
        <w:spacing w:before="240" w:after="240"/>
        <w:rPr>
          <w:lang w:eastAsia="en-US"/>
        </w:rPr>
      </w:pPr>
    </w:p>
    <w:p w14:paraId="615F6974" w14:textId="77777777" w:rsidR="008603A3" w:rsidRPr="00E73B6E" w:rsidRDefault="008603A3" w:rsidP="00EE3D27">
      <w:pPr>
        <w:spacing w:before="240" w:after="240"/>
        <w:rPr>
          <w:lang w:eastAsia="en-US"/>
        </w:rPr>
      </w:pPr>
    </w:p>
    <w:p w14:paraId="519EB35A" w14:textId="61725F9A" w:rsidR="00636D9A" w:rsidRPr="00AE36B2" w:rsidRDefault="00237D25">
      <w:pPr>
        <w:pStyle w:val="Heading1"/>
        <w:numPr>
          <w:ilvl w:val="0"/>
          <w:numId w:val="7"/>
        </w:numPr>
        <w:spacing w:before="240" w:after="240" w:line="360" w:lineRule="auto"/>
        <w:jc w:val="center"/>
        <w:rPr>
          <w:rFonts w:asciiTheme="minorBidi" w:hAnsiTheme="minorBidi" w:cstheme="minorBidi"/>
        </w:rPr>
      </w:pPr>
      <w:bookmarkStart w:id="29" w:name="_Toc232051214"/>
      <w:r w:rsidRPr="00AE36B2">
        <w:rPr>
          <w:rFonts w:asciiTheme="minorBidi" w:hAnsiTheme="minorBidi" w:cstheme="minorBidi"/>
        </w:rPr>
        <w:lastRenderedPageBreak/>
        <w:t xml:space="preserve">Chapter </w:t>
      </w:r>
      <w:r w:rsidR="00636D9A" w:rsidRPr="00AE36B2">
        <w:rPr>
          <w:rFonts w:asciiTheme="minorBidi" w:hAnsiTheme="minorBidi" w:cstheme="minorBidi"/>
        </w:rPr>
        <w:t>5 – Conclusion and Recommendations</w:t>
      </w:r>
      <w:bookmarkEnd w:id="29"/>
    </w:p>
    <w:p w14:paraId="3628F6DF" w14:textId="0887E7D7" w:rsidR="00292A36" w:rsidRPr="003F4BC9" w:rsidRDefault="00636D9A">
      <w:pPr>
        <w:pStyle w:val="Heading2"/>
        <w:numPr>
          <w:ilvl w:val="1"/>
          <w:numId w:val="2"/>
        </w:numPr>
        <w:spacing w:before="240" w:after="240"/>
        <w:jc w:val="left"/>
        <w:rPr>
          <w:rFonts w:asciiTheme="minorBidi" w:hAnsiTheme="minorBidi" w:cstheme="minorBidi"/>
          <w:b/>
          <w:bCs/>
          <w:color w:val="auto"/>
          <w:sz w:val="28"/>
          <w:szCs w:val="28"/>
        </w:rPr>
      </w:pPr>
      <w:bookmarkStart w:id="30" w:name="_Toc232051215"/>
      <w:r w:rsidRPr="003F4BC9">
        <w:rPr>
          <w:rFonts w:asciiTheme="minorBidi" w:hAnsiTheme="minorBidi" w:cstheme="minorBidi"/>
          <w:b/>
          <w:bCs/>
          <w:color w:val="auto"/>
          <w:sz w:val="28"/>
          <w:szCs w:val="28"/>
        </w:rPr>
        <w:t>Overall Conclusion</w:t>
      </w:r>
      <w:bookmarkEnd w:id="30"/>
      <w:r w:rsidRPr="003F4BC9">
        <w:rPr>
          <w:rFonts w:asciiTheme="minorBidi" w:hAnsiTheme="minorBidi" w:cstheme="minorBidi"/>
          <w:b/>
          <w:bCs/>
          <w:color w:val="auto"/>
          <w:sz w:val="28"/>
          <w:szCs w:val="28"/>
        </w:rPr>
        <w:t xml:space="preserve"> </w:t>
      </w:r>
    </w:p>
    <w:p w14:paraId="0AA56080" w14:textId="58C45289" w:rsidR="003B1E32" w:rsidRPr="00AE36B2" w:rsidRDefault="00581419" w:rsidP="00AE36B2">
      <w:pPr>
        <w:spacing w:before="240" w:after="240"/>
        <w:jc w:val="left"/>
        <w:rPr>
          <w:rFonts w:asciiTheme="minorBidi" w:hAnsiTheme="minorBidi"/>
          <w:lang w:eastAsia="en-US"/>
        </w:rPr>
      </w:pPr>
      <w:r w:rsidRPr="00AE36B2">
        <w:rPr>
          <w:rFonts w:asciiTheme="minorBidi" w:hAnsiTheme="minorBidi"/>
          <w:lang w:eastAsia="en-US"/>
        </w:rPr>
        <w:t>This dissertation addressed cultural barriers and access to healthcare in ethnic minority groups in the UK. The research objective was to examine the impact of language barriers, cultural beliefs, health literacy, mistrust, and discrimination, along with patient-provider communication, on access to the NHS services. This has been achieved using secondary research and thematic analysis</w:t>
      </w:r>
      <w:r w:rsidR="009D6894" w:rsidRPr="00AE36B2">
        <w:rPr>
          <w:rFonts w:asciiTheme="minorBidi" w:hAnsiTheme="minorBidi"/>
          <w:lang w:eastAsia="en-US"/>
        </w:rPr>
        <w:t xml:space="preserve"> with t</w:t>
      </w:r>
      <w:r w:rsidRPr="00AE36B2">
        <w:rPr>
          <w:rFonts w:asciiTheme="minorBidi" w:hAnsiTheme="minorBidi"/>
          <w:lang w:eastAsia="en-US"/>
        </w:rPr>
        <w:t>he topic, rationale and aim and objectives were introduced in Chapter 1. Chapter 2 gave background information on inequalities in the historical context, theoretical frameworks and healthcare policy in the UK. The methodology used</w:t>
      </w:r>
      <w:r w:rsidR="00B73E03" w:rsidRPr="00AE36B2">
        <w:rPr>
          <w:rFonts w:asciiTheme="minorBidi" w:hAnsiTheme="minorBidi"/>
          <w:lang w:eastAsia="en-US"/>
        </w:rPr>
        <w:t xml:space="preserve"> </w:t>
      </w:r>
      <w:r w:rsidR="00F336DE" w:rsidRPr="00AE36B2">
        <w:rPr>
          <w:rFonts w:asciiTheme="minorBidi" w:hAnsiTheme="minorBidi"/>
          <w:lang w:eastAsia="en-US"/>
        </w:rPr>
        <w:t>to include</w:t>
      </w:r>
      <w:r w:rsidRPr="00AE36B2">
        <w:rPr>
          <w:rFonts w:asciiTheme="minorBidi" w:hAnsiTheme="minorBidi"/>
          <w:lang w:eastAsia="en-US"/>
        </w:rPr>
        <w:t xml:space="preserve"> the search strategy, selection of sources and coding in thematic discourse, was explained in chapter 3, which covered the literature. Chapter 4 found three major findings</w:t>
      </w:r>
      <w:r w:rsidR="00EF2D2C" w:rsidRPr="00AE36B2">
        <w:rPr>
          <w:rFonts w:asciiTheme="minorBidi" w:hAnsiTheme="minorBidi"/>
          <w:lang w:eastAsia="en-US"/>
        </w:rPr>
        <w:t xml:space="preserve"> such as</w:t>
      </w:r>
      <w:r w:rsidRPr="00AE36B2">
        <w:rPr>
          <w:rFonts w:asciiTheme="minorBidi" w:hAnsiTheme="minorBidi"/>
          <w:lang w:eastAsia="en-US"/>
        </w:rPr>
        <w:t xml:space="preserve"> language barriers can have a negative impact on communication and patient safety</w:t>
      </w:r>
      <w:r w:rsidR="00673BDD" w:rsidRPr="00AE36B2">
        <w:rPr>
          <w:rFonts w:asciiTheme="minorBidi" w:hAnsiTheme="minorBidi"/>
          <w:lang w:eastAsia="en-US"/>
        </w:rPr>
        <w:t xml:space="preserve">, with </w:t>
      </w:r>
      <w:r w:rsidRPr="00AE36B2">
        <w:rPr>
          <w:rFonts w:asciiTheme="minorBidi" w:hAnsiTheme="minorBidi"/>
          <w:lang w:eastAsia="en-US"/>
        </w:rPr>
        <w:t>cultural beliefs can have a negative impact on patients' health literacy and trust in health systems and discrimination and policy gaps can have a negative impact on culturally responsive care. Overall, the goals were met, as the dissertation focused on barriers, their impact and provided evidence-based recommendations for improving inclusive healthcare practice.</w:t>
      </w:r>
    </w:p>
    <w:p w14:paraId="48005ABF" w14:textId="01491E41" w:rsidR="00636D9A" w:rsidRPr="00312A18" w:rsidRDefault="005C5E80">
      <w:pPr>
        <w:pStyle w:val="Heading2"/>
        <w:numPr>
          <w:ilvl w:val="1"/>
          <w:numId w:val="2"/>
        </w:numPr>
        <w:spacing w:before="240" w:after="240"/>
        <w:jc w:val="left"/>
        <w:rPr>
          <w:rFonts w:asciiTheme="minorBidi" w:hAnsiTheme="minorBidi" w:cstheme="minorBidi"/>
          <w:b/>
          <w:bCs/>
          <w:color w:val="auto"/>
          <w:sz w:val="28"/>
          <w:szCs w:val="28"/>
        </w:rPr>
      </w:pPr>
      <w:bookmarkStart w:id="31" w:name="_Toc232051216"/>
      <w:r w:rsidRPr="00312A18">
        <w:rPr>
          <w:rFonts w:asciiTheme="minorBidi" w:hAnsiTheme="minorBidi" w:cstheme="minorBidi"/>
          <w:b/>
          <w:bCs/>
          <w:color w:val="auto"/>
          <w:sz w:val="28"/>
          <w:szCs w:val="28"/>
        </w:rPr>
        <w:t>Recommendations</w:t>
      </w:r>
      <w:bookmarkEnd w:id="31"/>
      <w:r w:rsidR="00636D9A" w:rsidRPr="00312A18">
        <w:rPr>
          <w:rFonts w:asciiTheme="minorBidi" w:hAnsiTheme="minorBidi" w:cstheme="minorBidi"/>
          <w:b/>
          <w:bCs/>
          <w:color w:val="auto"/>
          <w:sz w:val="28"/>
          <w:szCs w:val="28"/>
        </w:rPr>
        <w:t xml:space="preserve"> </w:t>
      </w:r>
    </w:p>
    <w:p w14:paraId="234DEE21" w14:textId="3C757C36" w:rsidR="00C42C04" w:rsidRPr="00871451" w:rsidRDefault="00C42C04">
      <w:pPr>
        <w:pStyle w:val="Heading3"/>
        <w:numPr>
          <w:ilvl w:val="2"/>
          <w:numId w:val="2"/>
        </w:numPr>
        <w:spacing w:before="240" w:after="240"/>
        <w:jc w:val="left"/>
        <w:rPr>
          <w:rFonts w:asciiTheme="minorBidi" w:hAnsiTheme="minorBidi" w:cstheme="minorBidi"/>
          <w:color w:val="auto"/>
        </w:rPr>
      </w:pPr>
      <w:bookmarkStart w:id="32" w:name="_Toc232051217"/>
      <w:r w:rsidRPr="00871451">
        <w:rPr>
          <w:rStyle w:val="Strong"/>
          <w:rFonts w:asciiTheme="minorBidi" w:hAnsiTheme="minorBidi" w:cstheme="minorBidi"/>
          <w:color w:val="auto"/>
        </w:rPr>
        <w:t>Strengthen Professional Interpreting and Translated NHS Communication</w:t>
      </w:r>
      <w:bookmarkEnd w:id="32"/>
    </w:p>
    <w:p w14:paraId="7FB53DED" w14:textId="7977CC0E" w:rsidR="00C42C04" w:rsidRPr="00AE36B2" w:rsidRDefault="00E439A0" w:rsidP="00AE36B2">
      <w:pPr>
        <w:spacing w:before="240" w:after="240"/>
        <w:jc w:val="left"/>
        <w:rPr>
          <w:rFonts w:asciiTheme="minorBidi" w:hAnsiTheme="minorBidi"/>
          <w:lang w:eastAsia="en-US"/>
        </w:rPr>
      </w:pPr>
      <w:r w:rsidRPr="00AE36B2">
        <w:rPr>
          <w:rFonts w:asciiTheme="minorBidi" w:hAnsiTheme="minorBidi"/>
          <w:lang w:eastAsia="en-US"/>
        </w:rPr>
        <w:t>NHS organisations should develop professional interpreting and translated communication in GP practices, hospitals, maternity services, mental health services and screening programmes, which is the first recommendation. This recommendation directly addresses the finding that language barriers impact access to appointments, informed consent, understanding of treatment and patient safety. In reality, all these things ought to be recorded at the patient's registration, trained interpreters are available at complex appointments, and important documents like appointment letters, consent forms, instructions for medicines and screening invitations are translated. This is significant as NHS England's 2025 interpreting framework recognises that delays and barriers to accessing healthcare for people with limited English proficiency can be caused, and that interpreting should enable people to communicate in both speech and writing</w:t>
      </w:r>
      <w:r w:rsidR="00473829" w:rsidRPr="00AE36B2">
        <w:rPr>
          <w:rFonts w:asciiTheme="minorBidi" w:hAnsiTheme="minorBidi"/>
          <w:lang w:eastAsia="en-US"/>
        </w:rPr>
        <w:t xml:space="preserve"> (Maclellan, Shehata and </w:t>
      </w:r>
      <w:proofErr w:type="spellStart"/>
      <w:r w:rsidR="00473829" w:rsidRPr="00AE36B2">
        <w:rPr>
          <w:rFonts w:asciiTheme="minorBidi" w:hAnsiTheme="minorBidi"/>
          <w:lang w:eastAsia="en-US"/>
        </w:rPr>
        <w:t>Mulji</w:t>
      </w:r>
      <w:proofErr w:type="spellEnd"/>
      <w:r w:rsidR="00473829" w:rsidRPr="00AE36B2">
        <w:rPr>
          <w:rFonts w:asciiTheme="minorBidi" w:hAnsiTheme="minorBidi"/>
          <w:lang w:eastAsia="en-US"/>
        </w:rPr>
        <w:t>, 2026)</w:t>
      </w:r>
      <w:r w:rsidRPr="00AE36B2">
        <w:rPr>
          <w:rFonts w:asciiTheme="minorBidi" w:hAnsiTheme="minorBidi"/>
          <w:lang w:eastAsia="en-US"/>
        </w:rPr>
        <w:t xml:space="preserve">. In a real case, a Romanian-speaking family had a child referred for an MRI under general </w:t>
      </w:r>
      <w:r w:rsidRPr="00AE36B2">
        <w:rPr>
          <w:rFonts w:asciiTheme="minorBidi" w:hAnsiTheme="minorBidi"/>
          <w:lang w:eastAsia="en-US"/>
        </w:rPr>
        <w:lastRenderedPageBreak/>
        <w:t>anaesthetic</w:t>
      </w:r>
      <w:r w:rsidR="00FA3667" w:rsidRPr="00AE36B2">
        <w:rPr>
          <w:rFonts w:asciiTheme="minorBidi" w:hAnsiTheme="minorBidi"/>
          <w:lang w:eastAsia="en-US"/>
        </w:rPr>
        <w:t xml:space="preserve"> as</w:t>
      </w:r>
      <w:r w:rsidRPr="00AE36B2">
        <w:rPr>
          <w:rFonts w:asciiTheme="minorBidi" w:hAnsiTheme="minorBidi"/>
          <w:lang w:eastAsia="en-US"/>
        </w:rPr>
        <w:t xml:space="preserve"> verbal interpreting was provided, but the written instructions were not translated, which led to the child not being given the correct fasting procedure instructions and to the delay in care</w:t>
      </w:r>
      <w:r w:rsidR="00913595" w:rsidRPr="00AE36B2">
        <w:rPr>
          <w:rFonts w:asciiTheme="minorBidi" w:hAnsiTheme="minorBidi"/>
          <w:lang w:eastAsia="en-US"/>
        </w:rPr>
        <w:t xml:space="preserve"> (The Independent, 2023)</w:t>
      </w:r>
      <w:r w:rsidRPr="00AE36B2">
        <w:rPr>
          <w:rFonts w:asciiTheme="minorBidi" w:hAnsiTheme="minorBidi"/>
          <w:lang w:eastAsia="en-US"/>
        </w:rPr>
        <w:t>. This demonstrates that translation is not just a matter of convenience, but also patient safety. The primary challenge is cost and inequitable access. To address this, Integrated Care Boards should identify local language needs and adopt a blended approach</w:t>
      </w:r>
      <w:r w:rsidR="00A520EE" w:rsidRPr="00AE36B2">
        <w:rPr>
          <w:rFonts w:asciiTheme="minorBidi" w:hAnsiTheme="minorBidi"/>
          <w:lang w:eastAsia="en-US"/>
        </w:rPr>
        <w:t xml:space="preserve"> such as </w:t>
      </w:r>
      <w:r w:rsidRPr="00AE36B2">
        <w:rPr>
          <w:rFonts w:asciiTheme="minorBidi" w:hAnsiTheme="minorBidi"/>
          <w:lang w:eastAsia="en-US"/>
        </w:rPr>
        <w:t>face-to-face interpreters for high-risk consultations, video or telephone interpreters for routine appointments.</w:t>
      </w:r>
    </w:p>
    <w:p w14:paraId="6715BA69" w14:textId="2949B899" w:rsidR="00C42C04" w:rsidRPr="00726197" w:rsidRDefault="00C42C04">
      <w:pPr>
        <w:pStyle w:val="Heading3"/>
        <w:numPr>
          <w:ilvl w:val="2"/>
          <w:numId w:val="2"/>
        </w:numPr>
        <w:spacing w:before="240" w:after="240"/>
        <w:jc w:val="left"/>
        <w:rPr>
          <w:rFonts w:asciiTheme="minorBidi" w:hAnsiTheme="minorBidi" w:cstheme="minorBidi"/>
          <w:color w:val="auto"/>
        </w:rPr>
      </w:pPr>
      <w:bookmarkStart w:id="33" w:name="_Toc232051218"/>
      <w:r w:rsidRPr="00726197">
        <w:rPr>
          <w:rStyle w:val="Strong"/>
          <w:rFonts w:asciiTheme="minorBidi" w:hAnsiTheme="minorBidi" w:cstheme="minorBidi"/>
          <w:color w:val="auto"/>
        </w:rPr>
        <w:t>Develop Culturally Appropriate Health Literacy and Community Outreach Programmes</w:t>
      </w:r>
      <w:bookmarkEnd w:id="33"/>
    </w:p>
    <w:p w14:paraId="479D3E2A" w14:textId="0DCA2ABD" w:rsidR="00C42C04" w:rsidRPr="00AE36B2" w:rsidRDefault="003932D6" w:rsidP="00AE36B2">
      <w:pPr>
        <w:spacing w:before="240" w:after="240"/>
        <w:jc w:val="left"/>
        <w:rPr>
          <w:rFonts w:asciiTheme="minorBidi" w:hAnsiTheme="minorBidi"/>
          <w:lang w:eastAsia="en-US"/>
        </w:rPr>
      </w:pPr>
      <w:r w:rsidRPr="00AE36B2">
        <w:rPr>
          <w:rFonts w:asciiTheme="minorBidi" w:hAnsiTheme="minorBidi"/>
          <w:lang w:eastAsia="en-US"/>
        </w:rPr>
        <w:t xml:space="preserve">Secondly, it is recommended that NHS services create culturally sensitive health literacy and outreach programmes to ethnic minority communities. It's a response to the fact that cultural beliefs and low health literacy and mistrust have been found to decrease engagement with screening, vaccination, mental health services and early intervention. </w:t>
      </w:r>
      <w:r w:rsidR="009E0149" w:rsidRPr="00AE36B2">
        <w:rPr>
          <w:rFonts w:asciiTheme="minorBidi" w:hAnsiTheme="minorBidi"/>
          <w:lang w:eastAsia="en-US"/>
        </w:rPr>
        <w:t xml:space="preserve">Around </w:t>
      </w:r>
      <w:r w:rsidRPr="00AE36B2">
        <w:rPr>
          <w:rFonts w:asciiTheme="minorBidi" w:hAnsiTheme="minorBidi"/>
          <w:lang w:eastAsia="en-US"/>
        </w:rPr>
        <w:t>42% of working-age adults in England find it difficult to understand everyday health information</w:t>
      </w:r>
      <w:r w:rsidR="00004CEE" w:rsidRPr="00AE36B2">
        <w:rPr>
          <w:rFonts w:asciiTheme="minorBidi" w:hAnsiTheme="minorBidi"/>
          <w:lang w:eastAsia="en-US"/>
        </w:rPr>
        <w:t>,</w:t>
      </w:r>
      <w:r w:rsidRPr="00AE36B2">
        <w:rPr>
          <w:rFonts w:asciiTheme="minorBidi" w:hAnsiTheme="minorBidi"/>
          <w:lang w:eastAsia="en-US"/>
        </w:rPr>
        <w:t xml:space="preserve"> increas</w:t>
      </w:r>
      <w:r w:rsidR="00BF6435" w:rsidRPr="00AE36B2">
        <w:rPr>
          <w:rFonts w:asciiTheme="minorBidi" w:hAnsiTheme="minorBidi"/>
          <w:lang w:eastAsia="en-US"/>
        </w:rPr>
        <w:t>ing</w:t>
      </w:r>
      <w:r w:rsidRPr="00AE36B2">
        <w:rPr>
          <w:rFonts w:asciiTheme="minorBidi" w:hAnsiTheme="minorBidi"/>
          <w:lang w:eastAsia="en-US"/>
        </w:rPr>
        <w:t xml:space="preserve"> to 61% when numeracy is required</w:t>
      </w:r>
      <w:r w:rsidR="005C53A1" w:rsidRPr="00AE36B2">
        <w:rPr>
          <w:rFonts w:asciiTheme="minorBidi" w:hAnsiTheme="minorBidi"/>
          <w:lang w:eastAsia="en-US"/>
        </w:rPr>
        <w:t xml:space="preserve"> (Public Health England, 2015)</w:t>
      </w:r>
      <w:r w:rsidRPr="00AE36B2">
        <w:rPr>
          <w:rFonts w:asciiTheme="minorBidi" w:hAnsiTheme="minorBidi"/>
          <w:lang w:eastAsia="en-US"/>
        </w:rPr>
        <w:t>.</w:t>
      </w:r>
      <w:r w:rsidR="00750C6C" w:rsidRPr="00AE36B2">
        <w:rPr>
          <w:rFonts w:asciiTheme="minorBidi" w:hAnsiTheme="minorBidi"/>
          <w:lang w:eastAsia="en-US"/>
        </w:rPr>
        <w:t xml:space="preserve"> </w:t>
      </w:r>
      <w:r w:rsidRPr="00AE36B2">
        <w:rPr>
          <w:rFonts w:asciiTheme="minorBidi" w:hAnsiTheme="minorBidi"/>
          <w:lang w:eastAsia="en-US"/>
        </w:rPr>
        <w:t>This is important because often the NHS information will contain numbers, risks, instructions for medication and instructions for appointments. In practice, NHS Trusts and GP networks should utilise simple language, translated versions of materials, community workshops, faith settings, local charities and bilingual community health workers. The Core20PLUS5 approach already captures important priority inequalities, including maternal, severe mental illness, early cancer diagnosis, hypertension and chronic respiratory disease, and outreach should target these inequalities</w:t>
      </w:r>
      <w:r w:rsidR="003A215C" w:rsidRPr="00AE36B2">
        <w:rPr>
          <w:rFonts w:asciiTheme="minorBidi" w:hAnsiTheme="minorBidi"/>
          <w:lang w:eastAsia="en-US"/>
        </w:rPr>
        <w:t xml:space="preserve"> (Champs Public Health Collaborative, 2026)</w:t>
      </w:r>
      <w:r w:rsidRPr="00AE36B2">
        <w:rPr>
          <w:rFonts w:asciiTheme="minorBidi" w:hAnsiTheme="minorBidi"/>
          <w:lang w:eastAsia="en-US"/>
        </w:rPr>
        <w:t>. For instance, messages delivered via local networks</w:t>
      </w:r>
      <w:r w:rsidR="003C5658" w:rsidRPr="00AE36B2">
        <w:rPr>
          <w:rFonts w:asciiTheme="minorBidi" w:hAnsiTheme="minorBidi"/>
          <w:lang w:eastAsia="en-US"/>
        </w:rPr>
        <w:t xml:space="preserve">, </w:t>
      </w:r>
      <w:r w:rsidRPr="00AE36B2">
        <w:rPr>
          <w:rFonts w:asciiTheme="minorBidi" w:hAnsiTheme="minorBidi"/>
          <w:lang w:eastAsia="en-US"/>
        </w:rPr>
        <w:t>mosques, churches, temples and community centres</w:t>
      </w:r>
      <w:r w:rsidR="00C95FC5" w:rsidRPr="00AE36B2">
        <w:rPr>
          <w:rFonts w:asciiTheme="minorBidi" w:hAnsiTheme="minorBidi"/>
          <w:lang w:eastAsia="en-US"/>
        </w:rPr>
        <w:t xml:space="preserve">, </w:t>
      </w:r>
      <w:r w:rsidRPr="00AE36B2">
        <w:rPr>
          <w:rFonts w:asciiTheme="minorBidi" w:hAnsiTheme="minorBidi"/>
          <w:lang w:eastAsia="en-US"/>
        </w:rPr>
        <w:t>can better resonate with people and enhance trust, as screening and vaccination campaigns are culturally adapted. The downside is that inappropriate outreach can be stereotyping or tokenistic of communities. This can be addressed by working with ethnic minority patients, voluntary organisations and faith leaders to produce programmes, rather than campaigns being created within only NHS offices.</w:t>
      </w:r>
    </w:p>
    <w:p w14:paraId="766699EF" w14:textId="7AB1F6B7" w:rsidR="00C42C04" w:rsidRPr="00803DBA" w:rsidRDefault="00C42C04">
      <w:pPr>
        <w:pStyle w:val="Heading3"/>
        <w:numPr>
          <w:ilvl w:val="2"/>
          <w:numId w:val="2"/>
        </w:numPr>
        <w:spacing w:before="240" w:after="240"/>
        <w:jc w:val="left"/>
        <w:rPr>
          <w:rFonts w:asciiTheme="minorBidi" w:hAnsiTheme="minorBidi" w:cstheme="minorBidi"/>
          <w:color w:val="auto"/>
        </w:rPr>
      </w:pPr>
      <w:bookmarkStart w:id="34" w:name="_Toc232051219"/>
      <w:r w:rsidRPr="00803DBA">
        <w:rPr>
          <w:rStyle w:val="Strong"/>
          <w:rFonts w:asciiTheme="minorBidi" w:hAnsiTheme="minorBidi" w:cstheme="minorBidi"/>
          <w:color w:val="auto"/>
        </w:rPr>
        <w:t>Embed Anti-Racist and Culturally Responsive Practice into NHS Accountability</w:t>
      </w:r>
      <w:bookmarkEnd w:id="34"/>
    </w:p>
    <w:p w14:paraId="6A678490" w14:textId="57FC3616" w:rsidR="00C42C04" w:rsidRPr="00AE36B2" w:rsidRDefault="009A148B" w:rsidP="00AE36B2">
      <w:pPr>
        <w:spacing w:before="240" w:after="240"/>
        <w:jc w:val="left"/>
        <w:rPr>
          <w:rFonts w:asciiTheme="minorBidi" w:hAnsiTheme="minorBidi"/>
          <w:lang w:eastAsia="en-US"/>
        </w:rPr>
      </w:pPr>
      <w:r w:rsidRPr="00AE36B2">
        <w:rPr>
          <w:rFonts w:asciiTheme="minorBidi" w:hAnsiTheme="minorBidi"/>
          <w:lang w:eastAsia="en-US"/>
        </w:rPr>
        <w:t xml:space="preserve">The third recommendation is for NHS organisations to integrate anti-racist and culturally responsive practice into staff training, service design and accountability systems. This recommendation is based on the evidence that discrimination, policy gaps and low-quality culturally responsive care remain barriers to equal access. Training includes cultural humility, </w:t>
      </w:r>
      <w:r w:rsidRPr="00AE36B2">
        <w:rPr>
          <w:rFonts w:asciiTheme="minorBidi" w:hAnsiTheme="minorBidi"/>
          <w:lang w:eastAsia="en-US"/>
        </w:rPr>
        <w:lastRenderedPageBreak/>
        <w:t>unconscious bias, anti-racist practice, safe communication and real patient case studies from the maternity, primary care and mental health services. But training is not sufficient</w:t>
      </w:r>
      <w:r w:rsidR="0002603B" w:rsidRPr="00AE36B2">
        <w:rPr>
          <w:rFonts w:asciiTheme="minorBidi" w:hAnsiTheme="minorBidi"/>
          <w:lang w:eastAsia="en-US"/>
        </w:rPr>
        <w:t xml:space="preserve"> as </w:t>
      </w:r>
      <w:r w:rsidR="00B1702E" w:rsidRPr="00AE36B2">
        <w:rPr>
          <w:rFonts w:asciiTheme="minorBidi" w:hAnsiTheme="minorBidi"/>
          <w:lang w:eastAsia="en-US"/>
        </w:rPr>
        <w:t>ethnic</w:t>
      </w:r>
      <w:r w:rsidRPr="00AE36B2">
        <w:rPr>
          <w:rFonts w:asciiTheme="minorBidi" w:hAnsiTheme="minorBidi"/>
          <w:lang w:eastAsia="en-US"/>
        </w:rPr>
        <w:t xml:space="preserve"> differences in complaints, waiting times, screening uptake, maternity outcomes, access to interpreters and satisfaction scores should be monitored by NHS Trusts, GP practices and Integrated Care Boards. This would be a measurable equality instead of a policy-based one. The culture of this workforce is also significant, as NHS England's 2024 Workforce Race Equality Standard revealed that 15.5% of BME staff had faced discrimination from other staff members, compared with 6.7% of White staff</w:t>
      </w:r>
      <w:r w:rsidR="00920442" w:rsidRPr="00AE36B2">
        <w:rPr>
          <w:rFonts w:asciiTheme="minorBidi" w:hAnsiTheme="minorBidi"/>
          <w:lang w:eastAsia="en-US"/>
        </w:rPr>
        <w:t xml:space="preserve"> (NWAS, 2025)</w:t>
      </w:r>
      <w:r w:rsidRPr="00AE36B2">
        <w:rPr>
          <w:rFonts w:asciiTheme="minorBidi" w:hAnsiTheme="minorBidi"/>
          <w:lang w:eastAsia="en-US"/>
        </w:rPr>
        <w:t>. When the healthcare staff is also the target of discrimination, it can be difficult to foster patient experiences that are inclusive. The most significant obstacle is staff resistance to the concept of anti-racism, which is seen as blaming and as an additional responsibility. That can be addressed by connecting culturally responsive practice to patient safety, professional standards and quality improvement. Progress should be monitored regularly by senior NHS leaders, and local managers should be held to account for reducing ethnic inequalities in care.</w:t>
      </w:r>
    </w:p>
    <w:p w14:paraId="26623C85" w14:textId="77777777" w:rsidR="006A0D97" w:rsidRPr="00E73B6E" w:rsidRDefault="006A0D97" w:rsidP="00EE3D27">
      <w:pPr>
        <w:spacing w:before="240" w:after="240"/>
        <w:rPr>
          <w:lang w:eastAsia="en-US"/>
        </w:rPr>
      </w:pPr>
    </w:p>
    <w:p w14:paraId="57D98257" w14:textId="77777777" w:rsidR="00B23444" w:rsidRPr="00E73B6E" w:rsidRDefault="00B23444" w:rsidP="00EE3D27">
      <w:pPr>
        <w:spacing w:before="240" w:after="240"/>
        <w:rPr>
          <w:lang w:eastAsia="en-US"/>
        </w:rPr>
      </w:pPr>
    </w:p>
    <w:p w14:paraId="272858ED" w14:textId="77777777" w:rsidR="00B23444" w:rsidRPr="00E73B6E" w:rsidRDefault="00B23444" w:rsidP="00091860">
      <w:pPr>
        <w:spacing w:before="240" w:after="240"/>
        <w:rPr>
          <w:lang w:eastAsia="en-US"/>
        </w:rPr>
      </w:pPr>
    </w:p>
    <w:p w14:paraId="7F5A9D69" w14:textId="77777777" w:rsidR="00B23444" w:rsidRPr="00E73B6E" w:rsidRDefault="00B23444" w:rsidP="00091860">
      <w:pPr>
        <w:spacing w:before="240" w:after="240"/>
        <w:rPr>
          <w:lang w:eastAsia="en-US"/>
        </w:rPr>
      </w:pPr>
    </w:p>
    <w:p w14:paraId="08E51FC2" w14:textId="77777777" w:rsidR="00B23444" w:rsidRPr="00E73B6E" w:rsidRDefault="00B23444" w:rsidP="00091860">
      <w:pPr>
        <w:spacing w:before="240" w:after="240"/>
        <w:rPr>
          <w:lang w:eastAsia="en-US"/>
        </w:rPr>
      </w:pPr>
    </w:p>
    <w:p w14:paraId="3EF01998" w14:textId="77777777" w:rsidR="00B23444" w:rsidRPr="00E73B6E" w:rsidRDefault="00B23444" w:rsidP="00091860">
      <w:pPr>
        <w:spacing w:before="240" w:after="240"/>
        <w:rPr>
          <w:lang w:eastAsia="en-US"/>
        </w:rPr>
      </w:pPr>
    </w:p>
    <w:p w14:paraId="7B68F64B" w14:textId="77777777" w:rsidR="00B23444" w:rsidRPr="00E73B6E" w:rsidRDefault="00B23444" w:rsidP="00091860">
      <w:pPr>
        <w:spacing w:before="240" w:after="240"/>
        <w:rPr>
          <w:lang w:eastAsia="en-US"/>
        </w:rPr>
      </w:pPr>
    </w:p>
    <w:p w14:paraId="2F137545" w14:textId="77777777" w:rsidR="00B23444" w:rsidRPr="00E73B6E" w:rsidRDefault="00B23444" w:rsidP="00091860">
      <w:pPr>
        <w:spacing w:before="240" w:after="240"/>
        <w:rPr>
          <w:lang w:eastAsia="en-US"/>
        </w:rPr>
      </w:pPr>
    </w:p>
    <w:p w14:paraId="0D762B1A" w14:textId="77777777" w:rsidR="00B23444" w:rsidRPr="00E73B6E" w:rsidRDefault="00B23444" w:rsidP="00091860">
      <w:pPr>
        <w:spacing w:before="240" w:after="240"/>
        <w:rPr>
          <w:lang w:eastAsia="en-US"/>
        </w:rPr>
      </w:pPr>
    </w:p>
    <w:p w14:paraId="1AB3A4B2" w14:textId="77777777" w:rsidR="00B23444" w:rsidRPr="00E73B6E" w:rsidRDefault="00B23444" w:rsidP="00091860">
      <w:pPr>
        <w:spacing w:before="240" w:after="240"/>
        <w:rPr>
          <w:lang w:eastAsia="en-US"/>
        </w:rPr>
      </w:pPr>
    </w:p>
    <w:p w14:paraId="40540A72" w14:textId="77777777" w:rsidR="00B23444" w:rsidRPr="00E73B6E" w:rsidRDefault="00B23444" w:rsidP="00091860">
      <w:pPr>
        <w:spacing w:before="240" w:after="240"/>
        <w:rPr>
          <w:lang w:eastAsia="en-US"/>
        </w:rPr>
      </w:pPr>
    </w:p>
    <w:p w14:paraId="22B4F647" w14:textId="78C76249" w:rsidR="00B23444" w:rsidRPr="00E73B6E" w:rsidRDefault="00B23444" w:rsidP="00807DDA">
      <w:pPr>
        <w:spacing w:line="259" w:lineRule="auto"/>
        <w:jc w:val="left"/>
        <w:rPr>
          <w:lang w:eastAsia="en-US"/>
        </w:rPr>
      </w:pPr>
      <w:r w:rsidRPr="00E73B6E">
        <w:rPr>
          <w:lang w:eastAsia="en-US"/>
        </w:rPr>
        <w:br w:type="page"/>
      </w:r>
    </w:p>
    <w:p w14:paraId="2EE69DD1" w14:textId="1F5680A0" w:rsidR="00211184" w:rsidRPr="00D30BFC" w:rsidRDefault="004C316D">
      <w:pPr>
        <w:pStyle w:val="Heading1"/>
        <w:numPr>
          <w:ilvl w:val="0"/>
          <w:numId w:val="8"/>
        </w:numPr>
        <w:spacing w:before="240" w:after="240" w:line="360" w:lineRule="auto"/>
        <w:jc w:val="center"/>
        <w:rPr>
          <w:rFonts w:asciiTheme="minorBidi" w:hAnsiTheme="minorBidi" w:cstheme="minorBidi"/>
        </w:rPr>
      </w:pPr>
      <w:bookmarkStart w:id="35" w:name="_Toc232051220"/>
      <w:r w:rsidRPr="00D30BFC">
        <w:rPr>
          <w:rFonts w:asciiTheme="minorBidi" w:hAnsiTheme="minorBidi" w:cstheme="minorBidi"/>
        </w:rPr>
        <w:lastRenderedPageBreak/>
        <w:t xml:space="preserve">Chapter </w:t>
      </w:r>
      <w:r w:rsidR="00211184" w:rsidRPr="00D30BFC">
        <w:rPr>
          <w:rFonts w:asciiTheme="minorBidi" w:hAnsiTheme="minorBidi" w:cstheme="minorBidi"/>
        </w:rPr>
        <w:t>6 – References</w:t>
      </w:r>
      <w:bookmarkEnd w:id="35"/>
      <w:r w:rsidR="00DC221C" w:rsidRPr="00D30BFC">
        <w:rPr>
          <w:rFonts w:asciiTheme="minorBidi" w:hAnsiTheme="minorBidi" w:cstheme="minorBidi"/>
        </w:rPr>
        <w:t xml:space="preserve"> and Appendices</w:t>
      </w:r>
    </w:p>
    <w:p w14:paraId="71881295" w14:textId="759763A8" w:rsidR="007F0C8B" w:rsidRPr="005F3C91" w:rsidRDefault="007F0C8B">
      <w:pPr>
        <w:pStyle w:val="Heading2"/>
        <w:numPr>
          <w:ilvl w:val="1"/>
          <w:numId w:val="2"/>
        </w:numPr>
        <w:spacing w:after="240"/>
        <w:jc w:val="left"/>
        <w:rPr>
          <w:rFonts w:asciiTheme="minorBidi" w:hAnsiTheme="minorBidi" w:cstheme="minorBidi"/>
          <w:b/>
          <w:bCs/>
          <w:color w:val="auto"/>
          <w:sz w:val="28"/>
          <w:szCs w:val="28"/>
        </w:rPr>
      </w:pPr>
      <w:r w:rsidRPr="005F3C91">
        <w:rPr>
          <w:rFonts w:asciiTheme="minorBidi" w:hAnsiTheme="minorBidi" w:cstheme="minorBidi"/>
          <w:b/>
          <w:bCs/>
          <w:color w:val="auto"/>
          <w:sz w:val="28"/>
          <w:szCs w:val="28"/>
        </w:rPr>
        <w:t>References</w:t>
      </w:r>
    </w:p>
    <w:p w14:paraId="17BFC245"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Abdi, Y.H., Abdi, M.S., Bashir, S.G., Ahmed, N.I. and Abdullahi, Y.B. (2025). Understanding Global Health Inequality and Inequity: Causes, Consequences, and the Path Toward Justice in Healthcare. </w:t>
      </w:r>
      <w:r w:rsidRPr="00846551">
        <w:rPr>
          <w:rFonts w:asciiTheme="minorBidi" w:hAnsiTheme="minorBidi"/>
          <w:i/>
          <w:iCs/>
        </w:rPr>
        <w:t>Public Health Challenges</w:t>
      </w:r>
      <w:r w:rsidRPr="00846551">
        <w:rPr>
          <w:rFonts w:asciiTheme="minorBidi" w:hAnsiTheme="minorBidi"/>
        </w:rPr>
        <w:t xml:space="preserve">, [online] 4(4). </w:t>
      </w:r>
      <w:proofErr w:type="spellStart"/>
      <w:r w:rsidRPr="00846551">
        <w:rPr>
          <w:rFonts w:asciiTheme="minorBidi" w:hAnsiTheme="minorBidi"/>
        </w:rPr>
        <w:t>doi:https</w:t>
      </w:r>
      <w:proofErr w:type="spellEnd"/>
      <w:r w:rsidRPr="00846551">
        <w:rPr>
          <w:rFonts w:asciiTheme="minorBidi" w:hAnsiTheme="minorBidi"/>
        </w:rPr>
        <w:t>://doi.org/10.1002/puh2.70156.</w:t>
      </w:r>
    </w:p>
    <w:p w14:paraId="328C8B5D"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Ahmed, S.K., Mohammed, R.A., Nashwan, A.J., Ibrahim, R.H., Abdalla, A.Q., Ameen, B.M.M. and </w:t>
      </w:r>
      <w:proofErr w:type="spellStart"/>
      <w:r w:rsidRPr="00846551">
        <w:rPr>
          <w:rFonts w:asciiTheme="minorBidi" w:hAnsiTheme="minorBidi" w:cstheme="minorBidi"/>
          <w:sz w:val="22"/>
          <w:szCs w:val="22"/>
        </w:rPr>
        <w:t>Khidhir</w:t>
      </w:r>
      <w:proofErr w:type="spellEnd"/>
      <w:r w:rsidRPr="00846551">
        <w:rPr>
          <w:rFonts w:asciiTheme="minorBidi" w:hAnsiTheme="minorBidi" w:cstheme="minorBidi"/>
          <w:sz w:val="22"/>
          <w:szCs w:val="22"/>
        </w:rPr>
        <w:t xml:space="preserve">, R.M. (2025). Using Thematic Analysis in Qualitative Research. </w:t>
      </w:r>
      <w:r w:rsidRPr="00846551">
        <w:rPr>
          <w:rFonts w:asciiTheme="minorBidi" w:hAnsiTheme="minorBidi" w:cstheme="minorBidi"/>
          <w:i/>
          <w:iCs/>
          <w:sz w:val="22"/>
          <w:szCs w:val="22"/>
        </w:rPr>
        <w:t>Journal of Medicine, Surgery, and Public Health</w:t>
      </w:r>
      <w:r w:rsidRPr="00846551">
        <w:rPr>
          <w:rFonts w:asciiTheme="minorBidi" w:hAnsiTheme="minorBidi" w:cstheme="minorBidi"/>
          <w:sz w:val="22"/>
          <w:szCs w:val="22"/>
        </w:rPr>
        <w:t xml:space="preserve">, [online] 6(6), p.100198.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://doi.org/10.1016/j.glmedi.2025.100198.</w:t>
      </w:r>
    </w:p>
    <w:p w14:paraId="54CB2E6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Al Shamsi, H., Almutairi, A.G., Al Mashrafi, S. and Al Kalbani, T. (2020). Implications of Language Barriers for healthcare: A Systematic Review. </w:t>
      </w:r>
      <w:r w:rsidRPr="00846551">
        <w:rPr>
          <w:rFonts w:asciiTheme="minorBidi" w:hAnsiTheme="minorBidi" w:cstheme="minorBidi"/>
          <w:i/>
          <w:iCs/>
          <w:sz w:val="22"/>
          <w:szCs w:val="22"/>
        </w:rPr>
        <w:t>Oman Medical Journal</w:t>
      </w:r>
      <w:r w:rsidRPr="00846551">
        <w:rPr>
          <w:rFonts w:asciiTheme="minorBidi" w:hAnsiTheme="minorBidi" w:cstheme="minorBidi"/>
          <w:sz w:val="22"/>
          <w:szCs w:val="22"/>
        </w:rPr>
        <w:t xml:space="preserve">, [online] 35(2), pp.1–7.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://doi.org/10.5001/omj.2020.40.</w:t>
      </w:r>
    </w:p>
    <w:p w14:paraId="11BFE110"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Alkhawaldeh, A., </w:t>
      </w:r>
      <w:proofErr w:type="spellStart"/>
      <w:r w:rsidRPr="00846551">
        <w:rPr>
          <w:rFonts w:asciiTheme="minorBidi" w:hAnsiTheme="minorBidi" w:cstheme="minorBidi"/>
          <w:sz w:val="22"/>
          <w:szCs w:val="22"/>
        </w:rPr>
        <w:t>ALBashtawy</w:t>
      </w:r>
      <w:proofErr w:type="spellEnd"/>
      <w:r w:rsidRPr="00846551">
        <w:rPr>
          <w:rFonts w:asciiTheme="minorBidi" w:hAnsiTheme="minorBidi" w:cstheme="minorBidi"/>
          <w:sz w:val="22"/>
          <w:szCs w:val="22"/>
        </w:rPr>
        <w:t xml:space="preserve">, M., Rayan, A., Asem Abdalrahim, Musa, A.S., Eshah, N.F., Abdallah Abu Khait, Qaddumi, J., </w:t>
      </w:r>
      <w:proofErr w:type="spellStart"/>
      <w:r w:rsidRPr="00846551">
        <w:rPr>
          <w:rFonts w:asciiTheme="minorBidi" w:hAnsiTheme="minorBidi" w:cstheme="minorBidi"/>
          <w:sz w:val="22"/>
          <w:szCs w:val="22"/>
        </w:rPr>
        <w:t>Khraisat</w:t>
      </w:r>
      <w:proofErr w:type="spellEnd"/>
      <w:r w:rsidRPr="00846551">
        <w:rPr>
          <w:rFonts w:asciiTheme="minorBidi" w:hAnsiTheme="minorBidi" w:cstheme="minorBidi"/>
          <w:sz w:val="22"/>
          <w:szCs w:val="22"/>
        </w:rPr>
        <w:t xml:space="preserve">, O. and Sa’d </w:t>
      </w:r>
      <w:proofErr w:type="spellStart"/>
      <w:r w:rsidRPr="00846551">
        <w:rPr>
          <w:rFonts w:asciiTheme="minorBidi" w:hAnsiTheme="minorBidi" w:cstheme="minorBidi"/>
          <w:sz w:val="22"/>
          <w:szCs w:val="22"/>
        </w:rPr>
        <w:t>ALBashtawy</w:t>
      </w:r>
      <w:proofErr w:type="spellEnd"/>
      <w:r w:rsidRPr="00846551">
        <w:rPr>
          <w:rFonts w:asciiTheme="minorBidi" w:hAnsiTheme="minorBidi" w:cstheme="minorBidi"/>
          <w:sz w:val="22"/>
          <w:szCs w:val="22"/>
        </w:rPr>
        <w:t xml:space="preserve"> (2023). Application and Use of Andersen’s </w:t>
      </w:r>
      <w:proofErr w:type="spellStart"/>
      <w:r w:rsidRPr="00846551">
        <w:rPr>
          <w:rFonts w:asciiTheme="minorBidi" w:hAnsiTheme="minorBidi" w:cstheme="minorBidi"/>
          <w:sz w:val="22"/>
          <w:szCs w:val="22"/>
        </w:rPr>
        <w:t>Behavioral</w:t>
      </w:r>
      <w:proofErr w:type="spellEnd"/>
      <w:r w:rsidRPr="00846551">
        <w:rPr>
          <w:rFonts w:asciiTheme="minorBidi" w:hAnsiTheme="minorBidi" w:cstheme="minorBidi"/>
          <w:sz w:val="22"/>
          <w:szCs w:val="22"/>
        </w:rPr>
        <w:t xml:space="preserve"> Model as Theoretical Framework: A Systematic Literature Review from 2012–2021. </w:t>
      </w:r>
      <w:r w:rsidRPr="00846551">
        <w:rPr>
          <w:rFonts w:asciiTheme="minorBidi" w:hAnsiTheme="minorBidi" w:cstheme="minorBidi"/>
          <w:i/>
          <w:iCs/>
          <w:sz w:val="22"/>
          <w:szCs w:val="22"/>
        </w:rPr>
        <w:t>Iranian journal of public health</w:t>
      </w:r>
      <w:r w:rsidRPr="00846551">
        <w:rPr>
          <w:rFonts w:asciiTheme="minorBidi" w:hAnsiTheme="minorBidi" w:cstheme="minorBidi"/>
          <w:sz w:val="22"/>
          <w:szCs w:val="22"/>
        </w:rPr>
        <w:t xml:space="preserve">, 52(7).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://doi.org/10.18502/ijph.v52i7.13236.</w:t>
      </w:r>
    </w:p>
    <w:p w14:paraId="0929ECC5"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Alyafei, A. and Carr, R.E. (2024). </w:t>
      </w:r>
      <w:r w:rsidRPr="00846551">
        <w:rPr>
          <w:rFonts w:asciiTheme="minorBidi" w:hAnsiTheme="minorBidi"/>
          <w:i/>
          <w:iCs/>
        </w:rPr>
        <w:t xml:space="preserve">The Health Belief Model of </w:t>
      </w:r>
      <w:proofErr w:type="spellStart"/>
      <w:r w:rsidRPr="00846551">
        <w:rPr>
          <w:rFonts w:asciiTheme="minorBidi" w:hAnsiTheme="minorBidi"/>
          <w:i/>
          <w:iCs/>
        </w:rPr>
        <w:t>Behavior</w:t>
      </w:r>
      <w:proofErr w:type="spellEnd"/>
      <w:r w:rsidRPr="00846551">
        <w:rPr>
          <w:rFonts w:asciiTheme="minorBidi" w:hAnsiTheme="minorBidi"/>
          <w:i/>
          <w:iCs/>
        </w:rPr>
        <w:t xml:space="preserve"> Change</w:t>
      </w:r>
      <w:r w:rsidRPr="00846551">
        <w:rPr>
          <w:rFonts w:asciiTheme="minorBidi" w:hAnsiTheme="minorBidi"/>
        </w:rPr>
        <w:t>. [online] National Library of Medicine. Available at: https://www.ncbi.nlm.nih.gov/books/NBK606120/.</w:t>
      </w:r>
    </w:p>
    <w:p w14:paraId="286CFFC2"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American Psychological Association (2022). Racism, bias, and discrimination. </w:t>
      </w:r>
      <w:r w:rsidRPr="00846551">
        <w:rPr>
          <w:rFonts w:asciiTheme="minorBidi" w:hAnsiTheme="minorBidi" w:cstheme="minorBidi"/>
          <w:i/>
          <w:iCs/>
          <w:sz w:val="22"/>
          <w:szCs w:val="22"/>
        </w:rPr>
        <w:t>American Psychological Association</w:t>
      </w:r>
      <w:r w:rsidRPr="00846551">
        <w:rPr>
          <w:rFonts w:asciiTheme="minorBidi" w:hAnsiTheme="minorBidi" w:cstheme="minorBidi"/>
          <w:sz w:val="22"/>
          <w:szCs w:val="22"/>
        </w:rPr>
        <w:t>. [online] Available at: https://www.apa.org/topics/racism-bias-discrimination.</w:t>
      </w:r>
    </w:p>
    <w:p w14:paraId="789C862C"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Aran, Ö., Nevarez-Brewster, M., D’Anna-Hernandez, K., Dmitrieva, J., Sandman, C.A., Glynn, L.M. and Davis, E.P. (2025). Associations between individual and structural level discrimination and psychological and physiological stress indicators during pregnancy. </w:t>
      </w:r>
      <w:proofErr w:type="spellStart"/>
      <w:r w:rsidRPr="00846551">
        <w:rPr>
          <w:rFonts w:asciiTheme="minorBidi" w:hAnsiTheme="minorBidi" w:cstheme="minorBidi"/>
          <w:i/>
          <w:iCs/>
          <w:sz w:val="22"/>
          <w:szCs w:val="22"/>
        </w:rPr>
        <w:t>npj</w:t>
      </w:r>
      <w:proofErr w:type="spellEnd"/>
      <w:r w:rsidRPr="00846551">
        <w:rPr>
          <w:rFonts w:asciiTheme="minorBidi" w:hAnsiTheme="minorBidi" w:cstheme="minorBidi"/>
          <w:i/>
          <w:iCs/>
          <w:sz w:val="22"/>
          <w:szCs w:val="22"/>
        </w:rPr>
        <w:t xml:space="preserve"> Women’s Health</w:t>
      </w:r>
      <w:r w:rsidRPr="00846551">
        <w:rPr>
          <w:rFonts w:asciiTheme="minorBidi" w:hAnsiTheme="minorBidi" w:cstheme="minorBidi"/>
          <w:sz w:val="22"/>
          <w:szCs w:val="22"/>
        </w:rPr>
        <w:t xml:space="preserve">, 3(1).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://doi.org/10.1038/s44294-025-00100-z.</w:t>
      </w:r>
    </w:p>
    <w:p w14:paraId="27D437E1"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Bansal, N., Karlsen, S., </w:t>
      </w:r>
      <w:proofErr w:type="spellStart"/>
      <w:r w:rsidRPr="00846551">
        <w:rPr>
          <w:rFonts w:asciiTheme="minorBidi" w:hAnsiTheme="minorBidi"/>
        </w:rPr>
        <w:t>Sashidharan</w:t>
      </w:r>
      <w:proofErr w:type="spellEnd"/>
      <w:r w:rsidRPr="00846551">
        <w:rPr>
          <w:rFonts w:asciiTheme="minorBidi" w:hAnsiTheme="minorBidi"/>
        </w:rPr>
        <w:t>, S.P., Cohen, R., Chew-Graham, C.A. and Malpass, A. (2022). Understanding Ethnic Inequalities in Mental Healthcare in the UK: a meta-</w:t>
      </w:r>
      <w:r w:rsidRPr="00846551">
        <w:rPr>
          <w:rFonts w:asciiTheme="minorBidi" w:hAnsiTheme="minorBidi"/>
        </w:rPr>
        <w:lastRenderedPageBreak/>
        <w:t xml:space="preserve">ethnography. </w:t>
      </w:r>
      <w:r w:rsidRPr="00846551">
        <w:rPr>
          <w:rFonts w:asciiTheme="minorBidi" w:hAnsiTheme="minorBidi"/>
          <w:i/>
          <w:iCs/>
        </w:rPr>
        <w:t>PLOS Medicine</w:t>
      </w:r>
      <w:r w:rsidRPr="00846551">
        <w:rPr>
          <w:rFonts w:asciiTheme="minorBidi" w:hAnsiTheme="minorBidi"/>
        </w:rPr>
        <w:t xml:space="preserve">, [online] 19(12), pp.1–36. </w:t>
      </w:r>
      <w:proofErr w:type="spellStart"/>
      <w:r w:rsidRPr="00846551">
        <w:rPr>
          <w:rFonts w:asciiTheme="minorBidi" w:hAnsiTheme="minorBidi"/>
        </w:rPr>
        <w:t>doi:https</w:t>
      </w:r>
      <w:proofErr w:type="spellEnd"/>
      <w:r w:rsidRPr="00846551">
        <w:rPr>
          <w:rFonts w:asciiTheme="minorBidi" w:hAnsiTheme="minorBidi"/>
        </w:rPr>
        <w:t>://doi.org/10.1371/journal.pmed.1004139.</w:t>
      </w:r>
    </w:p>
    <w:p w14:paraId="137069D0"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Barlow, P., Mohan, G., Nolan, A. and Lyons, S. (2021). Area-level deprivation and geographic factors influencing utilisation of General Practitioner services. </w:t>
      </w:r>
      <w:r w:rsidRPr="00846551">
        <w:rPr>
          <w:rFonts w:asciiTheme="minorBidi" w:hAnsiTheme="minorBidi"/>
          <w:i/>
          <w:iCs/>
        </w:rPr>
        <w:t>SSM - Population Health</w:t>
      </w:r>
      <w:r w:rsidRPr="00846551">
        <w:rPr>
          <w:rFonts w:asciiTheme="minorBidi" w:hAnsiTheme="minorBidi"/>
        </w:rPr>
        <w:t xml:space="preserve">, [online] 15(15), p.100870. </w:t>
      </w:r>
      <w:proofErr w:type="spellStart"/>
      <w:r w:rsidRPr="00846551">
        <w:rPr>
          <w:rFonts w:asciiTheme="minorBidi" w:hAnsiTheme="minorBidi"/>
        </w:rPr>
        <w:t>doi:https</w:t>
      </w:r>
      <w:proofErr w:type="spellEnd"/>
      <w:r w:rsidRPr="00846551">
        <w:rPr>
          <w:rFonts w:asciiTheme="minorBidi" w:hAnsiTheme="minorBidi"/>
        </w:rPr>
        <w:t>://doi.org/10.1016/j.ssmph.2021.100870.</w:t>
      </w:r>
    </w:p>
    <w:p w14:paraId="5A981772"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Bazargan, M., Cobb, S. and </w:t>
      </w:r>
      <w:proofErr w:type="spellStart"/>
      <w:r w:rsidRPr="00846551">
        <w:rPr>
          <w:rFonts w:asciiTheme="minorBidi" w:hAnsiTheme="minorBidi" w:cstheme="minorBidi"/>
          <w:sz w:val="22"/>
          <w:szCs w:val="22"/>
        </w:rPr>
        <w:t>Assari</w:t>
      </w:r>
      <w:proofErr w:type="spellEnd"/>
      <w:r w:rsidRPr="00846551">
        <w:rPr>
          <w:rFonts w:asciiTheme="minorBidi" w:hAnsiTheme="minorBidi" w:cstheme="minorBidi"/>
          <w:sz w:val="22"/>
          <w:szCs w:val="22"/>
        </w:rPr>
        <w:t xml:space="preserve">, S. (2021). Discrimination and Medical Mistrust in a Racially and Ethnically Diverse Sample of California Adults. </w:t>
      </w:r>
      <w:r w:rsidRPr="00846551">
        <w:rPr>
          <w:rFonts w:asciiTheme="minorBidi" w:hAnsiTheme="minorBidi" w:cstheme="minorBidi"/>
          <w:i/>
          <w:iCs/>
          <w:sz w:val="22"/>
          <w:szCs w:val="22"/>
        </w:rPr>
        <w:t>The Annals of Family Medicine</w:t>
      </w:r>
      <w:r w:rsidRPr="00846551">
        <w:rPr>
          <w:rFonts w:asciiTheme="minorBidi" w:hAnsiTheme="minorBidi" w:cstheme="minorBidi"/>
          <w:sz w:val="22"/>
          <w:szCs w:val="22"/>
        </w:rPr>
        <w:t xml:space="preserve">, 19(1), pp.4–15.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://doi.org/10.1370/afm.2632.</w:t>
      </w:r>
    </w:p>
    <w:p w14:paraId="17C843D0"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BBC (2023). NHS interpreting service problems contributed to patient deaths. </w:t>
      </w:r>
      <w:r w:rsidRPr="00846551">
        <w:rPr>
          <w:rFonts w:asciiTheme="minorBidi" w:hAnsiTheme="minorBidi" w:cstheme="minorBidi"/>
          <w:i/>
          <w:iCs/>
          <w:sz w:val="22"/>
          <w:szCs w:val="22"/>
        </w:rPr>
        <w:t>www.bbc.com</w:t>
      </w:r>
      <w:r w:rsidRPr="00846551">
        <w:rPr>
          <w:rFonts w:asciiTheme="minorBidi" w:hAnsiTheme="minorBidi" w:cstheme="minorBidi"/>
          <w:sz w:val="22"/>
          <w:szCs w:val="22"/>
        </w:rPr>
        <w:t>. [online] 21 Nov. Available at: https://www.bbc.com/news/uk-england-bristol-66605536.</w:t>
      </w:r>
    </w:p>
    <w:p w14:paraId="78DE3C67"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BBC (2024). </w:t>
      </w:r>
      <w:r w:rsidRPr="00846551">
        <w:rPr>
          <w:rFonts w:asciiTheme="minorBidi" w:hAnsiTheme="minorBidi"/>
          <w:i/>
          <w:iCs/>
        </w:rPr>
        <w:t>Reconstructing Britain - Commonwealth immigrants in the Modern Era 1948 - present - OCR B - GCSE History Revision - OCR B</w:t>
      </w:r>
      <w:r w:rsidRPr="00846551">
        <w:rPr>
          <w:rFonts w:asciiTheme="minorBidi" w:hAnsiTheme="minorBidi"/>
        </w:rPr>
        <w:t>. [online] BBC Bitesize. Available at: https://www.bbc.co.uk/bitesize/guides/zx93tyc/revision/1.</w:t>
      </w:r>
    </w:p>
    <w:p w14:paraId="00C04451"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Bidgoli, M.J., Wang, H., </w:t>
      </w:r>
      <w:proofErr w:type="spellStart"/>
      <w:r w:rsidRPr="00846551">
        <w:rPr>
          <w:rFonts w:asciiTheme="minorBidi" w:hAnsiTheme="minorBidi" w:cstheme="minorBidi"/>
          <w:sz w:val="22"/>
          <w:szCs w:val="22"/>
        </w:rPr>
        <w:t>Macander</w:t>
      </w:r>
      <w:proofErr w:type="spellEnd"/>
      <w:r w:rsidRPr="00846551">
        <w:rPr>
          <w:rFonts w:asciiTheme="minorBidi" w:hAnsiTheme="minorBidi" w:cstheme="minorBidi"/>
          <w:sz w:val="22"/>
          <w:szCs w:val="22"/>
        </w:rPr>
        <w:t xml:space="preserve">, C. and Gregg, A. (2025). Perceived Discrimination in Health Care Settings and Care Delays in Patients With Diabetes and Hypertension. </w:t>
      </w:r>
      <w:r w:rsidRPr="00846551">
        <w:rPr>
          <w:rFonts w:asciiTheme="minorBidi" w:hAnsiTheme="minorBidi" w:cstheme="minorBidi"/>
          <w:i/>
          <w:iCs/>
          <w:sz w:val="22"/>
          <w:szCs w:val="22"/>
        </w:rPr>
        <w:t>JAMA Network Open</w:t>
      </w:r>
      <w:r w:rsidRPr="00846551">
        <w:rPr>
          <w:rFonts w:asciiTheme="minorBidi" w:hAnsiTheme="minorBidi" w:cstheme="minorBidi"/>
          <w:sz w:val="22"/>
          <w:szCs w:val="22"/>
        </w:rPr>
        <w:t xml:space="preserve">, [online] 8(3), pp.e250046–e250046.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://doi.org/10.1001/jamanetworkopen.2025.0046.</w:t>
      </w:r>
    </w:p>
    <w:p w14:paraId="6B098581"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Braveman, P. and Gottlieb, L. (2014). The social determinants of health: It’s time to consider the causes of the causes. </w:t>
      </w:r>
      <w:r w:rsidRPr="00846551">
        <w:rPr>
          <w:rFonts w:asciiTheme="minorBidi" w:hAnsiTheme="minorBidi"/>
          <w:i/>
          <w:iCs/>
        </w:rPr>
        <w:t>Public Health Reports</w:t>
      </w:r>
      <w:r w:rsidRPr="00846551">
        <w:rPr>
          <w:rFonts w:asciiTheme="minorBidi" w:hAnsiTheme="minorBidi"/>
        </w:rPr>
        <w:t xml:space="preserve">, [online] 129(2), pp.19–31. </w:t>
      </w:r>
      <w:proofErr w:type="spellStart"/>
      <w:r w:rsidRPr="00846551">
        <w:rPr>
          <w:rFonts w:asciiTheme="minorBidi" w:hAnsiTheme="minorBidi"/>
        </w:rPr>
        <w:t>doi:https</w:t>
      </w:r>
      <w:proofErr w:type="spellEnd"/>
      <w:r w:rsidRPr="00846551">
        <w:rPr>
          <w:rFonts w:asciiTheme="minorBidi" w:hAnsiTheme="minorBidi"/>
        </w:rPr>
        <w:t>://doi.org/10.1177/00333549141291s206.</w:t>
      </w:r>
    </w:p>
    <w:p w14:paraId="67539AE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British Medical Association (2022). </w:t>
      </w:r>
      <w:r w:rsidRPr="00846551">
        <w:rPr>
          <w:rFonts w:asciiTheme="minorBidi" w:hAnsiTheme="minorBidi" w:cstheme="minorBidi"/>
          <w:i/>
          <w:iCs/>
          <w:sz w:val="22"/>
          <w:szCs w:val="22"/>
        </w:rPr>
        <w:t>Managing language barriers for refugees and asylum seekers - Refugee and asylum seeker patient health toolkit - BMA</w:t>
      </w:r>
      <w:r w:rsidRPr="00846551">
        <w:rPr>
          <w:rFonts w:asciiTheme="minorBidi" w:hAnsiTheme="minorBidi" w:cstheme="minorBidi"/>
          <w:sz w:val="22"/>
          <w:szCs w:val="22"/>
        </w:rPr>
        <w:t>. [online] The British Medical Association is the trade union and professional body for doctors in the UK. Available at: https://www.bma.org.uk/advice-and-support/ethics/refugees-overseas-visitors-and-vulnerable-migrants/refugee-and-asylum-seeker-patient-health-toolkit/managing-language-barriers-for-refugees-and-asylum-seekers.</w:t>
      </w:r>
    </w:p>
    <w:p w14:paraId="0D6A6AA9"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Burt, J., Campbell, J., Abel, G., </w:t>
      </w:r>
      <w:proofErr w:type="spellStart"/>
      <w:r w:rsidRPr="00846551">
        <w:rPr>
          <w:rFonts w:asciiTheme="minorBidi" w:hAnsiTheme="minorBidi"/>
        </w:rPr>
        <w:t>Aboulghate</w:t>
      </w:r>
      <w:proofErr w:type="spellEnd"/>
      <w:r w:rsidRPr="00846551">
        <w:rPr>
          <w:rFonts w:asciiTheme="minorBidi" w:hAnsiTheme="minorBidi"/>
        </w:rPr>
        <w:t xml:space="preserve">, A., Ahmed, F., Asprey, A., Barry, H., Beckwith, J., Benson, J., Boiko, O., Bower, P., Calitri, R., Carter, M., Davey, A., Elliott, M.N., Elmore, N., Farrington, C., Haque, H.W., Henley, W. and Lattimer, V. (2017). </w:t>
      </w:r>
      <w:r w:rsidRPr="00846551">
        <w:rPr>
          <w:rFonts w:asciiTheme="minorBidi" w:hAnsiTheme="minorBidi"/>
          <w:i/>
          <w:iCs/>
        </w:rPr>
        <w:t>Analyses of GP Patient Survey data to explore variations in patient experience by ethnic group and practice</w:t>
      </w:r>
      <w:r w:rsidRPr="00846551">
        <w:rPr>
          <w:rFonts w:asciiTheme="minorBidi" w:hAnsiTheme="minorBidi"/>
        </w:rPr>
        <w:t>. [online] www.ncbi.nlm.nih.gov. Available at: https://www.ncbi.nlm.nih.gov/books/NBK436566/.</w:t>
      </w:r>
    </w:p>
    <w:p w14:paraId="468A8799"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lastRenderedPageBreak/>
        <w:t>Cambridgeshireinsight</w:t>
      </w:r>
      <w:proofErr w:type="spellEnd"/>
      <w:r w:rsidRPr="00846551">
        <w:rPr>
          <w:rFonts w:asciiTheme="minorBidi" w:hAnsiTheme="minorBidi" w:cstheme="minorBidi"/>
          <w:sz w:val="22"/>
          <w:szCs w:val="22"/>
        </w:rPr>
        <w:t xml:space="preserve"> (2026). </w:t>
      </w:r>
      <w:r w:rsidRPr="00846551">
        <w:rPr>
          <w:rFonts w:asciiTheme="minorBidi" w:hAnsiTheme="minorBidi" w:cstheme="minorBidi"/>
          <w:i/>
          <w:iCs/>
          <w:sz w:val="22"/>
          <w:szCs w:val="22"/>
        </w:rPr>
        <w:t>HEAT Core20PLUS5 Toolkit</w:t>
      </w:r>
      <w:r w:rsidRPr="00846551">
        <w:rPr>
          <w:rFonts w:asciiTheme="minorBidi" w:hAnsiTheme="minorBidi" w:cstheme="minorBidi"/>
          <w:sz w:val="22"/>
          <w:szCs w:val="22"/>
        </w:rPr>
        <w:t>. [online] Cambridgeshireinsight.org.uk. Available at: https://cambridgeshireinsight.org.uk/wp-content/uploads/2025/02/HEAT-Core20PLUS5-Toolkit-FINALSMI.docx.</w:t>
      </w:r>
    </w:p>
    <w:p w14:paraId="4B80C6E2"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Cawthorn, A. (2025). </w:t>
      </w:r>
      <w:r w:rsidRPr="00846551">
        <w:rPr>
          <w:rFonts w:asciiTheme="minorBidi" w:hAnsiTheme="minorBidi" w:cstheme="minorBidi"/>
          <w:i/>
          <w:iCs/>
          <w:sz w:val="22"/>
          <w:szCs w:val="22"/>
        </w:rPr>
        <w:t>The Impact of Cultural Competence on Patient Outcomes</w:t>
      </w:r>
      <w:r w:rsidRPr="00846551">
        <w:rPr>
          <w:rFonts w:asciiTheme="minorBidi" w:hAnsiTheme="minorBidi" w:cstheme="minorBidi"/>
          <w:sz w:val="22"/>
          <w:szCs w:val="22"/>
        </w:rPr>
        <w:t>. [online] Indwes.edu. Available at: https://www.indwes.edu/articles/2025/01/the-impact-of-cultural-competence-on-patient-outcomes.</w:t>
      </w:r>
    </w:p>
    <w:p w14:paraId="265A9ED3"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CDC (2024). </w:t>
      </w:r>
      <w:r w:rsidRPr="00846551">
        <w:rPr>
          <w:rFonts w:asciiTheme="minorBidi" w:hAnsiTheme="minorBidi"/>
          <w:i/>
          <w:iCs/>
        </w:rPr>
        <w:t>Working Together to Reduce Black Maternal Mortality</w:t>
      </w:r>
      <w:r w:rsidRPr="00846551">
        <w:rPr>
          <w:rFonts w:asciiTheme="minorBidi" w:hAnsiTheme="minorBidi"/>
        </w:rPr>
        <w:t>. [online] Women’s Health. Available at: https://www.cdc.gov/womens-health/features/maternal-mortality.html.</w:t>
      </w:r>
    </w:p>
    <w:p w14:paraId="7D8BCC81"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Champs Public Health Collaborative (2026). </w:t>
      </w:r>
      <w:r w:rsidRPr="00846551">
        <w:rPr>
          <w:rFonts w:asciiTheme="minorBidi" w:hAnsiTheme="minorBidi" w:cstheme="minorBidi"/>
          <w:i/>
          <w:iCs/>
          <w:sz w:val="22"/>
          <w:szCs w:val="22"/>
        </w:rPr>
        <w:t>REDUCING HEALTHCARE INEQUALITIES CORE20 PLUS 5 CORE20</w:t>
      </w:r>
      <w:r w:rsidRPr="00846551">
        <w:rPr>
          <w:rFonts w:asciiTheme="minorBidi" w:hAnsiTheme="minorBidi" w:cstheme="minorBidi"/>
          <w:sz w:val="22"/>
          <w:szCs w:val="22"/>
        </w:rPr>
        <w:t>. [online] Available at: https://champspublichealth.com/wp-content/uploads/2023/05/CORE20PLUS5_A4_Context_update.pdf [Accessed 11 Jun. 2026].</w:t>
      </w:r>
    </w:p>
    <w:p w14:paraId="7731787B"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Chao, M.M. (2025). Advancing Our Understanding of Cultural Competence: An Affective Learning Processes (ALPs) Model. </w:t>
      </w:r>
      <w:r w:rsidRPr="00846551">
        <w:rPr>
          <w:rFonts w:asciiTheme="minorBidi" w:hAnsiTheme="minorBidi" w:cstheme="minorBidi"/>
          <w:i/>
          <w:iCs/>
          <w:sz w:val="22"/>
          <w:szCs w:val="22"/>
        </w:rPr>
        <w:t>Psychological Inquiry</w:t>
      </w:r>
      <w:r w:rsidRPr="00846551">
        <w:rPr>
          <w:rFonts w:asciiTheme="minorBidi" w:hAnsiTheme="minorBidi" w:cstheme="minorBidi"/>
          <w:sz w:val="22"/>
          <w:szCs w:val="22"/>
        </w:rPr>
        <w:t xml:space="preserve">, 36(3), pp.159–179.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://doi.org/10.1080/1047840x.2025.2525678.</w:t>
      </w:r>
    </w:p>
    <w:p w14:paraId="3FE7FE32"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Chartspan</w:t>
      </w:r>
      <w:proofErr w:type="spellEnd"/>
      <w:r w:rsidRPr="00846551">
        <w:rPr>
          <w:rFonts w:asciiTheme="minorBidi" w:hAnsiTheme="minorBidi" w:cstheme="minorBidi"/>
          <w:sz w:val="22"/>
          <w:szCs w:val="22"/>
        </w:rPr>
        <w:t xml:space="preserve"> (2025). </w:t>
      </w:r>
      <w:r w:rsidRPr="00846551">
        <w:rPr>
          <w:rFonts w:asciiTheme="minorBidi" w:hAnsiTheme="minorBidi" w:cstheme="minorBidi"/>
          <w:i/>
          <w:iCs/>
          <w:sz w:val="22"/>
          <w:szCs w:val="22"/>
        </w:rPr>
        <w:t>Why Cultural Competence Is Essential to Delivering Patient ...</w:t>
      </w:r>
      <w:r w:rsidRPr="00846551">
        <w:rPr>
          <w:rFonts w:asciiTheme="minorBidi" w:hAnsiTheme="minorBidi" w:cstheme="minorBidi"/>
          <w:sz w:val="22"/>
          <w:szCs w:val="22"/>
        </w:rPr>
        <w:t xml:space="preserve"> [online] Chartspan.com. Available at: https://www.chartspan.com/blog/why-cultural-competence-is-essential-to-delivering-patient-centered-care/.</w:t>
      </w:r>
    </w:p>
    <w:p w14:paraId="420F9337"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Chauhan, A., </w:t>
      </w:r>
      <w:proofErr w:type="spellStart"/>
      <w:r w:rsidRPr="00846551">
        <w:rPr>
          <w:rFonts w:asciiTheme="minorBidi" w:hAnsiTheme="minorBidi"/>
        </w:rPr>
        <w:t>Walpola</w:t>
      </w:r>
      <w:proofErr w:type="spellEnd"/>
      <w:r w:rsidRPr="00846551">
        <w:rPr>
          <w:rFonts w:asciiTheme="minorBidi" w:hAnsiTheme="minorBidi"/>
        </w:rPr>
        <w:t xml:space="preserve">, R.L., Manias, E., Seale, H., Walton, M., Wilson, C., Smith, A.B., Li, J. and Harrison, R. (2021). How do health services engage culturally and linguistically diverse consumers? An analysis of consumer engagement frameworks in Australia. </w:t>
      </w:r>
      <w:r w:rsidRPr="00846551">
        <w:rPr>
          <w:rFonts w:asciiTheme="minorBidi" w:hAnsiTheme="minorBidi"/>
          <w:i/>
          <w:iCs/>
        </w:rPr>
        <w:t>Health Expectations</w:t>
      </w:r>
      <w:r w:rsidRPr="00846551">
        <w:rPr>
          <w:rFonts w:asciiTheme="minorBidi" w:hAnsiTheme="minorBidi"/>
        </w:rPr>
        <w:t xml:space="preserve">, 24(5), pp.1747–1762. </w:t>
      </w:r>
      <w:proofErr w:type="spellStart"/>
      <w:r w:rsidRPr="00846551">
        <w:rPr>
          <w:rFonts w:asciiTheme="minorBidi" w:hAnsiTheme="minorBidi"/>
        </w:rPr>
        <w:t>doi:https</w:t>
      </w:r>
      <w:proofErr w:type="spellEnd"/>
      <w:r w:rsidRPr="00846551">
        <w:rPr>
          <w:rFonts w:asciiTheme="minorBidi" w:hAnsiTheme="minorBidi"/>
        </w:rPr>
        <w:t>://doi.org/10.1111/hex.13315.</w:t>
      </w:r>
    </w:p>
    <w:p w14:paraId="6A8F70A8"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Clement, M. (2023). </w:t>
      </w:r>
      <w:r w:rsidRPr="00846551">
        <w:rPr>
          <w:rFonts w:asciiTheme="minorBidi" w:hAnsiTheme="minorBidi"/>
          <w:i/>
          <w:iCs/>
        </w:rPr>
        <w:t>The founding of the NHS: 75 years on - History of government</w:t>
      </w:r>
      <w:r w:rsidRPr="00846551">
        <w:rPr>
          <w:rFonts w:asciiTheme="minorBidi" w:hAnsiTheme="minorBidi"/>
        </w:rPr>
        <w:t>. [online] history.blog.gov.uk. Available at: https://history.blog.gov.uk/2023/07/13/the-founding-of-the-nhs-75-years-on/.</w:t>
      </w:r>
    </w:p>
    <w:p w14:paraId="1BE1C868"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Cotterill, J. (2022). </w:t>
      </w:r>
      <w:r w:rsidRPr="00846551">
        <w:rPr>
          <w:rFonts w:asciiTheme="minorBidi" w:hAnsiTheme="minorBidi"/>
          <w:i/>
          <w:iCs/>
        </w:rPr>
        <w:t>Health inequalities: breaking down barriers to cancer screening</w:t>
      </w:r>
      <w:r w:rsidRPr="00846551">
        <w:rPr>
          <w:rFonts w:asciiTheme="minorBidi" w:hAnsiTheme="minorBidi"/>
        </w:rPr>
        <w:t>. [online] Cancer Research UK - Cancer News. Available at: https://news.cancerresearchuk.org/2022/09/23/health-inequalities-breaking-down-barriers-to-cancer-screening/.</w:t>
      </w:r>
    </w:p>
    <w:p w14:paraId="3FD1FC6C"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CQC (2022). </w:t>
      </w:r>
      <w:r w:rsidRPr="00846551">
        <w:rPr>
          <w:rFonts w:asciiTheme="minorBidi" w:hAnsiTheme="minorBidi" w:cstheme="minorBidi"/>
          <w:i/>
          <w:iCs/>
          <w:sz w:val="22"/>
          <w:szCs w:val="22"/>
        </w:rPr>
        <w:t>Inequalities and Racism - Care Quality Commission</w:t>
      </w:r>
      <w:r w:rsidRPr="00846551">
        <w:rPr>
          <w:rFonts w:asciiTheme="minorBidi" w:hAnsiTheme="minorBidi" w:cstheme="minorBidi"/>
          <w:sz w:val="22"/>
          <w:szCs w:val="22"/>
        </w:rPr>
        <w:t>. [online] Cqc.org.uk. Available at: https://www.cqc.org.uk/publications/maternity-services-2022-2024/inequalities.</w:t>
      </w:r>
    </w:p>
    <w:p w14:paraId="75CD8F60"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lastRenderedPageBreak/>
        <w:t>Croxford, R. (2020). Coronavirus: Black African deaths three times higher than white Britons - study. [online] 1 May. Available at: https://www.bbc.com/news/uk-52492662.</w:t>
      </w:r>
    </w:p>
    <w:p w14:paraId="6A025567"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Devjani, S., Lulla, R., Duan, S., Fei, X., Gaddam, R. and Ko, N.Y. (2026). Discrimination and medical trust among breast cancer outpatients in an urban safety net setting. </w:t>
      </w:r>
      <w:r w:rsidRPr="00846551">
        <w:rPr>
          <w:rFonts w:asciiTheme="minorBidi" w:hAnsiTheme="minorBidi" w:cstheme="minorBidi"/>
          <w:i/>
          <w:iCs/>
          <w:sz w:val="22"/>
          <w:szCs w:val="22"/>
        </w:rPr>
        <w:t>Journal of Clinical Oncology</w:t>
      </w:r>
      <w:r w:rsidRPr="00846551">
        <w:rPr>
          <w:rFonts w:asciiTheme="minorBidi" w:hAnsiTheme="minorBidi" w:cstheme="minorBidi"/>
          <w:sz w:val="22"/>
          <w:szCs w:val="22"/>
        </w:rPr>
        <w:t xml:space="preserve">, 44(16_suppl).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://doi.org/10.1200/jco.2026.44.16_suppl.e13726.</w:t>
      </w:r>
    </w:p>
    <w:p w14:paraId="76933040"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Dubay, L., </w:t>
      </w:r>
      <w:proofErr w:type="spellStart"/>
      <w:r w:rsidRPr="00846551">
        <w:rPr>
          <w:rFonts w:asciiTheme="minorBidi" w:hAnsiTheme="minorBidi"/>
        </w:rPr>
        <w:t>Blavin</w:t>
      </w:r>
      <w:proofErr w:type="spellEnd"/>
      <w:r w:rsidRPr="00846551">
        <w:rPr>
          <w:rFonts w:asciiTheme="minorBidi" w:hAnsiTheme="minorBidi"/>
        </w:rPr>
        <w:t xml:space="preserve">, F.E., Smith, L.B. and Long, J.C. (2024). Racial and Ethnic Disparities in Preventive Service Use Among Adults Before and During the COVID-19 Pandemic. </w:t>
      </w:r>
      <w:r w:rsidRPr="00846551">
        <w:rPr>
          <w:rFonts w:asciiTheme="minorBidi" w:hAnsiTheme="minorBidi"/>
          <w:i/>
          <w:iCs/>
        </w:rPr>
        <w:t>PubMed</w:t>
      </w:r>
      <w:r w:rsidRPr="00846551">
        <w:rPr>
          <w:rFonts w:asciiTheme="minorBidi" w:hAnsiTheme="minorBidi"/>
        </w:rPr>
        <w:t xml:space="preserve">, 61, p.469580241275319-469580241275319. </w:t>
      </w:r>
      <w:proofErr w:type="spellStart"/>
      <w:r w:rsidRPr="00846551">
        <w:rPr>
          <w:rFonts w:asciiTheme="minorBidi" w:hAnsiTheme="minorBidi"/>
        </w:rPr>
        <w:t>doi:https</w:t>
      </w:r>
      <w:proofErr w:type="spellEnd"/>
      <w:r w:rsidRPr="00846551">
        <w:rPr>
          <w:rFonts w:asciiTheme="minorBidi" w:hAnsiTheme="minorBidi"/>
        </w:rPr>
        <w:t>://doi.org/10.1177/00469580241275319.</w:t>
      </w:r>
    </w:p>
    <w:p w14:paraId="07AEED4E"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ELFT (2025). </w:t>
      </w:r>
      <w:r w:rsidRPr="00846551">
        <w:rPr>
          <w:rFonts w:asciiTheme="minorBidi" w:hAnsiTheme="minorBidi"/>
          <w:i/>
          <w:iCs/>
        </w:rPr>
        <w:t>Patient and Carer Race Equality Framework (PCREF)</w:t>
      </w:r>
      <w:r w:rsidRPr="00846551">
        <w:rPr>
          <w:rFonts w:asciiTheme="minorBidi" w:hAnsiTheme="minorBidi"/>
        </w:rPr>
        <w:t>. [online] East London NHS Foundation Trust. Available at: https://www.elft.nhs.uk/information-about-elft/equity-diversity/patient-and-carer-race-equality-framework-pcref.</w:t>
      </w:r>
    </w:p>
    <w:p w14:paraId="5CD28C18"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Falconediting</w:t>
      </w:r>
      <w:proofErr w:type="spellEnd"/>
      <w:r w:rsidRPr="00846551">
        <w:rPr>
          <w:rFonts w:asciiTheme="minorBidi" w:hAnsiTheme="minorBidi" w:cstheme="minorBidi"/>
          <w:sz w:val="22"/>
          <w:szCs w:val="22"/>
        </w:rPr>
        <w:t xml:space="preserve"> (2023). </w:t>
      </w:r>
      <w:r w:rsidRPr="00846551">
        <w:rPr>
          <w:rFonts w:asciiTheme="minorBidi" w:hAnsiTheme="minorBidi" w:cstheme="minorBidi"/>
          <w:i/>
          <w:iCs/>
          <w:sz w:val="22"/>
          <w:szCs w:val="22"/>
        </w:rPr>
        <w:t>Ethical Considerations in Dissertation Writing: Best Practices</w:t>
      </w:r>
      <w:r w:rsidRPr="00846551">
        <w:rPr>
          <w:rFonts w:asciiTheme="minorBidi" w:hAnsiTheme="minorBidi" w:cstheme="minorBidi"/>
          <w:sz w:val="22"/>
          <w:szCs w:val="22"/>
        </w:rPr>
        <w:t>. [online] Falconediting.com. Available at: https://falconediting.com/en/blog/ethical-considerations-in-dissertation-writing-best-practices/.</w:t>
      </w:r>
    </w:p>
    <w:p w14:paraId="14556EDB"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Floyd James, K., Smith, B.E., Robinson, M.N., Thomas Tobin, C.S., </w:t>
      </w:r>
      <w:proofErr w:type="spellStart"/>
      <w:r w:rsidRPr="00846551">
        <w:rPr>
          <w:rFonts w:asciiTheme="minorBidi" w:hAnsiTheme="minorBidi" w:cstheme="minorBidi"/>
          <w:sz w:val="22"/>
          <w:szCs w:val="22"/>
        </w:rPr>
        <w:t>Bulles</w:t>
      </w:r>
      <w:proofErr w:type="spellEnd"/>
      <w:r w:rsidRPr="00846551">
        <w:rPr>
          <w:rFonts w:asciiTheme="minorBidi" w:hAnsiTheme="minorBidi" w:cstheme="minorBidi"/>
          <w:sz w:val="22"/>
          <w:szCs w:val="22"/>
        </w:rPr>
        <w:t xml:space="preserve">, K.F. and Barkin, J.L. (2023). Factors Associated with Postpartum Maternal Functioning in Black Women: A Secondary Analysis. </w:t>
      </w:r>
      <w:r w:rsidRPr="00846551">
        <w:rPr>
          <w:rFonts w:asciiTheme="minorBidi" w:hAnsiTheme="minorBidi" w:cstheme="minorBidi"/>
          <w:i/>
          <w:iCs/>
          <w:sz w:val="22"/>
          <w:szCs w:val="22"/>
        </w:rPr>
        <w:t>Journal of Clinical Medicine</w:t>
      </w:r>
      <w:r w:rsidRPr="00846551">
        <w:rPr>
          <w:rFonts w:asciiTheme="minorBidi" w:hAnsiTheme="minorBidi" w:cstheme="minorBidi"/>
          <w:sz w:val="22"/>
          <w:szCs w:val="22"/>
        </w:rPr>
        <w:t xml:space="preserve">, 12(2), p.647.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://doi.org/10.3390/jcm12020647.</w:t>
      </w:r>
    </w:p>
    <w:p w14:paraId="2C8A7DE2"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García, C.A. and Thomas, T. (2024). Ethnic minorities in England have worse access to GPs. </w:t>
      </w:r>
      <w:r w:rsidRPr="00846551">
        <w:rPr>
          <w:rFonts w:asciiTheme="minorBidi" w:hAnsiTheme="minorBidi"/>
          <w:i/>
          <w:iCs/>
        </w:rPr>
        <w:t>The Guardian</w:t>
      </w:r>
      <w:r w:rsidRPr="00846551">
        <w:rPr>
          <w:rFonts w:asciiTheme="minorBidi" w:hAnsiTheme="minorBidi"/>
        </w:rPr>
        <w:t>. [online] 15 Feb. Available at: https://www.theguardian.com/society/2024/feb/15/ethnic-minorities-in-england-have-worse-access-to-gps.</w:t>
      </w:r>
    </w:p>
    <w:p w14:paraId="580C1507"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Gorsky, M. (2015). </w:t>
      </w:r>
      <w:r w:rsidRPr="00846551">
        <w:rPr>
          <w:rFonts w:asciiTheme="minorBidi" w:hAnsiTheme="minorBidi" w:cstheme="minorBidi"/>
          <w:i/>
          <w:iCs/>
          <w:sz w:val="22"/>
          <w:szCs w:val="22"/>
        </w:rPr>
        <w:t>The NHS in Britain: Any Lesson from History for Universal Health Coverage?</w:t>
      </w:r>
      <w:r w:rsidRPr="00846551">
        <w:rPr>
          <w:rFonts w:asciiTheme="minorBidi" w:hAnsiTheme="minorBidi" w:cstheme="minorBidi"/>
          <w:sz w:val="22"/>
          <w:szCs w:val="22"/>
        </w:rPr>
        <w:t xml:space="preserve"> [online] Nih.gov. Available at: https://www.ncbi.nlm.nih.gov/books/NBK316274/.</w:t>
      </w:r>
    </w:p>
    <w:p w14:paraId="628F83C9"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GOV.UK (2013). </w:t>
      </w:r>
      <w:r w:rsidRPr="00846551">
        <w:rPr>
          <w:rFonts w:asciiTheme="minorBidi" w:hAnsiTheme="minorBidi" w:cstheme="minorBidi"/>
          <w:i/>
          <w:iCs/>
          <w:sz w:val="22"/>
          <w:szCs w:val="22"/>
        </w:rPr>
        <w:t>Equality Act 2010</w:t>
      </w:r>
      <w:r w:rsidRPr="00846551">
        <w:rPr>
          <w:rFonts w:asciiTheme="minorBidi" w:hAnsiTheme="minorBidi" w:cstheme="minorBidi"/>
          <w:sz w:val="22"/>
          <w:szCs w:val="22"/>
        </w:rPr>
        <w:t>. [online] GOV.UK. Available at: https://www.gov.uk/guidance/equality-act-2010-guidance.</w:t>
      </w:r>
    </w:p>
    <w:p w14:paraId="36BF927B"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GOV.UK (2013). </w:t>
      </w:r>
      <w:r w:rsidRPr="00846551">
        <w:rPr>
          <w:rFonts w:asciiTheme="minorBidi" w:hAnsiTheme="minorBidi"/>
          <w:i/>
          <w:iCs/>
        </w:rPr>
        <w:t>Equality Act 2010</w:t>
      </w:r>
      <w:r w:rsidRPr="00846551">
        <w:rPr>
          <w:rFonts w:asciiTheme="minorBidi" w:hAnsiTheme="minorBidi"/>
        </w:rPr>
        <w:t>. [online] GOV.UK. Available at: https://www.gov.uk/guidance/equality-act-2010-guidance.</w:t>
      </w:r>
    </w:p>
    <w:p w14:paraId="6E635811"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lastRenderedPageBreak/>
        <w:t xml:space="preserve">GOV.UK (2021). </w:t>
      </w:r>
      <w:r w:rsidRPr="00846551">
        <w:rPr>
          <w:rFonts w:asciiTheme="minorBidi" w:hAnsiTheme="minorBidi" w:cstheme="minorBidi"/>
          <w:i/>
          <w:iCs/>
          <w:sz w:val="22"/>
          <w:szCs w:val="22"/>
        </w:rPr>
        <w:t>Language interpretation: migrant health guide</w:t>
      </w:r>
      <w:r w:rsidRPr="00846551">
        <w:rPr>
          <w:rFonts w:asciiTheme="minorBidi" w:hAnsiTheme="minorBidi" w:cstheme="minorBidi"/>
          <w:sz w:val="22"/>
          <w:szCs w:val="22"/>
        </w:rPr>
        <w:t>. [online] GOV.UK. Available at: https://www.gov.uk/guidance/language-interpretation-migrant-health-guide.</w:t>
      </w:r>
    </w:p>
    <w:p w14:paraId="743666C7"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GOV.UK (2024). </w:t>
      </w:r>
      <w:r w:rsidRPr="00846551">
        <w:rPr>
          <w:rFonts w:asciiTheme="minorBidi" w:hAnsiTheme="minorBidi"/>
          <w:i/>
          <w:iCs/>
        </w:rPr>
        <w:t>Writing about ethnicity</w:t>
      </w:r>
      <w:r w:rsidRPr="00846551">
        <w:rPr>
          <w:rFonts w:asciiTheme="minorBidi" w:hAnsiTheme="minorBidi"/>
        </w:rPr>
        <w:t>. [online] www.ethnicity-facts-figures.service.gov.uk. Available at: https://www.ethnicity-facts-figures.service.gov.uk/style-guide/writing-about-ethnicity/.</w:t>
      </w:r>
    </w:p>
    <w:p w14:paraId="6611E1FE"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HANDLEY, R. (2024). </w:t>
      </w:r>
      <w:r w:rsidRPr="00846551">
        <w:rPr>
          <w:rFonts w:asciiTheme="minorBidi" w:hAnsiTheme="minorBidi" w:cstheme="minorBidi"/>
          <w:i/>
          <w:iCs/>
          <w:sz w:val="22"/>
          <w:szCs w:val="22"/>
        </w:rPr>
        <w:t>What Keywords Are &amp; How to Use Them</w:t>
      </w:r>
      <w:r w:rsidRPr="00846551">
        <w:rPr>
          <w:rFonts w:asciiTheme="minorBidi" w:hAnsiTheme="minorBidi" w:cstheme="minorBidi"/>
          <w:sz w:val="22"/>
          <w:szCs w:val="22"/>
        </w:rPr>
        <w:t xml:space="preserve">. [online] </w:t>
      </w:r>
      <w:proofErr w:type="spellStart"/>
      <w:r w:rsidRPr="00846551">
        <w:rPr>
          <w:rFonts w:asciiTheme="minorBidi" w:hAnsiTheme="minorBidi" w:cstheme="minorBidi"/>
          <w:sz w:val="22"/>
          <w:szCs w:val="22"/>
        </w:rPr>
        <w:t>Semrush</w:t>
      </w:r>
      <w:proofErr w:type="spellEnd"/>
      <w:r w:rsidRPr="00846551">
        <w:rPr>
          <w:rFonts w:asciiTheme="minorBidi" w:hAnsiTheme="minorBidi" w:cstheme="minorBidi"/>
          <w:sz w:val="22"/>
          <w:szCs w:val="22"/>
        </w:rPr>
        <w:t xml:space="preserve"> Blog. Available at: https://www.semrush.com/blog/what-are-keywords/.</w:t>
      </w:r>
    </w:p>
    <w:p w14:paraId="5717B74C" w14:textId="77777777" w:rsidR="002D0DEC" w:rsidRPr="00846551" w:rsidRDefault="002D0DEC" w:rsidP="00846551">
      <w:pPr>
        <w:spacing w:before="240" w:after="240"/>
        <w:jc w:val="left"/>
        <w:rPr>
          <w:rFonts w:asciiTheme="minorBidi" w:hAnsiTheme="minorBidi"/>
        </w:rPr>
      </w:pPr>
      <w:proofErr w:type="spellStart"/>
      <w:r w:rsidRPr="00846551">
        <w:rPr>
          <w:rFonts w:asciiTheme="minorBidi" w:hAnsiTheme="minorBidi"/>
        </w:rPr>
        <w:t>Hayanga</w:t>
      </w:r>
      <w:proofErr w:type="spellEnd"/>
      <w:r w:rsidRPr="00846551">
        <w:rPr>
          <w:rFonts w:asciiTheme="minorBidi" w:hAnsiTheme="minorBidi"/>
        </w:rPr>
        <w:t xml:space="preserve">, B., Stafford, M. and </w:t>
      </w:r>
      <w:proofErr w:type="spellStart"/>
      <w:r w:rsidRPr="00846551">
        <w:rPr>
          <w:rFonts w:asciiTheme="minorBidi" w:hAnsiTheme="minorBidi"/>
        </w:rPr>
        <w:t>Bécares</w:t>
      </w:r>
      <w:proofErr w:type="spellEnd"/>
      <w:r w:rsidRPr="00846551">
        <w:rPr>
          <w:rFonts w:asciiTheme="minorBidi" w:hAnsiTheme="minorBidi"/>
        </w:rPr>
        <w:t xml:space="preserve">, L. (2021). Ethnic Inequalities in Healthcare Use and Care Quality among People with Multiple Long-Term Health Conditions Living in the United Kingdom: A Systematic Review and Narrative Synthesis. </w:t>
      </w:r>
      <w:r w:rsidRPr="00846551">
        <w:rPr>
          <w:rFonts w:asciiTheme="minorBidi" w:hAnsiTheme="minorBidi"/>
          <w:i/>
          <w:iCs/>
        </w:rPr>
        <w:t>International Journal of Environmental Research and Public Health</w:t>
      </w:r>
      <w:r w:rsidRPr="00846551">
        <w:rPr>
          <w:rFonts w:asciiTheme="minorBidi" w:hAnsiTheme="minorBidi"/>
        </w:rPr>
        <w:t xml:space="preserve">, [online] 18(23), p.12599. </w:t>
      </w:r>
      <w:proofErr w:type="spellStart"/>
      <w:r w:rsidRPr="00846551">
        <w:rPr>
          <w:rFonts w:asciiTheme="minorBidi" w:hAnsiTheme="minorBidi"/>
        </w:rPr>
        <w:t>doi:https</w:t>
      </w:r>
      <w:proofErr w:type="spellEnd"/>
      <w:r w:rsidRPr="00846551">
        <w:rPr>
          <w:rFonts w:asciiTheme="minorBidi" w:hAnsiTheme="minorBidi"/>
        </w:rPr>
        <w:t>://doi.org/10.3390/ijerph182312599.</w:t>
      </w:r>
    </w:p>
    <w:p w14:paraId="43DFB946"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Health.gov. (2020). </w:t>
      </w:r>
      <w:r w:rsidRPr="00846551">
        <w:rPr>
          <w:rFonts w:asciiTheme="minorBidi" w:hAnsiTheme="minorBidi"/>
          <w:i/>
          <w:iCs/>
        </w:rPr>
        <w:t>The new National Aboriginal and Torres Strait Islander Health Plan 2021–2031</w:t>
      </w:r>
      <w:r w:rsidRPr="00846551">
        <w:rPr>
          <w:rFonts w:asciiTheme="minorBidi" w:hAnsiTheme="minorBidi"/>
        </w:rPr>
        <w:t>. [online] Australian Government Department of Health and Aged Care. Available at: https://www.health.gov.au/topics/aboriginal-and-torres-strait-islander-health/how-we-support-health/health-plan?language=en.</w:t>
      </w:r>
    </w:p>
    <w:p w14:paraId="78D38406"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Healthwatch (2024). </w:t>
      </w:r>
      <w:r w:rsidRPr="00846551">
        <w:rPr>
          <w:rFonts w:asciiTheme="minorBidi" w:hAnsiTheme="minorBidi"/>
          <w:i/>
          <w:iCs/>
        </w:rPr>
        <w:t>Trust Mother’s Words, Acknowledge Our Feelings: Exploring experiences of maternity care in women from Black, Asian and Minority Ethnic communities and women with a learning disability | Healthwatch Data</w:t>
      </w:r>
      <w:r w:rsidRPr="00846551">
        <w:rPr>
          <w:rFonts w:asciiTheme="minorBidi" w:hAnsiTheme="minorBidi"/>
        </w:rPr>
        <w:t>. [online] Healthwatch.co.uk. Available at: https://nds.healthwatch.co.uk/reports-library/trust-mothers-words-acknowledge-our-feelings-exploring-experiences-maternity-care.</w:t>
      </w:r>
    </w:p>
    <w:p w14:paraId="657CD2F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Hood, S., Campbell, B. and Baker, K. (2023). </w:t>
      </w:r>
      <w:r w:rsidRPr="00846551">
        <w:rPr>
          <w:rFonts w:asciiTheme="minorBidi" w:hAnsiTheme="minorBidi" w:cstheme="minorBidi"/>
          <w:i/>
          <w:iCs/>
          <w:sz w:val="22"/>
          <w:szCs w:val="22"/>
        </w:rPr>
        <w:t>Culturally Informed Community Engagement: Implications for Inclusive Science and Health Equity</w:t>
      </w:r>
      <w:r w:rsidRPr="00846551">
        <w:rPr>
          <w:rFonts w:asciiTheme="minorBidi" w:hAnsiTheme="minorBidi" w:cstheme="minorBidi"/>
          <w:sz w:val="22"/>
          <w:szCs w:val="22"/>
        </w:rPr>
        <w:t xml:space="preserve">. </w:t>
      </w:r>
      <w:r w:rsidRPr="00846551">
        <w:rPr>
          <w:rFonts w:asciiTheme="minorBidi" w:hAnsiTheme="minorBidi" w:cstheme="minorBidi"/>
          <w:i/>
          <w:iCs/>
          <w:sz w:val="22"/>
          <w:szCs w:val="22"/>
        </w:rPr>
        <w:t>PubMed</w:t>
      </w:r>
      <w:r w:rsidRPr="00846551">
        <w:rPr>
          <w:rFonts w:asciiTheme="minorBidi" w:hAnsiTheme="minorBidi" w:cstheme="minorBidi"/>
          <w:sz w:val="22"/>
          <w:szCs w:val="22"/>
        </w:rPr>
        <w:t>. Research Triangle Park (NC): RTI Press.</w:t>
      </w:r>
    </w:p>
    <w:p w14:paraId="00B62015"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Hulme, C., Young, A., Rogers, K. and Munro, K.J. (2023). Cultural competence in NHS hearing aid clinics: a mixed-methods case study of services for Deaf British sign language users in the UK. </w:t>
      </w:r>
      <w:r w:rsidRPr="00846551">
        <w:rPr>
          <w:rFonts w:asciiTheme="minorBidi" w:hAnsiTheme="minorBidi"/>
          <w:i/>
          <w:iCs/>
        </w:rPr>
        <w:t>BMC Health Services Research</w:t>
      </w:r>
      <w:r w:rsidRPr="00846551">
        <w:rPr>
          <w:rFonts w:asciiTheme="minorBidi" w:hAnsiTheme="minorBidi"/>
        </w:rPr>
        <w:t xml:space="preserve">, 23(1). </w:t>
      </w:r>
      <w:proofErr w:type="spellStart"/>
      <w:r w:rsidRPr="00846551">
        <w:rPr>
          <w:rFonts w:asciiTheme="minorBidi" w:hAnsiTheme="minorBidi"/>
        </w:rPr>
        <w:t>doi:https</w:t>
      </w:r>
      <w:proofErr w:type="spellEnd"/>
      <w:r w:rsidRPr="00846551">
        <w:rPr>
          <w:rFonts w:asciiTheme="minorBidi" w:hAnsiTheme="minorBidi"/>
        </w:rPr>
        <w:t>://doi.org/10.1186/s12913-023-10339-4.</w:t>
      </w:r>
    </w:p>
    <w:p w14:paraId="65F96AA4"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Khan, S. (2021). </w:t>
      </w:r>
      <w:r w:rsidRPr="00846551">
        <w:rPr>
          <w:rFonts w:asciiTheme="minorBidi" w:hAnsiTheme="minorBidi" w:cstheme="minorBidi"/>
          <w:i/>
          <w:iCs/>
          <w:sz w:val="22"/>
          <w:szCs w:val="22"/>
        </w:rPr>
        <w:t>Cultural Humility vs. Cultural Competence — and Why Providers Need Both</w:t>
      </w:r>
      <w:r w:rsidRPr="00846551">
        <w:rPr>
          <w:rFonts w:asciiTheme="minorBidi" w:hAnsiTheme="minorBidi" w:cstheme="minorBidi"/>
          <w:sz w:val="22"/>
          <w:szCs w:val="22"/>
        </w:rPr>
        <w:t>. [online] Bmc.org. Available at: https://healthcity.bmc.org/cultural-humility-vs-cultural-competence-providers-need-both/.</w:t>
      </w:r>
    </w:p>
    <w:p w14:paraId="2C7D0B71"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lastRenderedPageBreak/>
        <w:t xml:space="preserve">Khan, Z. (2023). The Emerging Challenges and Strengths of the National Health Services: A Physician Perspective. </w:t>
      </w:r>
      <w:r w:rsidRPr="00846551">
        <w:rPr>
          <w:rFonts w:asciiTheme="minorBidi" w:hAnsiTheme="minorBidi"/>
          <w:i/>
          <w:iCs/>
        </w:rPr>
        <w:t>Cureus</w:t>
      </w:r>
      <w:r w:rsidRPr="00846551">
        <w:rPr>
          <w:rFonts w:asciiTheme="minorBidi" w:hAnsiTheme="minorBidi"/>
        </w:rPr>
        <w:t>, [online] 15(5). Available at: https://pmc.ncbi.nlm.nih.gov/articles/PMC10240167/.</w:t>
      </w:r>
    </w:p>
    <w:p w14:paraId="542CC8A3"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King's College London (2025). </w:t>
      </w:r>
      <w:r w:rsidRPr="00846551">
        <w:rPr>
          <w:rFonts w:asciiTheme="minorBidi" w:hAnsiTheme="minorBidi" w:cstheme="minorBidi"/>
          <w:i/>
          <w:iCs/>
          <w:sz w:val="22"/>
          <w:szCs w:val="22"/>
        </w:rPr>
        <w:t>King’s research leads to roll out of self-sampling kits for cervical cancer</w:t>
      </w:r>
      <w:r w:rsidRPr="00846551">
        <w:rPr>
          <w:rFonts w:asciiTheme="minorBidi" w:hAnsiTheme="minorBidi" w:cstheme="minorBidi"/>
          <w:sz w:val="22"/>
          <w:szCs w:val="22"/>
        </w:rPr>
        <w:t>. [online] King’s College London. Available at: https://www.kcl.ac.uk/news/kings-research-roll-out-self-sampling-kits-cervical-cancer.</w:t>
      </w:r>
    </w:p>
    <w:p w14:paraId="551A0635"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Lee, Y., Sung, S. and Fan, X. (2025). Cultural competency education for healthcare professionals: an umbrella review. </w:t>
      </w:r>
      <w:r w:rsidRPr="00846551">
        <w:rPr>
          <w:rFonts w:asciiTheme="minorBidi" w:hAnsiTheme="minorBidi" w:cstheme="minorBidi"/>
          <w:i/>
          <w:iCs/>
          <w:sz w:val="22"/>
          <w:szCs w:val="22"/>
        </w:rPr>
        <w:t>BMC Medical Education</w:t>
      </w:r>
      <w:r w:rsidRPr="00846551">
        <w:rPr>
          <w:rFonts w:asciiTheme="minorBidi" w:hAnsiTheme="minorBidi" w:cstheme="minorBidi"/>
          <w:sz w:val="22"/>
          <w:szCs w:val="22"/>
        </w:rPr>
        <w:t xml:space="preserve">, 25(1).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://doi.org/10.1186/s12909-025-08008-7.</w:t>
      </w:r>
    </w:p>
    <w:p w14:paraId="626CF5CB"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Levesque, J.-F., Harris, M.F. and Russell, G. (2013). Patient-centred access to health care: Conceptualising access at the interface of health systems and populations. </w:t>
      </w:r>
      <w:r w:rsidRPr="00846551">
        <w:rPr>
          <w:rFonts w:asciiTheme="minorBidi" w:hAnsiTheme="minorBidi" w:cstheme="minorBidi"/>
          <w:i/>
          <w:iCs/>
          <w:sz w:val="22"/>
          <w:szCs w:val="22"/>
        </w:rPr>
        <w:t>International Journal for Equity in Health</w:t>
      </w:r>
      <w:r w:rsidRPr="00846551">
        <w:rPr>
          <w:rFonts w:asciiTheme="minorBidi" w:hAnsiTheme="minorBidi" w:cstheme="minorBidi"/>
          <w:sz w:val="22"/>
          <w:szCs w:val="22"/>
        </w:rPr>
        <w:t xml:space="preserve">, [online] 12(1), p.18.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://doi.org/10.1186/1475-9276-12-18.</w:t>
      </w:r>
    </w:p>
    <w:p w14:paraId="091E651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Long, P. (2022). </w:t>
      </w:r>
      <w:r w:rsidRPr="00846551">
        <w:rPr>
          <w:rFonts w:asciiTheme="minorBidi" w:hAnsiTheme="minorBidi" w:cstheme="minorBidi"/>
          <w:i/>
          <w:iCs/>
          <w:sz w:val="22"/>
          <w:szCs w:val="22"/>
        </w:rPr>
        <w:t>Cervical Cancer Prevention Month</w:t>
      </w:r>
      <w:r w:rsidRPr="00846551">
        <w:rPr>
          <w:rFonts w:asciiTheme="minorBidi" w:hAnsiTheme="minorBidi" w:cstheme="minorBidi"/>
          <w:sz w:val="22"/>
          <w:szCs w:val="22"/>
        </w:rPr>
        <w:t>. [online] Innovative Trials. Available at: https://innovativetrials.com/cervical-cancer-prevention-week/.</w:t>
      </w:r>
    </w:p>
    <w:p w14:paraId="6E18A587"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LSE (2026). </w:t>
      </w:r>
      <w:r w:rsidRPr="00846551">
        <w:rPr>
          <w:rFonts w:asciiTheme="minorBidi" w:hAnsiTheme="minorBidi"/>
          <w:i/>
          <w:iCs/>
        </w:rPr>
        <w:t>COVID-19: the impact on the UK’s ethnic minority populations</w:t>
      </w:r>
      <w:r w:rsidRPr="00846551">
        <w:rPr>
          <w:rFonts w:asciiTheme="minorBidi" w:hAnsiTheme="minorBidi"/>
        </w:rPr>
        <w:t>. [online] The London School of Economics and Political Science. Available at: https://www.lse.ac.uk/lse-player/covid-19-the-impact-on-the-uk-s-ethnic-minority-populations [Accessed 21 May 2026].</w:t>
      </w:r>
    </w:p>
    <w:p w14:paraId="4293102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Maclellan, J., Shehata, H. and </w:t>
      </w:r>
      <w:proofErr w:type="spellStart"/>
      <w:r w:rsidRPr="00846551">
        <w:rPr>
          <w:rFonts w:asciiTheme="minorBidi" w:hAnsiTheme="minorBidi" w:cstheme="minorBidi"/>
          <w:sz w:val="22"/>
          <w:szCs w:val="22"/>
        </w:rPr>
        <w:t>Mulji</w:t>
      </w:r>
      <w:proofErr w:type="spellEnd"/>
      <w:r w:rsidRPr="00846551">
        <w:rPr>
          <w:rFonts w:asciiTheme="minorBidi" w:hAnsiTheme="minorBidi" w:cstheme="minorBidi"/>
          <w:sz w:val="22"/>
          <w:szCs w:val="22"/>
        </w:rPr>
        <w:t xml:space="preserve">, Y. (2026). </w:t>
      </w:r>
      <w:r w:rsidRPr="00846551">
        <w:rPr>
          <w:rFonts w:asciiTheme="minorBidi" w:hAnsiTheme="minorBidi" w:cstheme="minorBidi"/>
          <w:i/>
          <w:iCs/>
          <w:sz w:val="22"/>
          <w:szCs w:val="22"/>
        </w:rPr>
        <w:t>Cross-Cultural Communication and Language Support: Standards for Maternity Care and Women’s Health Maternity Services Standards Framework: Section 12 December 2025 Co-authors Miss Yasmin Mulji MSc MBCHB MRCOG -Senior Speciality Registrar in Obstetrics and Gynaecology, London North West Healthcare Trust Chapters Executive summary Introduction and rationale</w:t>
      </w:r>
      <w:r w:rsidRPr="00846551">
        <w:rPr>
          <w:rFonts w:asciiTheme="minorBidi" w:hAnsiTheme="minorBidi" w:cstheme="minorBidi"/>
          <w:sz w:val="22"/>
          <w:szCs w:val="22"/>
        </w:rPr>
        <w:t>. [online] Available at: https://www.npeu.ox.ac.uk/assets/downloads/npeu-news/cross-cultural-communication-and-language-support-standards-for-maternity-care-and-womens-health.pdf.</w:t>
      </w:r>
    </w:p>
    <w:p w14:paraId="1EDF4F0F" w14:textId="77777777" w:rsidR="002D0DEC" w:rsidRPr="00846551" w:rsidRDefault="002D0DEC" w:rsidP="00846551">
      <w:pPr>
        <w:spacing w:before="240" w:after="240"/>
        <w:jc w:val="left"/>
        <w:rPr>
          <w:rFonts w:asciiTheme="minorBidi" w:hAnsiTheme="minorBidi"/>
        </w:rPr>
      </w:pPr>
      <w:proofErr w:type="spellStart"/>
      <w:r w:rsidRPr="00846551">
        <w:rPr>
          <w:rFonts w:asciiTheme="minorBidi" w:hAnsiTheme="minorBidi"/>
        </w:rPr>
        <w:t>Maternityaction</w:t>
      </w:r>
      <w:proofErr w:type="spellEnd"/>
      <w:r w:rsidRPr="00846551">
        <w:rPr>
          <w:rFonts w:asciiTheme="minorBidi" w:hAnsiTheme="minorBidi"/>
        </w:rPr>
        <w:t xml:space="preserve"> (2026). </w:t>
      </w:r>
      <w:r w:rsidRPr="00846551">
        <w:rPr>
          <w:rFonts w:asciiTheme="minorBidi" w:hAnsiTheme="minorBidi"/>
          <w:i/>
          <w:iCs/>
        </w:rPr>
        <w:t>Women’s voices on health addressing barriers to accessing primary care</w:t>
      </w:r>
      <w:r w:rsidRPr="00846551">
        <w:rPr>
          <w:rFonts w:asciiTheme="minorBidi" w:hAnsiTheme="minorBidi"/>
        </w:rPr>
        <w:t>. [online] Available at: https://maternityaction.org.uk/wp-content/uploads/Access-to-Primary-Care-FINAL-REPORT.pdf.</w:t>
      </w:r>
    </w:p>
    <w:p w14:paraId="77E8B05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Mikelyte, R., Coleman, A., Billings, J., MacInnes, J., Croke, S., Allen, P. and Kath </w:t>
      </w:r>
      <w:proofErr w:type="spellStart"/>
      <w:r w:rsidRPr="00846551">
        <w:rPr>
          <w:rFonts w:asciiTheme="minorBidi" w:hAnsiTheme="minorBidi" w:cstheme="minorBidi"/>
          <w:sz w:val="22"/>
          <w:szCs w:val="22"/>
        </w:rPr>
        <w:t>Checkland</w:t>
      </w:r>
      <w:proofErr w:type="spellEnd"/>
      <w:r w:rsidRPr="00846551">
        <w:rPr>
          <w:rFonts w:asciiTheme="minorBidi" w:hAnsiTheme="minorBidi" w:cstheme="minorBidi"/>
          <w:sz w:val="22"/>
          <w:szCs w:val="22"/>
        </w:rPr>
        <w:t xml:space="preserve"> (2024). Understanding and supporting change in health systems using the strategic action fields framework: the availability and origin of sources of authority. </w:t>
      </w:r>
      <w:r w:rsidRPr="00846551">
        <w:rPr>
          <w:rFonts w:asciiTheme="minorBidi" w:hAnsiTheme="minorBidi" w:cstheme="minorBidi"/>
          <w:i/>
          <w:iCs/>
          <w:sz w:val="22"/>
          <w:szCs w:val="22"/>
        </w:rPr>
        <w:t>Public Management Review</w:t>
      </w:r>
      <w:r w:rsidRPr="00846551">
        <w:rPr>
          <w:rFonts w:asciiTheme="minorBidi" w:hAnsiTheme="minorBidi" w:cstheme="minorBidi"/>
          <w:sz w:val="22"/>
          <w:szCs w:val="22"/>
        </w:rPr>
        <w:t xml:space="preserve">, pp.1–21.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://doi.org/10.1080/14719037.2024.2347350.</w:t>
      </w:r>
    </w:p>
    <w:p w14:paraId="34C1D4CB"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lastRenderedPageBreak/>
        <w:t xml:space="preserve">Ministry of Health NZ (2026). </w:t>
      </w:r>
      <w:r w:rsidRPr="00846551">
        <w:rPr>
          <w:rFonts w:asciiTheme="minorBidi" w:hAnsiTheme="minorBidi"/>
          <w:i/>
          <w:iCs/>
        </w:rPr>
        <w:t>The literature review report on the design features to improve equity for Māori in the WCTO programme</w:t>
      </w:r>
      <w:r w:rsidRPr="00846551">
        <w:rPr>
          <w:rFonts w:asciiTheme="minorBidi" w:hAnsiTheme="minorBidi"/>
        </w:rPr>
        <w:t>. [online] Available at: https://www.health.govt.nz/system/files/2021-07/literature-review-report-design-features-improve-equity-maori-wcto-programme.pdf.</w:t>
      </w:r>
    </w:p>
    <w:p w14:paraId="0B0D4BD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Mirage News (2026). </w:t>
      </w:r>
      <w:r w:rsidRPr="00846551">
        <w:rPr>
          <w:rFonts w:asciiTheme="minorBidi" w:hAnsiTheme="minorBidi" w:cstheme="minorBidi"/>
          <w:i/>
          <w:iCs/>
          <w:sz w:val="22"/>
          <w:szCs w:val="22"/>
        </w:rPr>
        <w:t>Research: NHS Social Prescribing Gaps May Widen Inequality</w:t>
      </w:r>
      <w:r w:rsidRPr="00846551">
        <w:rPr>
          <w:rFonts w:asciiTheme="minorBidi" w:hAnsiTheme="minorBidi" w:cstheme="minorBidi"/>
          <w:sz w:val="22"/>
          <w:szCs w:val="22"/>
        </w:rPr>
        <w:t>. [online] Mirage News. Available at: https://www.miragenews.com/research-nhs-social-prescribing-gaps-may-widen-1688910/ [Accessed 11 Jun. 2026].</w:t>
      </w:r>
    </w:p>
    <w:p w14:paraId="18230D49"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MLM (2026). </w:t>
      </w:r>
      <w:r w:rsidRPr="00846551">
        <w:rPr>
          <w:rFonts w:asciiTheme="minorBidi" w:hAnsiTheme="minorBidi"/>
          <w:i/>
          <w:iCs/>
        </w:rPr>
        <w:t>Multilingual Manchester: A Digest</w:t>
      </w:r>
      <w:r w:rsidRPr="00846551">
        <w:rPr>
          <w:rFonts w:asciiTheme="minorBidi" w:hAnsiTheme="minorBidi"/>
        </w:rPr>
        <w:t>. [online] Available at: https://mlm.humanities.manchester.ac.uk/wp-content/uploads/2015/12/MLMDigest.pdf.</w:t>
      </w:r>
    </w:p>
    <w:p w14:paraId="13C17A5F"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NHS BME Network (2026). </w:t>
      </w:r>
      <w:r w:rsidRPr="00846551">
        <w:rPr>
          <w:rFonts w:asciiTheme="minorBidi" w:hAnsiTheme="minorBidi" w:cstheme="minorBidi"/>
          <w:i/>
          <w:iCs/>
          <w:sz w:val="22"/>
          <w:szCs w:val="22"/>
        </w:rPr>
        <w:t>Classification: Official Publication reference: PRN01915</w:t>
      </w:r>
      <w:r w:rsidRPr="00846551">
        <w:rPr>
          <w:rFonts w:asciiTheme="minorBidi" w:hAnsiTheme="minorBidi" w:cstheme="minorBidi"/>
          <w:sz w:val="22"/>
          <w:szCs w:val="22"/>
        </w:rPr>
        <w:t>. [online] Available at: https://www.nhsbmenetwork.org.uk/wp-content/uploads/2025/07/Workforce-Race-Equality-Standard-2024-data-analysis-report.pdf.</w:t>
      </w:r>
    </w:p>
    <w:p w14:paraId="0080419E"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NHS England (2023). </w:t>
      </w:r>
      <w:r w:rsidRPr="00846551">
        <w:rPr>
          <w:rFonts w:asciiTheme="minorBidi" w:hAnsiTheme="minorBidi" w:cstheme="minorBidi"/>
          <w:i/>
          <w:iCs/>
          <w:sz w:val="22"/>
          <w:szCs w:val="22"/>
        </w:rPr>
        <w:t>NHS England» Delivery plan for recovering access to primary care</w:t>
      </w:r>
      <w:r w:rsidRPr="00846551">
        <w:rPr>
          <w:rFonts w:asciiTheme="minorBidi" w:hAnsiTheme="minorBidi" w:cstheme="minorBidi"/>
          <w:sz w:val="22"/>
          <w:szCs w:val="22"/>
        </w:rPr>
        <w:t>. [online] www.england.nhs.uk. Available at: https://www.england.nhs.uk/long-read/delivery-plan-for-recovering-access-to-primary-care-2/.</w:t>
      </w:r>
    </w:p>
    <w:p w14:paraId="5361F93A"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NHS England (2025). </w:t>
      </w:r>
      <w:r w:rsidRPr="00846551">
        <w:rPr>
          <w:rFonts w:asciiTheme="minorBidi" w:hAnsiTheme="minorBidi" w:cstheme="minorBidi"/>
          <w:i/>
          <w:iCs/>
          <w:sz w:val="22"/>
          <w:szCs w:val="22"/>
        </w:rPr>
        <w:t>NHS England» Improvement framework: community language translation and interpreting services</w:t>
      </w:r>
      <w:r w:rsidRPr="00846551">
        <w:rPr>
          <w:rFonts w:asciiTheme="minorBidi" w:hAnsiTheme="minorBidi" w:cstheme="minorBidi"/>
          <w:sz w:val="22"/>
          <w:szCs w:val="22"/>
        </w:rPr>
        <w:t>. [online] England.nhs.uk. Available at: https://www.england.nhs.uk/long-read/improvement-framework-community-language-translation-and-interpreting-services/.</w:t>
      </w:r>
    </w:p>
    <w:p w14:paraId="70A31410"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NHS England (2025a). </w:t>
      </w:r>
      <w:r w:rsidRPr="00846551">
        <w:rPr>
          <w:rFonts w:asciiTheme="minorBidi" w:hAnsiTheme="minorBidi"/>
          <w:i/>
          <w:iCs/>
        </w:rPr>
        <w:t>NHS England» Health inequalities and equality legal duties: A reference document for NHS commissioners and providers</w:t>
      </w:r>
      <w:r w:rsidRPr="00846551">
        <w:rPr>
          <w:rFonts w:asciiTheme="minorBidi" w:hAnsiTheme="minorBidi"/>
        </w:rPr>
        <w:t>. [online] England.nhs.uk. Available at: https://www.england.nhs.uk/long-read/health-inequalities-equality-legal-duties/.</w:t>
      </w:r>
    </w:p>
    <w:p w14:paraId="3B45A7FE"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NHS England (2025b). </w:t>
      </w:r>
      <w:r w:rsidRPr="00846551">
        <w:rPr>
          <w:rFonts w:asciiTheme="minorBidi" w:hAnsiTheme="minorBidi"/>
          <w:i/>
          <w:iCs/>
        </w:rPr>
        <w:t>NHS England» Training</w:t>
      </w:r>
      <w:r w:rsidRPr="00846551">
        <w:rPr>
          <w:rFonts w:asciiTheme="minorBidi" w:hAnsiTheme="minorBidi"/>
        </w:rPr>
        <w:t>. [online] www.england.nhs.uk. Available at: https://www.england.nhs.uk/about/equality/equality-hub/national-healthcare-inequalities-improvement-programme/contacts-and-resources/training/.</w:t>
      </w:r>
    </w:p>
    <w:p w14:paraId="7A4A909D"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NHS England (2026). </w:t>
      </w:r>
      <w:r w:rsidRPr="00846551">
        <w:rPr>
          <w:rFonts w:asciiTheme="minorBidi" w:hAnsiTheme="minorBidi" w:cstheme="minorBidi"/>
          <w:i/>
          <w:iCs/>
          <w:sz w:val="22"/>
          <w:szCs w:val="22"/>
        </w:rPr>
        <w:t>THE FIVE X MORE BLACK MATERNITY EXPERIENCES REPORT: CONTINUING THE CONVERSATION ON BLACK MATERNAL CARE IN THE UK PEER RESEARCHERS ATINUKE AWE AND CLOTILDE ABE REPORT AUTHORS</w:t>
      </w:r>
      <w:r w:rsidRPr="00846551">
        <w:rPr>
          <w:rFonts w:asciiTheme="minorBidi" w:hAnsiTheme="minorBidi" w:cstheme="minorBidi"/>
          <w:sz w:val="22"/>
          <w:szCs w:val="22"/>
        </w:rPr>
        <w:t>. [online] Available at: https://maternalmentalhealthalliance.org/media/filer_public/ac/e0/ace0cbc8-429b-4d23-a027-b180c2a01aaf/black-maternity-experiences-report-2025.pdf.</w:t>
      </w:r>
    </w:p>
    <w:p w14:paraId="199AD2F8"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lastRenderedPageBreak/>
        <w:t>Nhsrho</w:t>
      </w:r>
      <w:proofErr w:type="spellEnd"/>
      <w:r w:rsidRPr="00846551">
        <w:rPr>
          <w:rFonts w:asciiTheme="minorBidi" w:hAnsiTheme="minorBidi" w:cstheme="minorBidi"/>
          <w:sz w:val="22"/>
          <w:szCs w:val="22"/>
        </w:rPr>
        <w:t xml:space="preserve"> (2025). </w:t>
      </w:r>
      <w:r w:rsidRPr="00846551">
        <w:rPr>
          <w:rFonts w:asciiTheme="minorBidi" w:hAnsiTheme="minorBidi" w:cstheme="minorBidi"/>
          <w:i/>
          <w:iCs/>
          <w:sz w:val="22"/>
          <w:szCs w:val="22"/>
        </w:rPr>
        <w:t>Welcome To Zscaler Directory Authentication</w:t>
      </w:r>
      <w:r w:rsidRPr="00846551">
        <w:rPr>
          <w:rFonts w:asciiTheme="minorBidi" w:hAnsiTheme="minorBidi" w:cstheme="minorBidi"/>
          <w:sz w:val="22"/>
          <w:szCs w:val="22"/>
        </w:rPr>
        <w:t>. [online] Nhsrho.org. Available at: https://nhsrho.org/research/ethnic-inequalities-in-healthcare-a-rapid-evidence-review-2/.</w:t>
      </w:r>
    </w:p>
    <w:p w14:paraId="639C385A"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Nourbakhsh, E., Nugent, R., Wang, H., </w:t>
      </w:r>
      <w:proofErr w:type="spellStart"/>
      <w:r w:rsidRPr="00846551">
        <w:rPr>
          <w:rFonts w:asciiTheme="minorBidi" w:hAnsiTheme="minorBidi" w:cstheme="minorBidi"/>
          <w:sz w:val="22"/>
          <w:szCs w:val="22"/>
        </w:rPr>
        <w:t>Cevik</w:t>
      </w:r>
      <w:proofErr w:type="spellEnd"/>
      <w:r w:rsidRPr="00846551">
        <w:rPr>
          <w:rFonts w:asciiTheme="minorBidi" w:hAnsiTheme="minorBidi" w:cstheme="minorBidi"/>
          <w:sz w:val="22"/>
          <w:szCs w:val="22"/>
        </w:rPr>
        <w:t xml:space="preserve">, C. and Nugent, K. (2012). Medical literature searches: a comparison of PubMed and Google Scholar. </w:t>
      </w:r>
      <w:r w:rsidRPr="00846551">
        <w:rPr>
          <w:rFonts w:asciiTheme="minorBidi" w:hAnsiTheme="minorBidi" w:cstheme="minorBidi"/>
          <w:i/>
          <w:iCs/>
          <w:sz w:val="22"/>
          <w:szCs w:val="22"/>
        </w:rPr>
        <w:t>Health Information &amp; Libraries Journal</w:t>
      </w:r>
      <w:r w:rsidRPr="00846551">
        <w:rPr>
          <w:rFonts w:asciiTheme="minorBidi" w:hAnsiTheme="minorBidi" w:cstheme="minorBidi"/>
          <w:sz w:val="22"/>
          <w:szCs w:val="22"/>
        </w:rPr>
        <w:t xml:space="preserve">, 29(3), pp.214–222.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://doi.org/10.1111/j.1471-1842.2012.00992.x.</w:t>
      </w:r>
    </w:p>
    <w:p w14:paraId="7B2AC0BD"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NWAS (2025). </w:t>
      </w:r>
      <w:r w:rsidRPr="00846551">
        <w:rPr>
          <w:rFonts w:asciiTheme="minorBidi" w:hAnsiTheme="minorBidi" w:cstheme="minorBidi"/>
          <w:i/>
          <w:iCs/>
          <w:sz w:val="22"/>
          <w:szCs w:val="22"/>
        </w:rPr>
        <w:t>Workforce Race Equality Standard (WRES) data report - NWAS - North West Ambulance Service</w:t>
      </w:r>
      <w:r w:rsidRPr="00846551">
        <w:rPr>
          <w:rFonts w:asciiTheme="minorBidi" w:hAnsiTheme="minorBidi" w:cstheme="minorBidi"/>
          <w:sz w:val="22"/>
          <w:szCs w:val="22"/>
        </w:rPr>
        <w:t>. [online] NWAS - North West Ambulance Service. Available at: https://www.nwas.nhs.uk/publications/workforce-race-equality-standard-wres-data-report/.</w:t>
      </w:r>
    </w:p>
    <w:p w14:paraId="32311004"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O’Dowd, A. (2025). Patients face discrimination in primary care, survey finds. </w:t>
      </w:r>
      <w:r w:rsidRPr="00846551">
        <w:rPr>
          <w:rFonts w:asciiTheme="minorBidi" w:hAnsiTheme="minorBidi" w:cstheme="minorBidi"/>
          <w:i/>
          <w:iCs/>
          <w:sz w:val="22"/>
          <w:szCs w:val="22"/>
        </w:rPr>
        <w:t>BMJ</w:t>
      </w:r>
      <w:r w:rsidRPr="00846551">
        <w:rPr>
          <w:rFonts w:asciiTheme="minorBidi" w:hAnsiTheme="minorBidi" w:cstheme="minorBidi"/>
          <w:sz w:val="22"/>
          <w:szCs w:val="22"/>
        </w:rPr>
        <w:t xml:space="preserve">, p.r486.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://doi.org/10.1136/bmj.r486.</w:t>
      </w:r>
    </w:p>
    <w:p w14:paraId="1F403EF3"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Office for National Statistics (2022). </w:t>
      </w:r>
      <w:r w:rsidRPr="00846551">
        <w:rPr>
          <w:rFonts w:asciiTheme="minorBidi" w:hAnsiTheme="minorBidi" w:cstheme="minorBidi"/>
          <w:i/>
          <w:iCs/>
          <w:sz w:val="22"/>
          <w:szCs w:val="22"/>
        </w:rPr>
        <w:t>Language, England and Wales - Office for National Statistics</w:t>
      </w:r>
      <w:r w:rsidRPr="00846551">
        <w:rPr>
          <w:rFonts w:asciiTheme="minorBidi" w:hAnsiTheme="minorBidi" w:cstheme="minorBidi"/>
          <w:sz w:val="22"/>
          <w:szCs w:val="22"/>
        </w:rPr>
        <w:t>. [online] www.ons.gov.uk. Available at: https://www.ons.gov.uk/peoplepopulationandcommunity/culturalidentity/language/bulletins/languageenglandandwales/census2021.</w:t>
      </w:r>
    </w:p>
    <w:p w14:paraId="7EBBAD6A"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ONS (2021). </w:t>
      </w:r>
      <w:r w:rsidRPr="00846551">
        <w:rPr>
          <w:rFonts w:asciiTheme="minorBidi" w:hAnsiTheme="minorBidi"/>
          <w:i/>
          <w:iCs/>
        </w:rPr>
        <w:t>Ethnic group, England and Wales - Office for National Statistics</w:t>
      </w:r>
      <w:r w:rsidRPr="00846551">
        <w:rPr>
          <w:rFonts w:asciiTheme="minorBidi" w:hAnsiTheme="minorBidi"/>
        </w:rPr>
        <w:t>. [online] www.ons.gov.uk. Available at: https://www.ons.gov.uk/peoplepopulationandcommunity/culturalidentity/ethnicity/bulletins/ethnicgroupenglandandwales/census2021.</w:t>
      </w:r>
    </w:p>
    <w:p w14:paraId="00F8C41B"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ONS (2022). </w:t>
      </w:r>
      <w:r w:rsidRPr="00846551">
        <w:rPr>
          <w:rFonts w:asciiTheme="minorBidi" w:hAnsiTheme="minorBidi"/>
          <w:i/>
          <w:iCs/>
        </w:rPr>
        <w:t>Population of England and Wales</w:t>
      </w:r>
      <w:r w:rsidRPr="00846551">
        <w:rPr>
          <w:rFonts w:asciiTheme="minorBidi" w:hAnsiTheme="minorBidi"/>
        </w:rPr>
        <w:t>. [online] GOV.UK. Available at: https://www.ethnicity-facts-figures.service.gov.uk/uk-population-by-ethnicity/national-and-regional-populations/population-of-england-and-wales/latest.</w:t>
      </w:r>
    </w:p>
    <w:p w14:paraId="6287F861"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ONS (2023). </w:t>
      </w:r>
      <w:r w:rsidRPr="00846551">
        <w:rPr>
          <w:rFonts w:asciiTheme="minorBidi" w:hAnsiTheme="minorBidi"/>
          <w:i/>
          <w:iCs/>
        </w:rPr>
        <w:t>Ethnic group, England and Wales - Office for National Statistics</w:t>
      </w:r>
      <w:r w:rsidRPr="00846551">
        <w:rPr>
          <w:rFonts w:asciiTheme="minorBidi" w:hAnsiTheme="minorBidi"/>
        </w:rPr>
        <w:t>. [online] www.ons.gov.uk. Available at: https://www.ons.gov.uk/peoplepopulationandcommunity/culturalidentity/ethnicity/bulletins/ethnicgroupenglandandwales/census2021.</w:t>
      </w:r>
    </w:p>
    <w:p w14:paraId="15508067"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Paré, G. and </w:t>
      </w:r>
      <w:proofErr w:type="spellStart"/>
      <w:r w:rsidRPr="00846551">
        <w:rPr>
          <w:rFonts w:asciiTheme="minorBidi" w:hAnsiTheme="minorBidi" w:cstheme="minorBidi"/>
          <w:sz w:val="22"/>
          <w:szCs w:val="22"/>
        </w:rPr>
        <w:t>Kitsiou</w:t>
      </w:r>
      <w:proofErr w:type="spellEnd"/>
      <w:r w:rsidRPr="00846551">
        <w:rPr>
          <w:rFonts w:asciiTheme="minorBidi" w:hAnsiTheme="minorBidi" w:cstheme="minorBidi"/>
          <w:sz w:val="22"/>
          <w:szCs w:val="22"/>
        </w:rPr>
        <w:t xml:space="preserve">, S. (2017). </w:t>
      </w:r>
      <w:r w:rsidRPr="00846551">
        <w:rPr>
          <w:rFonts w:asciiTheme="minorBidi" w:hAnsiTheme="minorBidi" w:cstheme="minorBidi"/>
          <w:i/>
          <w:iCs/>
          <w:sz w:val="22"/>
          <w:szCs w:val="22"/>
        </w:rPr>
        <w:t>Methods for literature reviews</w:t>
      </w:r>
      <w:r w:rsidRPr="00846551">
        <w:rPr>
          <w:rFonts w:asciiTheme="minorBidi" w:hAnsiTheme="minorBidi" w:cstheme="minorBidi"/>
          <w:sz w:val="22"/>
          <w:szCs w:val="22"/>
        </w:rPr>
        <w:t>. [online] National Library of Medicine. Available at: https://www.ncbi.nlm.nih.gov/books/NBK481583/.</w:t>
      </w:r>
    </w:p>
    <w:p w14:paraId="4C5AA238"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Parliament.uk (2024). </w:t>
      </w:r>
      <w:r w:rsidRPr="00846551">
        <w:rPr>
          <w:rFonts w:asciiTheme="minorBidi" w:hAnsiTheme="minorBidi" w:cstheme="minorBidi"/>
          <w:i/>
          <w:iCs/>
          <w:sz w:val="22"/>
          <w:szCs w:val="22"/>
        </w:rPr>
        <w:t>Black Maternal Health</w:t>
      </w:r>
      <w:r w:rsidRPr="00846551">
        <w:rPr>
          <w:rFonts w:asciiTheme="minorBidi" w:hAnsiTheme="minorBidi" w:cstheme="minorBidi"/>
          <w:sz w:val="22"/>
          <w:szCs w:val="22"/>
        </w:rPr>
        <w:t>. [online] Parliament.uk. Available at: https://publications.parliament.uk/pa/cm5901/cmselect/cmhealth/895/report.html.</w:t>
      </w:r>
    </w:p>
    <w:p w14:paraId="4C0E1E07"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lastRenderedPageBreak/>
        <w:t>Pineda-</w:t>
      </w:r>
      <w:proofErr w:type="spellStart"/>
      <w:r w:rsidRPr="00846551">
        <w:rPr>
          <w:rFonts w:asciiTheme="minorBidi" w:hAnsiTheme="minorBidi" w:cstheme="minorBidi"/>
          <w:sz w:val="22"/>
          <w:szCs w:val="22"/>
        </w:rPr>
        <w:t>Moncusí</w:t>
      </w:r>
      <w:proofErr w:type="spellEnd"/>
      <w:r w:rsidRPr="00846551">
        <w:rPr>
          <w:rFonts w:asciiTheme="minorBidi" w:hAnsiTheme="minorBidi" w:cstheme="minorBidi"/>
          <w:sz w:val="22"/>
          <w:szCs w:val="22"/>
        </w:rPr>
        <w:t xml:space="preserve">, M., Allery, F., Hoda Abbasizanjani, Powell, D., Prats-Uribe, A., Thygesen, J.H., Wood, A., Tomlinson, C., Banerjee, A., Akbari, A., Antonella Delmestri, Coates, L.C., Spiros </w:t>
      </w:r>
      <w:proofErr w:type="spellStart"/>
      <w:r w:rsidRPr="00846551">
        <w:rPr>
          <w:rFonts w:asciiTheme="minorBidi" w:hAnsiTheme="minorBidi" w:cstheme="minorBidi"/>
          <w:sz w:val="22"/>
          <w:szCs w:val="22"/>
        </w:rPr>
        <w:t>Denaxas</w:t>
      </w:r>
      <w:proofErr w:type="spellEnd"/>
      <w:r w:rsidRPr="00846551">
        <w:rPr>
          <w:rFonts w:asciiTheme="minorBidi" w:hAnsiTheme="minorBidi" w:cstheme="minorBidi"/>
          <w:sz w:val="22"/>
          <w:szCs w:val="22"/>
        </w:rPr>
        <w:t xml:space="preserve">, Kamlesh Khunti, Collins, G., Prieto-Alhambra, D. and Khalid, S. (2025). Ethnic disparities in COVID-19 mortality and cardiovascular disease in England and Wales between 2020-2022. </w:t>
      </w:r>
      <w:r w:rsidRPr="00846551">
        <w:rPr>
          <w:rFonts w:asciiTheme="minorBidi" w:hAnsiTheme="minorBidi" w:cstheme="minorBidi"/>
          <w:i/>
          <w:iCs/>
          <w:sz w:val="22"/>
          <w:szCs w:val="22"/>
        </w:rPr>
        <w:t>Nature Communications</w:t>
      </w:r>
      <w:r w:rsidRPr="00846551">
        <w:rPr>
          <w:rFonts w:asciiTheme="minorBidi" w:hAnsiTheme="minorBidi" w:cstheme="minorBidi"/>
          <w:sz w:val="22"/>
          <w:szCs w:val="22"/>
        </w:rPr>
        <w:t xml:space="preserve">, [online] 16(1).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://doi.org/10.1038/s41467-025-59951-4.</w:t>
      </w:r>
    </w:p>
    <w:p w14:paraId="54A2CAA8"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Prohens</w:t>
      </w:r>
      <w:proofErr w:type="spellEnd"/>
      <w:r w:rsidRPr="00846551">
        <w:rPr>
          <w:rFonts w:asciiTheme="minorBidi" w:hAnsiTheme="minorBidi" w:cstheme="minorBidi"/>
          <w:sz w:val="22"/>
          <w:szCs w:val="22"/>
        </w:rPr>
        <w:t xml:space="preserve">, L. (2024). </w:t>
      </w:r>
      <w:r w:rsidRPr="00846551">
        <w:rPr>
          <w:rFonts w:asciiTheme="minorBidi" w:hAnsiTheme="minorBidi" w:cstheme="minorBidi"/>
          <w:i/>
          <w:iCs/>
          <w:sz w:val="22"/>
          <w:szCs w:val="22"/>
        </w:rPr>
        <w:t>Community Outreach and Language Access: Engaging Multicultural Populations | Global Interpreting Network</w:t>
      </w:r>
      <w:r w:rsidRPr="00846551">
        <w:rPr>
          <w:rFonts w:asciiTheme="minorBidi" w:hAnsiTheme="minorBidi" w:cstheme="minorBidi"/>
          <w:sz w:val="22"/>
          <w:szCs w:val="22"/>
        </w:rPr>
        <w:t>. [online] Global Interpreting Network. Available at: https://globalinterpreting.com/blog/community-outreach-and-language-access-engaging-multicultural-populations/.</w:t>
      </w:r>
    </w:p>
    <w:p w14:paraId="04458040"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Public Health England (2015). </w:t>
      </w:r>
      <w:r w:rsidRPr="00846551">
        <w:rPr>
          <w:rFonts w:asciiTheme="minorBidi" w:hAnsiTheme="minorBidi" w:cstheme="minorBidi"/>
          <w:i/>
          <w:iCs/>
          <w:sz w:val="22"/>
          <w:szCs w:val="22"/>
        </w:rPr>
        <w:t>Local action on health inequalities</w:t>
      </w:r>
      <w:r w:rsidRPr="00846551">
        <w:rPr>
          <w:rFonts w:asciiTheme="minorBidi" w:hAnsiTheme="minorBidi" w:cstheme="minorBidi"/>
          <w:sz w:val="22"/>
          <w:szCs w:val="22"/>
        </w:rPr>
        <w:t xml:space="preserve">. [online] </w:t>
      </w:r>
      <w:r w:rsidRPr="00846551">
        <w:rPr>
          <w:rFonts w:asciiTheme="minorBidi" w:hAnsiTheme="minorBidi" w:cstheme="minorBidi"/>
          <w:i/>
          <w:iCs/>
          <w:sz w:val="22"/>
          <w:szCs w:val="22"/>
        </w:rPr>
        <w:t>GOV.UK</w:t>
      </w:r>
      <w:r w:rsidRPr="00846551">
        <w:rPr>
          <w:rFonts w:asciiTheme="minorBidi" w:hAnsiTheme="minorBidi" w:cstheme="minorBidi"/>
          <w:sz w:val="22"/>
          <w:szCs w:val="22"/>
        </w:rPr>
        <w:t>. Available at: https://assets.publishing.service.gov.uk/media/5a80b62d40f0b62302695133/4b_Health_Literacy-Briefing.pdf.</w:t>
      </w:r>
    </w:p>
    <w:p w14:paraId="7955DC55"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Ramšak, M., Orzechowski, M., Bielińska, K., Chowaniec, A., </w:t>
      </w:r>
      <w:proofErr w:type="spellStart"/>
      <w:r w:rsidRPr="00846551">
        <w:rPr>
          <w:rFonts w:asciiTheme="minorBidi" w:hAnsiTheme="minorBidi"/>
        </w:rPr>
        <w:t>Doričić</w:t>
      </w:r>
      <w:proofErr w:type="spellEnd"/>
      <w:r w:rsidRPr="00846551">
        <w:rPr>
          <w:rFonts w:asciiTheme="minorBidi" w:hAnsiTheme="minorBidi"/>
        </w:rPr>
        <w:t xml:space="preserve">, R., Nowak, M., </w:t>
      </w:r>
      <w:proofErr w:type="spellStart"/>
      <w:r w:rsidRPr="00846551">
        <w:rPr>
          <w:rFonts w:asciiTheme="minorBidi" w:hAnsiTheme="minorBidi"/>
        </w:rPr>
        <w:t>Skuban-Eiseler</w:t>
      </w:r>
      <w:proofErr w:type="spellEnd"/>
      <w:r w:rsidRPr="00846551">
        <w:rPr>
          <w:rFonts w:asciiTheme="minorBidi" w:hAnsiTheme="minorBidi"/>
        </w:rPr>
        <w:t xml:space="preserve">, T., </w:t>
      </w:r>
      <w:proofErr w:type="spellStart"/>
      <w:r w:rsidRPr="00846551">
        <w:rPr>
          <w:rFonts w:asciiTheme="minorBidi" w:hAnsiTheme="minorBidi"/>
        </w:rPr>
        <w:t>Grokša</w:t>
      </w:r>
      <w:proofErr w:type="spellEnd"/>
      <w:r w:rsidRPr="00846551">
        <w:rPr>
          <w:rFonts w:asciiTheme="minorBidi" w:hAnsiTheme="minorBidi"/>
        </w:rPr>
        <w:t xml:space="preserve">, I.T., </w:t>
      </w:r>
      <w:proofErr w:type="spellStart"/>
      <w:r w:rsidRPr="00846551">
        <w:rPr>
          <w:rFonts w:asciiTheme="minorBidi" w:hAnsiTheme="minorBidi"/>
        </w:rPr>
        <w:t>Łuków</w:t>
      </w:r>
      <w:proofErr w:type="spellEnd"/>
      <w:r w:rsidRPr="00846551">
        <w:rPr>
          <w:rFonts w:asciiTheme="minorBidi" w:hAnsiTheme="minorBidi"/>
        </w:rPr>
        <w:t xml:space="preserve">, P., </w:t>
      </w:r>
      <w:proofErr w:type="spellStart"/>
      <w:r w:rsidRPr="00846551">
        <w:rPr>
          <w:rFonts w:asciiTheme="minorBidi" w:hAnsiTheme="minorBidi"/>
        </w:rPr>
        <w:t>Muzur</w:t>
      </w:r>
      <w:proofErr w:type="spellEnd"/>
      <w:r w:rsidRPr="00846551">
        <w:rPr>
          <w:rFonts w:asciiTheme="minorBidi" w:hAnsiTheme="minorBidi"/>
        </w:rPr>
        <w:t>, A., Zupanič-</w:t>
      </w:r>
      <w:proofErr w:type="spellStart"/>
      <w:r w:rsidRPr="00846551">
        <w:rPr>
          <w:rFonts w:asciiTheme="minorBidi" w:hAnsiTheme="minorBidi"/>
        </w:rPr>
        <w:t>Slavec</w:t>
      </w:r>
      <w:proofErr w:type="spellEnd"/>
      <w:r w:rsidRPr="00846551">
        <w:rPr>
          <w:rFonts w:asciiTheme="minorBidi" w:hAnsiTheme="minorBidi"/>
        </w:rPr>
        <w:t xml:space="preserve">, Z. and Steger, F. (2023). Diversity awareness, diversity competency and access to healthcare for minority groups: perspectives of healthcare professionals in Croatia, Germany, Poland, and Slovenia. </w:t>
      </w:r>
      <w:r w:rsidRPr="00846551">
        <w:rPr>
          <w:rFonts w:asciiTheme="minorBidi" w:hAnsiTheme="minorBidi"/>
          <w:i/>
          <w:iCs/>
        </w:rPr>
        <w:t>Frontiers in Public Health</w:t>
      </w:r>
      <w:r w:rsidRPr="00846551">
        <w:rPr>
          <w:rFonts w:asciiTheme="minorBidi" w:hAnsiTheme="minorBidi"/>
        </w:rPr>
        <w:t xml:space="preserve">, [online] 11(11). </w:t>
      </w:r>
      <w:proofErr w:type="spellStart"/>
      <w:r w:rsidRPr="00846551">
        <w:rPr>
          <w:rFonts w:asciiTheme="minorBidi" w:hAnsiTheme="minorBidi"/>
        </w:rPr>
        <w:t>doi:https</w:t>
      </w:r>
      <w:proofErr w:type="spellEnd"/>
      <w:r w:rsidRPr="00846551">
        <w:rPr>
          <w:rFonts w:asciiTheme="minorBidi" w:hAnsiTheme="minorBidi"/>
        </w:rPr>
        <w:t>://doi.org/10.3389/fpubh.2023.1204854.</w:t>
      </w:r>
    </w:p>
    <w:p w14:paraId="6DF294D9"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Richardson-Parry, A., Baas, C., Donde, S., Ferraiolo, B., Karmo, M., </w:t>
      </w:r>
      <w:proofErr w:type="spellStart"/>
      <w:r w:rsidRPr="00846551">
        <w:rPr>
          <w:rFonts w:asciiTheme="minorBidi" w:hAnsiTheme="minorBidi"/>
        </w:rPr>
        <w:t>Maravic</w:t>
      </w:r>
      <w:proofErr w:type="spellEnd"/>
      <w:r w:rsidRPr="00846551">
        <w:rPr>
          <w:rFonts w:asciiTheme="minorBidi" w:hAnsiTheme="minorBidi"/>
        </w:rPr>
        <w:t xml:space="preserve">, Z., </w:t>
      </w:r>
      <w:proofErr w:type="spellStart"/>
      <w:r w:rsidRPr="00846551">
        <w:rPr>
          <w:rFonts w:asciiTheme="minorBidi" w:hAnsiTheme="minorBidi"/>
        </w:rPr>
        <w:t>Münter</w:t>
      </w:r>
      <w:proofErr w:type="spellEnd"/>
      <w:r w:rsidRPr="00846551">
        <w:rPr>
          <w:rFonts w:asciiTheme="minorBidi" w:hAnsiTheme="minorBidi"/>
        </w:rPr>
        <w:t xml:space="preserve">, L., Ricci-Cabello, I., Silva, M., Tinianov, S., Valderas, J.M., Woodruff, S. and van </w:t>
      </w:r>
      <w:proofErr w:type="spellStart"/>
      <w:r w:rsidRPr="00846551">
        <w:rPr>
          <w:rFonts w:asciiTheme="minorBidi" w:hAnsiTheme="minorBidi"/>
        </w:rPr>
        <w:t>Vugt</w:t>
      </w:r>
      <w:proofErr w:type="spellEnd"/>
      <w:r w:rsidRPr="00846551">
        <w:rPr>
          <w:rFonts w:asciiTheme="minorBidi" w:hAnsiTheme="minorBidi"/>
        </w:rPr>
        <w:t xml:space="preserve">, J. (2023). Interventions to reduce cancer screening inequities: the perspective and role of patients, advocacy groups, and empowerment organizations. </w:t>
      </w:r>
      <w:r w:rsidRPr="00846551">
        <w:rPr>
          <w:rFonts w:asciiTheme="minorBidi" w:hAnsiTheme="minorBidi"/>
          <w:i/>
          <w:iCs/>
        </w:rPr>
        <w:t>International Journal for Equity in Health</w:t>
      </w:r>
      <w:r w:rsidRPr="00846551">
        <w:rPr>
          <w:rFonts w:asciiTheme="minorBidi" w:hAnsiTheme="minorBidi"/>
        </w:rPr>
        <w:t xml:space="preserve">, 22(1). </w:t>
      </w:r>
      <w:proofErr w:type="spellStart"/>
      <w:r w:rsidRPr="00846551">
        <w:rPr>
          <w:rFonts w:asciiTheme="minorBidi" w:hAnsiTheme="minorBidi"/>
        </w:rPr>
        <w:t>doi:https</w:t>
      </w:r>
      <w:proofErr w:type="spellEnd"/>
      <w:r w:rsidRPr="00846551">
        <w:rPr>
          <w:rFonts w:asciiTheme="minorBidi" w:hAnsiTheme="minorBidi"/>
        </w:rPr>
        <w:t>://doi.org/10.1186/s12939-023-01841-6.</w:t>
      </w:r>
    </w:p>
    <w:p w14:paraId="0E453F4C"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Robertson, R., Williams, E., Buck, D. and Breckwoldt, J. (2021). </w:t>
      </w:r>
      <w:r w:rsidRPr="00846551">
        <w:rPr>
          <w:rFonts w:asciiTheme="minorBidi" w:hAnsiTheme="minorBidi"/>
          <w:i/>
          <w:iCs/>
        </w:rPr>
        <w:t>Ethnic health inequalities and the NHS Driving progress in a changing system</w:t>
      </w:r>
      <w:r w:rsidRPr="00846551">
        <w:rPr>
          <w:rFonts w:asciiTheme="minorBidi" w:hAnsiTheme="minorBidi"/>
        </w:rPr>
        <w:t>. [online] Available at: https://www.nhsrho.org/wp-content/uploads/2023/05/Ethnic-Health-Inequalities-Kings-Fund-Report.pdf.</w:t>
      </w:r>
    </w:p>
    <w:p w14:paraId="119A00D5"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Salvador-</w:t>
      </w:r>
      <w:proofErr w:type="spellStart"/>
      <w:r w:rsidRPr="00846551">
        <w:rPr>
          <w:rFonts w:asciiTheme="minorBidi" w:hAnsiTheme="minorBidi" w:cstheme="minorBidi"/>
          <w:sz w:val="22"/>
          <w:szCs w:val="22"/>
        </w:rPr>
        <w:t>Oliván</w:t>
      </w:r>
      <w:proofErr w:type="spellEnd"/>
      <w:r w:rsidRPr="00846551">
        <w:rPr>
          <w:rFonts w:asciiTheme="minorBidi" w:hAnsiTheme="minorBidi" w:cstheme="minorBidi"/>
          <w:sz w:val="22"/>
          <w:szCs w:val="22"/>
        </w:rPr>
        <w:t xml:space="preserve">, J.A., Marco-Cuenca, G. and Arquero-Avilés, R. (2021). Development of an efficient search filter to retrieve systematic reviews from PubMed. </w:t>
      </w:r>
      <w:r w:rsidRPr="00846551">
        <w:rPr>
          <w:rFonts w:asciiTheme="minorBidi" w:hAnsiTheme="minorBidi" w:cstheme="minorBidi"/>
          <w:i/>
          <w:iCs/>
          <w:sz w:val="22"/>
          <w:szCs w:val="22"/>
        </w:rPr>
        <w:t>Journal of the Medical Library Association</w:t>
      </w:r>
      <w:r w:rsidRPr="00846551">
        <w:rPr>
          <w:rFonts w:asciiTheme="minorBidi" w:hAnsiTheme="minorBidi" w:cstheme="minorBidi"/>
          <w:sz w:val="22"/>
          <w:szCs w:val="22"/>
        </w:rPr>
        <w:t xml:space="preserve">, [online] 109(4).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://doi.org/10.5195/jmla.2021.1223.</w:t>
      </w:r>
    </w:p>
    <w:p w14:paraId="5C1EA406"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lastRenderedPageBreak/>
        <w:t xml:space="preserve">Salway, S., Mir, G., Turner, D., Ellison, G.T.H., Carter, L. and Gerrish, K. (2016). Obstacles to ‘race Equality’ in the English National Health Service: Insights from the Healthcare Commissioning Arena. </w:t>
      </w:r>
      <w:r w:rsidRPr="00846551">
        <w:rPr>
          <w:rFonts w:asciiTheme="minorBidi" w:hAnsiTheme="minorBidi"/>
          <w:i/>
          <w:iCs/>
        </w:rPr>
        <w:t>Social Science &amp; Medicine</w:t>
      </w:r>
      <w:r w:rsidRPr="00846551">
        <w:rPr>
          <w:rFonts w:asciiTheme="minorBidi" w:hAnsiTheme="minorBidi"/>
        </w:rPr>
        <w:t xml:space="preserve">, [online] 152(152), pp.102–110. </w:t>
      </w:r>
      <w:proofErr w:type="spellStart"/>
      <w:r w:rsidRPr="00846551">
        <w:rPr>
          <w:rFonts w:asciiTheme="minorBidi" w:hAnsiTheme="minorBidi"/>
        </w:rPr>
        <w:t>doi:https</w:t>
      </w:r>
      <w:proofErr w:type="spellEnd"/>
      <w:r w:rsidRPr="00846551">
        <w:rPr>
          <w:rFonts w:asciiTheme="minorBidi" w:hAnsiTheme="minorBidi"/>
        </w:rPr>
        <w:t>://doi.org/10.1016/j.socscimed.2016.01.031.</w:t>
      </w:r>
    </w:p>
    <w:p w14:paraId="1E87604F"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Sanhueza-Morales, T., Michaelsen, S., Touati, N. and Barrio, L.R. del (2025). Barriers in accessing intimate partner violence services: Intersecting views of immigrant and minority ethnic survivors and community organization workers. </w:t>
      </w:r>
      <w:r w:rsidRPr="00846551">
        <w:rPr>
          <w:rFonts w:asciiTheme="minorBidi" w:hAnsiTheme="minorBidi" w:cstheme="minorBidi"/>
          <w:i/>
          <w:iCs/>
          <w:sz w:val="22"/>
          <w:szCs w:val="22"/>
        </w:rPr>
        <w:t>Women’s Health</w:t>
      </w:r>
      <w:r w:rsidRPr="00846551">
        <w:rPr>
          <w:rFonts w:asciiTheme="minorBidi" w:hAnsiTheme="minorBidi" w:cstheme="minorBidi"/>
          <w:sz w:val="22"/>
          <w:szCs w:val="22"/>
        </w:rPr>
        <w:t xml:space="preserve">, 21.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://doi.org/10.1177/17455057251323091.</w:t>
      </w:r>
    </w:p>
    <w:p w14:paraId="4A868047"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Scharf, A. (2021). What Should Clinicians Do When a Patient’s Autonomy Undermines Her Being Treated Equitably? </w:t>
      </w:r>
      <w:r w:rsidRPr="00846551">
        <w:rPr>
          <w:rFonts w:asciiTheme="minorBidi" w:hAnsiTheme="minorBidi" w:cstheme="minorBidi"/>
          <w:i/>
          <w:iCs/>
          <w:sz w:val="22"/>
          <w:szCs w:val="22"/>
        </w:rPr>
        <w:t>AMA Journal of Ethics</w:t>
      </w:r>
      <w:r w:rsidRPr="00846551">
        <w:rPr>
          <w:rFonts w:asciiTheme="minorBidi" w:hAnsiTheme="minorBidi" w:cstheme="minorBidi"/>
          <w:sz w:val="22"/>
          <w:szCs w:val="22"/>
        </w:rPr>
        <w:t xml:space="preserve">, 23(2), pp.E97-108.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://doi.org/10.1001/amajethics.2021.97.</w:t>
      </w:r>
    </w:p>
    <w:p w14:paraId="24F40BDF"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Shukla, M., Schilt-Solberg, M. and Gibson-Scipio, W. (2025). Medical Mistrust: A Concept Analysis. </w:t>
      </w:r>
      <w:r w:rsidRPr="00846551">
        <w:rPr>
          <w:rFonts w:asciiTheme="minorBidi" w:hAnsiTheme="minorBidi" w:cstheme="minorBidi"/>
          <w:i/>
          <w:iCs/>
          <w:sz w:val="22"/>
          <w:szCs w:val="22"/>
        </w:rPr>
        <w:t>Nursing Reports</w:t>
      </w:r>
      <w:r w:rsidRPr="00846551">
        <w:rPr>
          <w:rFonts w:asciiTheme="minorBidi" w:hAnsiTheme="minorBidi" w:cstheme="minorBidi"/>
          <w:sz w:val="22"/>
          <w:szCs w:val="22"/>
        </w:rPr>
        <w:t xml:space="preserve">, [online] 15(3), pp.103–103.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://doi.org/10.3390/nursrep15030103.</w:t>
      </w:r>
    </w:p>
    <w:p w14:paraId="417828F4"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Stubbe, D. (2020). Practicing cultural competence and cultural humility in the care of diverse patients. </w:t>
      </w:r>
      <w:r w:rsidRPr="00846551">
        <w:rPr>
          <w:rFonts w:asciiTheme="minorBidi" w:hAnsiTheme="minorBidi"/>
          <w:i/>
          <w:iCs/>
        </w:rPr>
        <w:t>Focus</w:t>
      </w:r>
      <w:r w:rsidRPr="00846551">
        <w:rPr>
          <w:rFonts w:asciiTheme="minorBidi" w:hAnsiTheme="minorBidi"/>
        </w:rPr>
        <w:t xml:space="preserve">, [online] 18(1), pp.49–51. </w:t>
      </w:r>
      <w:proofErr w:type="spellStart"/>
      <w:r w:rsidRPr="00846551">
        <w:rPr>
          <w:rFonts w:asciiTheme="minorBidi" w:hAnsiTheme="minorBidi"/>
        </w:rPr>
        <w:t>doi:https</w:t>
      </w:r>
      <w:proofErr w:type="spellEnd"/>
      <w:r w:rsidRPr="00846551">
        <w:rPr>
          <w:rFonts w:asciiTheme="minorBidi" w:hAnsiTheme="minorBidi"/>
        </w:rPr>
        <w:t>://doi.org/10.1176/appi.focus.20190041.</w:t>
      </w:r>
    </w:p>
    <w:p w14:paraId="39C7E24C"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Summers, H. (2021). </w:t>
      </w:r>
      <w:r w:rsidRPr="00846551">
        <w:rPr>
          <w:rFonts w:asciiTheme="minorBidi" w:hAnsiTheme="minorBidi" w:cstheme="minorBidi"/>
          <w:i/>
          <w:iCs/>
          <w:sz w:val="22"/>
          <w:szCs w:val="22"/>
        </w:rPr>
        <w:t>Black women in the UK four times more likely to die in pregnancy or childbirth</w:t>
      </w:r>
      <w:r w:rsidRPr="00846551">
        <w:rPr>
          <w:rFonts w:asciiTheme="minorBidi" w:hAnsiTheme="minorBidi" w:cstheme="minorBidi"/>
          <w:sz w:val="22"/>
          <w:szCs w:val="22"/>
        </w:rPr>
        <w:t>. [online] the Guardian. Available at: https://www.theguardian.com/global-development/2021/jan/15/black-women-in-the-uk-four-times-more-likely-to-die-in-pregnancy-or-childbirth.</w:t>
      </w:r>
    </w:p>
    <w:p w14:paraId="4441464A"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Swihart, D.L., Martin, R.L. and </w:t>
      </w:r>
      <w:proofErr w:type="spellStart"/>
      <w:r w:rsidRPr="00846551">
        <w:rPr>
          <w:rFonts w:asciiTheme="minorBidi" w:hAnsiTheme="minorBidi"/>
        </w:rPr>
        <w:t>Yarrarapu</w:t>
      </w:r>
      <w:proofErr w:type="spellEnd"/>
      <w:r w:rsidRPr="00846551">
        <w:rPr>
          <w:rFonts w:asciiTheme="minorBidi" w:hAnsiTheme="minorBidi"/>
        </w:rPr>
        <w:t xml:space="preserve">, S.N.S. (2023). </w:t>
      </w:r>
      <w:r w:rsidRPr="00846551">
        <w:rPr>
          <w:rFonts w:asciiTheme="minorBidi" w:hAnsiTheme="minorBidi"/>
          <w:i/>
          <w:iCs/>
        </w:rPr>
        <w:t>Cultural religious competence in clinical practice</w:t>
      </w:r>
      <w:r w:rsidRPr="00846551">
        <w:rPr>
          <w:rFonts w:asciiTheme="minorBidi" w:hAnsiTheme="minorBidi"/>
        </w:rPr>
        <w:t>. [online] National Library of Medicine. Available at: https://www.ncbi.nlm.nih.gov/books/NBK493216/.</w:t>
      </w:r>
    </w:p>
    <w:p w14:paraId="17326611"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Taylan, C. and Weber, L.T. (2022). ‘Don’t Let Me Be misunderstood’: Communication with Patients from a Different Cultural Background. </w:t>
      </w:r>
      <w:proofErr w:type="spellStart"/>
      <w:r w:rsidRPr="00846551">
        <w:rPr>
          <w:rFonts w:asciiTheme="minorBidi" w:hAnsiTheme="minorBidi"/>
          <w:i/>
          <w:iCs/>
        </w:rPr>
        <w:t>Pediatric</w:t>
      </w:r>
      <w:proofErr w:type="spellEnd"/>
      <w:r w:rsidRPr="00846551">
        <w:rPr>
          <w:rFonts w:asciiTheme="minorBidi" w:hAnsiTheme="minorBidi"/>
          <w:i/>
          <w:iCs/>
        </w:rPr>
        <w:t xml:space="preserve"> Nephrology</w:t>
      </w:r>
      <w:r w:rsidRPr="00846551">
        <w:rPr>
          <w:rFonts w:asciiTheme="minorBidi" w:hAnsiTheme="minorBidi"/>
        </w:rPr>
        <w:t xml:space="preserve">, [online] 38(3), pp.643–649. </w:t>
      </w:r>
      <w:proofErr w:type="spellStart"/>
      <w:r w:rsidRPr="00846551">
        <w:rPr>
          <w:rFonts w:asciiTheme="minorBidi" w:hAnsiTheme="minorBidi"/>
        </w:rPr>
        <w:t>doi:https</w:t>
      </w:r>
      <w:proofErr w:type="spellEnd"/>
      <w:r w:rsidRPr="00846551">
        <w:rPr>
          <w:rFonts w:asciiTheme="minorBidi" w:hAnsiTheme="minorBidi"/>
        </w:rPr>
        <w:t>://doi.org/10.1007/s00467-022-05573-7.</w:t>
      </w:r>
    </w:p>
    <w:p w14:paraId="03826435"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The Independent (2023). </w:t>
      </w:r>
      <w:r w:rsidRPr="00846551">
        <w:rPr>
          <w:rFonts w:asciiTheme="minorBidi" w:hAnsiTheme="minorBidi" w:cstheme="minorBidi"/>
          <w:i/>
          <w:iCs/>
          <w:sz w:val="22"/>
          <w:szCs w:val="22"/>
        </w:rPr>
        <w:t>NHS warned over writing to patients in English after child dies</w:t>
      </w:r>
      <w:r w:rsidRPr="00846551">
        <w:rPr>
          <w:rFonts w:asciiTheme="minorBidi" w:hAnsiTheme="minorBidi" w:cstheme="minorBidi"/>
          <w:sz w:val="22"/>
          <w:szCs w:val="22"/>
        </w:rPr>
        <w:t>. [online] The Independent. Available at: https://www.independent.co.uk/news/health/child-dies-romanian-nhs-english-b2327321.html.</w:t>
      </w:r>
    </w:p>
    <w:p w14:paraId="3C4B0A6A"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lastRenderedPageBreak/>
        <w:t xml:space="preserve">Thomas, T. (2025). </w:t>
      </w:r>
      <w:r w:rsidRPr="00846551">
        <w:rPr>
          <w:rFonts w:asciiTheme="minorBidi" w:hAnsiTheme="minorBidi" w:cstheme="minorBidi"/>
          <w:i/>
          <w:iCs/>
          <w:sz w:val="22"/>
          <w:szCs w:val="22"/>
        </w:rPr>
        <w:t>One in three across UK are overdue for cervical cancer screening</w:t>
      </w:r>
      <w:r w:rsidRPr="00846551">
        <w:rPr>
          <w:rFonts w:asciiTheme="minorBidi" w:hAnsiTheme="minorBidi" w:cstheme="minorBidi"/>
          <w:sz w:val="22"/>
          <w:szCs w:val="22"/>
        </w:rPr>
        <w:t>. [online] the Guardian. Available at: https://www.theguardian.com/society/2025/jun/20/third-overdue-cervical-cancer-screening-uk.</w:t>
      </w:r>
    </w:p>
    <w:p w14:paraId="25DB511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Thomas, T., Health, T.T. and correspondent, inequalities (2024). Black mothers twice as likely as white mothers to be hospitalised with perinatal mental illness. </w:t>
      </w:r>
      <w:r w:rsidRPr="00846551">
        <w:rPr>
          <w:rFonts w:asciiTheme="minorBidi" w:hAnsiTheme="minorBidi" w:cstheme="minorBidi"/>
          <w:i/>
          <w:iCs/>
          <w:sz w:val="22"/>
          <w:szCs w:val="22"/>
        </w:rPr>
        <w:t>The Guardian</w:t>
      </w:r>
      <w:r w:rsidRPr="00846551">
        <w:rPr>
          <w:rFonts w:asciiTheme="minorBidi" w:hAnsiTheme="minorBidi" w:cstheme="minorBidi"/>
          <w:sz w:val="22"/>
          <w:szCs w:val="22"/>
        </w:rPr>
        <w:t>. [online] 6 May. Available at: https://www.theguardian.com/world/article/2024/may/06/black-mothers-twice-likely-white-hospitalised-perinatal-mental-illness.</w:t>
      </w:r>
    </w:p>
    <w:p w14:paraId="69C284E4"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Twersky, S.E., Jefferson, R., Garcia-Ortiz, L., Williams, E. and Pina, C. (2024). The Impact of Limited English Proficiency on Healthcare Access and Outcomes in the U.S.: a Scoping Review. </w:t>
      </w:r>
      <w:r w:rsidRPr="00846551">
        <w:rPr>
          <w:rFonts w:asciiTheme="minorBidi" w:hAnsiTheme="minorBidi" w:cstheme="minorBidi"/>
          <w:i/>
          <w:iCs/>
          <w:sz w:val="22"/>
          <w:szCs w:val="22"/>
        </w:rPr>
        <w:t>Healthcare</w:t>
      </w:r>
      <w:r w:rsidRPr="00846551">
        <w:rPr>
          <w:rFonts w:asciiTheme="minorBidi" w:hAnsiTheme="minorBidi" w:cstheme="minorBidi"/>
          <w:sz w:val="22"/>
          <w:szCs w:val="22"/>
        </w:rPr>
        <w:t xml:space="preserve">, [online] 12(3), pp.364–364.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://doi.org/10.3390/healthcare12030364.</w:t>
      </w:r>
    </w:p>
    <w:p w14:paraId="66711F1A"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Uğrak</w:t>
      </w:r>
      <w:proofErr w:type="spellEnd"/>
      <w:r w:rsidRPr="00846551">
        <w:rPr>
          <w:rFonts w:asciiTheme="minorBidi" w:hAnsiTheme="minorBidi" w:cstheme="minorBidi"/>
          <w:sz w:val="22"/>
          <w:szCs w:val="22"/>
        </w:rPr>
        <w:t xml:space="preserve">, U., Aksungur, A., Akyüz, S., Harika Şen and Fırat Seyhan (2025). Understanding the rise of vaccine refusal: perceptions, fears, and influences. </w:t>
      </w:r>
      <w:r w:rsidRPr="00846551">
        <w:rPr>
          <w:rFonts w:asciiTheme="minorBidi" w:hAnsiTheme="minorBidi" w:cstheme="minorBidi"/>
          <w:i/>
          <w:iCs/>
          <w:sz w:val="22"/>
          <w:szCs w:val="22"/>
        </w:rPr>
        <w:t>BMC Public Health</w:t>
      </w:r>
      <w:r w:rsidRPr="00846551">
        <w:rPr>
          <w:rFonts w:asciiTheme="minorBidi" w:hAnsiTheme="minorBidi" w:cstheme="minorBidi"/>
          <w:sz w:val="22"/>
          <w:szCs w:val="22"/>
        </w:rPr>
        <w:t xml:space="preserve">, [online] 25(1), pp.2574–2574.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://doi.org/10.1186/s12889-025-23754-5.</w:t>
      </w:r>
    </w:p>
    <w:p w14:paraId="1CC32774"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UK Parliament (2025). </w:t>
      </w:r>
      <w:r w:rsidRPr="00846551">
        <w:rPr>
          <w:rFonts w:asciiTheme="minorBidi" w:hAnsiTheme="minorBidi"/>
          <w:i/>
          <w:iCs/>
        </w:rPr>
        <w:t>Inequalities In Health - Hansard - UK Parliament</w:t>
      </w:r>
      <w:r w:rsidRPr="00846551">
        <w:rPr>
          <w:rFonts w:asciiTheme="minorBidi" w:hAnsiTheme="minorBidi"/>
        </w:rPr>
        <w:t>. [online] Parliament.uk. Available at: https://hansard.parliament.uk/commons/1982-12-06/debates/390004b6-a56b-4361-b8ac-28501084066c/InequalitiesInHealth.</w:t>
      </w:r>
    </w:p>
    <w:p w14:paraId="05CD3C0D"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UPD (2026). </w:t>
      </w:r>
      <w:r w:rsidRPr="00846551">
        <w:rPr>
          <w:rFonts w:asciiTheme="minorBidi" w:hAnsiTheme="minorBidi"/>
          <w:i/>
          <w:iCs/>
        </w:rPr>
        <w:t>Closing gaps in patient data for Black and South Asian communities WHAT IT MEANS TO BE SEEN: December 2022 2</w:t>
      </w:r>
      <w:r w:rsidRPr="00846551">
        <w:rPr>
          <w:rFonts w:asciiTheme="minorBidi" w:hAnsiTheme="minorBidi"/>
        </w:rPr>
        <w:t>. [online] Available at: https://www.understandingpatientdata.org.uk/sites/default/files/2023-02/Closing%20gaps%20in%20patient%20data%20for%20Black%20and%20South%20Asian%20communities.pdf.</w:t>
      </w:r>
    </w:p>
    <w:p w14:paraId="2D8566F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Utoronto</w:t>
      </w:r>
      <w:proofErr w:type="spellEnd"/>
      <w:r w:rsidRPr="00846551">
        <w:rPr>
          <w:rFonts w:asciiTheme="minorBidi" w:hAnsiTheme="minorBidi" w:cstheme="minorBidi"/>
          <w:sz w:val="22"/>
          <w:szCs w:val="22"/>
        </w:rPr>
        <w:t xml:space="preserve"> (2026). </w:t>
      </w:r>
      <w:r w:rsidRPr="00846551">
        <w:rPr>
          <w:rFonts w:asciiTheme="minorBidi" w:hAnsiTheme="minorBidi" w:cstheme="minorBidi"/>
          <w:i/>
          <w:iCs/>
          <w:sz w:val="22"/>
          <w:szCs w:val="22"/>
        </w:rPr>
        <w:t>Library FAQ | University of Toronto Libraries</w:t>
      </w:r>
      <w:r w:rsidRPr="00846551">
        <w:rPr>
          <w:rFonts w:asciiTheme="minorBidi" w:hAnsiTheme="minorBidi" w:cstheme="minorBidi"/>
          <w:sz w:val="22"/>
          <w:szCs w:val="22"/>
        </w:rPr>
        <w:t>. [online] Utoronto.ca. Available at: https://faq.library.utoronto.ca/faq/what-are-boolean-operators-how-can-i-use-them-improve-my-searches [Accessed 11 Jun. 2026].</w:t>
      </w:r>
    </w:p>
    <w:p w14:paraId="71CBB398"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Van Kampen, K. (2023). </w:t>
      </w:r>
      <w:r w:rsidRPr="00846551">
        <w:rPr>
          <w:rFonts w:asciiTheme="minorBidi" w:hAnsiTheme="minorBidi" w:cstheme="minorBidi"/>
          <w:i/>
          <w:iCs/>
          <w:sz w:val="22"/>
          <w:szCs w:val="22"/>
        </w:rPr>
        <w:t>Library guides: Evaluating resources and misinformation: CRAAP test</w:t>
      </w:r>
      <w:r w:rsidRPr="00846551">
        <w:rPr>
          <w:rFonts w:asciiTheme="minorBidi" w:hAnsiTheme="minorBidi" w:cstheme="minorBidi"/>
          <w:sz w:val="22"/>
          <w:szCs w:val="22"/>
        </w:rPr>
        <w:t>. [online] UChicago Library. Available at: https://guides.lib.uchicago.edu/c.php?g=1241077&amp;p=9082343.</w:t>
      </w:r>
    </w:p>
    <w:p w14:paraId="2EB5D252"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Vandecasteele, R., Robijn, L., Willems, S., De </w:t>
      </w:r>
      <w:proofErr w:type="spellStart"/>
      <w:r w:rsidRPr="00846551">
        <w:rPr>
          <w:rFonts w:asciiTheme="minorBidi" w:hAnsiTheme="minorBidi" w:cstheme="minorBidi"/>
          <w:sz w:val="22"/>
          <w:szCs w:val="22"/>
        </w:rPr>
        <w:t>Maesschalck</w:t>
      </w:r>
      <w:proofErr w:type="spellEnd"/>
      <w:r w:rsidRPr="00846551">
        <w:rPr>
          <w:rFonts w:asciiTheme="minorBidi" w:hAnsiTheme="minorBidi" w:cstheme="minorBidi"/>
          <w:sz w:val="22"/>
          <w:szCs w:val="22"/>
        </w:rPr>
        <w:t xml:space="preserve">, S. and Stevens, P.A.J. (2024). Barriers and Facilitators to Culturally Sensitive Care in General practice: a Reflexive Thematic Analysis. </w:t>
      </w:r>
      <w:r w:rsidRPr="00846551">
        <w:rPr>
          <w:rFonts w:asciiTheme="minorBidi" w:hAnsiTheme="minorBidi" w:cstheme="minorBidi"/>
          <w:i/>
          <w:iCs/>
          <w:sz w:val="22"/>
          <w:szCs w:val="22"/>
        </w:rPr>
        <w:t>BMC Primary Care</w:t>
      </w:r>
      <w:r w:rsidRPr="00846551">
        <w:rPr>
          <w:rFonts w:asciiTheme="minorBidi" w:hAnsiTheme="minorBidi" w:cstheme="minorBidi"/>
          <w:sz w:val="22"/>
          <w:szCs w:val="22"/>
        </w:rPr>
        <w:t xml:space="preserve">, 25(1).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://doi.org/10.1186/s12875-024-02630-y.</w:t>
      </w:r>
    </w:p>
    <w:p w14:paraId="10525042"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lastRenderedPageBreak/>
        <w:t xml:space="preserve">Vilar-Lluch, S., </w:t>
      </w:r>
      <w:proofErr w:type="spellStart"/>
      <w:r w:rsidRPr="00846551">
        <w:rPr>
          <w:rFonts w:asciiTheme="minorBidi" w:hAnsiTheme="minorBidi"/>
        </w:rPr>
        <w:t>McClaughlin</w:t>
      </w:r>
      <w:proofErr w:type="spellEnd"/>
      <w:r w:rsidRPr="00846551">
        <w:rPr>
          <w:rFonts w:asciiTheme="minorBidi" w:hAnsiTheme="minorBidi"/>
        </w:rPr>
        <w:t xml:space="preserve">, E., Knight, D., Adolphs, S. and Nichele, E. (2023). The language of vaccination campaigns during COVID-19. </w:t>
      </w:r>
      <w:r w:rsidRPr="00846551">
        <w:rPr>
          <w:rFonts w:asciiTheme="minorBidi" w:hAnsiTheme="minorBidi"/>
          <w:i/>
          <w:iCs/>
        </w:rPr>
        <w:t>Medical Humanities</w:t>
      </w:r>
      <w:r w:rsidRPr="00846551">
        <w:rPr>
          <w:rFonts w:asciiTheme="minorBidi" w:hAnsiTheme="minorBidi"/>
        </w:rPr>
        <w:t xml:space="preserve">, [online] 49(3). </w:t>
      </w:r>
      <w:proofErr w:type="spellStart"/>
      <w:r w:rsidRPr="00846551">
        <w:rPr>
          <w:rFonts w:asciiTheme="minorBidi" w:hAnsiTheme="minorBidi"/>
        </w:rPr>
        <w:t>doi:https</w:t>
      </w:r>
      <w:proofErr w:type="spellEnd"/>
      <w:r w:rsidRPr="00846551">
        <w:rPr>
          <w:rFonts w:asciiTheme="minorBidi" w:hAnsiTheme="minorBidi"/>
        </w:rPr>
        <w:t>://doi.org/10.1136/medhum-2022-012583.</w:t>
      </w:r>
    </w:p>
    <w:p w14:paraId="40DDBDDB"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Vrtikapa</w:t>
      </w:r>
      <w:proofErr w:type="spellEnd"/>
      <w:r w:rsidRPr="00846551">
        <w:rPr>
          <w:rFonts w:asciiTheme="minorBidi" w:hAnsiTheme="minorBidi" w:cstheme="minorBidi"/>
          <w:sz w:val="22"/>
          <w:szCs w:val="22"/>
        </w:rPr>
        <w:t xml:space="preserve">, K., </w:t>
      </w:r>
      <w:proofErr w:type="spellStart"/>
      <w:r w:rsidRPr="00846551">
        <w:rPr>
          <w:rFonts w:asciiTheme="minorBidi" w:hAnsiTheme="minorBidi" w:cstheme="minorBidi"/>
          <w:sz w:val="22"/>
          <w:szCs w:val="22"/>
        </w:rPr>
        <w:t>Urmy</w:t>
      </w:r>
      <w:proofErr w:type="spellEnd"/>
      <w:r w:rsidRPr="00846551">
        <w:rPr>
          <w:rFonts w:asciiTheme="minorBidi" w:hAnsiTheme="minorBidi" w:cstheme="minorBidi"/>
          <w:sz w:val="22"/>
          <w:szCs w:val="22"/>
        </w:rPr>
        <w:t xml:space="preserve">, F.H. and Hoque, F. (2025). Social Determinants of Health: The Impact of This Overlooked Vital Sign. </w:t>
      </w:r>
      <w:r w:rsidRPr="00846551">
        <w:rPr>
          <w:rFonts w:asciiTheme="minorBidi" w:hAnsiTheme="minorBidi" w:cstheme="minorBidi"/>
          <w:i/>
          <w:iCs/>
          <w:sz w:val="22"/>
          <w:szCs w:val="22"/>
        </w:rPr>
        <w:t>Journal of Brown Hospital Medicine</w:t>
      </w:r>
      <w:r w:rsidRPr="00846551">
        <w:rPr>
          <w:rFonts w:asciiTheme="minorBidi" w:hAnsiTheme="minorBidi" w:cstheme="minorBidi"/>
          <w:sz w:val="22"/>
          <w:szCs w:val="22"/>
        </w:rPr>
        <w:t xml:space="preserve">, [online] 4(3).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://doi.org/10.56305/001c.138072.</w:t>
      </w:r>
    </w:p>
    <w:p w14:paraId="15C95826"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Wæraas</w:t>
      </w:r>
      <w:proofErr w:type="spellEnd"/>
      <w:r w:rsidRPr="00846551">
        <w:rPr>
          <w:rFonts w:asciiTheme="minorBidi" w:hAnsiTheme="minorBidi" w:cstheme="minorBidi"/>
          <w:sz w:val="22"/>
          <w:szCs w:val="22"/>
        </w:rPr>
        <w:t xml:space="preserve">, A. (2022). Thematic Analysis: Making Values Emerge from Texts. </w:t>
      </w:r>
      <w:r w:rsidRPr="00846551">
        <w:rPr>
          <w:rFonts w:asciiTheme="minorBidi" w:hAnsiTheme="minorBidi" w:cstheme="minorBidi"/>
          <w:i/>
          <w:iCs/>
          <w:sz w:val="22"/>
          <w:szCs w:val="22"/>
        </w:rPr>
        <w:t>Researching Values</w:t>
      </w:r>
      <w:r w:rsidRPr="00846551">
        <w:rPr>
          <w:rFonts w:asciiTheme="minorBidi" w:hAnsiTheme="minorBidi" w:cstheme="minorBidi"/>
          <w:sz w:val="22"/>
          <w:szCs w:val="22"/>
        </w:rPr>
        <w:t xml:space="preserve">, [online] pp.153–170.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://doi.org/10.1007/978-3-030-90769-3_9.</w:t>
      </w:r>
    </w:p>
    <w:p w14:paraId="68475842"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WHO (2025). </w:t>
      </w:r>
      <w:r w:rsidRPr="00846551">
        <w:rPr>
          <w:rFonts w:asciiTheme="minorBidi" w:hAnsiTheme="minorBidi"/>
          <w:i/>
          <w:iCs/>
        </w:rPr>
        <w:t>Social determinants of health</w:t>
      </w:r>
      <w:r w:rsidRPr="00846551">
        <w:rPr>
          <w:rFonts w:asciiTheme="minorBidi" w:hAnsiTheme="minorBidi"/>
        </w:rPr>
        <w:t>. [online] World Health Organisation. Available at: https://www.who.int/news-room/fact-sheets/detail/social-determinants-of-health.</w:t>
      </w:r>
    </w:p>
    <w:p w14:paraId="1411CD7F"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Yardley, E. (2024). </w:t>
      </w:r>
      <w:r w:rsidRPr="00846551">
        <w:rPr>
          <w:rFonts w:asciiTheme="minorBidi" w:hAnsiTheme="minorBidi" w:cstheme="minorBidi"/>
          <w:i/>
          <w:iCs/>
          <w:sz w:val="22"/>
          <w:szCs w:val="22"/>
        </w:rPr>
        <w:t>Braun and Clarke Thematic Analysis - How to Do the six-step Process in Your Qualitative Research Project</w:t>
      </w:r>
      <w:r w:rsidRPr="00846551">
        <w:rPr>
          <w:rFonts w:asciiTheme="minorBidi" w:hAnsiTheme="minorBidi" w:cstheme="minorBidi"/>
          <w:sz w:val="22"/>
          <w:szCs w:val="22"/>
        </w:rPr>
        <w:t>. [online] Degree Doctor. Available at: https://www.thedegreedoctor.com/blog/braun-and-clarke-thematic-analysis-how-to-do-the-six-step-process-in-your-qualitative-research-project.</w:t>
      </w:r>
    </w:p>
    <w:p w14:paraId="0A053BBC"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proofErr w:type="spellStart"/>
      <w:r w:rsidRPr="00846551">
        <w:rPr>
          <w:rFonts w:asciiTheme="minorBidi" w:hAnsiTheme="minorBidi" w:cstheme="minorBidi"/>
          <w:sz w:val="22"/>
          <w:szCs w:val="22"/>
        </w:rPr>
        <w:t>Yargawa</w:t>
      </w:r>
      <w:proofErr w:type="spellEnd"/>
      <w:r w:rsidRPr="00846551">
        <w:rPr>
          <w:rFonts w:asciiTheme="minorBidi" w:hAnsiTheme="minorBidi" w:cstheme="minorBidi"/>
          <w:sz w:val="22"/>
          <w:szCs w:val="22"/>
        </w:rPr>
        <w:t xml:space="preserve">, J., </w:t>
      </w:r>
      <w:proofErr w:type="spellStart"/>
      <w:r w:rsidRPr="00846551">
        <w:rPr>
          <w:rFonts w:asciiTheme="minorBidi" w:hAnsiTheme="minorBidi" w:cstheme="minorBidi"/>
          <w:sz w:val="22"/>
          <w:szCs w:val="22"/>
        </w:rPr>
        <w:t>Vindrola-Padros</w:t>
      </w:r>
      <w:proofErr w:type="spellEnd"/>
      <w:r w:rsidRPr="00846551">
        <w:rPr>
          <w:rFonts w:asciiTheme="minorBidi" w:hAnsiTheme="minorBidi" w:cstheme="minorBidi"/>
          <w:sz w:val="22"/>
          <w:szCs w:val="22"/>
        </w:rPr>
        <w:t xml:space="preserve">, C., Whitaker, K.L., Hieke, G., Gill, P., Williams, E.D., Islam, L., Braun, S. and Black, G.B. (2026). Delivery of interpreting services in UK primary care by population needs: a multisite case study. </w:t>
      </w:r>
      <w:r w:rsidRPr="00846551">
        <w:rPr>
          <w:rFonts w:asciiTheme="minorBidi" w:hAnsiTheme="minorBidi" w:cstheme="minorBidi"/>
          <w:i/>
          <w:iCs/>
          <w:sz w:val="22"/>
          <w:szCs w:val="22"/>
        </w:rPr>
        <w:t>BMJ Public Health</w:t>
      </w:r>
      <w:r w:rsidRPr="00846551">
        <w:rPr>
          <w:rFonts w:asciiTheme="minorBidi" w:hAnsiTheme="minorBidi" w:cstheme="minorBidi"/>
          <w:sz w:val="22"/>
          <w:szCs w:val="22"/>
        </w:rPr>
        <w:t xml:space="preserve">, [online] 4(1), p.e003454.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://doi.org/10.1136/bmjph-2025-003454.</w:t>
      </w:r>
    </w:p>
    <w:p w14:paraId="05D1506D" w14:textId="77777777" w:rsidR="002D0DEC" w:rsidRPr="00846551" w:rsidRDefault="002D0DEC" w:rsidP="00846551">
      <w:pPr>
        <w:spacing w:before="240" w:after="240"/>
        <w:jc w:val="left"/>
        <w:rPr>
          <w:rFonts w:asciiTheme="minorBidi" w:hAnsiTheme="minorBidi"/>
        </w:rPr>
      </w:pPr>
      <w:r w:rsidRPr="00846551">
        <w:rPr>
          <w:rFonts w:asciiTheme="minorBidi" w:hAnsiTheme="minorBidi"/>
        </w:rPr>
        <w:t xml:space="preserve">Yeager, K.A. and Bauer-Wu, S. (2013). Cultural humility: Essential Foundation for Clinical Researchers. </w:t>
      </w:r>
      <w:r w:rsidRPr="00846551">
        <w:rPr>
          <w:rFonts w:asciiTheme="minorBidi" w:hAnsiTheme="minorBidi"/>
          <w:i/>
          <w:iCs/>
        </w:rPr>
        <w:t>Applied Nursing Research</w:t>
      </w:r>
      <w:r w:rsidRPr="00846551">
        <w:rPr>
          <w:rFonts w:asciiTheme="minorBidi" w:hAnsiTheme="minorBidi"/>
        </w:rPr>
        <w:t xml:space="preserve">, [online] 26(4), pp.251–256. </w:t>
      </w:r>
      <w:proofErr w:type="spellStart"/>
      <w:r w:rsidRPr="00846551">
        <w:rPr>
          <w:rFonts w:asciiTheme="minorBidi" w:hAnsiTheme="minorBidi"/>
        </w:rPr>
        <w:t>doi:https</w:t>
      </w:r>
      <w:proofErr w:type="spellEnd"/>
      <w:r w:rsidRPr="00846551">
        <w:rPr>
          <w:rFonts w:asciiTheme="minorBidi" w:hAnsiTheme="minorBidi"/>
        </w:rPr>
        <w:t>://doi.org/10.1016/j.apnr.2013.06.008.</w:t>
      </w:r>
    </w:p>
    <w:p w14:paraId="4A0710C2" w14:textId="77777777" w:rsidR="002D0DEC" w:rsidRPr="00846551" w:rsidRDefault="002D0DEC" w:rsidP="00846551">
      <w:pPr>
        <w:spacing w:before="240" w:after="240"/>
        <w:jc w:val="left"/>
        <w:rPr>
          <w:rFonts w:asciiTheme="minorBidi" w:hAnsiTheme="minorBidi"/>
        </w:rPr>
      </w:pPr>
      <w:proofErr w:type="spellStart"/>
      <w:r w:rsidRPr="00846551">
        <w:rPr>
          <w:rFonts w:asciiTheme="minorBidi" w:hAnsiTheme="minorBidi"/>
        </w:rPr>
        <w:t>Zghal</w:t>
      </w:r>
      <w:proofErr w:type="spellEnd"/>
      <w:r w:rsidRPr="00846551">
        <w:rPr>
          <w:rFonts w:asciiTheme="minorBidi" w:hAnsiTheme="minorBidi"/>
        </w:rPr>
        <w:t xml:space="preserve">, A., El-Masri, M., McMurphy, S. and Pfaff, K. (2020). Exploring the Impact of Health Care Provider Cultural Competence on New Immigrant Health-Related Quality of Life: A Cross-Sectional Study of Canadian Newcomers. </w:t>
      </w:r>
      <w:r w:rsidRPr="00846551">
        <w:rPr>
          <w:rFonts w:asciiTheme="minorBidi" w:hAnsiTheme="minorBidi"/>
          <w:i/>
          <w:iCs/>
        </w:rPr>
        <w:t>Journal of Transcultural Nursing</w:t>
      </w:r>
      <w:r w:rsidRPr="00846551">
        <w:rPr>
          <w:rFonts w:asciiTheme="minorBidi" w:hAnsiTheme="minorBidi"/>
        </w:rPr>
        <w:t xml:space="preserve">, 32(5), p.104365962096744. </w:t>
      </w:r>
      <w:proofErr w:type="spellStart"/>
      <w:r w:rsidRPr="00846551">
        <w:rPr>
          <w:rFonts w:asciiTheme="minorBidi" w:hAnsiTheme="minorBidi"/>
        </w:rPr>
        <w:t>doi:https</w:t>
      </w:r>
      <w:proofErr w:type="spellEnd"/>
      <w:r w:rsidRPr="00846551">
        <w:rPr>
          <w:rFonts w:asciiTheme="minorBidi" w:hAnsiTheme="minorBidi"/>
        </w:rPr>
        <w:t>://doi.org/10.1177/1043659620967441.</w:t>
      </w:r>
    </w:p>
    <w:p w14:paraId="0C1AADEF" w14:textId="77777777" w:rsidR="002D0DEC" w:rsidRPr="00846551" w:rsidRDefault="002D0DEC" w:rsidP="00846551">
      <w:pPr>
        <w:pStyle w:val="NormalWeb"/>
        <w:spacing w:before="0" w:beforeAutospacing="0" w:after="240" w:afterAutospacing="0" w:line="360" w:lineRule="auto"/>
        <w:rPr>
          <w:rFonts w:asciiTheme="minorBidi" w:hAnsiTheme="minorBidi" w:cstheme="minorBidi"/>
          <w:sz w:val="22"/>
          <w:szCs w:val="22"/>
        </w:rPr>
      </w:pPr>
      <w:r w:rsidRPr="00846551">
        <w:rPr>
          <w:rFonts w:asciiTheme="minorBidi" w:hAnsiTheme="minorBidi" w:cstheme="minorBidi"/>
          <w:sz w:val="22"/>
          <w:szCs w:val="22"/>
        </w:rPr>
        <w:t xml:space="preserve">Zimmermann, A., Pilarska, A., </w:t>
      </w:r>
      <w:proofErr w:type="spellStart"/>
      <w:r w:rsidRPr="00846551">
        <w:rPr>
          <w:rFonts w:asciiTheme="minorBidi" w:hAnsiTheme="minorBidi" w:cstheme="minorBidi"/>
          <w:sz w:val="22"/>
          <w:szCs w:val="22"/>
        </w:rPr>
        <w:t>Gaworska</w:t>
      </w:r>
      <w:proofErr w:type="spellEnd"/>
      <w:r w:rsidRPr="00846551">
        <w:rPr>
          <w:rFonts w:asciiTheme="minorBidi" w:hAnsiTheme="minorBidi" w:cstheme="minorBidi"/>
          <w:sz w:val="22"/>
          <w:szCs w:val="22"/>
        </w:rPr>
        <w:t xml:space="preserve">-Krzemińska, A., </w:t>
      </w:r>
      <w:proofErr w:type="spellStart"/>
      <w:r w:rsidRPr="00846551">
        <w:rPr>
          <w:rFonts w:asciiTheme="minorBidi" w:hAnsiTheme="minorBidi" w:cstheme="minorBidi"/>
          <w:sz w:val="22"/>
          <w:szCs w:val="22"/>
        </w:rPr>
        <w:t>Jankau</w:t>
      </w:r>
      <w:proofErr w:type="spellEnd"/>
      <w:r w:rsidRPr="00846551">
        <w:rPr>
          <w:rFonts w:asciiTheme="minorBidi" w:hAnsiTheme="minorBidi" w:cstheme="minorBidi"/>
          <w:sz w:val="22"/>
          <w:szCs w:val="22"/>
        </w:rPr>
        <w:t xml:space="preserve">, J. and Cohen, M.N. (2021). Written Informed Consent—Translating into Plain Language. A Pilot Study. </w:t>
      </w:r>
      <w:r w:rsidRPr="00846551">
        <w:rPr>
          <w:rFonts w:asciiTheme="minorBidi" w:hAnsiTheme="minorBidi" w:cstheme="minorBidi"/>
          <w:i/>
          <w:iCs/>
          <w:sz w:val="22"/>
          <w:szCs w:val="22"/>
        </w:rPr>
        <w:t>Healthcare</w:t>
      </w:r>
      <w:r w:rsidRPr="00846551">
        <w:rPr>
          <w:rFonts w:asciiTheme="minorBidi" w:hAnsiTheme="minorBidi" w:cstheme="minorBidi"/>
          <w:sz w:val="22"/>
          <w:szCs w:val="22"/>
        </w:rPr>
        <w:t xml:space="preserve">, 9(2), p.232. </w:t>
      </w:r>
      <w:proofErr w:type="spellStart"/>
      <w:r w:rsidRPr="00846551">
        <w:rPr>
          <w:rFonts w:asciiTheme="minorBidi" w:hAnsiTheme="minorBidi" w:cstheme="minorBidi"/>
          <w:sz w:val="22"/>
          <w:szCs w:val="22"/>
        </w:rPr>
        <w:t>doi:https</w:t>
      </w:r>
      <w:proofErr w:type="spellEnd"/>
      <w:r w:rsidRPr="00846551">
        <w:rPr>
          <w:rFonts w:asciiTheme="minorBidi" w:hAnsiTheme="minorBidi" w:cstheme="minorBidi"/>
          <w:sz w:val="22"/>
          <w:szCs w:val="22"/>
        </w:rPr>
        <w:t>://doi.org/10.3390/healthcare9020232.</w:t>
      </w:r>
    </w:p>
    <w:p w14:paraId="23B21999" w14:textId="77777777" w:rsidR="003E6BC6" w:rsidRPr="00E73B6E" w:rsidRDefault="003E6BC6" w:rsidP="002D0DEC">
      <w:pPr>
        <w:pStyle w:val="NormalWeb"/>
        <w:spacing w:before="0" w:beforeAutospacing="0" w:after="240" w:afterAutospacing="0" w:line="360" w:lineRule="auto"/>
      </w:pPr>
    </w:p>
    <w:p w14:paraId="521ED978" w14:textId="4D6847D0" w:rsidR="00A3039B" w:rsidRPr="00CC1FAE" w:rsidRDefault="00A3039B">
      <w:pPr>
        <w:pStyle w:val="Heading2"/>
        <w:numPr>
          <w:ilvl w:val="1"/>
          <w:numId w:val="2"/>
        </w:numPr>
        <w:spacing w:after="240"/>
        <w:rPr>
          <w:b/>
          <w:bCs/>
          <w:color w:val="auto"/>
          <w:sz w:val="28"/>
          <w:szCs w:val="28"/>
        </w:rPr>
      </w:pPr>
      <w:r w:rsidRPr="00CC1FAE">
        <w:rPr>
          <w:b/>
          <w:bCs/>
          <w:color w:val="auto"/>
          <w:sz w:val="28"/>
          <w:szCs w:val="28"/>
        </w:rPr>
        <w:lastRenderedPageBreak/>
        <w:t>Appendix</w:t>
      </w:r>
    </w:p>
    <w:tbl>
      <w:tblPr>
        <w:tblStyle w:val="GridTable7ColourfulAccent6"/>
        <w:tblW w:w="0" w:type="auto"/>
        <w:tblLook w:val="04A0" w:firstRow="1" w:lastRow="0" w:firstColumn="1" w:lastColumn="0" w:noHBand="0" w:noVBand="1"/>
      </w:tblPr>
      <w:tblGrid>
        <w:gridCol w:w="4320"/>
        <w:gridCol w:w="4706"/>
      </w:tblGrid>
      <w:tr w:rsidR="009D149A" w:rsidRPr="00E73B6E" w14:paraId="5FDD6C81" w14:textId="77777777" w:rsidTr="002A535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320" w:type="dxa"/>
            <w:hideMark/>
          </w:tcPr>
          <w:p w14:paraId="15DDA812" w14:textId="77777777" w:rsidR="009D149A" w:rsidRPr="00E73B6E" w:rsidRDefault="009D149A" w:rsidP="009D149A">
            <w:pPr>
              <w:spacing w:after="160"/>
            </w:pPr>
            <w:r w:rsidRPr="00E73B6E">
              <w:t>Inclusion Criteria</w:t>
            </w:r>
          </w:p>
        </w:tc>
        <w:tc>
          <w:tcPr>
            <w:tcW w:w="4706" w:type="dxa"/>
            <w:hideMark/>
          </w:tcPr>
          <w:p w14:paraId="7385676B" w14:textId="77777777" w:rsidR="009D149A" w:rsidRPr="00E73B6E" w:rsidRDefault="009D149A" w:rsidP="009D149A">
            <w:pPr>
              <w:spacing w:after="160"/>
              <w:cnfStyle w:val="100000000000" w:firstRow="1" w:lastRow="0" w:firstColumn="0" w:lastColumn="0" w:oddVBand="0" w:evenVBand="0" w:oddHBand="0" w:evenHBand="0" w:firstRowFirstColumn="0" w:firstRowLastColumn="0" w:lastRowFirstColumn="0" w:lastRowLastColumn="0"/>
            </w:pPr>
            <w:r w:rsidRPr="00E73B6E">
              <w:t>Exclusion Criteria</w:t>
            </w:r>
          </w:p>
        </w:tc>
      </w:tr>
      <w:tr w:rsidR="009D149A" w:rsidRPr="00E73B6E" w14:paraId="57498746" w14:textId="77777777" w:rsidTr="002A53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hideMark/>
          </w:tcPr>
          <w:p w14:paraId="4C987BC9" w14:textId="77777777" w:rsidR="009D149A" w:rsidRPr="00E73B6E" w:rsidRDefault="009D149A" w:rsidP="009D149A">
            <w:pPr>
              <w:spacing w:after="160"/>
            </w:pPr>
            <w:r w:rsidRPr="00E73B6E">
              <w:t>Peer-reviewed journal articles</w:t>
            </w:r>
          </w:p>
        </w:tc>
        <w:tc>
          <w:tcPr>
            <w:tcW w:w="4706" w:type="dxa"/>
            <w:hideMark/>
          </w:tcPr>
          <w:p w14:paraId="10D1AF94" w14:textId="77777777" w:rsidR="009D149A" w:rsidRPr="00E73B6E" w:rsidRDefault="009D149A" w:rsidP="009D149A">
            <w:pPr>
              <w:spacing w:after="160"/>
              <w:cnfStyle w:val="000000100000" w:firstRow="0" w:lastRow="0" w:firstColumn="0" w:lastColumn="0" w:oddVBand="0" w:evenVBand="0" w:oddHBand="1" w:evenHBand="0" w:firstRowFirstColumn="0" w:firstRowLastColumn="0" w:lastRowFirstColumn="0" w:lastRowLastColumn="0"/>
            </w:pPr>
            <w:r w:rsidRPr="00E73B6E">
              <w:t>Opinion blogs or personal websites</w:t>
            </w:r>
          </w:p>
        </w:tc>
      </w:tr>
      <w:tr w:rsidR="009D149A" w:rsidRPr="00E73B6E" w14:paraId="6A3E8450" w14:textId="77777777" w:rsidTr="002A535A">
        <w:tc>
          <w:tcPr>
            <w:cnfStyle w:val="001000000000" w:firstRow="0" w:lastRow="0" w:firstColumn="1" w:lastColumn="0" w:oddVBand="0" w:evenVBand="0" w:oddHBand="0" w:evenHBand="0" w:firstRowFirstColumn="0" w:firstRowLastColumn="0" w:lastRowFirstColumn="0" w:lastRowLastColumn="0"/>
            <w:tcW w:w="4320" w:type="dxa"/>
            <w:hideMark/>
          </w:tcPr>
          <w:p w14:paraId="3AD75F59" w14:textId="77777777" w:rsidR="009D149A" w:rsidRPr="00E73B6E" w:rsidRDefault="009D149A" w:rsidP="009D149A">
            <w:pPr>
              <w:spacing w:after="160"/>
            </w:pPr>
            <w:r w:rsidRPr="00E73B6E">
              <w:t>Sources from the last 10 years</w:t>
            </w:r>
          </w:p>
        </w:tc>
        <w:tc>
          <w:tcPr>
            <w:tcW w:w="4706" w:type="dxa"/>
            <w:hideMark/>
          </w:tcPr>
          <w:p w14:paraId="7371A7C7" w14:textId="77777777" w:rsidR="009D149A" w:rsidRPr="00E73B6E" w:rsidRDefault="009D149A" w:rsidP="009D149A">
            <w:pPr>
              <w:spacing w:after="160"/>
              <w:cnfStyle w:val="000000000000" w:firstRow="0" w:lastRow="0" w:firstColumn="0" w:lastColumn="0" w:oddVBand="0" w:evenVBand="0" w:oddHBand="0" w:evenHBand="0" w:firstRowFirstColumn="0" w:firstRowLastColumn="0" w:lastRowFirstColumn="0" w:lastRowLastColumn="0"/>
            </w:pPr>
            <w:r w:rsidRPr="00E73B6E">
              <w:t>Sources older than 10 years</w:t>
            </w:r>
          </w:p>
        </w:tc>
      </w:tr>
      <w:tr w:rsidR="009D149A" w:rsidRPr="00E73B6E" w14:paraId="27CB3D77" w14:textId="77777777" w:rsidTr="002A53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hideMark/>
          </w:tcPr>
          <w:p w14:paraId="7B66D730" w14:textId="77777777" w:rsidR="009D149A" w:rsidRPr="00E73B6E" w:rsidRDefault="009D149A" w:rsidP="009D149A">
            <w:pPr>
              <w:spacing w:after="160"/>
            </w:pPr>
            <w:r w:rsidRPr="00E73B6E">
              <w:t>UK-based healthcare studies</w:t>
            </w:r>
          </w:p>
        </w:tc>
        <w:tc>
          <w:tcPr>
            <w:tcW w:w="4706" w:type="dxa"/>
            <w:hideMark/>
          </w:tcPr>
          <w:p w14:paraId="335A3C62" w14:textId="77777777" w:rsidR="009D149A" w:rsidRPr="00E73B6E" w:rsidRDefault="009D149A" w:rsidP="009D149A">
            <w:pPr>
              <w:spacing w:after="160"/>
              <w:cnfStyle w:val="000000100000" w:firstRow="0" w:lastRow="0" w:firstColumn="0" w:lastColumn="0" w:oddVBand="0" w:evenVBand="0" w:oddHBand="1" w:evenHBand="0" w:firstRowFirstColumn="0" w:firstRowLastColumn="0" w:lastRowFirstColumn="0" w:lastRowLastColumn="0"/>
            </w:pPr>
            <w:r w:rsidRPr="00E73B6E">
              <w:t>Non-UK studies</w:t>
            </w:r>
          </w:p>
        </w:tc>
      </w:tr>
      <w:tr w:rsidR="009D149A" w:rsidRPr="00E73B6E" w14:paraId="10A4EDED" w14:textId="77777777" w:rsidTr="002A535A">
        <w:tc>
          <w:tcPr>
            <w:cnfStyle w:val="001000000000" w:firstRow="0" w:lastRow="0" w:firstColumn="1" w:lastColumn="0" w:oddVBand="0" w:evenVBand="0" w:oddHBand="0" w:evenHBand="0" w:firstRowFirstColumn="0" w:firstRowLastColumn="0" w:lastRowFirstColumn="0" w:lastRowLastColumn="0"/>
            <w:tcW w:w="4320" w:type="dxa"/>
            <w:hideMark/>
          </w:tcPr>
          <w:p w14:paraId="3B01CB1C" w14:textId="77777777" w:rsidR="009D149A" w:rsidRPr="00E73B6E" w:rsidRDefault="009D149A" w:rsidP="009D149A">
            <w:pPr>
              <w:spacing w:after="160"/>
            </w:pPr>
            <w:r w:rsidRPr="00E73B6E">
              <w:t>NHS, GOV.UK, ONS and public health reports</w:t>
            </w:r>
          </w:p>
        </w:tc>
        <w:tc>
          <w:tcPr>
            <w:tcW w:w="4706" w:type="dxa"/>
            <w:hideMark/>
          </w:tcPr>
          <w:p w14:paraId="4ED9B295" w14:textId="77777777" w:rsidR="009D149A" w:rsidRPr="00E73B6E" w:rsidRDefault="009D149A" w:rsidP="009D149A">
            <w:pPr>
              <w:spacing w:after="160"/>
              <w:cnfStyle w:val="000000000000" w:firstRow="0" w:lastRow="0" w:firstColumn="0" w:lastColumn="0" w:oddVBand="0" w:evenVBand="0" w:oddHBand="0" w:evenHBand="0" w:firstRowFirstColumn="0" w:firstRowLastColumn="0" w:lastRowFirstColumn="0" w:lastRowLastColumn="0"/>
            </w:pPr>
            <w:r w:rsidRPr="00E73B6E">
              <w:t>Unreliable or non-academic websites</w:t>
            </w:r>
          </w:p>
        </w:tc>
      </w:tr>
      <w:tr w:rsidR="009D149A" w:rsidRPr="00E73B6E" w14:paraId="59DEFEDA" w14:textId="77777777" w:rsidTr="002A53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hideMark/>
          </w:tcPr>
          <w:p w14:paraId="224850E0" w14:textId="77777777" w:rsidR="009D149A" w:rsidRPr="00E73B6E" w:rsidRDefault="009D149A" w:rsidP="009D149A">
            <w:pPr>
              <w:spacing w:after="160"/>
            </w:pPr>
            <w:r w:rsidRPr="00E73B6E">
              <w:t>Sources on ethnic minority groups</w:t>
            </w:r>
          </w:p>
        </w:tc>
        <w:tc>
          <w:tcPr>
            <w:tcW w:w="4706" w:type="dxa"/>
            <w:hideMark/>
          </w:tcPr>
          <w:p w14:paraId="4B53688E" w14:textId="77777777" w:rsidR="009D149A" w:rsidRPr="00E73B6E" w:rsidRDefault="009D149A" w:rsidP="009D149A">
            <w:pPr>
              <w:spacing w:after="160"/>
              <w:cnfStyle w:val="000000100000" w:firstRow="0" w:lastRow="0" w:firstColumn="0" w:lastColumn="0" w:oddVBand="0" w:evenVBand="0" w:oddHBand="1" w:evenHBand="0" w:firstRowFirstColumn="0" w:firstRowLastColumn="0" w:lastRowFirstColumn="0" w:lastRowLastColumn="0"/>
            </w:pPr>
            <w:r w:rsidRPr="00E73B6E">
              <w:t>Sources not focused on ethnic minorities</w:t>
            </w:r>
          </w:p>
        </w:tc>
      </w:tr>
      <w:tr w:rsidR="009D149A" w:rsidRPr="00E73B6E" w14:paraId="6DFD8CB8" w14:textId="77777777" w:rsidTr="002A535A">
        <w:tc>
          <w:tcPr>
            <w:cnfStyle w:val="001000000000" w:firstRow="0" w:lastRow="0" w:firstColumn="1" w:lastColumn="0" w:oddVBand="0" w:evenVBand="0" w:oddHBand="0" w:evenHBand="0" w:firstRowFirstColumn="0" w:firstRowLastColumn="0" w:lastRowFirstColumn="0" w:lastRowLastColumn="0"/>
            <w:tcW w:w="4320" w:type="dxa"/>
            <w:hideMark/>
          </w:tcPr>
          <w:p w14:paraId="5AE3E748" w14:textId="77777777" w:rsidR="009D149A" w:rsidRPr="00E73B6E" w:rsidRDefault="009D149A" w:rsidP="009D149A">
            <w:pPr>
              <w:spacing w:after="160"/>
            </w:pPr>
            <w:r w:rsidRPr="00E73B6E">
              <w:t>Sources on language, culture, health literacy or discrimination</w:t>
            </w:r>
          </w:p>
        </w:tc>
        <w:tc>
          <w:tcPr>
            <w:tcW w:w="4706" w:type="dxa"/>
            <w:hideMark/>
          </w:tcPr>
          <w:p w14:paraId="742C992F" w14:textId="77777777" w:rsidR="009D149A" w:rsidRPr="00E73B6E" w:rsidRDefault="009D149A" w:rsidP="009D149A">
            <w:pPr>
              <w:spacing w:after="160"/>
              <w:cnfStyle w:val="000000000000" w:firstRow="0" w:lastRow="0" w:firstColumn="0" w:lastColumn="0" w:oddVBand="0" w:evenVBand="0" w:oddHBand="0" w:evenHBand="0" w:firstRowFirstColumn="0" w:firstRowLastColumn="0" w:lastRowFirstColumn="0" w:lastRowLastColumn="0"/>
            </w:pPr>
            <w:r w:rsidRPr="00E73B6E">
              <w:t>Sources unrelated to healthcare access</w:t>
            </w:r>
          </w:p>
        </w:tc>
      </w:tr>
      <w:tr w:rsidR="009D149A" w:rsidRPr="00E73B6E" w14:paraId="0F9FC3B8" w14:textId="77777777" w:rsidTr="002A53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hideMark/>
          </w:tcPr>
          <w:p w14:paraId="330C575F" w14:textId="77777777" w:rsidR="009D149A" w:rsidRPr="00E73B6E" w:rsidRDefault="009D149A" w:rsidP="009D149A">
            <w:pPr>
              <w:spacing w:after="160"/>
            </w:pPr>
            <w:r w:rsidRPr="00E73B6E">
              <w:t>English-language sources</w:t>
            </w:r>
          </w:p>
        </w:tc>
        <w:tc>
          <w:tcPr>
            <w:tcW w:w="4706" w:type="dxa"/>
            <w:hideMark/>
          </w:tcPr>
          <w:p w14:paraId="7B8099F8" w14:textId="77777777" w:rsidR="009D149A" w:rsidRPr="00E73B6E" w:rsidRDefault="009D149A" w:rsidP="009D149A">
            <w:pPr>
              <w:spacing w:after="160"/>
              <w:cnfStyle w:val="000000100000" w:firstRow="0" w:lastRow="0" w:firstColumn="0" w:lastColumn="0" w:oddVBand="0" w:evenVBand="0" w:oddHBand="1" w:evenHBand="0" w:firstRowFirstColumn="0" w:firstRowLastColumn="0" w:lastRowFirstColumn="0" w:lastRowLastColumn="0"/>
            </w:pPr>
            <w:r w:rsidRPr="00E73B6E">
              <w:t>Non-English sources</w:t>
            </w:r>
          </w:p>
        </w:tc>
      </w:tr>
      <w:tr w:rsidR="009D149A" w:rsidRPr="00E73B6E" w14:paraId="4C86A7FA" w14:textId="77777777" w:rsidTr="002A535A">
        <w:tc>
          <w:tcPr>
            <w:cnfStyle w:val="001000000000" w:firstRow="0" w:lastRow="0" w:firstColumn="1" w:lastColumn="0" w:oddVBand="0" w:evenVBand="0" w:oddHBand="0" w:evenHBand="0" w:firstRowFirstColumn="0" w:firstRowLastColumn="0" w:lastRowFirstColumn="0" w:lastRowLastColumn="0"/>
            <w:tcW w:w="4320" w:type="dxa"/>
            <w:hideMark/>
          </w:tcPr>
          <w:p w14:paraId="7F2430CC" w14:textId="77777777" w:rsidR="009D149A" w:rsidRPr="00E73B6E" w:rsidRDefault="009D149A" w:rsidP="009D149A">
            <w:pPr>
              <w:spacing w:after="160"/>
            </w:pPr>
            <w:r w:rsidRPr="00E73B6E">
              <w:t>Fully accessible online sources</w:t>
            </w:r>
          </w:p>
        </w:tc>
        <w:tc>
          <w:tcPr>
            <w:tcW w:w="4706" w:type="dxa"/>
            <w:hideMark/>
          </w:tcPr>
          <w:p w14:paraId="2A7102D6" w14:textId="77777777" w:rsidR="009D149A" w:rsidRPr="00E73B6E" w:rsidRDefault="009D149A" w:rsidP="009D149A">
            <w:pPr>
              <w:spacing w:after="160"/>
              <w:cnfStyle w:val="000000000000" w:firstRow="0" w:lastRow="0" w:firstColumn="0" w:lastColumn="0" w:oddVBand="0" w:evenVBand="0" w:oddHBand="0" w:evenHBand="0" w:firstRowFirstColumn="0" w:firstRowLastColumn="0" w:lastRowFirstColumn="0" w:lastRowLastColumn="0"/>
            </w:pPr>
            <w:r w:rsidRPr="00E73B6E">
              <w:t>Sources not fully available online</w:t>
            </w:r>
          </w:p>
        </w:tc>
      </w:tr>
    </w:tbl>
    <w:p w14:paraId="55239465" w14:textId="4BAE1C77" w:rsidR="005C14D3" w:rsidRPr="000B07CF" w:rsidRDefault="007C7D12" w:rsidP="00DD3CF2">
      <w:pPr>
        <w:pStyle w:val="Caption"/>
        <w:spacing w:before="240" w:line="360" w:lineRule="auto"/>
        <w:jc w:val="center"/>
        <w:rPr>
          <w:b/>
          <w:bCs/>
          <w:i w:val="0"/>
          <w:iCs w:val="0"/>
          <w:color w:val="auto"/>
          <w:sz w:val="22"/>
          <w:szCs w:val="22"/>
        </w:rPr>
      </w:pPr>
      <w:bookmarkStart w:id="36" w:name="_Toc232124647"/>
      <w:r w:rsidRPr="000B07CF">
        <w:rPr>
          <w:b/>
          <w:bCs/>
          <w:i w:val="0"/>
          <w:iCs w:val="0"/>
          <w:color w:val="auto"/>
          <w:sz w:val="22"/>
          <w:szCs w:val="22"/>
        </w:rPr>
        <w:t xml:space="preserve">Table </w:t>
      </w:r>
      <w:r w:rsidRPr="000B07CF">
        <w:rPr>
          <w:b/>
          <w:bCs/>
          <w:i w:val="0"/>
          <w:iCs w:val="0"/>
          <w:color w:val="auto"/>
          <w:sz w:val="22"/>
          <w:szCs w:val="22"/>
        </w:rPr>
        <w:fldChar w:fldCharType="begin"/>
      </w:r>
      <w:r w:rsidRPr="000B07CF">
        <w:rPr>
          <w:b/>
          <w:bCs/>
          <w:i w:val="0"/>
          <w:iCs w:val="0"/>
          <w:color w:val="auto"/>
          <w:sz w:val="22"/>
          <w:szCs w:val="22"/>
        </w:rPr>
        <w:instrText xml:space="preserve"> SEQ Table \* ARABIC </w:instrText>
      </w:r>
      <w:r w:rsidRPr="000B07CF">
        <w:rPr>
          <w:b/>
          <w:bCs/>
          <w:i w:val="0"/>
          <w:iCs w:val="0"/>
          <w:color w:val="auto"/>
          <w:sz w:val="22"/>
          <w:szCs w:val="22"/>
        </w:rPr>
        <w:fldChar w:fldCharType="separate"/>
      </w:r>
      <w:r w:rsidR="00D0501D" w:rsidRPr="000B07CF">
        <w:rPr>
          <w:b/>
          <w:bCs/>
          <w:i w:val="0"/>
          <w:iCs w:val="0"/>
          <w:noProof/>
          <w:color w:val="auto"/>
          <w:sz w:val="22"/>
          <w:szCs w:val="22"/>
        </w:rPr>
        <w:t>1</w:t>
      </w:r>
      <w:r w:rsidRPr="000B07CF">
        <w:rPr>
          <w:b/>
          <w:bCs/>
          <w:i w:val="0"/>
          <w:iCs w:val="0"/>
          <w:color w:val="auto"/>
          <w:sz w:val="22"/>
          <w:szCs w:val="22"/>
        </w:rPr>
        <w:fldChar w:fldCharType="end"/>
      </w:r>
      <w:r w:rsidRPr="000B07CF">
        <w:rPr>
          <w:b/>
          <w:bCs/>
          <w:i w:val="0"/>
          <w:iCs w:val="0"/>
          <w:color w:val="auto"/>
          <w:sz w:val="22"/>
          <w:szCs w:val="22"/>
        </w:rPr>
        <w:t xml:space="preserve"> Inclusion and Exclusion Table</w:t>
      </w:r>
      <w:bookmarkEnd w:id="36"/>
    </w:p>
    <w:p w14:paraId="56197438" w14:textId="2DA95B62" w:rsidR="00B16660" w:rsidRPr="000B07CF" w:rsidRDefault="005C14D3" w:rsidP="00DD3CF2">
      <w:pPr>
        <w:pStyle w:val="Caption"/>
        <w:spacing w:before="240" w:line="360" w:lineRule="auto"/>
        <w:jc w:val="center"/>
        <w:rPr>
          <w:b/>
          <w:bCs/>
          <w:i w:val="0"/>
          <w:iCs w:val="0"/>
          <w:color w:val="auto"/>
          <w:sz w:val="22"/>
          <w:szCs w:val="22"/>
        </w:rPr>
      </w:pPr>
      <w:r w:rsidRPr="000B07CF">
        <w:rPr>
          <w:b/>
          <w:bCs/>
          <w:i w:val="0"/>
          <w:iCs w:val="0"/>
          <w:color w:val="auto"/>
          <w:sz w:val="22"/>
          <w:szCs w:val="22"/>
        </w:rPr>
        <w:t>Source: Author</w:t>
      </w:r>
    </w:p>
    <w:p w14:paraId="026CCF3B" w14:textId="77777777" w:rsidR="00141FE1" w:rsidRPr="00E73B6E" w:rsidRDefault="00141FE1" w:rsidP="00141FE1"/>
    <w:p w14:paraId="526CDD8F" w14:textId="77777777" w:rsidR="00141FE1" w:rsidRPr="00E73B6E" w:rsidRDefault="00141FE1" w:rsidP="00141FE1"/>
    <w:p w14:paraId="079D3D9E" w14:textId="77777777" w:rsidR="00141FE1" w:rsidRPr="00E73B6E" w:rsidRDefault="00141FE1" w:rsidP="00141FE1"/>
    <w:p w14:paraId="71FABE58" w14:textId="77777777" w:rsidR="00141FE1" w:rsidRPr="00E73B6E" w:rsidRDefault="00141FE1" w:rsidP="00141FE1"/>
    <w:p w14:paraId="34776C2F" w14:textId="77777777" w:rsidR="00141FE1" w:rsidRPr="00E73B6E" w:rsidRDefault="00141FE1" w:rsidP="00141FE1"/>
    <w:p w14:paraId="544EB35D" w14:textId="77777777" w:rsidR="00141FE1" w:rsidRPr="00E73B6E" w:rsidRDefault="00141FE1" w:rsidP="00141FE1"/>
    <w:p w14:paraId="45C44603" w14:textId="77777777" w:rsidR="00141FE1" w:rsidRPr="00E73B6E" w:rsidRDefault="00141FE1" w:rsidP="00141FE1"/>
    <w:p w14:paraId="53D08EB5" w14:textId="77777777" w:rsidR="00141FE1" w:rsidRPr="00E73B6E" w:rsidRDefault="00141FE1" w:rsidP="00141FE1"/>
    <w:p w14:paraId="208AF386" w14:textId="77777777" w:rsidR="00141FE1" w:rsidRPr="00E73B6E" w:rsidRDefault="00141FE1" w:rsidP="00141FE1"/>
    <w:p w14:paraId="450B649C" w14:textId="77777777" w:rsidR="00141FE1" w:rsidRPr="00E73B6E" w:rsidRDefault="00141FE1" w:rsidP="00141FE1"/>
    <w:p w14:paraId="119715AE" w14:textId="77777777" w:rsidR="00141FE1" w:rsidRPr="00E73B6E" w:rsidRDefault="00141FE1" w:rsidP="00141FE1"/>
    <w:tbl>
      <w:tblPr>
        <w:tblStyle w:val="GridTable4-Accent5"/>
        <w:tblW w:w="0" w:type="auto"/>
        <w:tblLook w:val="04A0" w:firstRow="1" w:lastRow="0" w:firstColumn="1" w:lastColumn="0" w:noHBand="0" w:noVBand="1"/>
      </w:tblPr>
      <w:tblGrid>
        <w:gridCol w:w="2942"/>
        <w:gridCol w:w="4578"/>
        <w:gridCol w:w="1496"/>
      </w:tblGrid>
      <w:tr w:rsidR="00B211D2" w:rsidRPr="00E73B6E" w14:paraId="5777045B" w14:textId="77777777" w:rsidTr="004352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68FCBC" w14:textId="77777777" w:rsidR="00B211D2" w:rsidRPr="00E73B6E" w:rsidRDefault="00B211D2" w:rsidP="00B211D2">
            <w:pPr>
              <w:spacing w:after="160"/>
            </w:pPr>
            <w:r w:rsidRPr="00E73B6E">
              <w:t>Source</w:t>
            </w:r>
          </w:p>
        </w:tc>
        <w:tc>
          <w:tcPr>
            <w:tcW w:w="0" w:type="auto"/>
            <w:hideMark/>
          </w:tcPr>
          <w:p w14:paraId="46B4760A" w14:textId="77777777" w:rsidR="00B211D2" w:rsidRPr="00E73B6E" w:rsidRDefault="00B211D2" w:rsidP="00B211D2">
            <w:pPr>
              <w:spacing w:after="160"/>
              <w:cnfStyle w:val="100000000000" w:firstRow="1" w:lastRow="0" w:firstColumn="0" w:lastColumn="0" w:oddVBand="0" w:evenVBand="0" w:oddHBand="0" w:evenHBand="0" w:firstRowFirstColumn="0" w:firstRowLastColumn="0" w:lastRowFirstColumn="0" w:lastRowLastColumn="0"/>
            </w:pPr>
            <w:r w:rsidRPr="00E73B6E">
              <w:t>Key Finding</w:t>
            </w:r>
          </w:p>
        </w:tc>
        <w:tc>
          <w:tcPr>
            <w:tcW w:w="0" w:type="auto"/>
            <w:hideMark/>
          </w:tcPr>
          <w:p w14:paraId="14212AE3" w14:textId="77777777" w:rsidR="00B211D2" w:rsidRPr="00E73B6E" w:rsidRDefault="00B211D2" w:rsidP="00B211D2">
            <w:pPr>
              <w:spacing w:after="160"/>
              <w:cnfStyle w:val="100000000000" w:firstRow="1" w:lastRow="0" w:firstColumn="0" w:lastColumn="0" w:oddVBand="0" w:evenVBand="0" w:oddHBand="0" w:evenHBand="0" w:firstRowFirstColumn="0" w:firstRowLastColumn="0" w:lastRowFirstColumn="0" w:lastRowLastColumn="0"/>
            </w:pPr>
            <w:r w:rsidRPr="00E73B6E">
              <w:t>Theme</w:t>
            </w:r>
          </w:p>
        </w:tc>
      </w:tr>
      <w:tr w:rsidR="00B211D2" w:rsidRPr="00E73B6E" w14:paraId="4EFB43BE" w14:textId="77777777" w:rsidTr="00435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EEF240" w14:textId="77777777" w:rsidR="00B211D2" w:rsidRPr="00E73B6E" w:rsidRDefault="00B211D2" w:rsidP="00B211D2">
            <w:pPr>
              <w:spacing w:after="160"/>
            </w:pPr>
            <w:r w:rsidRPr="00E73B6E">
              <w:t>ONS (2023)</w:t>
            </w:r>
          </w:p>
        </w:tc>
        <w:tc>
          <w:tcPr>
            <w:tcW w:w="0" w:type="auto"/>
            <w:hideMark/>
          </w:tcPr>
          <w:p w14:paraId="68D036E6"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Ethnic minority groups make up around 18% of England and Wales.</w:t>
            </w:r>
          </w:p>
        </w:tc>
        <w:tc>
          <w:tcPr>
            <w:tcW w:w="0" w:type="auto"/>
            <w:hideMark/>
          </w:tcPr>
          <w:p w14:paraId="16D6F17F"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Background</w:t>
            </w:r>
          </w:p>
        </w:tc>
      </w:tr>
      <w:tr w:rsidR="00B211D2" w:rsidRPr="00E73B6E" w14:paraId="20FB12E4" w14:textId="77777777" w:rsidTr="004352E0">
        <w:tc>
          <w:tcPr>
            <w:cnfStyle w:val="001000000000" w:firstRow="0" w:lastRow="0" w:firstColumn="1" w:lastColumn="0" w:oddVBand="0" w:evenVBand="0" w:oddHBand="0" w:evenHBand="0" w:firstRowFirstColumn="0" w:firstRowLastColumn="0" w:lastRowFirstColumn="0" w:lastRowLastColumn="0"/>
            <w:tcW w:w="0" w:type="auto"/>
            <w:hideMark/>
          </w:tcPr>
          <w:p w14:paraId="1862A91E" w14:textId="77777777" w:rsidR="00B211D2" w:rsidRPr="00E73B6E" w:rsidRDefault="00B211D2" w:rsidP="00B211D2">
            <w:pPr>
              <w:spacing w:after="160"/>
            </w:pPr>
            <w:r w:rsidRPr="00E73B6E">
              <w:t>Clement (2023)</w:t>
            </w:r>
          </w:p>
        </w:tc>
        <w:tc>
          <w:tcPr>
            <w:tcW w:w="0" w:type="auto"/>
            <w:hideMark/>
          </w:tcPr>
          <w:p w14:paraId="1BFE9641"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 NHS was created in 1948 to provide universal healthcare.</w:t>
            </w:r>
          </w:p>
        </w:tc>
        <w:tc>
          <w:tcPr>
            <w:tcW w:w="0" w:type="auto"/>
            <w:hideMark/>
          </w:tcPr>
          <w:p w14:paraId="10D6F17D"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Background</w:t>
            </w:r>
          </w:p>
        </w:tc>
      </w:tr>
      <w:tr w:rsidR="00B211D2" w:rsidRPr="00E73B6E" w14:paraId="31568E4E" w14:textId="77777777" w:rsidTr="00435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107D6F" w14:textId="77777777" w:rsidR="00B211D2" w:rsidRPr="00E73B6E" w:rsidRDefault="00B211D2" w:rsidP="00B211D2">
            <w:pPr>
              <w:spacing w:after="160"/>
            </w:pPr>
            <w:r w:rsidRPr="00E73B6E">
              <w:t>Braveman and Gottlieb (2014)</w:t>
            </w:r>
          </w:p>
        </w:tc>
        <w:tc>
          <w:tcPr>
            <w:tcW w:w="0" w:type="auto"/>
            <w:hideMark/>
          </w:tcPr>
          <w:p w14:paraId="22A8E58A"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Social and economic factors influence health outcomes.</w:t>
            </w:r>
          </w:p>
        </w:tc>
        <w:tc>
          <w:tcPr>
            <w:tcW w:w="0" w:type="auto"/>
            <w:hideMark/>
          </w:tcPr>
          <w:p w14:paraId="447AAD48"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Theory</w:t>
            </w:r>
          </w:p>
        </w:tc>
      </w:tr>
      <w:tr w:rsidR="00B211D2" w:rsidRPr="00E73B6E" w14:paraId="36BD4A1F" w14:textId="77777777" w:rsidTr="004352E0">
        <w:tc>
          <w:tcPr>
            <w:cnfStyle w:val="001000000000" w:firstRow="0" w:lastRow="0" w:firstColumn="1" w:lastColumn="0" w:oddVBand="0" w:evenVBand="0" w:oddHBand="0" w:evenHBand="0" w:firstRowFirstColumn="0" w:firstRowLastColumn="0" w:lastRowFirstColumn="0" w:lastRowLastColumn="0"/>
            <w:tcW w:w="0" w:type="auto"/>
            <w:hideMark/>
          </w:tcPr>
          <w:p w14:paraId="609E166F" w14:textId="77777777" w:rsidR="00B211D2" w:rsidRPr="00E73B6E" w:rsidRDefault="00B211D2" w:rsidP="00B211D2">
            <w:pPr>
              <w:spacing w:after="160"/>
            </w:pPr>
            <w:r w:rsidRPr="00E73B6E">
              <w:t xml:space="preserve">Swihart, Martin and </w:t>
            </w:r>
            <w:proofErr w:type="spellStart"/>
            <w:r w:rsidRPr="00E73B6E">
              <w:t>Yarrarapu</w:t>
            </w:r>
            <w:proofErr w:type="spellEnd"/>
            <w:r w:rsidRPr="00E73B6E">
              <w:t xml:space="preserve"> (2023)</w:t>
            </w:r>
          </w:p>
        </w:tc>
        <w:tc>
          <w:tcPr>
            <w:tcW w:w="0" w:type="auto"/>
            <w:hideMark/>
          </w:tcPr>
          <w:p w14:paraId="2BCF80D5"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Cultural competence improves communication with diverse patients.</w:t>
            </w:r>
          </w:p>
        </w:tc>
        <w:tc>
          <w:tcPr>
            <w:tcW w:w="0" w:type="auto"/>
            <w:hideMark/>
          </w:tcPr>
          <w:p w14:paraId="528E436B"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Theme 3</w:t>
            </w:r>
          </w:p>
        </w:tc>
      </w:tr>
      <w:tr w:rsidR="00B211D2" w:rsidRPr="00E73B6E" w14:paraId="4060E42B" w14:textId="77777777" w:rsidTr="00435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D15078" w14:textId="77777777" w:rsidR="00B211D2" w:rsidRPr="00E73B6E" w:rsidRDefault="00B211D2" w:rsidP="00B211D2">
            <w:pPr>
              <w:spacing w:after="160"/>
            </w:pPr>
            <w:proofErr w:type="spellStart"/>
            <w:r w:rsidRPr="00E73B6E">
              <w:t>Alyafei</w:t>
            </w:r>
            <w:proofErr w:type="spellEnd"/>
            <w:r w:rsidRPr="00E73B6E">
              <w:t xml:space="preserve"> and Carr (2024)</w:t>
            </w:r>
          </w:p>
        </w:tc>
        <w:tc>
          <w:tcPr>
            <w:tcW w:w="0" w:type="auto"/>
            <w:hideMark/>
          </w:tcPr>
          <w:p w14:paraId="7708D0D3"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Health beliefs influence healthcare use and decision-making.</w:t>
            </w:r>
          </w:p>
        </w:tc>
        <w:tc>
          <w:tcPr>
            <w:tcW w:w="0" w:type="auto"/>
            <w:hideMark/>
          </w:tcPr>
          <w:p w14:paraId="28402890"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Theme 2</w:t>
            </w:r>
          </w:p>
        </w:tc>
      </w:tr>
      <w:tr w:rsidR="00B211D2" w:rsidRPr="00E73B6E" w14:paraId="7C1D0CFA" w14:textId="77777777" w:rsidTr="004352E0">
        <w:tc>
          <w:tcPr>
            <w:cnfStyle w:val="001000000000" w:firstRow="0" w:lastRow="0" w:firstColumn="1" w:lastColumn="0" w:oddVBand="0" w:evenVBand="0" w:oddHBand="0" w:evenHBand="0" w:firstRowFirstColumn="0" w:firstRowLastColumn="0" w:lastRowFirstColumn="0" w:lastRowLastColumn="0"/>
            <w:tcW w:w="0" w:type="auto"/>
            <w:hideMark/>
          </w:tcPr>
          <w:p w14:paraId="601E26E0" w14:textId="77777777" w:rsidR="00B211D2" w:rsidRPr="00E73B6E" w:rsidRDefault="00B211D2" w:rsidP="00B211D2">
            <w:pPr>
              <w:spacing w:after="160"/>
            </w:pPr>
            <w:r w:rsidRPr="00E73B6E">
              <w:t>Healthwatch (2024)</w:t>
            </w:r>
          </w:p>
        </w:tc>
        <w:tc>
          <w:tcPr>
            <w:tcW w:w="0" w:type="auto"/>
            <w:hideMark/>
          </w:tcPr>
          <w:p w14:paraId="7FC656BB"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South Asian and Black women reported language and cultural barriers in maternity care.</w:t>
            </w:r>
          </w:p>
        </w:tc>
        <w:tc>
          <w:tcPr>
            <w:tcW w:w="0" w:type="auto"/>
            <w:hideMark/>
          </w:tcPr>
          <w:p w14:paraId="76FA51B2"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Themes 1 and 3</w:t>
            </w:r>
          </w:p>
        </w:tc>
      </w:tr>
      <w:tr w:rsidR="00B211D2" w:rsidRPr="00E73B6E" w14:paraId="21C0D108" w14:textId="77777777" w:rsidTr="00435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87C1A5" w14:textId="77777777" w:rsidR="00B211D2" w:rsidRPr="00E73B6E" w:rsidRDefault="00B211D2" w:rsidP="00B211D2">
            <w:pPr>
              <w:spacing w:after="160"/>
            </w:pPr>
            <w:r w:rsidRPr="00E73B6E">
              <w:t xml:space="preserve">García and Thomas / </w:t>
            </w:r>
            <w:proofErr w:type="spellStart"/>
            <w:r w:rsidRPr="00E73B6E">
              <w:t>Maternityaction</w:t>
            </w:r>
            <w:proofErr w:type="spellEnd"/>
            <w:r w:rsidRPr="00E73B6E">
              <w:t xml:space="preserve"> (2026)</w:t>
            </w:r>
          </w:p>
        </w:tc>
        <w:tc>
          <w:tcPr>
            <w:tcW w:w="0" w:type="auto"/>
            <w:hideMark/>
          </w:tcPr>
          <w:p w14:paraId="501C7CEE"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Ethnic minority areas had around 29% fewer GPs per 100,000 people.</w:t>
            </w:r>
          </w:p>
        </w:tc>
        <w:tc>
          <w:tcPr>
            <w:tcW w:w="0" w:type="auto"/>
            <w:hideMark/>
          </w:tcPr>
          <w:p w14:paraId="6FF193D2"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Theme 3</w:t>
            </w:r>
          </w:p>
        </w:tc>
      </w:tr>
      <w:tr w:rsidR="00B211D2" w:rsidRPr="00E73B6E" w14:paraId="4ED2787F" w14:textId="77777777" w:rsidTr="004352E0">
        <w:tc>
          <w:tcPr>
            <w:cnfStyle w:val="001000000000" w:firstRow="0" w:lastRow="0" w:firstColumn="1" w:lastColumn="0" w:oddVBand="0" w:evenVBand="0" w:oddHBand="0" w:evenHBand="0" w:firstRowFirstColumn="0" w:firstRowLastColumn="0" w:lastRowFirstColumn="0" w:lastRowLastColumn="0"/>
            <w:tcW w:w="0" w:type="auto"/>
            <w:hideMark/>
          </w:tcPr>
          <w:p w14:paraId="7D1FEF8D" w14:textId="77777777" w:rsidR="00B211D2" w:rsidRPr="00E73B6E" w:rsidRDefault="00B211D2" w:rsidP="00B211D2">
            <w:pPr>
              <w:spacing w:after="160"/>
            </w:pPr>
            <w:r w:rsidRPr="00E73B6E">
              <w:t>GOV.UK (2013)</w:t>
            </w:r>
          </w:p>
        </w:tc>
        <w:tc>
          <w:tcPr>
            <w:tcW w:w="0" w:type="auto"/>
            <w:hideMark/>
          </w:tcPr>
          <w:p w14:paraId="4D35F7A5"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 Equality Act 2010 protects against racial discrimination.</w:t>
            </w:r>
          </w:p>
        </w:tc>
        <w:tc>
          <w:tcPr>
            <w:tcW w:w="0" w:type="auto"/>
            <w:hideMark/>
          </w:tcPr>
          <w:p w14:paraId="2A6A65DC"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Theme 3</w:t>
            </w:r>
          </w:p>
        </w:tc>
      </w:tr>
      <w:tr w:rsidR="00B211D2" w:rsidRPr="00E73B6E" w14:paraId="229A436C" w14:textId="77777777" w:rsidTr="00435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65763A" w14:textId="77777777" w:rsidR="00B211D2" w:rsidRPr="00E73B6E" w:rsidRDefault="00B211D2" w:rsidP="00B211D2">
            <w:pPr>
              <w:spacing w:after="160"/>
            </w:pPr>
            <w:r w:rsidRPr="00E73B6E">
              <w:t>Hulme et al. (2023)</w:t>
            </w:r>
          </w:p>
        </w:tc>
        <w:tc>
          <w:tcPr>
            <w:tcW w:w="0" w:type="auto"/>
            <w:hideMark/>
          </w:tcPr>
          <w:p w14:paraId="7E7583F4"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Interpreter services can improve patient communication.</w:t>
            </w:r>
          </w:p>
        </w:tc>
        <w:tc>
          <w:tcPr>
            <w:tcW w:w="0" w:type="auto"/>
            <w:hideMark/>
          </w:tcPr>
          <w:p w14:paraId="7D5435A0"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Theme 1</w:t>
            </w:r>
          </w:p>
        </w:tc>
      </w:tr>
      <w:tr w:rsidR="00B211D2" w:rsidRPr="00E73B6E" w14:paraId="31C4B655" w14:textId="77777777" w:rsidTr="004352E0">
        <w:tc>
          <w:tcPr>
            <w:cnfStyle w:val="001000000000" w:firstRow="0" w:lastRow="0" w:firstColumn="1" w:lastColumn="0" w:oddVBand="0" w:evenVBand="0" w:oddHBand="0" w:evenHBand="0" w:firstRowFirstColumn="0" w:firstRowLastColumn="0" w:lastRowFirstColumn="0" w:lastRowLastColumn="0"/>
            <w:tcW w:w="0" w:type="auto"/>
            <w:hideMark/>
          </w:tcPr>
          <w:p w14:paraId="1319494C" w14:textId="77777777" w:rsidR="00B211D2" w:rsidRPr="00E73B6E" w:rsidRDefault="00B211D2" w:rsidP="00B211D2">
            <w:pPr>
              <w:spacing w:after="160"/>
            </w:pPr>
            <w:r w:rsidRPr="00E73B6E">
              <w:t>Richardson-Parry et al. (2023)</w:t>
            </w:r>
          </w:p>
        </w:tc>
        <w:tc>
          <w:tcPr>
            <w:tcW w:w="0" w:type="auto"/>
            <w:hideMark/>
          </w:tcPr>
          <w:p w14:paraId="4C1DB1E4"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Inequalities remain in screening and mental health care.</w:t>
            </w:r>
          </w:p>
        </w:tc>
        <w:tc>
          <w:tcPr>
            <w:tcW w:w="0" w:type="auto"/>
            <w:hideMark/>
          </w:tcPr>
          <w:p w14:paraId="2A3E4408"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Theme 2</w:t>
            </w:r>
          </w:p>
        </w:tc>
      </w:tr>
      <w:tr w:rsidR="00B211D2" w:rsidRPr="00E73B6E" w14:paraId="318D9358" w14:textId="77777777" w:rsidTr="00435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93A308" w14:textId="77777777" w:rsidR="00B211D2" w:rsidRPr="00E73B6E" w:rsidRDefault="00B211D2" w:rsidP="00B211D2">
            <w:pPr>
              <w:spacing w:after="160"/>
            </w:pPr>
            <w:r w:rsidRPr="00E73B6E">
              <w:t>Vilar-Lluch et al. (2023)</w:t>
            </w:r>
          </w:p>
        </w:tc>
        <w:tc>
          <w:tcPr>
            <w:tcW w:w="0" w:type="auto"/>
            <w:hideMark/>
          </w:tcPr>
          <w:p w14:paraId="54E26709"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Multilingual NHS communication supported vaccination uptake.</w:t>
            </w:r>
          </w:p>
        </w:tc>
        <w:tc>
          <w:tcPr>
            <w:tcW w:w="0" w:type="auto"/>
            <w:hideMark/>
          </w:tcPr>
          <w:p w14:paraId="0C97AB26" w14:textId="77777777" w:rsidR="00B211D2" w:rsidRPr="00E73B6E" w:rsidRDefault="00B211D2" w:rsidP="00B211D2">
            <w:pPr>
              <w:spacing w:after="160"/>
              <w:cnfStyle w:val="000000100000" w:firstRow="0" w:lastRow="0" w:firstColumn="0" w:lastColumn="0" w:oddVBand="0" w:evenVBand="0" w:oddHBand="1" w:evenHBand="0" w:firstRowFirstColumn="0" w:firstRowLastColumn="0" w:lastRowFirstColumn="0" w:lastRowLastColumn="0"/>
            </w:pPr>
            <w:r w:rsidRPr="00E73B6E">
              <w:t>Themes 1 and 2</w:t>
            </w:r>
          </w:p>
        </w:tc>
      </w:tr>
      <w:tr w:rsidR="00B211D2" w:rsidRPr="00E73B6E" w14:paraId="265F5EA6" w14:textId="77777777" w:rsidTr="004352E0">
        <w:tc>
          <w:tcPr>
            <w:cnfStyle w:val="001000000000" w:firstRow="0" w:lastRow="0" w:firstColumn="1" w:lastColumn="0" w:oddVBand="0" w:evenVBand="0" w:oddHBand="0" w:evenHBand="0" w:firstRowFirstColumn="0" w:firstRowLastColumn="0" w:lastRowFirstColumn="0" w:lastRowLastColumn="0"/>
            <w:tcW w:w="0" w:type="auto"/>
            <w:hideMark/>
          </w:tcPr>
          <w:p w14:paraId="1F5A55D6" w14:textId="77777777" w:rsidR="00B211D2" w:rsidRPr="00E73B6E" w:rsidRDefault="00B211D2" w:rsidP="00B211D2">
            <w:pPr>
              <w:spacing w:after="160"/>
            </w:pPr>
            <w:r w:rsidRPr="00E73B6E">
              <w:t>Salway et al. (2016)</w:t>
            </w:r>
          </w:p>
        </w:tc>
        <w:tc>
          <w:tcPr>
            <w:tcW w:w="0" w:type="auto"/>
            <w:hideMark/>
          </w:tcPr>
          <w:p w14:paraId="679BB56D"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Ethnic inequalities remain in NHS experiences and outcomes.</w:t>
            </w:r>
          </w:p>
        </w:tc>
        <w:tc>
          <w:tcPr>
            <w:tcW w:w="0" w:type="auto"/>
            <w:hideMark/>
          </w:tcPr>
          <w:p w14:paraId="5B8C09C3" w14:textId="77777777" w:rsidR="00B211D2" w:rsidRPr="00E73B6E" w:rsidRDefault="00B211D2" w:rsidP="00B211D2">
            <w:pPr>
              <w:spacing w:after="160"/>
              <w:cnfStyle w:val="000000000000" w:firstRow="0" w:lastRow="0" w:firstColumn="0" w:lastColumn="0" w:oddVBand="0" w:evenVBand="0" w:oddHBand="0" w:evenHBand="0" w:firstRowFirstColumn="0" w:firstRowLastColumn="0" w:lastRowFirstColumn="0" w:lastRowLastColumn="0"/>
            </w:pPr>
            <w:r w:rsidRPr="00E73B6E">
              <w:t>Theme 3</w:t>
            </w:r>
          </w:p>
        </w:tc>
      </w:tr>
    </w:tbl>
    <w:p w14:paraId="6D465890" w14:textId="6BCDA964" w:rsidR="00D30E5F" w:rsidRPr="00122C37" w:rsidRDefault="00C74ADD" w:rsidP="00122C37">
      <w:pPr>
        <w:pStyle w:val="Caption"/>
        <w:spacing w:before="240" w:line="360" w:lineRule="auto"/>
        <w:jc w:val="center"/>
        <w:rPr>
          <w:b/>
          <w:bCs/>
          <w:i w:val="0"/>
          <w:iCs w:val="0"/>
          <w:color w:val="auto"/>
          <w:sz w:val="22"/>
          <w:szCs w:val="22"/>
        </w:rPr>
      </w:pPr>
      <w:bookmarkStart w:id="37" w:name="_Toc232124648"/>
      <w:r w:rsidRPr="00122C37">
        <w:rPr>
          <w:b/>
          <w:bCs/>
          <w:i w:val="0"/>
          <w:iCs w:val="0"/>
          <w:color w:val="auto"/>
          <w:sz w:val="22"/>
          <w:szCs w:val="22"/>
        </w:rPr>
        <w:t xml:space="preserve">Table </w:t>
      </w:r>
      <w:r w:rsidRPr="00122C37">
        <w:rPr>
          <w:b/>
          <w:bCs/>
          <w:i w:val="0"/>
          <w:iCs w:val="0"/>
          <w:color w:val="auto"/>
          <w:sz w:val="22"/>
          <w:szCs w:val="22"/>
        </w:rPr>
        <w:fldChar w:fldCharType="begin"/>
      </w:r>
      <w:r w:rsidRPr="00122C37">
        <w:rPr>
          <w:b/>
          <w:bCs/>
          <w:i w:val="0"/>
          <w:iCs w:val="0"/>
          <w:color w:val="auto"/>
          <w:sz w:val="22"/>
          <w:szCs w:val="22"/>
        </w:rPr>
        <w:instrText xml:space="preserve"> SEQ Table \* ARABIC </w:instrText>
      </w:r>
      <w:r w:rsidRPr="00122C37">
        <w:rPr>
          <w:b/>
          <w:bCs/>
          <w:i w:val="0"/>
          <w:iCs w:val="0"/>
          <w:color w:val="auto"/>
          <w:sz w:val="22"/>
          <w:szCs w:val="22"/>
        </w:rPr>
        <w:fldChar w:fldCharType="separate"/>
      </w:r>
      <w:r w:rsidR="00D0501D" w:rsidRPr="00122C37">
        <w:rPr>
          <w:b/>
          <w:bCs/>
          <w:i w:val="0"/>
          <w:iCs w:val="0"/>
          <w:noProof/>
          <w:color w:val="auto"/>
          <w:sz w:val="22"/>
          <w:szCs w:val="22"/>
        </w:rPr>
        <w:t>2</w:t>
      </w:r>
      <w:r w:rsidRPr="00122C37">
        <w:rPr>
          <w:b/>
          <w:bCs/>
          <w:i w:val="0"/>
          <w:iCs w:val="0"/>
          <w:color w:val="auto"/>
          <w:sz w:val="22"/>
          <w:szCs w:val="22"/>
        </w:rPr>
        <w:fldChar w:fldCharType="end"/>
      </w:r>
      <w:r w:rsidRPr="00122C37">
        <w:rPr>
          <w:b/>
          <w:bCs/>
          <w:i w:val="0"/>
          <w:iCs w:val="0"/>
          <w:color w:val="auto"/>
          <w:sz w:val="22"/>
          <w:szCs w:val="22"/>
        </w:rPr>
        <w:t xml:space="preserve"> Source Tracking Table</w:t>
      </w:r>
      <w:bookmarkEnd w:id="37"/>
      <w:r w:rsidR="00122C37">
        <w:rPr>
          <w:b/>
          <w:bCs/>
          <w:i w:val="0"/>
          <w:iCs w:val="0"/>
          <w:color w:val="auto"/>
          <w:sz w:val="22"/>
          <w:szCs w:val="22"/>
        </w:rPr>
        <w:t xml:space="preserve"> (</w:t>
      </w:r>
      <w:r w:rsidR="00E61BFF" w:rsidRPr="00122C37">
        <w:rPr>
          <w:b/>
          <w:bCs/>
          <w:i w:val="0"/>
          <w:iCs w:val="0"/>
          <w:color w:val="auto"/>
          <w:sz w:val="22"/>
          <w:szCs w:val="22"/>
        </w:rPr>
        <w:t>Source: Author</w:t>
      </w:r>
      <w:r w:rsidR="00122C37">
        <w:rPr>
          <w:b/>
          <w:bCs/>
          <w:i w:val="0"/>
          <w:iCs w:val="0"/>
          <w:color w:val="auto"/>
          <w:sz w:val="22"/>
          <w:szCs w:val="22"/>
        </w:rPr>
        <w:t>)</w:t>
      </w:r>
    </w:p>
    <w:tbl>
      <w:tblPr>
        <w:tblStyle w:val="GridTable5Dark-Accent3"/>
        <w:tblW w:w="0" w:type="auto"/>
        <w:tblLook w:val="04A0" w:firstRow="1" w:lastRow="0" w:firstColumn="1" w:lastColumn="0" w:noHBand="0" w:noVBand="1"/>
      </w:tblPr>
      <w:tblGrid>
        <w:gridCol w:w="3650"/>
        <w:gridCol w:w="2417"/>
        <w:gridCol w:w="2949"/>
      </w:tblGrid>
      <w:tr w:rsidR="00EF63E1" w:rsidRPr="00E73B6E" w14:paraId="61120BEB" w14:textId="77777777" w:rsidTr="008303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542814" w14:textId="77777777" w:rsidR="00EF63E1" w:rsidRPr="00E73B6E" w:rsidRDefault="00EF63E1" w:rsidP="00EF63E1">
            <w:pPr>
              <w:spacing w:after="160"/>
            </w:pPr>
            <w:r w:rsidRPr="00E73B6E">
              <w:lastRenderedPageBreak/>
              <w:t>Research Finding</w:t>
            </w:r>
          </w:p>
        </w:tc>
        <w:tc>
          <w:tcPr>
            <w:tcW w:w="0" w:type="auto"/>
            <w:hideMark/>
          </w:tcPr>
          <w:p w14:paraId="4F9272F0" w14:textId="77777777" w:rsidR="00EF63E1" w:rsidRPr="00E73B6E" w:rsidRDefault="00EF63E1" w:rsidP="00EF63E1">
            <w:pPr>
              <w:spacing w:after="160"/>
              <w:cnfStyle w:val="100000000000" w:firstRow="1" w:lastRow="0" w:firstColumn="0" w:lastColumn="0" w:oddVBand="0" w:evenVBand="0" w:oddHBand="0" w:evenHBand="0" w:firstRowFirstColumn="0" w:firstRowLastColumn="0" w:lastRowFirstColumn="0" w:lastRowLastColumn="0"/>
            </w:pPr>
            <w:r w:rsidRPr="00E73B6E">
              <w:t>Initial Codes</w:t>
            </w:r>
          </w:p>
        </w:tc>
        <w:tc>
          <w:tcPr>
            <w:tcW w:w="0" w:type="auto"/>
            <w:hideMark/>
          </w:tcPr>
          <w:p w14:paraId="40503BC7" w14:textId="77777777" w:rsidR="00EF63E1" w:rsidRPr="00E73B6E" w:rsidRDefault="00EF63E1" w:rsidP="00EF63E1">
            <w:pPr>
              <w:spacing w:after="160"/>
              <w:cnfStyle w:val="100000000000" w:firstRow="1" w:lastRow="0" w:firstColumn="0" w:lastColumn="0" w:oddVBand="0" w:evenVBand="0" w:oddHBand="0" w:evenHBand="0" w:firstRowFirstColumn="0" w:firstRowLastColumn="0" w:lastRowFirstColumn="0" w:lastRowLastColumn="0"/>
            </w:pPr>
            <w:r w:rsidRPr="00E73B6E">
              <w:t>Final Theme</w:t>
            </w:r>
          </w:p>
        </w:tc>
      </w:tr>
      <w:tr w:rsidR="00753514" w:rsidRPr="00E73B6E" w14:paraId="0CBC5B8E" w14:textId="77777777" w:rsidTr="00830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603348" w14:textId="77777777" w:rsidR="00753514" w:rsidRPr="00E73B6E" w:rsidRDefault="00753514" w:rsidP="00EF63E1">
            <w:pPr>
              <w:spacing w:after="160"/>
            </w:pPr>
            <w:r w:rsidRPr="00E73B6E">
              <w:t>Patients with limited English may struggle with appointments, letters, consent and treatment advice.</w:t>
            </w:r>
          </w:p>
        </w:tc>
        <w:tc>
          <w:tcPr>
            <w:tcW w:w="0" w:type="auto"/>
            <w:hideMark/>
          </w:tcPr>
          <w:p w14:paraId="619BFCC3" w14:textId="77777777" w:rsidR="00753514" w:rsidRPr="00E73B6E" w:rsidRDefault="00753514" w:rsidP="00EF63E1">
            <w:pPr>
              <w:spacing w:after="160"/>
              <w:cnfStyle w:val="000000100000" w:firstRow="0" w:lastRow="0" w:firstColumn="0" w:lastColumn="0" w:oddVBand="0" w:evenVBand="0" w:oddHBand="1" w:evenHBand="0" w:firstRowFirstColumn="0" w:firstRowLastColumn="0" w:lastRowFirstColumn="0" w:lastRowLastColumn="0"/>
            </w:pPr>
            <w:r w:rsidRPr="00E73B6E">
              <w:t>Limited English, interpreters, consent, NHS letters</w:t>
            </w:r>
          </w:p>
        </w:tc>
        <w:tc>
          <w:tcPr>
            <w:tcW w:w="0" w:type="auto"/>
            <w:vMerge w:val="restart"/>
            <w:hideMark/>
          </w:tcPr>
          <w:p w14:paraId="383CBA1A" w14:textId="77777777" w:rsidR="00753514" w:rsidRPr="00E73B6E" w:rsidRDefault="00753514" w:rsidP="00EF63E1">
            <w:pPr>
              <w:spacing w:after="160"/>
              <w:cnfStyle w:val="000000100000" w:firstRow="0" w:lastRow="0" w:firstColumn="0" w:lastColumn="0" w:oddVBand="0" w:evenVBand="0" w:oddHBand="1" w:evenHBand="0" w:firstRowFirstColumn="0" w:firstRowLastColumn="0" w:lastRowFirstColumn="0" w:lastRowLastColumn="0"/>
            </w:pPr>
            <w:r w:rsidRPr="00E73B6E">
              <w:rPr>
                <w:b/>
                <w:bCs/>
              </w:rPr>
              <w:t>Theme 1: Language Barriers, Communication Difficulties and Patient Safety</w:t>
            </w:r>
          </w:p>
        </w:tc>
      </w:tr>
      <w:tr w:rsidR="00753514" w:rsidRPr="00E73B6E" w14:paraId="7C7A4BEB" w14:textId="77777777" w:rsidTr="008303CA">
        <w:tc>
          <w:tcPr>
            <w:cnfStyle w:val="001000000000" w:firstRow="0" w:lastRow="0" w:firstColumn="1" w:lastColumn="0" w:oddVBand="0" w:evenVBand="0" w:oddHBand="0" w:evenHBand="0" w:firstRowFirstColumn="0" w:firstRowLastColumn="0" w:lastRowFirstColumn="0" w:lastRowLastColumn="0"/>
            <w:tcW w:w="0" w:type="auto"/>
            <w:hideMark/>
          </w:tcPr>
          <w:p w14:paraId="3110FD7A" w14:textId="77777777" w:rsidR="00753514" w:rsidRPr="00E73B6E" w:rsidRDefault="00753514" w:rsidP="00EF63E1">
            <w:pPr>
              <w:spacing w:after="160"/>
            </w:pPr>
            <w:r w:rsidRPr="00E73B6E">
              <w:t>Poor communication can cause misunderstanding, missed appointments and delayed treatment.</w:t>
            </w:r>
          </w:p>
        </w:tc>
        <w:tc>
          <w:tcPr>
            <w:tcW w:w="0" w:type="auto"/>
            <w:hideMark/>
          </w:tcPr>
          <w:p w14:paraId="73D8EF35" w14:textId="77777777" w:rsidR="00753514" w:rsidRPr="00E73B6E" w:rsidRDefault="00753514" w:rsidP="00EF63E1">
            <w:pPr>
              <w:spacing w:after="160"/>
              <w:cnfStyle w:val="000000000000" w:firstRow="0" w:lastRow="0" w:firstColumn="0" w:lastColumn="0" w:oddVBand="0" w:evenVBand="0" w:oddHBand="0" w:evenHBand="0" w:firstRowFirstColumn="0" w:firstRowLastColumn="0" w:lastRowFirstColumn="0" w:lastRowLastColumn="0"/>
            </w:pPr>
            <w:r w:rsidRPr="00E73B6E">
              <w:t>Communication, unclear advice, delays</w:t>
            </w:r>
          </w:p>
        </w:tc>
        <w:tc>
          <w:tcPr>
            <w:tcW w:w="0" w:type="auto"/>
            <w:vMerge/>
            <w:hideMark/>
          </w:tcPr>
          <w:p w14:paraId="645DC5CE" w14:textId="438A66EE" w:rsidR="00753514" w:rsidRPr="00E73B6E" w:rsidRDefault="00753514" w:rsidP="00EF63E1">
            <w:pPr>
              <w:spacing w:after="160"/>
              <w:cnfStyle w:val="000000000000" w:firstRow="0" w:lastRow="0" w:firstColumn="0" w:lastColumn="0" w:oddVBand="0" w:evenVBand="0" w:oddHBand="0" w:evenHBand="0" w:firstRowFirstColumn="0" w:firstRowLastColumn="0" w:lastRowFirstColumn="0" w:lastRowLastColumn="0"/>
            </w:pPr>
          </w:p>
        </w:tc>
      </w:tr>
      <w:tr w:rsidR="003A56E5" w:rsidRPr="00E73B6E" w14:paraId="7ECB2CE0" w14:textId="77777777" w:rsidTr="00830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BF7FA3" w14:textId="77777777" w:rsidR="003A56E5" w:rsidRPr="00E73B6E" w:rsidRDefault="003A56E5" w:rsidP="00EF63E1">
            <w:pPr>
              <w:spacing w:after="160"/>
            </w:pPr>
            <w:r w:rsidRPr="00E73B6E">
              <w:t>Cultural beliefs, religion, stigma and family influence can affect help-seeking.</w:t>
            </w:r>
          </w:p>
        </w:tc>
        <w:tc>
          <w:tcPr>
            <w:tcW w:w="0" w:type="auto"/>
            <w:hideMark/>
          </w:tcPr>
          <w:p w14:paraId="1F90876E" w14:textId="77777777" w:rsidR="003A56E5" w:rsidRPr="00E73B6E" w:rsidRDefault="003A56E5" w:rsidP="00EF63E1">
            <w:pPr>
              <w:spacing w:after="160"/>
              <w:cnfStyle w:val="000000100000" w:firstRow="0" w:lastRow="0" w:firstColumn="0" w:lastColumn="0" w:oddVBand="0" w:evenVBand="0" w:oddHBand="1" w:evenHBand="0" w:firstRowFirstColumn="0" w:firstRowLastColumn="0" w:lastRowFirstColumn="0" w:lastRowLastColumn="0"/>
            </w:pPr>
            <w:r w:rsidRPr="00E73B6E">
              <w:t>Culture, religion, stigma, family</w:t>
            </w:r>
          </w:p>
        </w:tc>
        <w:tc>
          <w:tcPr>
            <w:tcW w:w="0" w:type="auto"/>
            <w:vMerge w:val="restart"/>
            <w:hideMark/>
          </w:tcPr>
          <w:p w14:paraId="06A83A24" w14:textId="77777777" w:rsidR="003A56E5" w:rsidRPr="00E73B6E" w:rsidRDefault="003A56E5" w:rsidP="00EF63E1">
            <w:pPr>
              <w:spacing w:after="160"/>
              <w:cnfStyle w:val="000000100000" w:firstRow="0" w:lastRow="0" w:firstColumn="0" w:lastColumn="0" w:oddVBand="0" w:evenVBand="0" w:oddHBand="1" w:evenHBand="0" w:firstRowFirstColumn="0" w:firstRowLastColumn="0" w:lastRowFirstColumn="0" w:lastRowLastColumn="0"/>
            </w:pPr>
            <w:r w:rsidRPr="00E73B6E">
              <w:rPr>
                <w:b/>
                <w:bCs/>
              </w:rPr>
              <w:t>Theme 2: Cultural Beliefs, Health Literacy and Mistrust</w:t>
            </w:r>
          </w:p>
        </w:tc>
      </w:tr>
      <w:tr w:rsidR="003A56E5" w:rsidRPr="00E73B6E" w14:paraId="06D1ACF6" w14:textId="77777777" w:rsidTr="008303CA">
        <w:tc>
          <w:tcPr>
            <w:cnfStyle w:val="001000000000" w:firstRow="0" w:lastRow="0" w:firstColumn="1" w:lastColumn="0" w:oddVBand="0" w:evenVBand="0" w:oddHBand="0" w:evenHBand="0" w:firstRowFirstColumn="0" w:firstRowLastColumn="0" w:lastRowFirstColumn="0" w:lastRowLastColumn="0"/>
            <w:tcW w:w="0" w:type="auto"/>
            <w:hideMark/>
          </w:tcPr>
          <w:p w14:paraId="5385773F" w14:textId="77777777" w:rsidR="003A56E5" w:rsidRPr="00E73B6E" w:rsidRDefault="003A56E5" w:rsidP="00EF63E1">
            <w:pPr>
              <w:spacing w:after="160"/>
            </w:pPr>
            <w:r w:rsidRPr="00E73B6E">
              <w:t>Low health literacy can reduce understanding of screening, vaccination and medication.</w:t>
            </w:r>
          </w:p>
        </w:tc>
        <w:tc>
          <w:tcPr>
            <w:tcW w:w="0" w:type="auto"/>
            <w:hideMark/>
          </w:tcPr>
          <w:p w14:paraId="423C9F0D" w14:textId="77777777" w:rsidR="003A56E5" w:rsidRPr="00E73B6E" w:rsidRDefault="003A56E5" w:rsidP="00EF63E1">
            <w:pPr>
              <w:spacing w:after="160"/>
              <w:cnfStyle w:val="000000000000" w:firstRow="0" w:lastRow="0" w:firstColumn="0" w:lastColumn="0" w:oddVBand="0" w:evenVBand="0" w:oddHBand="0" w:evenHBand="0" w:firstRowFirstColumn="0" w:firstRowLastColumn="0" w:lastRowFirstColumn="0" w:lastRowLastColumn="0"/>
            </w:pPr>
            <w:r w:rsidRPr="00E73B6E">
              <w:t>Health literacy, screening, vaccination</w:t>
            </w:r>
          </w:p>
        </w:tc>
        <w:tc>
          <w:tcPr>
            <w:tcW w:w="0" w:type="auto"/>
            <w:vMerge/>
            <w:hideMark/>
          </w:tcPr>
          <w:p w14:paraId="2AAE9688" w14:textId="0B61F316" w:rsidR="003A56E5" w:rsidRPr="00E73B6E" w:rsidRDefault="003A56E5" w:rsidP="00EF63E1">
            <w:pPr>
              <w:spacing w:after="160"/>
              <w:cnfStyle w:val="000000000000" w:firstRow="0" w:lastRow="0" w:firstColumn="0" w:lastColumn="0" w:oddVBand="0" w:evenVBand="0" w:oddHBand="0" w:evenHBand="0" w:firstRowFirstColumn="0" w:firstRowLastColumn="0" w:lastRowFirstColumn="0" w:lastRowLastColumn="0"/>
            </w:pPr>
          </w:p>
        </w:tc>
      </w:tr>
      <w:tr w:rsidR="003A56E5" w:rsidRPr="00E73B6E" w14:paraId="036AEB9F" w14:textId="77777777" w:rsidTr="00830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50CC5" w14:textId="77777777" w:rsidR="003A56E5" w:rsidRPr="00E73B6E" w:rsidRDefault="003A56E5" w:rsidP="00EF63E1">
            <w:pPr>
              <w:spacing w:after="160"/>
            </w:pPr>
            <w:r w:rsidRPr="00E73B6E">
              <w:t>Mistrust can develop from discrimination, poor communication and negative experiences.</w:t>
            </w:r>
          </w:p>
        </w:tc>
        <w:tc>
          <w:tcPr>
            <w:tcW w:w="0" w:type="auto"/>
            <w:hideMark/>
          </w:tcPr>
          <w:p w14:paraId="5227AC45" w14:textId="77777777" w:rsidR="003A56E5" w:rsidRPr="00E73B6E" w:rsidRDefault="003A56E5" w:rsidP="00EF63E1">
            <w:pPr>
              <w:spacing w:after="160"/>
              <w:cnfStyle w:val="000000100000" w:firstRow="0" w:lastRow="0" w:firstColumn="0" w:lastColumn="0" w:oddVBand="0" w:evenVBand="0" w:oddHBand="1" w:evenHBand="0" w:firstRowFirstColumn="0" w:firstRowLastColumn="0" w:lastRowFirstColumn="0" w:lastRowLastColumn="0"/>
            </w:pPr>
            <w:r w:rsidRPr="00E73B6E">
              <w:t>Mistrust, fear, negative experience</w:t>
            </w:r>
          </w:p>
        </w:tc>
        <w:tc>
          <w:tcPr>
            <w:tcW w:w="0" w:type="auto"/>
            <w:vMerge/>
            <w:hideMark/>
          </w:tcPr>
          <w:p w14:paraId="5708B093" w14:textId="0C1B707E" w:rsidR="003A56E5" w:rsidRPr="00E73B6E" w:rsidRDefault="003A56E5" w:rsidP="00EF63E1">
            <w:pPr>
              <w:spacing w:after="160"/>
              <w:cnfStyle w:val="000000100000" w:firstRow="0" w:lastRow="0" w:firstColumn="0" w:lastColumn="0" w:oddVBand="0" w:evenVBand="0" w:oddHBand="1" w:evenHBand="0" w:firstRowFirstColumn="0" w:firstRowLastColumn="0" w:lastRowFirstColumn="0" w:lastRowLastColumn="0"/>
            </w:pPr>
          </w:p>
        </w:tc>
      </w:tr>
      <w:tr w:rsidR="00126847" w:rsidRPr="00E73B6E" w14:paraId="18A13634" w14:textId="77777777" w:rsidTr="008303CA">
        <w:tc>
          <w:tcPr>
            <w:cnfStyle w:val="001000000000" w:firstRow="0" w:lastRow="0" w:firstColumn="1" w:lastColumn="0" w:oddVBand="0" w:evenVBand="0" w:oddHBand="0" w:evenHBand="0" w:firstRowFirstColumn="0" w:firstRowLastColumn="0" w:lastRowFirstColumn="0" w:lastRowLastColumn="0"/>
            <w:tcW w:w="0" w:type="auto"/>
            <w:hideMark/>
          </w:tcPr>
          <w:p w14:paraId="37DDDBAC" w14:textId="77777777" w:rsidR="00126847" w:rsidRPr="00E73B6E" w:rsidRDefault="00126847" w:rsidP="00EF63E1">
            <w:pPr>
              <w:spacing w:after="160"/>
            </w:pPr>
            <w:r w:rsidRPr="00E73B6E">
              <w:t>Ethnic minority patients may face racism, stereotyping or unequal treatment.</w:t>
            </w:r>
          </w:p>
        </w:tc>
        <w:tc>
          <w:tcPr>
            <w:tcW w:w="0" w:type="auto"/>
            <w:hideMark/>
          </w:tcPr>
          <w:p w14:paraId="55413611" w14:textId="77777777" w:rsidR="00126847" w:rsidRPr="00E73B6E" w:rsidRDefault="00126847" w:rsidP="00EF63E1">
            <w:pPr>
              <w:spacing w:after="160"/>
              <w:cnfStyle w:val="000000000000" w:firstRow="0" w:lastRow="0" w:firstColumn="0" w:lastColumn="0" w:oddVBand="0" w:evenVBand="0" w:oddHBand="0" w:evenHBand="0" w:firstRowFirstColumn="0" w:firstRowLastColumn="0" w:lastRowFirstColumn="0" w:lastRowLastColumn="0"/>
            </w:pPr>
            <w:r w:rsidRPr="00E73B6E">
              <w:t>Racism, discrimination, stereotyping</w:t>
            </w:r>
          </w:p>
        </w:tc>
        <w:tc>
          <w:tcPr>
            <w:tcW w:w="0" w:type="auto"/>
            <w:vMerge w:val="restart"/>
            <w:hideMark/>
          </w:tcPr>
          <w:p w14:paraId="41C4092F" w14:textId="77777777" w:rsidR="00126847" w:rsidRPr="00E73B6E" w:rsidRDefault="00126847" w:rsidP="00EF63E1">
            <w:pPr>
              <w:spacing w:after="160"/>
              <w:cnfStyle w:val="000000000000" w:firstRow="0" w:lastRow="0" w:firstColumn="0" w:lastColumn="0" w:oddVBand="0" w:evenVBand="0" w:oddHBand="0" w:evenHBand="0" w:firstRowFirstColumn="0" w:firstRowLastColumn="0" w:lastRowFirstColumn="0" w:lastRowLastColumn="0"/>
            </w:pPr>
            <w:r w:rsidRPr="00E73B6E">
              <w:rPr>
                <w:b/>
                <w:bCs/>
              </w:rPr>
              <w:t>Theme 3: Discrimination, Policy Gaps and Culturally Responsive Care</w:t>
            </w:r>
          </w:p>
        </w:tc>
      </w:tr>
      <w:tr w:rsidR="00126847" w:rsidRPr="00E73B6E" w14:paraId="7511851F" w14:textId="77777777" w:rsidTr="00830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A93278" w14:textId="77777777" w:rsidR="00126847" w:rsidRPr="00E73B6E" w:rsidRDefault="00126847" w:rsidP="00EF63E1">
            <w:pPr>
              <w:spacing w:after="160"/>
            </w:pPr>
            <w:r w:rsidRPr="00E73B6E">
              <w:t>NHS policies exist, but implementation is inconsistent across services.</w:t>
            </w:r>
          </w:p>
        </w:tc>
        <w:tc>
          <w:tcPr>
            <w:tcW w:w="0" w:type="auto"/>
            <w:hideMark/>
          </w:tcPr>
          <w:p w14:paraId="25020DAC" w14:textId="77777777" w:rsidR="00126847" w:rsidRPr="00E73B6E" w:rsidRDefault="00126847" w:rsidP="00EF63E1">
            <w:pPr>
              <w:spacing w:after="160"/>
              <w:cnfStyle w:val="000000100000" w:firstRow="0" w:lastRow="0" w:firstColumn="0" w:lastColumn="0" w:oddVBand="0" w:evenVBand="0" w:oddHBand="1" w:evenHBand="0" w:firstRowFirstColumn="0" w:firstRowLastColumn="0" w:lastRowFirstColumn="0" w:lastRowLastColumn="0"/>
            </w:pPr>
            <w:r w:rsidRPr="00E73B6E">
              <w:t>Policy gaps, local variation, accountability</w:t>
            </w:r>
          </w:p>
        </w:tc>
        <w:tc>
          <w:tcPr>
            <w:tcW w:w="0" w:type="auto"/>
            <w:vMerge/>
            <w:hideMark/>
          </w:tcPr>
          <w:p w14:paraId="5AD33E7F" w14:textId="7D19C797" w:rsidR="00126847" w:rsidRPr="00E73B6E" w:rsidRDefault="00126847" w:rsidP="00EF63E1">
            <w:pPr>
              <w:spacing w:after="160"/>
              <w:cnfStyle w:val="000000100000" w:firstRow="0" w:lastRow="0" w:firstColumn="0" w:lastColumn="0" w:oddVBand="0" w:evenVBand="0" w:oddHBand="1" w:evenHBand="0" w:firstRowFirstColumn="0" w:firstRowLastColumn="0" w:lastRowFirstColumn="0" w:lastRowLastColumn="0"/>
            </w:pPr>
          </w:p>
        </w:tc>
      </w:tr>
      <w:tr w:rsidR="00126847" w:rsidRPr="00E73B6E" w14:paraId="214D743B" w14:textId="77777777" w:rsidTr="008303CA">
        <w:tc>
          <w:tcPr>
            <w:cnfStyle w:val="001000000000" w:firstRow="0" w:lastRow="0" w:firstColumn="1" w:lastColumn="0" w:oddVBand="0" w:evenVBand="0" w:oddHBand="0" w:evenHBand="0" w:firstRowFirstColumn="0" w:firstRowLastColumn="0" w:lastRowFirstColumn="0" w:lastRowLastColumn="0"/>
            <w:tcW w:w="0" w:type="auto"/>
            <w:hideMark/>
          </w:tcPr>
          <w:p w14:paraId="3C2CE12F" w14:textId="77777777" w:rsidR="00126847" w:rsidRPr="00E73B6E" w:rsidRDefault="00126847" w:rsidP="00EF63E1">
            <w:pPr>
              <w:spacing w:after="160"/>
            </w:pPr>
            <w:r w:rsidRPr="00E73B6E">
              <w:t>Culturally responsive care and community outreach can improve trust and access.</w:t>
            </w:r>
          </w:p>
        </w:tc>
        <w:tc>
          <w:tcPr>
            <w:tcW w:w="0" w:type="auto"/>
            <w:hideMark/>
          </w:tcPr>
          <w:p w14:paraId="20C7A9B5" w14:textId="77777777" w:rsidR="00126847" w:rsidRPr="00E73B6E" w:rsidRDefault="00126847" w:rsidP="00EF63E1">
            <w:pPr>
              <w:spacing w:after="160"/>
              <w:cnfStyle w:val="000000000000" w:firstRow="0" w:lastRow="0" w:firstColumn="0" w:lastColumn="0" w:oddVBand="0" w:evenVBand="0" w:oddHBand="0" w:evenHBand="0" w:firstRowFirstColumn="0" w:firstRowLastColumn="0" w:lastRowFirstColumn="0" w:lastRowLastColumn="0"/>
            </w:pPr>
            <w:r w:rsidRPr="00E73B6E">
              <w:t>Cultural competence, outreach, anti-racism</w:t>
            </w:r>
          </w:p>
        </w:tc>
        <w:tc>
          <w:tcPr>
            <w:tcW w:w="0" w:type="auto"/>
            <w:vMerge/>
            <w:hideMark/>
          </w:tcPr>
          <w:p w14:paraId="26C6523B" w14:textId="353E0467" w:rsidR="00126847" w:rsidRPr="00E73B6E" w:rsidRDefault="00126847" w:rsidP="00EF63E1">
            <w:pPr>
              <w:spacing w:after="160"/>
              <w:cnfStyle w:val="000000000000" w:firstRow="0" w:lastRow="0" w:firstColumn="0" w:lastColumn="0" w:oddVBand="0" w:evenVBand="0" w:oddHBand="0" w:evenHBand="0" w:firstRowFirstColumn="0" w:firstRowLastColumn="0" w:lastRowFirstColumn="0" w:lastRowLastColumn="0"/>
            </w:pPr>
          </w:p>
        </w:tc>
      </w:tr>
    </w:tbl>
    <w:p w14:paraId="20A22E66" w14:textId="6A4FBC55" w:rsidR="00DE4F31" w:rsidRPr="00096667" w:rsidRDefault="00DE4F31" w:rsidP="00DB0BCD">
      <w:pPr>
        <w:pStyle w:val="Caption"/>
        <w:spacing w:before="240" w:line="360" w:lineRule="auto"/>
        <w:jc w:val="center"/>
        <w:rPr>
          <w:rFonts w:asciiTheme="minorBidi" w:hAnsiTheme="minorBidi"/>
          <w:b/>
          <w:bCs/>
          <w:i w:val="0"/>
          <w:iCs w:val="0"/>
          <w:color w:val="auto"/>
          <w:sz w:val="22"/>
          <w:szCs w:val="22"/>
        </w:rPr>
      </w:pPr>
      <w:bookmarkStart w:id="38" w:name="_Toc232124649"/>
      <w:r w:rsidRPr="00096667">
        <w:rPr>
          <w:rFonts w:asciiTheme="minorBidi" w:hAnsiTheme="minorBidi"/>
          <w:b/>
          <w:bCs/>
          <w:i w:val="0"/>
          <w:iCs w:val="0"/>
          <w:color w:val="auto"/>
          <w:sz w:val="22"/>
          <w:szCs w:val="22"/>
        </w:rPr>
        <w:t xml:space="preserve">Table </w:t>
      </w:r>
      <w:r w:rsidRPr="00096667">
        <w:rPr>
          <w:rFonts w:asciiTheme="minorBidi" w:hAnsiTheme="minorBidi"/>
          <w:b/>
          <w:bCs/>
          <w:i w:val="0"/>
          <w:iCs w:val="0"/>
          <w:color w:val="auto"/>
          <w:sz w:val="22"/>
          <w:szCs w:val="22"/>
        </w:rPr>
        <w:fldChar w:fldCharType="begin"/>
      </w:r>
      <w:r w:rsidRPr="00096667">
        <w:rPr>
          <w:rFonts w:asciiTheme="minorBidi" w:hAnsiTheme="minorBidi"/>
          <w:b/>
          <w:bCs/>
          <w:i w:val="0"/>
          <w:iCs w:val="0"/>
          <w:color w:val="auto"/>
          <w:sz w:val="22"/>
          <w:szCs w:val="22"/>
        </w:rPr>
        <w:instrText xml:space="preserve"> SEQ Table \* ARABIC </w:instrText>
      </w:r>
      <w:r w:rsidRPr="00096667">
        <w:rPr>
          <w:rFonts w:asciiTheme="minorBidi" w:hAnsiTheme="minorBidi"/>
          <w:b/>
          <w:bCs/>
          <w:i w:val="0"/>
          <w:iCs w:val="0"/>
          <w:color w:val="auto"/>
          <w:sz w:val="22"/>
          <w:szCs w:val="22"/>
        </w:rPr>
        <w:fldChar w:fldCharType="separate"/>
      </w:r>
      <w:r w:rsidR="00D0501D" w:rsidRPr="00096667">
        <w:rPr>
          <w:rFonts w:asciiTheme="minorBidi" w:hAnsiTheme="minorBidi"/>
          <w:b/>
          <w:bCs/>
          <w:i w:val="0"/>
          <w:iCs w:val="0"/>
          <w:noProof/>
          <w:color w:val="auto"/>
          <w:sz w:val="22"/>
          <w:szCs w:val="22"/>
        </w:rPr>
        <w:t>3</w:t>
      </w:r>
      <w:r w:rsidRPr="00096667">
        <w:rPr>
          <w:rFonts w:asciiTheme="minorBidi" w:hAnsiTheme="minorBidi"/>
          <w:b/>
          <w:bCs/>
          <w:i w:val="0"/>
          <w:iCs w:val="0"/>
          <w:color w:val="auto"/>
          <w:sz w:val="22"/>
          <w:szCs w:val="22"/>
        </w:rPr>
        <w:fldChar w:fldCharType="end"/>
      </w:r>
      <w:r w:rsidRPr="00096667">
        <w:rPr>
          <w:rFonts w:asciiTheme="minorBidi" w:hAnsiTheme="minorBidi"/>
          <w:b/>
          <w:bCs/>
          <w:i w:val="0"/>
          <w:iCs w:val="0"/>
          <w:color w:val="auto"/>
          <w:sz w:val="22"/>
          <w:szCs w:val="22"/>
        </w:rPr>
        <w:t xml:space="preserve"> Thematic Coding Table</w:t>
      </w:r>
      <w:bookmarkEnd w:id="38"/>
    </w:p>
    <w:p w14:paraId="240D85DF" w14:textId="1AFE1617" w:rsidR="002F4250" w:rsidRPr="00096667" w:rsidRDefault="00DE4F31" w:rsidP="00DB0BCD">
      <w:pPr>
        <w:pStyle w:val="Caption"/>
        <w:spacing w:before="240" w:line="360" w:lineRule="auto"/>
        <w:jc w:val="center"/>
        <w:rPr>
          <w:rFonts w:asciiTheme="minorBidi" w:hAnsiTheme="minorBidi"/>
          <w:b/>
          <w:bCs/>
          <w:i w:val="0"/>
          <w:iCs w:val="0"/>
          <w:color w:val="auto"/>
          <w:sz w:val="22"/>
          <w:szCs w:val="22"/>
        </w:rPr>
      </w:pPr>
      <w:r w:rsidRPr="00096667">
        <w:rPr>
          <w:rFonts w:asciiTheme="minorBidi" w:hAnsiTheme="minorBidi"/>
          <w:b/>
          <w:bCs/>
          <w:i w:val="0"/>
          <w:iCs w:val="0"/>
          <w:color w:val="auto"/>
          <w:sz w:val="22"/>
          <w:szCs w:val="22"/>
        </w:rPr>
        <w:t>Source: Author</w:t>
      </w:r>
    </w:p>
    <w:tbl>
      <w:tblPr>
        <w:tblStyle w:val="GridTable5Dark-Accent1"/>
        <w:tblW w:w="0" w:type="auto"/>
        <w:tblLook w:val="04A0" w:firstRow="1" w:lastRow="0" w:firstColumn="1" w:lastColumn="0" w:noHBand="0" w:noVBand="1"/>
      </w:tblPr>
      <w:tblGrid>
        <w:gridCol w:w="2541"/>
        <w:gridCol w:w="3269"/>
        <w:gridCol w:w="3206"/>
      </w:tblGrid>
      <w:tr w:rsidR="009369B1" w:rsidRPr="00E73B6E" w14:paraId="350FCE7B" w14:textId="77777777" w:rsidTr="00A146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6FB68C" w14:textId="77777777" w:rsidR="009369B1" w:rsidRPr="00E73B6E" w:rsidRDefault="009369B1" w:rsidP="009369B1">
            <w:pPr>
              <w:spacing w:after="160"/>
            </w:pPr>
            <w:r w:rsidRPr="00E73B6E">
              <w:lastRenderedPageBreak/>
              <w:t>Theme</w:t>
            </w:r>
          </w:p>
        </w:tc>
        <w:tc>
          <w:tcPr>
            <w:tcW w:w="0" w:type="auto"/>
            <w:hideMark/>
          </w:tcPr>
          <w:p w14:paraId="37BAFACB" w14:textId="77777777" w:rsidR="009369B1" w:rsidRPr="00E73B6E" w:rsidRDefault="009369B1" w:rsidP="009369B1">
            <w:pPr>
              <w:spacing w:after="160"/>
              <w:cnfStyle w:val="100000000000" w:firstRow="1" w:lastRow="0" w:firstColumn="0" w:lastColumn="0" w:oddVBand="0" w:evenVBand="0" w:oddHBand="0" w:evenHBand="0" w:firstRowFirstColumn="0" w:firstRowLastColumn="0" w:lastRowFirstColumn="0" w:lastRowLastColumn="0"/>
            </w:pPr>
            <w:r w:rsidRPr="00E73B6E">
              <w:t>Main Finding</w:t>
            </w:r>
          </w:p>
        </w:tc>
        <w:tc>
          <w:tcPr>
            <w:tcW w:w="0" w:type="auto"/>
            <w:hideMark/>
          </w:tcPr>
          <w:p w14:paraId="1B3400CF" w14:textId="77777777" w:rsidR="009369B1" w:rsidRPr="00E73B6E" w:rsidRDefault="009369B1" w:rsidP="009369B1">
            <w:pPr>
              <w:spacing w:after="160"/>
              <w:cnfStyle w:val="100000000000" w:firstRow="1" w:lastRow="0" w:firstColumn="0" w:lastColumn="0" w:oddVBand="0" w:evenVBand="0" w:oddHBand="0" w:evenHBand="0" w:firstRowFirstColumn="0" w:firstRowLastColumn="0" w:lastRowFirstColumn="0" w:lastRowLastColumn="0"/>
            </w:pPr>
            <w:r w:rsidRPr="00E73B6E">
              <w:t>Impact</w:t>
            </w:r>
          </w:p>
        </w:tc>
      </w:tr>
      <w:tr w:rsidR="009369B1" w:rsidRPr="00E73B6E" w14:paraId="726C7F50" w14:textId="77777777" w:rsidTr="00A146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7110E3" w14:textId="77777777" w:rsidR="009369B1" w:rsidRPr="00E73B6E" w:rsidRDefault="009369B1" w:rsidP="009369B1">
            <w:pPr>
              <w:spacing w:after="160"/>
            </w:pPr>
            <w:r w:rsidRPr="00E73B6E">
              <w:t>Theme 1: Language Barriers and Patient Safety</w:t>
            </w:r>
          </w:p>
        </w:tc>
        <w:tc>
          <w:tcPr>
            <w:tcW w:w="0" w:type="auto"/>
            <w:hideMark/>
          </w:tcPr>
          <w:p w14:paraId="1EA1A3E4" w14:textId="77777777" w:rsidR="009369B1" w:rsidRPr="00E73B6E" w:rsidRDefault="009369B1" w:rsidP="009369B1">
            <w:pPr>
              <w:spacing w:after="160"/>
              <w:cnfStyle w:val="000000100000" w:firstRow="0" w:lastRow="0" w:firstColumn="0" w:lastColumn="0" w:oddVBand="0" w:evenVBand="0" w:oddHBand="1" w:evenHBand="0" w:firstRowFirstColumn="0" w:firstRowLastColumn="0" w:lastRowFirstColumn="0" w:lastRowLastColumn="0"/>
            </w:pPr>
            <w:r w:rsidRPr="00E73B6E">
              <w:t>Limited English, lack of interpreters and untranslated NHS information affect communication.</w:t>
            </w:r>
          </w:p>
        </w:tc>
        <w:tc>
          <w:tcPr>
            <w:tcW w:w="0" w:type="auto"/>
            <w:hideMark/>
          </w:tcPr>
          <w:p w14:paraId="3A1929FC" w14:textId="77777777" w:rsidR="009369B1" w:rsidRPr="00E73B6E" w:rsidRDefault="009369B1" w:rsidP="009369B1">
            <w:pPr>
              <w:spacing w:after="160"/>
              <w:cnfStyle w:val="000000100000" w:firstRow="0" w:lastRow="0" w:firstColumn="0" w:lastColumn="0" w:oddVBand="0" w:evenVBand="0" w:oddHBand="1" w:evenHBand="0" w:firstRowFirstColumn="0" w:firstRowLastColumn="0" w:lastRowFirstColumn="0" w:lastRowLastColumn="0"/>
            </w:pPr>
            <w:r w:rsidRPr="00E73B6E">
              <w:t>Leads to misunderstanding, missed appointments, poor consent and safety risks.</w:t>
            </w:r>
          </w:p>
        </w:tc>
      </w:tr>
      <w:tr w:rsidR="009369B1" w:rsidRPr="00E73B6E" w14:paraId="57C48248" w14:textId="77777777" w:rsidTr="00A14614">
        <w:tc>
          <w:tcPr>
            <w:cnfStyle w:val="001000000000" w:firstRow="0" w:lastRow="0" w:firstColumn="1" w:lastColumn="0" w:oddVBand="0" w:evenVBand="0" w:oddHBand="0" w:evenHBand="0" w:firstRowFirstColumn="0" w:firstRowLastColumn="0" w:lastRowFirstColumn="0" w:lastRowLastColumn="0"/>
            <w:tcW w:w="0" w:type="auto"/>
            <w:hideMark/>
          </w:tcPr>
          <w:p w14:paraId="475D06F0" w14:textId="77777777" w:rsidR="009369B1" w:rsidRPr="00E73B6E" w:rsidRDefault="009369B1" w:rsidP="009369B1">
            <w:pPr>
              <w:spacing w:after="160"/>
            </w:pPr>
            <w:r w:rsidRPr="00E73B6E">
              <w:t>Theme 2: Cultural Beliefs, Health Literacy and Mistrust</w:t>
            </w:r>
          </w:p>
        </w:tc>
        <w:tc>
          <w:tcPr>
            <w:tcW w:w="0" w:type="auto"/>
            <w:hideMark/>
          </w:tcPr>
          <w:p w14:paraId="56E00E29" w14:textId="77777777" w:rsidR="009369B1" w:rsidRPr="00E73B6E" w:rsidRDefault="009369B1" w:rsidP="009369B1">
            <w:pPr>
              <w:spacing w:after="160"/>
              <w:cnfStyle w:val="000000000000" w:firstRow="0" w:lastRow="0" w:firstColumn="0" w:lastColumn="0" w:oddVBand="0" w:evenVBand="0" w:oddHBand="0" w:evenHBand="0" w:firstRowFirstColumn="0" w:firstRowLastColumn="0" w:lastRowFirstColumn="0" w:lastRowLastColumn="0"/>
            </w:pPr>
            <w:r w:rsidRPr="00E73B6E">
              <w:t>Cultural beliefs, stigma, low health literacy and mistrust reduce confidence in services.</w:t>
            </w:r>
          </w:p>
        </w:tc>
        <w:tc>
          <w:tcPr>
            <w:tcW w:w="0" w:type="auto"/>
            <w:hideMark/>
          </w:tcPr>
          <w:p w14:paraId="6C8C2717" w14:textId="77777777" w:rsidR="009369B1" w:rsidRPr="00E73B6E" w:rsidRDefault="009369B1" w:rsidP="009369B1">
            <w:pPr>
              <w:spacing w:after="160"/>
              <w:cnfStyle w:val="000000000000" w:firstRow="0" w:lastRow="0" w:firstColumn="0" w:lastColumn="0" w:oddVBand="0" w:evenVBand="0" w:oddHBand="0" w:evenHBand="0" w:firstRowFirstColumn="0" w:firstRowLastColumn="0" w:lastRowFirstColumn="0" w:lastRowLastColumn="0"/>
            </w:pPr>
            <w:r w:rsidRPr="00E73B6E">
              <w:t>Reduces use of screening, vaccination, mental health support and early care.</w:t>
            </w:r>
          </w:p>
        </w:tc>
      </w:tr>
      <w:tr w:rsidR="009369B1" w:rsidRPr="00E73B6E" w14:paraId="5B378F68" w14:textId="77777777" w:rsidTr="00A146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C6F7C6" w14:textId="77777777" w:rsidR="009369B1" w:rsidRPr="00E73B6E" w:rsidRDefault="009369B1" w:rsidP="009369B1">
            <w:pPr>
              <w:spacing w:after="160"/>
            </w:pPr>
            <w:r w:rsidRPr="00E73B6E">
              <w:t>Theme 3: Discrimination and Culturally Responsive Care</w:t>
            </w:r>
          </w:p>
        </w:tc>
        <w:tc>
          <w:tcPr>
            <w:tcW w:w="0" w:type="auto"/>
            <w:hideMark/>
          </w:tcPr>
          <w:p w14:paraId="741C24D1" w14:textId="77777777" w:rsidR="009369B1" w:rsidRPr="00E73B6E" w:rsidRDefault="009369B1" w:rsidP="009369B1">
            <w:pPr>
              <w:spacing w:after="160"/>
              <w:cnfStyle w:val="000000100000" w:firstRow="0" w:lastRow="0" w:firstColumn="0" w:lastColumn="0" w:oddVBand="0" w:evenVBand="0" w:oddHBand="1" w:evenHBand="0" w:firstRowFirstColumn="0" w:firstRowLastColumn="0" w:lastRowFirstColumn="0" w:lastRowLastColumn="0"/>
            </w:pPr>
            <w:r w:rsidRPr="00E73B6E">
              <w:t>Discrimination, policy gaps and inconsistent cultural support affect patient experience.</w:t>
            </w:r>
          </w:p>
        </w:tc>
        <w:tc>
          <w:tcPr>
            <w:tcW w:w="0" w:type="auto"/>
            <w:hideMark/>
          </w:tcPr>
          <w:p w14:paraId="76BD6779" w14:textId="77777777" w:rsidR="009369B1" w:rsidRPr="00E73B6E" w:rsidRDefault="009369B1" w:rsidP="009369B1">
            <w:pPr>
              <w:spacing w:after="160"/>
              <w:cnfStyle w:val="000000100000" w:firstRow="0" w:lastRow="0" w:firstColumn="0" w:lastColumn="0" w:oddVBand="0" w:evenVBand="0" w:oddHBand="1" w:evenHBand="0" w:firstRowFirstColumn="0" w:firstRowLastColumn="0" w:lastRowFirstColumn="0" w:lastRowLastColumn="0"/>
            </w:pPr>
            <w:r w:rsidRPr="00E73B6E">
              <w:t>Reduces trust and contributes to unequal healthcare outcomes.</w:t>
            </w:r>
          </w:p>
        </w:tc>
      </w:tr>
    </w:tbl>
    <w:p w14:paraId="5FA49E45" w14:textId="77777777" w:rsidR="00714039" w:rsidRPr="00C3097F" w:rsidRDefault="00D0501D" w:rsidP="00E108E8">
      <w:pPr>
        <w:pStyle w:val="Caption"/>
        <w:spacing w:before="240" w:line="360" w:lineRule="auto"/>
        <w:jc w:val="center"/>
        <w:rPr>
          <w:rFonts w:asciiTheme="minorBidi" w:hAnsiTheme="minorBidi"/>
          <w:b/>
          <w:bCs/>
          <w:i w:val="0"/>
          <w:iCs w:val="0"/>
          <w:color w:val="auto"/>
          <w:sz w:val="22"/>
          <w:szCs w:val="22"/>
        </w:rPr>
      </w:pPr>
      <w:bookmarkStart w:id="39" w:name="_Toc232124650"/>
      <w:r w:rsidRPr="00C3097F">
        <w:rPr>
          <w:rFonts w:asciiTheme="minorBidi" w:hAnsiTheme="minorBidi"/>
          <w:b/>
          <w:bCs/>
          <w:i w:val="0"/>
          <w:iCs w:val="0"/>
          <w:color w:val="auto"/>
          <w:sz w:val="22"/>
          <w:szCs w:val="22"/>
        </w:rPr>
        <w:t xml:space="preserve">Table </w:t>
      </w:r>
      <w:r w:rsidRPr="00C3097F">
        <w:rPr>
          <w:rFonts w:asciiTheme="minorBidi" w:hAnsiTheme="minorBidi"/>
          <w:b/>
          <w:bCs/>
          <w:i w:val="0"/>
          <w:iCs w:val="0"/>
          <w:color w:val="auto"/>
          <w:sz w:val="22"/>
          <w:szCs w:val="22"/>
        </w:rPr>
        <w:fldChar w:fldCharType="begin"/>
      </w:r>
      <w:r w:rsidRPr="00C3097F">
        <w:rPr>
          <w:rFonts w:asciiTheme="minorBidi" w:hAnsiTheme="minorBidi"/>
          <w:b/>
          <w:bCs/>
          <w:i w:val="0"/>
          <w:iCs w:val="0"/>
          <w:color w:val="auto"/>
          <w:sz w:val="22"/>
          <w:szCs w:val="22"/>
        </w:rPr>
        <w:instrText xml:space="preserve"> SEQ Table \* ARABIC </w:instrText>
      </w:r>
      <w:r w:rsidRPr="00C3097F">
        <w:rPr>
          <w:rFonts w:asciiTheme="minorBidi" w:hAnsiTheme="minorBidi"/>
          <w:b/>
          <w:bCs/>
          <w:i w:val="0"/>
          <w:iCs w:val="0"/>
          <w:color w:val="auto"/>
          <w:sz w:val="22"/>
          <w:szCs w:val="22"/>
        </w:rPr>
        <w:fldChar w:fldCharType="separate"/>
      </w:r>
      <w:r w:rsidRPr="00C3097F">
        <w:rPr>
          <w:rFonts w:asciiTheme="minorBidi" w:hAnsiTheme="minorBidi"/>
          <w:b/>
          <w:bCs/>
          <w:i w:val="0"/>
          <w:iCs w:val="0"/>
          <w:noProof/>
          <w:color w:val="auto"/>
          <w:sz w:val="22"/>
          <w:szCs w:val="22"/>
        </w:rPr>
        <w:t>4</w:t>
      </w:r>
      <w:r w:rsidRPr="00C3097F">
        <w:rPr>
          <w:rFonts w:asciiTheme="minorBidi" w:hAnsiTheme="minorBidi"/>
          <w:b/>
          <w:bCs/>
          <w:i w:val="0"/>
          <w:iCs w:val="0"/>
          <w:color w:val="auto"/>
          <w:sz w:val="22"/>
          <w:szCs w:val="22"/>
        </w:rPr>
        <w:fldChar w:fldCharType="end"/>
      </w:r>
      <w:r w:rsidRPr="00C3097F">
        <w:rPr>
          <w:rFonts w:asciiTheme="minorBidi" w:hAnsiTheme="minorBidi"/>
          <w:b/>
          <w:bCs/>
          <w:i w:val="0"/>
          <w:iCs w:val="0"/>
          <w:color w:val="auto"/>
          <w:sz w:val="22"/>
          <w:szCs w:val="22"/>
        </w:rPr>
        <w:t xml:space="preserve"> Summary of Findings by Theme</w:t>
      </w:r>
      <w:bookmarkEnd w:id="39"/>
    </w:p>
    <w:p w14:paraId="422A3E17" w14:textId="78689838" w:rsidR="00A14614" w:rsidRPr="00C3097F" w:rsidRDefault="0044186E" w:rsidP="00E108E8">
      <w:pPr>
        <w:pStyle w:val="Caption"/>
        <w:spacing w:before="240" w:line="360" w:lineRule="auto"/>
        <w:jc w:val="center"/>
        <w:rPr>
          <w:rFonts w:asciiTheme="minorBidi" w:hAnsiTheme="minorBidi"/>
          <w:b/>
          <w:bCs/>
          <w:i w:val="0"/>
          <w:iCs w:val="0"/>
          <w:color w:val="auto"/>
          <w:sz w:val="22"/>
          <w:szCs w:val="22"/>
        </w:rPr>
      </w:pPr>
      <w:r w:rsidRPr="00C3097F">
        <w:rPr>
          <w:rFonts w:asciiTheme="minorBidi" w:hAnsiTheme="minorBidi"/>
          <w:b/>
          <w:bCs/>
          <w:i w:val="0"/>
          <w:iCs w:val="0"/>
          <w:color w:val="auto"/>
          <w:sz w:val="22"/>
          <w:szCs w:val="22"/>
        </w:rPr>
        <w:t xml:space="preserve">Source: </w:t>
      </w:r>
      <w:r w:rsidR="00714039" w:rsidRPr="00C3097F">
        <w:rPr>
          <w:rFonts w:asciiTheme="minorBidi" w:hAnsiTheme="minorBidi"/>
          <w:b/>
          <w:bCs/>
          <w:i w:val="0"/>
          <w:iCs w:val="0"/>
          <w:color w:val="auto"/>
          <w:sz w:val="22"/>
          <w:szCs w:val="22"/>
        </w:rPr>
        <w:t>Author</w:t>
      </w:r>
    </w:p>
    <w:sectPr w:rsidR="00A14614" w:rsidRPr="00C309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0C20E" w14:textId="77777777" w:rsidR="005F1424" w:rsidRDefault="005F1424" w:rsidP="00211184">
      <w:pPr>
        <w:spacing w:after="0" w:line="240" w:lineRule="auto"/>
      </w:pPr>
      <w:r>
        <w:separator/>
      </w:r>
    </w:p>
  </w:endnote>
  <w:endnote w:type="continuationSeparator" w:id="0">
    <w:p w14:paraId="632DCCBE" w14:textId="77777777" w:rsidR="005F1424" w:rsidRDefault="005F142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17FB3" w14:textId="77777777" w:rsidR="005F1424" w:rsidRDefault="005F1424" w:rsidP="00211184">
      <w:pPr>
        <w:spacing w:after="0" w:line="240" w:lineRule="auto"/>
      </w:pPr>
      <w:r>
        <w:separator/>
      </w:r>
    </w:p>
  </w:footnote>
  <w:footnote w:type="continuationSeparator" w:id="0">
    <w:p w14:paraId="6AB31BCC" w14:textId="77777777" w:rsidR="005F1424" w:rsidRDefault="005F142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CC20B9"/>
    <w:multiLevelType w:val="multilevel"/>
    <w:tmpl w:val="21866258"/>
    <w:lvl w:ilvl="0">
      <w:start w:val="1"/>
      <w:numFmt w:val="decimal"/>
      <w:lvlText w:val="%1."/>
      <w:lvlJc w:val="left"/>
      <w:pPr>
        <w:ind w:left="720" w:hanging="360"/>
      </w:pPr>
      <w:rPr>
        <w:rFonts w:hint="default"/>
        <w:b/>
        <w:bCs/>
      </w:rPr>
    </w:lvl>
    <w:lvl w:ilvl="1">
      <w:start w:val="1"/>
      <w:numFmt w:val="decimal"/>
      <w:isLgl/>
      <w:lvlText w:val="%1.%2"/>
      <w:lvlJc w:val="left"/>
      <w:pPr>
        <w:ind w:left="567" w:hanging="567"/>
      </w:pPr>
      <w:rPr>
        <w:rFonts w:hint="default"/>
        <w:b/>
        <w:bCs/>
      </w:rPr>
    </w:lvl>
    <w:lvl w:ilvl="2">
      <w:start w:val="1"/>
      <w:numFmt w:val="decimal"/>
      <w:isLgl/>
      <w:lvlText w:val="%1.%2.%3"/>
      <w:lvlJc w:val="left"/>
      <w:pPr>
        <w:ind w:left="1080" w:hanging="720"/>
      </w:pPr>
      <w:rPr>
        <w:rFonts w:hint="default"/>
        <w:b/>
        <w:bCs/>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3013CC4"/>
    <w:multiLevelType w:val="hybridMultilevel"/>
    <w:tmpl w:val="3030219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652759EC"/>
    <w:multiLevelType w:val="hybridMultilevel"/>
    <w:tmpl w:val="0CFA2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663223">
    <w:abstractNumId w:val="2"/>
  </w:num>
  <w:num w:numId="2" w16cid:durableId="1991514454">
    <w:abstractNumId w:val="0"/>
  </w:num>
  <w:num w:numId="3" w16cid:durableId="1440878204">
    <w:abstractNumId w:val="0"/>
    <w:lvlOverride w:ilvl="0">
      <w:lvl w:ilvl="0">
        <w:start w:val="1"/>
        <w:numFmt w:val="none"/>
        <w:lvlText w:val=""/>
        <w:lvlJc w:val="left"/>
        <w:pPr>
          <w:ind w:left="720" w:hanging="360"/>
        </w:pPr>
        <w:rPr>
          <w:rFonts w:hint="default"/>
          <w:b/>
          <w:bCs/>
        </w:rPr>
      </w:lvl>
    </w:lvlOverride>
    <w:lvlOverride w:ilvl="1">
      <w:lvl w:ilvl="1">
        <w:start w:val="1"/>
        <w:numFmt w:val="decimal"/>
        <w:isLgl/>
        <w:lvlText w:val="%1.%2"/>
        <w:lvlJc w:val="left"/>
        <w:pPr>
          <w:ind w:left="567" w:hanging="567"/>
        </w:pPr>
        <w:rPr>
          <w:rFonts w:hint="default"/>
          <w:b/>
          <w:bCs/>
        </w:rPr>
      </w:lvl>
    </w:lvlOverride>
    <w:lvlOverride w:ilvl="2">
      <w:lvl w:ilvl="2">
        <w:start w:val="1"/>
        <w:numFmt w:val="decimal"/>
        <w:isLgl/>
        <w:lvlText w:val="%1.%2.%3"/>
        <w:lvlJc w:val="left"/>
        <w:pPr>
          <w:ind w:left="1080" w:hanging="720"/>
        </w:pPr>
        <w:rPr>
          <w:rFonts w:hint="default"/>
          <w:b/>
          <w:bCs/>
        </w:rPr>
      </w:lvl>
    </w:lvlOverride>
    <w:lvlOverride w:ilvl="3">
      <w:lvl w:ilvl="3">
        <w:start w:val="1"/>
        <w:numFmt w:val="decimal"/>
        <w:isLgl/>
        <w:lvlText w:val="%1.%2.%3.%4"/>
        <w:lvlJc w:val="left"/>
        <w:pPr>
          <w:ind w:left="1440" w:hanging="108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800" w:hanging="144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2160" w:hanging="1800"/>
        </w:pPr>
        <w:rPr>
          <w:rFonts w:hint="default"/>
        </w:rPr>
      </w:lvl>
    </w:lvlOverride>
    <w:lvlOverride w:ilvl="8">
      <w:lvl w:ilvl="8">
        <w:start w:val="1"/>
        <w:numFmt w:val="decimal"/>
        <w:isLgl/>
        <w:lvlText w:val="%1.%2.%3.%4.%5.%6.%7.%8.%9"/>
        <w:lvlJc w:val="left"/>
        <w:pPr>
          <w:ind w:left="2160" w:hanging="1800"/>
        </w:pPr>
        <w:rPr>
          <w:rFonts w:hint="default"/>
        </w:rPr>
      </w:lvl>
    </w:lvlOverride>
  </w:num>
  <w:num w:numId="4" w16cid:durableId="1872840429">
    <w:abstractNumId w:val="1"/>
  </w:num>
  <w:num w:numId="5" w16cid:durableId="1701860209">
    <w:abstractNumId w:val="0"/>
    <w:lvlOverride w:ilvl="0">
      <w:lvl w:ilvl="0">
        <w:start w:val="1"/>
        <w:numFmt w:val="none"/>
        <w:lvlText w:val=""/>
        <w:lvlJc w:val="left"/>
        <w:pPr>
          <w:ind w:left="720" w:hanging="360"/>
        </w:pPr>
        <w:rPr>
          <w:rFonts w:hint="default"/>
          <w:b/>
          <w:bCs/>
        </w:rPr>
      </w:lvl>
    </w:lvlOverride>
    <w:lvlOverride w:ilvl="1">
      <w:lvl w:ilvl="1">
        <w:start w:val="1"/>
        <w:numFmt w:val="decimal"/>
        <w:isLgl/>
        <w:lvlText w:val="%1.%2"/>
        <w:lvlJc w:val="left"/>
        <w:pPr>
          <w:ind w:left="567" w:hanging="567"/>
        </w:pPr>
        <w:rPr>
          <w:rFonts w:hint="default"/>
          <w:b/>
          <w:bCs/>
        </w:rPr>
      </w:lvl>
    </w:lvlOverride>
    <w:lvlOverride w:ilvl="2">
      <w:lvl w:ilvl="2">
        <w:start w:val="1"/>
        <w:numFmt w:val="decimal"/>
        <w:isLgl/>
        <w:lvlText w:val="%1.%2.%3"/>
        <w:lvlJc w:val="left"/>
        <w:pPr>
          <w:ind w:left="1080" w:hanging="720"/>
        </w:pPr>
        <w:rPr>
          <w:rFonts w:hint="default"/>
          <w:b/>
          <w:bCs/>
        </w:rPr>
      </w:lvl>
    </w:lvlOverride>
    <w:lvlOverride w:ilvl="3">
      <w:lvl w:ilvl="3">
        <w:start w:val="1"/>
        <w:numFmt w:val="decimal"/>
        <w:isLgl/>
        <w:lvlText w:val="%1.%2.%3.%4"/>
        <w:lvlJc w:val="left"/>
        <w:pPr>
          <w:ind w:left="1440" w:hanging="108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800" w:hanging="144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2160" w:hanging="1800"/>
        </w:pPr>
        <w:rPr>
          <w:rFonts w:hint="default"/>
        </w:rPr>
      </w:lvl>
    </w:lvlOverride>
    <w:lvlOverride w:ilvl="8">
      <w:lvl w:ilvl="8">
        <w:start w:val="1"/>
        <w:numFmt w:val="decimal"/>
        <w:isLgl/>
        <w:lvlText w:val="%1.%2.%3.%4.%5.%6.%7.%8.%9"/>
        <w:lvlJc w:val="left"/>
        <w:pPr>
          <w:ind w:left="2160" w:hanging="1800"/>
        </w:pPr>
        <w:rPr>
          <w:rFonts w:hint="default"/>
        </w:rPr>
      </w:lvl>
    </w:lvlOverride>
  </w:num>
  <w:num w:numId="6" w16cid:durableId="506945559">
    <w:abstractNumId w:val="0"/>
    <w:lvlOverride w:ilvl="0">
      <w:lvl w:ilvl="0">
        <w:start w:val="1"/>
        <w:numFmt w:val="none"/>
        <w:lvlText w:val=""/>
        <w:lvlJc w:val="left"/>
        <w:pPr>
          <w:ind w:left="720" w:hanging="360"/>
        </w:pPr>
        <w:rPr>
          <w:rFonts w:hint="default"/>
          <w:b/>
          <w:bCs/>
        </w:rPr>
      </w:lvl>
    </w:lvlOverride>
    <w:lvlOverride w:ilvl="1">
      <w:lvl w:ilvl="1">
        <w:start w:val="1"/>
        <w:numFmt w:val="decimal"/>
        <w:isLgl/>
        <w:lvlText w:val="%1.%2"/>
        <w:lvlJc w:val="left"/>
        <w:pPr>
          <w:ind w:left="567" w:hanging="567"/>
        </w:pPr>
        <w:rPr>
          <w:rFonts w:hint="default"/>
          <w:b/>
          <w:bCs/>
        </w:rPr>
      </w:lvl>
    </w:lvlOverride>
    <w:lvlOverride w:ilvl="2">
      <w:lvl w:ilvl="2">
        <w:start w:val="1"/>
        <w:numFmt w:val="decimal"/>
        <w:isLgl/>
        <w:lvlText w:val="%1.%2.%3"/>
        <w:lvlJc w:val="left"/>
        <w:pPr>
          <w:ind w:left="1080" w:hanging="720"/>
        </w:pPr>
        <w:rPr>
          <w:rFonts w:hint="default"/>
          <w:b/>
          <w:bCs/>
        </w:rPr>
      </w:lvl>
    </w:lvlOverride>
    <w:lvlOverride w:ilvl="3">
      <w:lvl w:ilvl="3">
        <w:start w:val="1"/>
        <w:numFmt w:val="decimal"/>
        <w:isLgl/>
        <w:lvlText w:val="%1.%2.%3.%4"/>
        <w:lvlJc w:val="left"/>
        <w:pPr>
          <w:ind w:left="1440" w:hanging="108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800" w:hanging="144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2160" w:hanging="1800"/>
        </w:pPr>
        <w:rPr>
          <w:rFonts w:hint="default"/>
        </w:rPr>
      </w:lvl>
    </w:lvlOverride>
    <w:lvlOverride w:ilvl="8">
      <w:lvl w:ilvl="8">
        <w:start w:val="1"/>
        <w:numFmt w:val="decimal"/>
        <w:isLgl/>
        <w:lvlText w:val="%1.%2.%3.%4.%5.%6.%7.%8.%9"/>
        <w:lvlJc w:val="left"/>
        <w:pPr>
          <w:ind w:left="2160" w:hanging="1800"/>
        </w:pPr>
        <w:rPr>
          <w:rFonts w:hint="default"/>
        </w:rPr>
      </w:lvl>
    </w:lvlOverride>
  </w:num>
  <w:num w:numId="7" w16cid:durableId="397285636">
    <w:abstractNumId w:val="0"/>
    <w:lvlOverride w:ilvl="0">
      <w:lvl w:ilvl="0">
        <w:start w:val="1"/>
        <w:numFmt w:val="none"/>
        <w:lvlText w:val=""/>
        <w:lvlJc w:val="left"/>
        <w:pPr>
          <w:ind w:left="720" w:hanging="360"/>
        </w:pPr>
        <w:rPr>
          <w:rFonts w:hint="default"/>
          <w:b/>
          <w:bCs/>
        </w:rPr>
      </w:lvl>
    </w:lvlOverride>
    <w:lvlOverride w:ilvl="1">
      <w:lvl w:ilvl="1">
        <w:start w:val="1"/>
        <w:numFmt w:val="decimal"/>
        <w:isLgl/>
        <w:lvlText w:val="%1.%2"/>
        <w:lvlJc w:val="left"/>
        <w:pPr>
          <w:ind w:left="567" w:hanging="567"/>
        </w:pPr>
        <w:rPr>
          <w:rFonts w:hint="default"/>
          <w:b/>
          <w:bCs/>
        </w:rPr>
      </w:lvl>
    </w:lvlOverride>
    <w:lvlOverride w:ilvl="2">
      <w:lvl w:ilvl="2">
        <w:start w:val="1"/>
        <w:numFmt w:val="decimal"/>
        <w:isLgl/>
        <w:lvlText w:val="%1.%2.%3"/>
        <w:lvlJc w:val="left"/>
        <w:pPr>
          <w:ind w:left="1080" w:hanging="720"/>
        </w:pPr>
        <w:rPr>
          <w:rFonts w:hint="default"/>
          <w:b/>
          <w:bCs/>
        </w:rPr>
      </w:lvl>
    </w:lvlOverride>
    <w:lvlOverride w:ilvl="3">
      <w:lvl w:ilvl="3">
        <w:start w:val="1"/>
        <w:numFmt w:val="decimal"/>
        <w:isLgl/>
        <w:lvlText w:val="%1.%2.%3.%4"/>
        <w:lvlJc w:val="left"/>
        <w:pPr>
          <w:ind w:left="1440" w:hanging="108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800" w:hanging="144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2160" w:hanging="1800"/>
        </w:pPr>
        <w:rPr>
          <w:rFonts w:hint="default"/>
        </w:rPr>
      </w:lvl>
    </w:lvlOverride>
    <w:lvlOverride w:ilvl="8">
      <w:lvl w:ilvl="8">
        <w:start w:val="1"/>
        <w:numFmt w:val="decimal"/>
        <w:isLgl/>
        <w:lvlText w:val="%1.%2.%3.%4.%5.%6.%7.%8.%9"/>
        <w:lvlJc w:val="left"/>
        <w:pPr>
          <w:ind w:left="2160" w:hanging="1800"/>
        </w:pPr>
        <w:rPr>
          <w:rFonts w:hint="default"/>
        </w:rPr>
      </w:lvl>
    </w:lvlOverride>
  </w:num>
  <w:num w:numId="8" w16cid:durableId="1618412264">
    <w:abstractNumId w:val="0"/>
    <w:lvlOverride w:ilvl="0">
      <w:lvl w:ilvl="0">
        <w:start w:val="1"/>
        <w:numFmt w:val="none"/>
        <w:lvlText w:val=""/>
        <w:lvlJc w:val="left"/>
        <w:pPr>
          <w:ind w:left="720" w:hanging="360"/>
        </w:pPr>
        <w:rPr>
          <w:rFonts w:hint="default"/>
          <w:b/>
          <w:bCs/>
        </w:rPr>
      </w:lvl>
    </w:lvlOverride>
    <w:lvlOverride w:ilvl="1">
      <w:lvl w:ilvl="1">
        <w:start w:val="1"/>
        <w:numFmt w:val="decimal"/>
        <w:isLgl/>
        <w:lvlText w:val="%1.%2"/>
        <w:lvlJc w:val="left"/>
        <w:pPr>
          <w:ind w:left="567" w:hanging="567"/>
        </w:pPr>
        <w:rPr>
          <w:rFonts w:hint="default"/>
          <w:b/>
          <w:bCs/>
        </w:rPr>
      </w:lvl>
    </w:lvlOverride>
    <w:lvlOverride w:ilvl="2">
      <w:lvl w:ilvl="2">
        <w:start w:val="1"/>
        <w:numFmt w:val="decimal"/>
        <w:isLgl/>
        <w:lvlText w:val="%1.%2.%3"/>
        <w:lvlJc w:val="left"/>
        <w:pPr>
          <w:ind w:left="1080" w:hanging="720"/>
        </w:pPr>
        <w:rPr>
          <w:rFonts w:hint="default"/>
          <w:b/>
          <w:bCs/>
        </w:rPr>
      </w:lvl>
    </w:lvlOverride>
    <w:lvlOverride w:ilvl="3">
      <w:lvl w:ilvl="3">
        <w:start w:val="1"/>
        <w:numFmt w:val="decimal"/>
        <w:isLgl/>
        <w:lvlText w:val="%1.%2.%3.%4"/>
        <w:lvlJc w:val="left"/>
        <w:pPr>
          <w:ind w:left="1440" w:hanging="108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800" w:hanging="144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2160" w:hanging="1800"/>
        </w:pPr>
        <w:rPr>
          <w:rFonts w:hint="default"/>
        </w:rPr>
      </w:lvl>
    </w:lvlOverride>
    <w:lvlOverride w:ilvl="8">
      <w:lvl w:ilvl="8">
        <w:start w:val="1"/>
        <w:numFmt w:val="decimal"/>
        <w:isLgl/>
        <w:lvlText w:val="%1.%2.%3.%4.%5.%6.%7.%8.%9"/>
        <w:lvlJc w:val="left"/>
        <w:pPr>
          <w:ind w:left="2160" w:hanging="1800"/>
        </w:pPr>
        <w:rPr>
          <w:rFonts w:hint="default"/>
        </w:rPr>
      </w:lvl>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F1B"/>
    <w:rsid w:val="00004CEE"/>
    <w:rsid w:val="00005C31"/>
    <w:rsid w:val="00020BA4"/>
    <w:rsid w:val="0002603B"/>
    <w:rsid w:val="000264A2"/>
    <w:rsid w:val="00031EFF"/>
    <w:rsid w:val="00033E70"/>
    <w:rsid w:val="00034FAF"/>
    <w:rsid w:val="00036688"/>
    <w:rsid w:val="00036A16"/>
    <w:rsid w:val="000400E4"/>
    <w:rsid w:val="00042358"/>
    <w:rsid w:val="00042869"/>
    <w:rsid w:val="00042BC1"/>
    <w:rsid w:val="000457FD"/>
    <w:rsid w:val="00045A94"/>
    <w:rsid w:val="000472EE"/>
    <w:rsid w:val="000546C8"/>
    <w:rsid w:val="0005556C"/>
    <w:rsid w:val="00056D7E"/>
    <w:rsid w:val="0005799B"/>
    <w:rsid w:val="00057A96"/>
    <w:rsid w:val="0006209D"/>
    <w:rsid w:val="00063B4C"/>
    <w:rsid w:val="00064CD6"/>
    <w:rsid w:val="00066000"/>
    <w:rsid w:val="0006603E"/>
    <w:rsid w:val="000664B2"/>
    <w:rsid w:val="000701F4"/>
    <w:rsid w:val="00073C72"/>
    <w:rsid w:val="00082680"/>
    <w:rsid w:val="00083601"/>
    <w:rsid w:val="00085C9D"/>
    <w:rsid w:val="00086772"/>
    <w:rsid w:val="00090609"/>
    <w:rsid w:val="00091860"/>
    <w:rsid w:val="0009255D"/>
    <w:rsid w:val="000943D3"/>
    <w:rsid w:val="0009446B"/>
    <w:rsid w:val="00095938"/>
    <w:rsid w:val="000959DC"/>
    <w:rsid w:val="00096667"/>
    <w:rsid w:val="00097C0B"/>
    <w:rsid w:val="000A104D"/>
    <w:rsid w:val="000A5B32"/>
    <w:rsid w:val="000A6823"/>
    <w:rsid w:val="000A6D6C"/>
    <w:rsid w:val="000A7707"/>
    <w:rsid w:val="000B0337"/>
    <w:rsid w:val="000B07CF"/>
    <w:rsid w:val="000B27D5"/>
    <w:rsid w:val="000B3D3B"/>
    <w:rsid w:val="000B74FF"/>
    <w:rsid w:val="000B78BB"/>
    <w:rsid w:val="000C2A60"/>
    <w:rsid w:val="000C3CB7"/>
    <w:rsid w:val="000C3DAB"/>
    <w:rsid w:val="000C475A"/>
    <w:rsid w:val="000C78DA"/>
    <w:rsid w:val="000D05D8"/>
    <w:rsid w:val="000D0641"/>
    <w:rsid w:val="000D2092"/>
    <w:rsid w:val="000D2B00"/>
    <w:rsid w:val="000D3761"/>
    <w:rsid w:val="000E11B3"/>
    <w:rsid w:val="000E12EA"/>
    <w:rsid w:val="000E576F"/>
    <w:rsid w:val="000E5DFD"/>
    <w:rsid w:val="000F1E59"/>
    <w:rsid w:val="0010113F"/>
    <w:rsid w:val="0010568D"/>
    <w:rsid w:val="00106499"/>
    <w:rsid w:val="001125B6"/>
    <w:rsid w:val="00115051"/>
    <w:rsid w:val="001169EE"/>
    <w:rsid w:val="00117056"/>
    <w:rsid w:val="0011747D"/>
    <w:rsid w:val="0012027B"/>
    <w:rsid w:val="001227F2"/>
    <w:rsid w:val="00122C37"/>
    <w:rsid w:val="00126847"/>
    <w:rsid w:val="001300C4"/>
    <w:rsid w:val="00133B4F"/>
    <w:rsid w:val="00133D92"/>
    <w:rsid w:val="0013453F"/>
    <w:rsid w:val="00135E1B"/>
    <w:rsid w:val="00140259"/>
    <w:rsid w:val="00141D05"/>
    <w:rsid w:val="00141FE1"/>
    <w:rsid w:val="0014339B"/>
    <w:rsid w:val="001442FF"/>
    <w:rsid w:val="001475B8"/>
    <w:rsid w:val="00156DC8"/>
    <w:rsid w:val="001601E6"/>
    <w:rsid w:val="00161276"/>
    <w:rsid w:val="00164CFA"/>
    <w:rsid w:val="00166BB6"/>
    <w:rsid w:val="0016718F"/>
    <w:rsid w:val="00170225"/>
    <w:rsid w:val="00170F61"/>
    <w:rsid w:val="00171666"/>
    <w:rsid w:val="001838F9"/>
    <w:rsid w:val="00184421"/>
    <w:rsid w:val="00187C6A"/>
    <w:rsid w:val="0019025D"/>
    <w:rsid w:val="001912A5"/>
    <w:rsid w:val="001925E3"/>
    <w:rsid w:val="00192C74"/>
    <w:rsid w:val="001A2E70"/>
    <w:rsid w:val="001A4338"/>
    <w:rsid w:val="001B51DF"/>
    <w:rsid w:val="001C1FC3"/>
    <w:rsid w:val="001C2356"/>
    <w:rsid w:val="001C3AF6"/>
    <w:rsid w:val="001D0F4C"/>
    <w:rsid w:val="001D1485"/>
    <w:rsid w:val="001D38C1"/>
    <w:rsid w:val="001D50E0"/>
    <w:rsid w:val="001E36ED"/>
    <w:rsid w:val="001E6DCE"/>
    <w:rsid w:val="001E7D3B"/>
    <w:rsid w:val="001F0B48"/>
    <w:rsid w:val="001F19A6"/>
    <w:rsid w:val="001F1CEA"/>
    <w:rsid w:val="001F1D39"/>
    <w:rsid w:val="001F29AC"/>
    <w:rsid w:val="001F4865"/>
    <w:rsid w:val="00200A9F"/>
    <w:rsid w:val="002016C3"/>
    <w:rsid w:val="0020245A"/>
    <w:rsid w:val="00203F1C"/>
    <w:rsid w:val="0020748E"/>
    <w:rsid w:val="00207CE8"/>
    <w:rsid w:val="00211184"/>
    <w:rsid w:val="0021364B"/>
    <w:rsid w:val="00213CB6"/>
    <w:rsid w:val="00214805"/>
    <w:rsid w:val="002148FE"/>
    <w:rsid w:val="002149BB"/>
    <w:rsid w:val="00215A83"/>
    <w:rsid w:val="00220695"/>
    <w:rsid w:val="00223739"/>
    <w:rsid w:val="002258AF"/>
    <w:rsid w:val="00226B57"/>
    <w:rsid w:val="002304B2"/>
    <w:rsid w:val="002331AD"/>
    <w:rsid w:val="00235D94"/>
    <w:rsid w:val="00237A6A"/>
    <w:rsid w:val="00237D25"/>
    <w:rsid w:val="00240056"/>
    <w:rsid w:val="002437A1"/>
    <w:rsid w:val="002448AB"/>
    <w:rsid w:val="00247740"/>
    <w:rsid w:val="0025020C"/>
    <w:rsid w:val="00254D8E"/>
    <w:rsid w:val="00256951"/>
    <w:rsid w:val="002574BE"/>
    <w:rsid w:val="00260129"/>
    <w:rsid w:val="00260B1A"/>
    <w:rsid w:val="00275575"/>
    <w:rsid w:val="0028278B"/>
    <w:rsid w:val="0028529B"/>
    <w:rsid w:val="002852AF"/>
    <w:rsid w:val="002859E8"/>
    <w:rsid w:val="002865F5"/>
    <w:rsid w:val="0028728A"/>
    <w:rsid w:val="002926B4"/>
    <w:rsid w:val="00292A36"/>
    <w:rsid w:val="0029348A"/>
    <w:rsid w:val="00294E58"/>
    <w:rsid w:val="0029570E"/>
    <w:rsid w:val="002A0BE4"/>
    <w:rsid w:val="002A0F7D"/>
    <w:rsid w:val="002A2899"/>
    <w:rsid w:val="002A3DDA"/>
    <w:rsid w:val="002A452A"/>
    <w:rsid w:val="002A493D"/>
    <w:rsid w:val="002A535A"/>
    <w:rsid w:val="002A72CE"/>
    <w:rsid w:val="002B119C"/>
    <w:rsid w:val="002C4AFA"/>
    <w:rsid w:val="002C69DF"/>
    <w:rsid w:val="002D02A6"/>
    <w:rsid w:val="002D02F8"/>
    <w:rsid w:val="002D0DEC"/>
    <w:rsid w:val="002D64A3"/>
    <w:rsid w:val="002E0337"/>
    <w:rsid w:val="002E33D8"/>
    <w:rsid w:val="002E688C"/>
    <w:rsid w:val="002F0F48"/>
    <w:rsid w:val="002F2EB8"/>
    <w:rsid w:val="002F4250"/>
    <w:rsid w:val="002F5E53"/>
    <w:rsid w:val="00301FAC"/>
    <w:rsid w:val="00302C43"/>
    <w:rsid w:val="00303F8F"/>
    <w:rsid w:val="003129C4"/>
    <w:rsid w:val="00312A18"/>
    <w:rsid w:val="00312A5A"/>
    <w:rsid w:val="003135AD"/>
    <w:rsid w:val="00314087"/>
    <w:rsid w:val="00315F6A"/>
    <w:rsid w:val="00316030"/>
    <w:rsid w:val="00322CC6"/>
    <w:rsid w:val="00323380"/>
    <w:rsid w:val="00323EA6"/>
    <w:rsid w:val="00326F5F"/>
    <w:rsid w:val="00327FE0"/>
    <w:rsid w:val="00333A40"/>
    <w:rsid w:val="00335384"/>
    <w:rsid w:val="0033698B"/>
    <w:rsid w:val="00337217"/>
    <w:rsid w:val="00337C25"/>
    <w:rsid w:val="00340D21"/>
    <w:rsid w:val="00341C9A"/>
    <w:rsid w:val="00347AF6"/>
    <w:rsid w:val="00351876"/>
    <w:rsid w:val="003522D0"/>
    <w:rsid w:val="0035247B"/>
    <w:rsid w:val="003576EF"/>
    <w:rsid w:val="00365494"/>
    <w:rsid w:val="00365F0D"/>
    <w:rsid w:val="003738B9"/>
    <w:rsid w:val="003745A8"/>
    <w:rsid w:val="003758C8"/>
    <w:rsid w:val="00376C34"/>
    <w:rsid w:val="00376F90"/>
    <w:rsid w:val="00381336"/>
    <w:rsid w:val="00382902"/>
    <w:rsid w:val="00387150"/>
    <w:rsid w:val="0039227A"/>
    <w:rsid w:val="003923FD"/>
    <w:rsid w:val="003932D6"/>
    <w:rsid w:val="00393F39"/>
    <w:rsid w:val="003A198F"/>
    <w:rsid w:val="003A215C"/>
    <w:rsid w:val="003A23C8"/>
    <w:rsid w:val="003A56E5"/>
    <w:rsid w:val="003A66FD"/>
    <w:rsid w:val="003A7884"/>
    <w:rsid w:val="003B1E32"/>
    <w:rsid w:val="003B5DB5"/>
    <w:rsid w:val="003C108B"/>
    <w:rsid w:val="003C1FF7"/>
    <w:rsid w:val="003C26CD"/>
    <w:rsid w:val="003C3C0A"/>
    <w:rsid w:val="003C512E"/>
    <w:rsid w:val="003C5658"/>
    <w:rsid w:val="003C5852"/>
    <w:rsid w:val="003C6995"/>
    <w:rsid w:val="003D01A3"/>
    <w:rsid w:val="003D109E"/>
    <w:rsid w:val="003D44B1"/>
    <w:rsid w:val="003D4BC6"/>
    <w:rsid w:val="003D5201"/>
    <w:rsid w:val="003D7FBB"/>
    <w:rsid w:val="003E41E9"/>
    <w:rsid w:val="003E5C35"/>
    <w:rsid w:val="003E69B6"/>
    <w:rsid w:val="003E6BC6"/>
    <w:rsid w:val="003F4BC9"/>
    <w:rsid w:val="003F6A61"/>
    <w:rsid w:val="004002E0"/>
    <w:rsid w:val="00400F6C"/>
    <w:rsid w:val="004044E4"/>
    <w:rsid w:val="004072FF"/>
    <w:rsid w:val="00412CD7"/>
    <w:rsid w:val="00413BA2"/>
    <w:rsid w:val="00417862"/>
    <w:rsid w:val="004178FD"/>
    <w:rsid w:val="004279CC"/>
    <w:rsid w:val="00430600"/>
    <w:rsid w:val="00432187"/>
    <w:rsid w:val="004322BB"/>
    <w:rsid w:val="004344AD"/>
    <w:rsid w:val="004352E0"/>
    <w:rsid w:val="00435C76"/>
    <w:rsid w:val="00436212"/>
    <w:rsid w:val="00436582"/>
    <w:rsid w:val="0044037C"/>
    <w:rsid w:val="0044186E"/>
    <w:rsid w:val="00445FBC"/>
    <w:rsid w:val="004475BD"/>
    <w:rsid w:val="004477D1"/>
    <w:rsid w:val="004535A5"/>
    <w:rsid w:val="00453DB9"/>
    <w:rsid w:val="00466FEC"/>
    <w:rsid w:val="0046711E"/>
    <w:rsid w:val="0047294B"/>
    <w:rsid w:val="00473036"/>
    <w:rsid w:val="00473829"/>
    <w:rsid w:val="00476236"/>
    <w:rsid w:val="00482B53"/>
    <w:rsid w:val="004856AA"/>
    <w:rsid w:val="00492220"/>
    <w:rsid w:val="00495ADA"/>
    <w:rsid w:val="004A781B"/>
    <w:rsid w:val="004B277F"/>
    <w:rsid w:val="004B32EA"/>
    <w:rsid w:val="004B6CF9"/>
    <w:rsid w:val="004C15D5"/>
    <w:rsid w:val="004C316D"/>
    <w:rsid w:val="004C52A1"/>
    <w:rsid w:val="004C611A"/>
    <w:rsid w:val="004D038E"/>
    <w:rsid w:val="004D0988"/>
    <w:rsid w:val="004D1986"/>
    <w:rsid w:val="004D4021"/>
    <w:rsid w:val="004D5887"/>
    <w:rsid w:val="004D70A7"/>
    <w:rsid w:val="004D70A9"/>
    <w:rsid w:val="004E3E20"/>
    <w:rsid w:val="004E50DA"/>
    <w:rsid w:val="004E67BC"/>
    <w:rsid w:val="004E6F78"/>
    <w:rsid w:val="004F25C2"/>
    <w:rsid w:val="004F619E"/>
    <w:rsid w:val="0050003A"/>
    <w:rsid w:val="00500905"/>
    <w:rsid w:val="0050169D"/>
    <w:rsid w:val="00507192"/>
    <w:rsid w:val="005112E6"/>
    <w:rsid w:val="005119DE"/>
    <w:rsid w:val="005138A9"/>
    <w:rsid w:val="00524B98"/>
    <w:rsid w:val="00524FF6"/>
    <w:rsid w:val="00526033"/>
    <w:rsid w:val="00526C99"/>
    <w:rsid w:val="00527464"/>
    <w:rsid w:val="00537C39"/>
    <w:rsid w:val="00540CD3"/>
    <w:rsid w:val="00542769"/>
    <w:rsid w:val="00544018"/>
    <w:rsid w:val="005446BF"/>
    <w:rsid w:val="00544EBC"/>
    <w:rsid w:val="00545AEC"/>
    <w:rsid w:val="00550472"/>
    <w:rsid w:val="0055147E"/>
    <w:rsid w:val="005535DE"/>
    <w:rsid w:val="0055477B"/>
    <w:rsid w:val="00555CEF"/>
    <w:rsid w:val="00557B07"/>
    <w:rsid w:val="00557FBD"/>
    <w:rsid w:val="0056021D"/>
    <w:rsid w:val="00565BA1"/>
    <w:rsid w:val="0056742C"/>
    <w:rsid w:val="00571604"/>
    <w:rsid w:val="00571F73"/>
    <w:rsid w:val="00574A1D"/>
    <w:rsid w:val="00575D91"/>
    <w:rsid w:val="00581419"/>
    <w:rsid w:val="00595C6E"/>
    <w:rsid w:val="005A74FF"/>
    <w:rsid w:val="005A7679"/>
    <w:rsid w:val="005A7979"/>
    <w:rsid w:val="005A7ADA"/>
    <w:rsid w:val="005B0908"/>
    <w:rsid w:val="005B0BC4"/>
    <w:rsid w:val="005B3441"/>
    <w:rsid w:val="005B3EDE"/>
    <w:rsid w:val="005B5CF2"/>
    <w:rsid w:val="005B6E67"/>
    <w:rsid w:val="005B7B49"/>
    <w:rsid w:val="005C14D3"/>
    <w:rsid w:val="005C53A1"/>
    <w:rsid w:val="005C5E80"/>
    <w:rsid w:val="005C5F45"/>
    <w:rsid w:val="005D1281"/>
    <w:rsid w:val="005D1FE1"/>
    <w:rsid w:val="005D22EE"/>
    <w:rsid w:val="005D2489"/>
    <w:rsid w:val="005D40BF"/>
    <w:rsid w:val="005D62C0"/>
    <w:rsid w:val="005D665C"/>
    <w:rsid w:val="005D73D2"/>
    <w:rsid w:val="005D791D"/>
    <w:rsid w:val="005D7A1E"/>
    <w:rsid w:val="005E1650"/>
    <w:rsid w:val="005E2B3B"/>
    <w:rsid w:val="005E463A"/>
    <w:rsid w:val="005E581C"/>
    <w:rsid w:val="005E69E4"/>
    <w:rsid w:val="005E6B89"/>
    <w:rsid w:val="005E6EEF"/>
    <w:rsid w:val="005E7D0C"/>
    <w:rsid w:val="005E7DC4"/>
    <w:rsid w:val="005F1424"/>
    <w:rsid w:val="005F3C91"/>
    <w:rsid w:val="005F5FE1"/>
    <w:rsid w:val="005F6F85"/>
    <w:rsid w:val="005F7AE5"/>
    <w:rsid w:val="00603A69"/>
    <w:rsid w:val="00604A87"/>
    <w:rsid w:val="00605590"/>
    <w:rsid w:val="0060689A"/>
    <w:rsid w:val="006100F5"/>
    <w:rsid w:val="00611574"/>
    <w:rsid w:val="006118A3"/>
    <w:rsid w:val="00615F3C"/>
    <w:rsid w:val="00616591"/>
    <w:rsid w:val="00616786"/>
    <w:rsid w:val="00621776"/>
    <w:rsid w:val="00621872"/>
    <w:rsid w:val="0062701B"/>
    <w:rsid w:val="006317BA"/>
    <w:rsid w:val="00632029"/>
    <w:rsid w:val="006365E7"/>
    <w:rsid w:val="00636D9A"/>
    <w:rsid w:val="00637E1F"/>
    <w:rsid w:val="0064090E"/>
    <w:rsid w:val="0064492F"/>
    <w:rsid w:val="00654E10"/>
    <w:rsid w:val="0065552F"/>
    <w:rsid w:val="006574E0"/>
    <w:rsid w:val="0065798E"/>
    <w:rsid w:val="0066032A"/>
    <w:rsid w:val="00661073"/>
    <w:rsid w:val="006630B5"/>
    <w:rsid w:val="00665335"/>
    <w:rsid w:val="00666726"/>
    <w:rsid w:val="00672A4D"/>
    <w:rsid w:val="006735CC"/>
    <w:rsid w:val="00673BDD"/>
    <w:rsid w:val="00681A28"/>
    <w:rsid w:val="00685D44"/>
    <w:rsid w:val="00690F74"/>
    <w:rsid w:val="0069105A"/>
    <w:rsid w:val="006916E7"/>
    <w:rsid w:val="00692DA3"/>
    <w:rsid w:val="006A019C"/>
    <w:rsid w:val="006A0D97"/>
    <w:rsid w:val="006A3F0D"/>
    <w:rsid w:val="006A4515"/>
    <w:rsid w:val="006B03E3"/>
    <w:rsid w:val="006B16FC"/>
    <w:rsid w:val="006B182C"/>
    <w:rsid w:val="006C1161"/>
    <w:rsid w:val="006C34C2"/>
    <w:rsid w:val="006C6972"/>
    <w:rsid w:val="006C74AD"/>
    <w:rsid w:val="006C78AA"/>
    <w:rsid w:val="006D0CD6"/>
    <w:rsid w:val="006D16F5"/>
    <w:rsid w:val="006D4434"/>
    <w:rsid w:val="006D4DD6"/>
    <w:rsid w:val="006D5D35"/>
    <w:rsid w:val="006D64BF"/>
    <w:rsid w:val="006E3BEA"/>
    <w:rsid w:val="006E5CAE"/>
    <w:rsid w:val="006F04D4"/>
    <w:rsid w:val="006F4AB2"/>
    <w:rsid w:val="00705CE5"/>
    <w:rsid w:val="007063BA"/>
    <w:rsid w:val="00707825"/>
    <w:rsid w:val="00712CB4"/>
    <w:rsid w:val="00713CEC"/>
    <w:rsid w:val="00714039"/>
    <w:rsid w:val="007144D4"/>
    <w:rsid w:val="00717D1A"/>
    <w:rsid w:val="00721A09"/>
    <w:rsid w:val="00726197"/>
    <w:rsid w:val="00730C3C"/>
    <w:rsid w:val="00732330"/>
    <w:rsid w:val="0073280B"/>
    <w:rsid w:val="00732E84"/>
    <w:rsid w:val="007340B9"/>
    <w:rsid w:val="0073524D"/>
    <w:rsid w:val="00737D1F"/>
    <w:rsid w:val="00740AA1"/>
    <w:rsid w:val="00750B5B"/>
    <w:rsid w:val="00750C6C"/>
    <w:rsid w:val="007521FF"/>
    <w:rsid w:val="00753514"/>
    <w:rsid w:val="0075463A"/>
    <w:rsid w:val="007547EF"/>
    <w:rsid w:val="00754F5C"/>
    <w:rsid w:val="00755640"/>
    <w:rsid w:val="00755968"/>
    <w:rsid w:val="007572B1"/>
    <w:rsid w:val="00760858"/>
    <w:rsid w:val="007629C1"/>
    <w:rsid w:val="0076597A"/>
    <w:rsid w:val="0077002F"/>
    <w:rsid w:val="00770706"/>
    <w:rsid w:val="0077163A"/>
    <w:rsid w:val="00775B2E"/>
    <w:rsid w:val="00777956"/>
    <w:rsid w:val="00777DD6"/>
    <w:rsid w:val="00785752"/>
    <w:rsid w:val="00785A0F"/>
    <w:rsid w:val="007901C3"/>
    <w:rsid w:val="00790DA9"/>
    <w:rsid w:val="0079267F"/>
    <w:rsid w:val="007928CF"/>
    <w:rsid w:val="007942A6"/>
    <w:rsid w:val="007A1191"/>
    <w:rsid w:val="007A26FC"/>
    <w:rsid w:val="007A4F15"/>
    <w:rsid w:val="007A4FBA"/>
    <w:rsid w:val="007A59C8"/>
    <w:rsid w:val="007A712E"/>
    <w:rsid w:val="007B152F"/>
    <w:rsid w:val="007B2B92"/>
    <w:rsid w:val="007B39B9"/>
    <w:rsid w:val="007B62A5"/>
    <w:rsid w:val="007B691A"/>
    <w:rsid w:val="007C19CA"/>
    <w:rsid w:val="007C246B"/>
    <w:rsid w:val="007C5D46"/>
    <w:rsid w:val="007C685B"/>
    <w:rsid w:val="007C6F92"/>
    <w:rsid w:val="007C7D12"/>
    <w:rsid w:val="007D6603"/>
    <w:rsid w:val="007E0298"/>
    <w:rsid w:val="007E0CA7"/>
    <w:rsid w:val="007E1499"/>
    <w:rsid w:val="007E5D62"/>
    <w:rsid w:val="007F02C9"/>
    <w:rsid w:val="007F0C8B"/>
    <w:rsid w:val="007F4944"/>
    <w:rsid w:val="007F4D01"/>
    <w:rsid w:val="007F74C0"/>
    <w:rsid w:val="007F7847"/>
    <w:rsid w:val="00803DBA"/>
    <w:rsid w:val="00804500"/>
    <w:rsid w:val="00804B94"/>
    <w:rsid w:val="00806171"/>
    <w:rsid w:val="00807B11"/>
    <w:rsid w:val="00807DDA"/>
    <w:rsid w:val="00814801"/>
    <w:rsid w:val="0082293F"/>
    <w:rsid w:val="00823593"/>
    <w:rsid w:val="00824333"/>
    <w:rsid w:val="0082760D"/>
    <w:rsid w:val="008303C6"/>
    <w:rsid w:val="008303CA"/>
    <w:rsid w:val="00832237"/>
    <w:rsid w:val="008331F2"/>
    <w:rsid w:val="00834885"/>
    <w:rsid w:val="00842C73"/>
    <w:rsid w:val="00844470"/>
    <w:rsid w:val="008444BA"/>
    <w:rsid w:val="00844BCC"/>
    <w:rsid w:val="00845AAD"/>
    <w:rsid w:val="00846551"/>
    <w:rsid w:val="00846A0A"/>
    <w:rsid w:val="00847176"/>
    <w:rsid w:val="00850BAD"/>
    <w:rsid w:val="008520B5"/>
    <w:rsid w:val="008550B9"/>
    <w:rsid w:val="008603A3"/>
    <w:rsid w:val="008625E9"/>
    <w:rsid w:val="00864F23"/>
    <w:rsid w:val="0086513B"/>
    <w:rsid w:val="00865F47"/>
    <w:rsid w:val="0086681C"/>
    <w:rsid w:val="008673D5"/>
    <w:rsid w:val="00871451"/>
    <w:rsid w:val="00880AA7"/>
    <w:rsid w:val="00880B2D"/>
    <w:rsid w:val="00882A30"/>
    <w:rsid w:val="00883AB0"/>
    <w:rsid w:val="0088455F"/>
    <w:rsid w:val="008850C7"/>
    <w:rsid w:val="008873F5"/>
    <w:rsid w:val="00894108"/>
    <w:rsid w:val="00896DA2"/>
    <w:rsid w:val="00896E85"/>
    <w:rsid w:val="008A3DF3"/>
    <w:rsid w:val="008B0348"/>
    <w:rsid w:val="008B1DFA"/>
    <w:rsid w:val="008B269C"/>
    <w:rsid w:val="008C057F"/>
    <w:rsid w:val="008C19CC"/>
    <w:rsid w:val="008C2087"/>
    <w:rsid w:val="008C2F13"/>
    <w:rsid w:val="008C3586"/>
    <w:rsid w:val="008C38C3"/>
    <w:rsid w:val="008C38EC"/>
    <w:rsid w:val="008D4495"/>
    <w:rsid w:val="008D6F0F"/>
    <w:rsid w:val="008E038B"/>
    <w:rsid w:val="008E0400"/>
    <w:rsid w:val="008E75DE"/>
    <w:rsid w:val="008E7B2E"/>
    <w:rsid w:val="008F2B46"/>
    <w:rsid w:val="008F7652"/>
    <w:rsid w:val="00905BAB"/>
    <w:rsid w:val="009117BE"/>
    <w:rsid w:val="00912D84"/>
    <w:rsid w:val="00913595"/>
    <w:rsid w:val="0091466D"/>
    <w:rsid w:val="00915331"/>
    <w:rsid w:val="0091551A"/>
    <w:rsid w:val="00916814"/>
    <w:rsid w:val="0091721E"/>
    <w:rsid w:val="009178E0"/>
    <w:rsid w:val="00920442"/>
    <w:rsid w:val="00923C66"/>
    <w:rsid w:val="009247BC"/>
    <w:rsid w:val="00924C79"/>
    <w:rsid w:val="009302A7"/>
    <w:rsid w:val="00930F59"/>
    <w:rsid w:val="00931C5E"/>
    <w:rsid w:val="00935F04"/>
    <w:rsid w:val="00936045"/>
    <w:rsid w:val="009369B1"/>
    <w:rsid w:val="00936EEC"/>
    <w:rsid w:val="009378E1"/>
    <w:rsid w:val="00937B68"/>
    <w:rsid w:val="00941C3F"/>
    <w:rsid w:val="0094454E"/>
    <w:rsid w:val="009529DA"/>
    <w:rsid w:val="00957F05"/>
    <w:rsid w:val="00962568"/>
    <w:rsid w:val="00963DC6"/>
    <w:rsid w:val="0096739A"/>
    <w:rsid w:val="00971FE3"/>
    <w:rsid w:val="0098296D"/>
    <w:rsid w:val="00984CD4"/>
    <w:rsid w:val="0098683A"/>
    <w:rsid w:val="00990AC6"/>
    <w:rsid w:val="00990F93"/>
    <w:rsid w:val="0099152D"/>
    <w:rsid w:val="00991637"/>
    <w:rsid w:val="00992880"/>
    <w:rsid w:val="009939A6"/>
    <w:rsid w:val="00995444"/>
    <w:rsid w:val="0099626D"/>
    <w:rsid w:val="00997466"/>
    <w:rsid w:val="009A148B"/>
    <w:rsid w:val="009A2B13"/>
    <w:rsid w:val="009A5810"/>
    <w:rsid w:val="009A65C6"/>
    <w:rsid w:val="009A7017"/>
    <w:rsid w:val="009A7DA2"/>
    <w:rsid w:val="009B6F26"/>
    <w:rsid w:val="009C1A56"/>
    <w:rsid w:val="009C6A22"/>
    <w:rsid w:val="009D06C5"/>
    <w:rsid w:val="009D149A"/>
    <w:rsid w:val="009D1714"/>
    <w:rsid w:val="009D440C"/>
    <w:rsid w:val="009D4430"/>
    <w:rsid w:val="009D534C"/>
    <w:rsid w:val="009D6894"/>
    <w:rsid w:val="009D6999"/>
    <w:rsid w:val="009D728C"/>
    <w:rsid w:val="009D7AD7"/>
    <w:rsid w:val="009E0149"/>
    <w:rsid w:val="009E1437"/>
    <w:rsid w:val="009E5452"/>
    <w:rsid w:val="009E5B14"/>
    <w:rsid w:val="009E6B73"/>
    <w:rsid w:val="009E7DF4"/>
    <w:rsid w:val="009F000C"/>
    <w:rsid w:val="009F1AC6"/>
    <w:rsid w:val="009F388A"/>
    <w:rsid w:val="009F4737"/>
    <w:rsid w:val="009F4FAE"/>
    <w:rsid w:val="009F50C1"/>
    <w:rsid w:val="00A00CDE"/>
    <w:rsid w:val="00A02C9F"/>
    <w:rsid w:val="00A04892"/>
    <w:rsid w:val="00A069E9"/>
    <w:rsid w:val="00A06D62"/>
    <w:rsid w:val="00A11F0F"/>
    <w:rsid w:val="00A14614"/>
    <w:rsid w:val="00A15CC1"/>
    <w:rsid w:val="00A16D27"/>
    <w:rsid w:val="00A177AB"/>
    <w:rsid w:val="00A216D6"/>
    <w:rsid w:val="00A23557"/>
    <w:rsid w:val="00A265D8"/>
    <w:rsid w:val="00A2684C"/>
    <w:rsid w:val="00A3039B"/>
    <w:rsid w:val="00A3192E"/>
    <w:rsid w:val="00A33320"/>
    <w:rsid w:val="00A462FD"/>
    <w:rsid w:val="00A520EE"/>
    <w:rsid w:val="00A57356"/>
    <w:rsid w:val="00A63387"/>
    <w:rsid w:val="00A64901"/>
    <w:rsid w:val="00A64F48"/>
    <w:rsid w:val="00A663C7"/>
    <w:rsid w:val="00A666FC"/>
    <w:rsid w:val="00A67D74"/>
    <w:rsid w:val="00A7039D"/>
    <w:rsid w:val="00A72E51"/>
    <w:rsid w:val="00A743B3"/>
    <w:rsid w:val="00A77F7E"/>
    <w:rsid w:val="00A840CB"/>
    <w:rsid w:val="00A856C6"/>
    <w:rsid w:val="00A90A7A"/>
    <w:rsid w:val="00A94F7C"/>
    <w:rsid w:val="00A97C2A"/>
    <w:rsid w:val="00AA29CD"/>
    <w:rsid w:val="00AA2D51"/>
    <w:rsid w:val="00AA3B2A"/>
    <w:rsid w:val="00AA437C"/>
    <w:rsid w:val="00AA5C84"/>
    <w:rsid w:val="00AA602D"/>
    <w:rsid w:val="00AA6648"/>
    <w:rsid w:val="00AA735D"/>
    <w:rsid w:val="00AB05C9"/>
    <w:rsid w:val="00AB0A37"/>
    <w:rsid w:val="00AB143E"/>
    <w:rsid w:val="00AB2E45"/>
    <w:rsid w:val="00AB3E26"/>
    <w:rsid w:val="00AB5F4D"/>
    <w:rsid w:val="00AB78F0"/>
    <w:rsid w:val="00AC2807"/>
    <w:rsid w:val="00AC586A"/>
    <w:rsid w:val="00AC5A73"/>
    <w:rsid w:val="00AC677A"/>
    <w:rsid w:val="00AC7714"/>
    <w:rsid w:val="00AD2915"/>
    <w:rsid w:val="00AD3582"/>
    <w:rsid w:val="00AD36FE"/>
    <w:rsid w:val="00AD4C94"/>
    <w:rsid w:val="00AE0DEB"/>
    <w:rsid w:val="00AE36B2"/>
    <w:rsid w:val="00AE438E"/>
    <w:rsid w:val="00AE5B3C"/>
    <w:rsid w:val="00AF0CA4"/>
    <w:rsid w:val="00AF0FB3"/>
    <w:rsid w:val="00B01396"/>
    <w:rsid w:val="00B03B0C"/>
    <w:rsid w:val="00B14B9B"/>
    <w:rsid w:val="00B16660"/>
    <w:rsid w:val="00B1702E"/>
    <w:rsid w:val="00B17554"/>
    <w:rsid w:val="00B2117F"/>
    <w:rsid w:val="00B211D2"/>
    <w:rsid w:val="00B23444"/>
    <w:rsid w:val="00B23C20"/>
    <w:rsid w:val="00B23CEB"/>
    <w:rsid w:val="00B23F92"/>
    <w:rsid w:val="00B2418B"/>
    <w:rsid w:val="00B2522E"/>
    <w:rsid w:val="00B26973"/>
    <w:rsid w:val="00B27162"/>
    <w:rsid w:val="00B31F4B"/>
    <w:rsid w:val="00B3642D"/>
    <w:rsid w:val="00B37C80"/>
    <w:rsid w:val="00B44F64"/>
    <w:rsid w:val="00B45549"/>
    <w:rsid w:val="00B575E2"/>
    <w:rsid w:val="00B5761D"/>
    <w:rsid w:val="00B626F7"/>
    <w:rsid w:val="00B7073C"/>
    <w:rsid w:val="00B73E03"/>
    <w:rsid w:val="00B77478"/>
    <w:rsid w:val="00B83A79"/>
    <w:rsid w:val="00B858A1"/>
    <w:rsid w:val="00B85ACA"/>
    <w:rsid w:val="00B87C39"/>
    <w:rsid w:val="00B90865"/>
    <w:rsid w:val="00B9097A"/>
    <w:rsid w:val="00B96CB4"/>
    <w:rsid w:val="00BA02A0"/>
    <w:rsid w:val="00BA0B43"/>
    <w:rsid w:val="00BA2872"/>
    <w:rsid w:val="00BA36C9"/>
    <w:rsid w:val="00BA7BA9"/>
    <w:rsid w:val="00BB5F20"/>
    <w:rsid w:val="00BB65AC"/>
    <w:rsid w:val="00BC0114"/>
    <w:rsid w:val="00BC0417"/>
    <w:rsid w:val="00BC7E95"/>
    <w:rsid w:val="00BD1D4E"/>
    <w:rsid w:val="00BD2909"/>
    <w:rsid w:val="00BD3B65"/>
    <w:rsid w:val="00BD40F7"/>
    <w:rsid w:val="00BD5045"/>
    <w:rsid w:val="00BD7F68"/>
    <w:rsid w:val="00BE08B5"/>
    <w:rsid w:val="00BE27CE"/>
    <w:rsid w:val="00BE2FC0"/>
    <w:rsid w:val="00BE3006"/>
    <w:rsid w:val="00BE454C"/>
    <w:rsid w:val="00BE5469"/>
    <w:rsid w:val="00BE5950"/>
    <w:rsid w:val="00BE766E"/>
    <w:rsid w:val="00BF0125"/>
    <w:rsid w:val="00BF2573"/>
    <w:rsid w:val="00BF30B7"/>
    <w:rsid w:val="00BF4132"/>
    <w:rsid w:val="00BF6435"/>
    <w:rsid w:val="00BF6985"/>
    <w:rsid w:val="00C0519D"/>
    <w:rsid w:val="00C10E4C"/>
    <w:rsid w:val="00C12A57"/>
    <w:rsid w:val="00C13A27"/>
    <w:rsid w:val="00C15A87"/>
    <w:rsid w:val="00C166D5"/>
    <w:rsid w:val="00C17A49"/>
    <w:rsid w:val="00C226C0"/>
    <w:rsid w:val="00C2439D"/>
    <w:rsid w:val="00C25E3F"/>
    <w:rsid w:val="00C262C8"/>
    <w:rsid w:val="00C27191"/>
    <w:rsid w:val="00C27772"/>
    <w:rsid w:val="00C3097F"/>
    <w:rsid w:val="00C3114B"/>
    <w:rsid w:val="00C33FDE"/>
    <w:rsid w:val="00C34DC1"/>
    <w:rsid w:val="00C35241"/>
    <w:rsid w:val="00C406EF"/>
    <w:rsid w:val="00C42C04"/>
    <w:rsid w:val="00C4571A"/>
    <w:rsid w:val="00C47B74"/>
    <w:rsid w:val="00C51F2C"/>
    <w:rsid w:val="00C54ED9"/>
    <w:rsid w:val="00C5615E"/>
    <w:rsid w:val="00C56E22"/>
    <w:rsid w:val="00C732C4"/>
    <w:rsid w:val="00C73E46"/>
    <w:rsid w:val="00C74181"/>
    <w:rsid w:val="00C74AB2"/>
    <w:rsid w:val="00C74ADD"/>
    <w:rsid w:val="00C7565C"/>
    <w:rsid w:val="00C77AF3"/>
    <w:rsid w:val="00C84080"/>
    <w:rsid w:val="00C849A3"/>
    <w:rsid w:val="00C86DE6"/>
    <w:rsid w:val="00C87CEF"/>
    <w:rsid w:val="00C90C1A"/>
    <w:rsid w:val="00C91479"/>
    <w:rsid w:val="00C92C87"/>
    <w:rsid w:val="00C92EFA"/>
    <w:rsid w:val="00C95FC5"/>
    <w:rsid w:val="00CA4CDB"/>
    <w:rsid w:val="00CA65DC"/>
    <w:rsid w:val="00CA672B"/>
    <w:rsid w:val="00CB0BC3"/>
    <w:rsid w:val="00CB2CAA"/>
    <w:rsid w:val="00CB3AF6"/>
    <w:rsid w:val="00CB3B6C"/>
    <w:rsid w:val="00CB3C13"/>
    <w:rsid w:val="00CB7F19"/>
    <w:rsid w:val="00CC1FAE"/>
    <w:rsid w:val="00CC2A20"/>
    <w:rsid w:val="00CD0E2B"/>
    <w:rsid w:val="00CD1913"/>
    <w:rsid w:val="00CD2E14"/>
    <w:rsid w:val="00CD303C"/>
    <w:rsid w:val="00CE01A9"/>
    <w:rsid w:val="00CE1850"/>
    <w:rsid w:val="00CE2414"/>
    <w:rsid w:val="00CE387E"/>
    <w:rsid w:val="00CE3FD1"/>
    <w:rsid w:val="00CE4FD1"/>
    <w:rsid w:val="00CE590F"/>
    <w:rsid w:val="00CE620E"/>
    <w:rsid w:val="00CE729B"/>
    <w:rsid w:val="00CE72EE"/>
    <w:rsid w:val="00CF1ED5"/>
    <w:rsid w:val="00CF22A4"/>
    <w:rsid w:val="00CF5989"/>
    <w:rsid w:val="00CF697D"/>
    <w:rsid w:val="00D0501D"/>
    <w:rsid w:val="00D06352"/>
    <w:rsid w:val="00D073E9"/>
    <w:rsid w:val="00D13A82"/>
    <w:rsid w:val="00D13DB7"/>
    <w:rsid w:val="00D16BCC"/>
    <w:rsid w:val="00D20A6E"/>
    <w:rsid w:val="00D2477C"/>
    <w:rsid w:val="00D27BF0"/>
    <w:rsid w:val="00D3001C"/>
    <w:rsid w:val="00D30BFC"/>
    <w:rsid w:val="00D30E5F"/>
    <w:rsid w:val="00D340A4"/>
    <w:rsid w:val="00D521BC"/>
    <w:rsid w:val="00D531A6"/>
    <w:rsid w:val="00D56715"/>
    <w:rsid w:val="00D61C71"/>
    <w:rsid w:val="00D62124"/>
    <w:rsid w:val="00D65D87"/>
    <w:rsid w:val="00D701E2"/>
    <w:rsid w:val="00D77E17"/>
    <w:rsid w:val="00D81343"/>
    <w:rsid w:val="00D830A8"/>
    <w:rsid w:val="00D833B3"/>
    <w:rsid w:val="00D86E8F"/>
    <w:rsid w:val="00D91F15"/>
    <w:rsid w:val="00D92F3D"/>
    <w:rsid w:val="00DA268B"/>
    <w:rsid w:val="00DA4103"/>
    <w:rsid w:val="00DA7068"/>
    <w:rsid w:val="00DA7A2E"/>
    <w:rsid w:val="00DA7D9B"/>
    <w:rsid w:val="00DB0BCD"/>
    <w:rsid w:val="00DB2D0C"/>
    <w:rsid w:val="00DB47C4"/>
    <w:rsid w:val="00DB53DB"/>
    <w:rsid w:val="00DB71AC"/>
    <w:rsid w:val="00DC00D1"/>
    <w:rsid w:val="00DC221C"/>
    <w:rsid w:val="00DC2CA7"/>
    <w:rsid w:val="00DC3016"/>
    <w:rsid w:val="00DC35CA"/>
    <w:rsid w:val="00DC54BD"/>
    <w:rsid w:val="00DD02A4"/>
    <w:rsid w:val="00DD14DE"/>
    <w:rsid w:val="00DD16B7"/>
    <w:rsid w:val="00DD34A1"/>
    <w:rsid w:val="00DD3CF2"/>
    <w:rsid w:val="00DE1A02"/>
    <w:rsid w:val="00DE3FFD"/>
    <w:rsid w:val="00DE47C0"/>
    <w:rsid w:val="00DE4F31"/>
    <w:rsid w:val="00DF2CD3"/>
    <w:rsid w:val="00E0223F"/>
    <w:rsid w:val="00E0309C"/>
    <w:rsid w:val="00E032ED"/>
    <w:rsid w:val="00E038A6"/>
    <w:rsid w:val="00E03E1C"/>
    <w:rsid w:val="00E04204"/>
    <w:rsid w:val="00E0470A"/>
    <w:rsid w:val="00E05C6C"/>
    <w:rsid w:val="00E06506"/>
    <w:rsid w:val="00E108E8"/>
    <w:rsid w:val="00E13BF2"/>
    <w:rsid w:val="00E157E1"/>
    <w:rsid w:val="00E20C50"/>
    <w:rsid w:val="00E2182C"/>
    <w:rsid w:val="00E22E26"/>
    <w:rsid w:val="00E239ED"/>
    <w:rsid w:val="00E24907"/>
    <w:rsid w:val="00E24C5B"/>
    <w:rsid w:val="00E2645B"/>
    <w:rsid w:val="00E26527"/>
    <w:rsid w:val="00E279EF"/>
    <w:rsid w:val="00E307DA"/>
    <w:rsid w:val="00E325CF"/>
    <w:rsid w:val="00E33AC0"/>
    <w:rsid w:val="00E34325"/>
    <w:rsid w:val="00E403BF"/>
    <w:rsid w:val="00E40B0D"/>
    <w:rsid w:val="00E41A44"/>
    <w:rsid w:val="00E43146"/>
    <w:rsid w:val="00E43811"/>
    <w:rsid w:val="00E439A0"/>
    <w:rsid w:val="00E44ED9"/>
    <w:rsid w:val="00E52729"/>
    <w:rsid w:val="00E53381"/>
    <w:rsid w:val="00E54289"/>
    <w:rsid w:val="00E55647"/>
    <w:rsid w:val="00E55851"/>
    <w:rsid w:val="00E5778F"/>
    <w:rsid w:val="00E60902"/>
    <w:rsid w:val="00E61BFF"/>
    <w:rsid w:val="00E62338"/>
    <w:rsid w:val="00E63A05"/>
    <w:rsid w:val="00E63D17"/>
    <w:rsid w:val="00E6631F"/>
    <w:rsid w:val="00E66384"/>
    <w:rsid w:val="00E66562"/>
    <w:rsid w:val="00E67FB8"/>
    <w:rsid w:val="00E71420"/>
    <w:rsid w:val="00E73B6E"/>
    <w:rsid w:val="00E74A7A"/>
    <w:rsid w:val="00E75AC7"/>
    <w:rsid w:val="00E75D78"/>
    <w:rsid w:val="00E80E88"/>
    <w:rsid w:val="00E82276"/>
    <w:rsid w:val="00E83ECB"/>
    <w:rsid w:val="00E92A1C"/>
    <w:rsid w:val="00E942F3"/>
    <w:rsid w:val="00E9488C"/>
    <w:rsid w:val="00E94DA0"/>
    <w:rsid w:val="00E9691D"/>
    <w:rsid w:val="00E96AB6"/>
    <w:rsid w:val="00EA3DCE"/>
    <w:rsid w:val="00EA5CC3"/>
    <w:rsid w:val="00EA60AF"/>
    <w:rsid w:val="00EC72F4"/>
    <w:rsid w:val="00EC7BB8"/>
    <w:rsid w:val="00ED0475"/>
    <w:rsid w:val="00ED1B94"/>
    <w:rsid w:val="00ED37EB"/>
    <w:rsid w:val="00ED5704"/>
    <w:rsid w:val="00ED5A49"/>
    <w:rsid w:val="00EE3D27"/>
    <w:rsid w:val="00EE580B"/>
    <w:rsid w:val="00EE6A9C"/>
    <w:rsid w:val="00EF08C3"/>
    <w:rsid w:val="00EF2D2C"/>
    <w:rsid w:val="00EF32E0"/>
    <w:rsid w:val="00EF4DFF"/>
    <w:rsid w:val="00EF6341"/>
    <w:rsid w:val="00EF63E1"/>
    <w:rsid w:val="00EF6DA4"/>
    <w:rsid w:val="00F0560A"/>
    <w:rsid w:val="00F0729E"/>
    <w:rsid w:val="00F0764B"/>
    <w:rsid w:val="00F127F3"/>
    <w:rsid w:val="00F14E5D"/>
    <w:rsid w:val="00F158D7"/>
    <w:rsid w:val="00F16A70"/>
    <w:rsid w:val="00F20EE5"/>
    <w:rsid w:val="00F23CCB"/>
    <w:rsid w:val="00F26970"/>
    <w:rsid w:val="00F3131D"/>
    <w:rsid w:val="00F31C79"/>
    <w:rsid w:val="00F32453"/>
    <w:rsid w:val="00F336DE"/>
    <w:rsid w:val="00F44833"/>
    <w:rsid w:val="00F5359B"/>
    <w:rsid w:val="00F544B0"/>
    <w:rsid w:val="00F55851"/>
    <w:rsid w:val="00F56123"/>
    <w:rsid w:val="00F576B1"/>
    <w:rsid w:val="00F57A44"/>
    <w:rsid w:val="00F57D48"/>
    <w:rsid w:val="00F57FC9"/>
    <w:rsid w:val="00F608DF"/>
    <w:rsid w:val="00F61730"/>
    <w:rsid w:val="00F61F6E"/>
    <w:rsid w:val="00F6417D"/>
    <w:rsid w:val="00F6664B"/>
    <w:rsid w:val="00F67C87"/>
    <w:rsid w:val="00F67D2C"/>
    <w:rsid w:val="00F72B51"/>
    <w:rsid w:val="00F75AD3"/>
    <w:rsid w:val="00F76FBB"/>
    <w:rsid w:val="00F806D9"/>
    <w:rsid w:val="00F813AA"/>
    <w:rsid w:val="00F835A4"/>
    <w:rsid w:val="00F841C9"/>
    <w:rsid w:val="00F84C23"/>
    <w:rsid w:val="00F94D03"/>
    <w:rsid w:val="00FA07DE"/>
    <w:rsid w:val="00FA133C"/>
    <w:rsid w:val="00FA1CE1"/>
    <w:rsid w:val="00FA3240"/>
    <w:rsid w:val="00FA3667"/>
    <w:rsid w:val="00FA60A2"/>
    <w:rsid w:val="00FA671F"/>
    <w:rsid w:val="00FB4FAA"/>
    <w:rsid w:val="00FB5BD4"/>
    <w:rsid w:val="00FB6680"/>
    <w:rsid w:val="00FB71AA"/>
    <w:rsid w:val="00FC3D87"/>
    <w:rsid w:val="00FC5A10"/>
    <w:rsid w:val="00FC79DF"/>
    <w:rsid w:val="00FD1EA6"/>
    <w:rsid w:val="00FD2CD9"/>
    <w:rsid w:val="00FD3DE0"/>
    <w:rsid w:val="00FD6FD9"/>
    <w:rsid w:val="00FD7729"/>
    <w:rsid w:val="00FD7C22"/>
    <w:rsid w:val="00FD7EEA"/>
    <w:rsid w:val="00FE1929"/>
    <w:rsid w:val="00FE5050"/>
    <w:rsid w:val="00FE5C58"/>
    <w:rsid w:val="00FF04D4"/>
    <w:rsid w:val="00FF0CA0"/>
    <w:rsid w:val="00FF1705"/>
    <w:rsid w:val="00FF3F7B"/>
    <w:rsid w:val="00FF4C25"/>
    <w:rsid w:val="00FF63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C42C04"/>
    <w:pPr>
      <w:spacing w:before="100" w:beforeAutospacing="1" w:after="100" w:afterAutospacing="1" w:line="240" w:lineRule="auto"/>
      <w:jc w:val="left"/>
    </w:pPr>
    <w:rPr>
      <w:rFonts w:ascii="Times New Roman" w:eastAsia="Times New Roman" w:hAnsi="Times New Roman" w:cs="Times New Roman"/>
      <w:kern w:val="0"/>
      <w:sz w:val="24"/>
      <w:szCs w:val="24"/>
      <w:lang w:val="en-US" w:eastAsia="en-US"/>
      <w14:ligatures w14:val="none"/>
    </w:rPr>
  </w:style>
  <w:style w:type="paragraph" w:styleId="TOCHeading">
    <w:name w:val="TOC Heading"/>
    <w:basedOn w:val="Heading1"/>
    <w:next w:val="Normal"/>
    <w:uiPriority w:val="39"/>
    <w:unhideWhenUsed/>
    <w:qFormat/>
    <w:rsid w:val="00B37C80"/>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323EA6"/>
    <w:pPr>
      <w:tabs>
        <w:tab w:val="left" w:pos="440"/>
        <w:tab w:val="right" w:leader="dot" w:pos="9016"/>
      </w:tabs>
      <w:spacing w:before="240" w:after="0"/>
    </w:pPr>
  </w:style>
  <w:style w:type="paragraph" w:styleId="TOC2">
    <w:name w:val="toc 2"/>
    <w:basedOn w:val="Normal"/>
    <w:next w:val="Normal"/>
    <w:autoRedefine/>
    <w:uiPriority w:val="39"/>
    <w:unhideWhenUsed/>
    <w:rsid w:val="00B37C80"/>
    <w:pPr>
      <w:spacing w:after="100"/>
      <w:ind w:left="220"/>
    </w:pPr>
  </w:style>
  <w:style w:type="paragraph" w:styleId="TOC3">
    <w:name w:val="toc 3"/>
    <w:basedOn w:val="Normal"/>
    <w:next w:val="Normal"/>
    <w:autoRedefine/>
    <w:uiPriority w:val="39"/>
    <w:unhideWhenUsed/>
    <w:rsid w:val="00B37C80"/>
    <w:pPr>
      <w:spacing w:after="100"/>
      <w:ind w:left="440"/>
    </w:pPr>
  </w:style>
  <w:style w:type="paragraph" w:styleId="Caption">
    <w:name w:val="caption"/>
    <w:basedOn w:val="Normal"/>
    <w:next w:val="Normal"/>
    <w:uiPriority w:val="35"/>
    <w:unhideWhenUsed/>
    <w:qFormat/>
    <w:rsid w:val="007C7D12"/>
    <w:pPr>
      <w:spacing w:after="200" w:line="240" w:lineRule="auto"/>
    </w:pPr>
    <w:rPr>
      <w:i/>
      <w:iCs/>
      <w:color w:val="44546A" w:themeColor="text2"/>
      <w:sz w:val="18"/>
      <w:szCs w:val="18"/>
    </w:rPr>
  </w:style>
  <w:style w:type="table" w:styleId="PlainTable1">
    <w:name w:val="Plain Table 1"/>
    <w:basedOn w:val="TableNormal"/>
    <w:uiPriority w:val="41"/>
    <w:rsid w:val="00AD29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291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AD291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D291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3E5C3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7ColourfulAccent6">
    <w:name w:val="Grid Table 7 Colorful Accent 6"/>
    <w:basedOn w:val="TableNormal"/>
    <w:uiPriority w:val="52"/>
    <w:rsid w:val="002A535A"/>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5">
    <w:name w:val="Grid Table 4 Accent 5"/>
    <w:basedOn w:val="TableNormal"/>
    <w:uiPriority w:val="49"/>
    <w:rsid w:val="004352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3">
    <w:name w:val="Grid Table 5 Dark Accent 3"/>
    <w:basedOn w:val="TableNormal"/>
    <w:uiPriority w:val="50"/>
    <w:rsid w:val="008303C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1461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ableofFigures">
    <w:name w:val="table of figures"/>
    <w:basedOn w:val="Normal"/>
    <w:next w:val="Normal"/>
    <w:uiPriority w:val="99"/>
    <w:unhideWhenUsed/>
    <w:rsid w:val="006C116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14998</Words>
  <Characters>85494</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Bibi</dc:creator>
  <cp:keywords/>
  <dc:description/>
  <cp:lastModifiedBy>Freeda Zeb</cp:lastModifiedBy>
  <cp:revision>2</cp:revision>
  <dcterms:created xsi:type="dcterms:W3CDTF">2026-07-20T17:38:00Z</dcterms:created>
  <dcterms:modified xsi:type="dcterms:W3CDTF">2026-07-20T17:38:00Z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5b959727-b2de-4267-9919-817aba975069</vt:lpwstr>
  </property>
</Properties>
</file>