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C0A81" w14:textId="0EAAD24C" w:rsidR="0043607C" w:rsidRPr="00037AA4" w:rsidRDefault="0043607C" w:rsidP="00037AA4">
      <w:pPr>
        <w:spacing w:line="0" w:lineRule="atLeast"/>
        <w:rPr>
          <w:rFonts w:ascii="Times New Roman" w:hAnsi="Times New Roman" w:cs="Times New Roman"/>
          <w:sz w:val="10"/>
          <w:szCs w:val="10"/>
        </w:rPr>
      </w:pPr>
      <w:r w:rsidRPr="00037AA4">
        <w:rPr>
          <w:rFonts w:ascii="Times New Roman" w:hAnsi="Times New Roman" w:cs="Times New Roman" w:hint="eastAsia"/>
          <w:sz w:val="10"/>
          <w:szCs w:val="10"/>
        </w:rPr>
        <w:t xml:space="preserve">Q1: </w:t>
      </w:r>
      <w:r w:rsidRPr="00037AA4">
        <w:rPr>
          <w:rFonts w:ascii="Times New Roman" w:hAnsi="Times New Roman" w:cs="Times New Roman"/>
          <w:sz w:val="10"/>
          <w:szCs w:val="10"/>
        </w:rPr>
        <w:t>1. Porter’s Five Forces – Tesla</w:t>
      </w:r>
    </w:p>
    <w:p w14:paraId="315A2A21" w14:textId="69D48D37" w:rsidR="00A53B79" w:rsidRPr="00037AA4" w:rsidRDefault="0043607C" w:rsidP="00037AA4">
      <w:pPr>
        <w:spacing w:line="0" w:lineRule="atLeast"/>
        <w:rPr>
          <w:rFonts w:ascii="Times New Roman" w:hAnsi="Times New Roman" w:cs="Times New Roman"/>
          <w:sz w:val="10"/>
          <w:szCs w:val="10"/>
        </w:rPr>
      </w:pPr>
      <w:r w:rsidRPr="00037AA4">
        <w:rPr>
          <w:rFonts w:ascii="Times New Roman" w:hAnsi="Times New Roman" w:cs="Times New Roman"/>
          <w:sz w:val="10"/>
          <w:szCs w:val="10"/>
        </w:rPr>
        <w:t>Strategic management frameworks help organisations analyse competition, uncertainty and environmental change. One of the most influential external analysis frameworks is Porter’s Five Forces model. Porter argues that industry competitiveness is influenced by five major forces: competitive rivalry, threat of new entrants, bargaining power of suppliers, bargaining power of buyers and threat of substitutes</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{"citationID":"FcMQqU3D","properties":{"unsorted":false,"formattedCitation":"(Paksoy, Gunduz and Demir, 2023)","plainCitation":"(Paksoy, Gunduz and Demir, 2023)","noteIndex":0},"citationItems":[{"id":457,"uris":["http://zotero.org/users/local/JBGcfLdO/items/FYHB8PNN"],"itemData":{"id":457,"type":"article-journal","container-title":"Computers &amp; Industrial Engineering","ISSN":"0360-8352","journalAbbreviation":"Computers &amp; Industrial Engineering","page":"109422","publisher":"Elsevier","title":"Overall competitiveness efficiency: A quantitative approach to the five forces model","volume":"182","author":[{"family":"Paksoy","given":"Turan"},{"family":"Gunduz","given":"Mehmet Akif"},{"family":"Demir","given":"Sercan"}],"issued":{"date-parts":[["2023"]]}}}],"schema":"https://github.com/citation-style-language/schema/raw/master/csl-citation.json"}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sz w:val="10"/>
          <w:szCs w:val="10"/>
        </w:rPr>
        <w:t>(Paksoy, Gunduz and Demir, 2023)</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 The framework helps organisations evaluate industry attractiveness and make strategic decisions in challenging external environments. Tesla operates in the highly competitive electric vehicle industry where innovation, sustainability and global competition strongly influence business strategy.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first force is competitive rivalry. This refers to the intensity of competition between firms within an industry. Tesla faces strong rivalry from companies such as BYD, BMW, Ford and NIO. Competitors continuously invest in battery technology, autonomous driving systems and pricing strategies. Increased rivalry reduces profitability because firms compete aggressively for market share. Porter</w:t>
      </w:r>
      <w:r w:rsidR="007E7839"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suggests that industries with strong rivalry are less attractive because competitive pressure reduces long-term profitability</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{"citationID":"dmyCXDFH","properties":{"unsorted":false,"formattedCitation":"(Baird, Nuhu and Jiao, 2024)","plainCitation":"(Baird, Nuhu and Jiao, 2024)","noteIndex":0},"citationItems":[{"id":458,"uris":["http://zotero.org/users/local/JBGcfLdO/items/DT7LFIJJ"],"itemData":{"id":458,"type":"article-journal","container-title":"Journal of Management Control","ISSN":"2191-4761","issue":"2","journalAbbreviation":"Journal of Management Control","page":"303-332","publisher":"Springer","title":"The effect of Porter’s competitive forces on competitive advantage and organisational performance and the moderating role of management accounting practices","volume":"35","author":[{"family":"Baird","given":"Kevin"},{"family":"Nuhu","given":"Nuraddeen"},{"family":"Jiao","given":"Lu"}],"issued":{"date-parts":[["2024"]]}}}],"schema":"https://github.com/citation-style-language/schema/raw/master/csl-citation.json"}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sz w:val="10"/>
          <w:szCs w:val="10"/>
        </w:rPr>
        <w:t>(Baird, Nuhu and Jiao, 2024)</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second force is the threat of new entrants. Although the electric vehicle industry requires high levels of research and development investment, many governments support EV industries through subsidies and environmental policies. This encourages new competitors to enter the market. However, high capital requirements, technological expertise and brand reputation create significant barriers to entry.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third force is supplier power. Tesla depends heavily on lithium battery suppliers and semiconductor manufacturers. Limited access to raw materials increases supplier bargaining power and may raise production costs. Tesla attempts to reduce this pressure through vertical integration and long-term supplier agreements.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Buyer power has also increased because consumers can easily compare electric vehicle prices, battery performance and technology online. Switching costs are relatively low because customers have many alternative EV brands available. Finally, substitutes include hybrid vehicles, public transportation and fuel-efficient petrol cars.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Porter’s Five Forces helps Tesla identify external threats and opportunities before making strategic decisions. The framework supports decisions regarding pricing, innovation and international expansion. Tesla’s investment in charging infrastructure and battery technology demonstrates how organisations respond strategically to competitive pressure.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A major strength of Porter’s Five Forces is that it provides a clear and structured analysis of industry competition. The model is practical and widely used in strategic management. However, the framework also has limitations. Mintzberg argues that strategic models may oversimplify dynamic business environments</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{"citationID":"fInIArGK","properties":{"unsorted":false,"formattedCitation":"(Jarzabkowski {\\i{}et al.}, 2025)","plainCitation":"(Jarzabkowski et al., 2025)","noteIndex":0},"citationItems":[{"id":459,"uris":["http://zotero.org/users/local/JBGcfLdO/items/7E2DQX4D"],"itemData":{"id":459,"type":"article-journal","container-title":"Academy of Management Collections","issue":"2","journalAbbreviation":"Academy of Management Collections","page":"55-76","publisher":"Academy of Management Valhalla, NY","title":"Two decades of revolutionizing strategy research: How strategy-as-practice illuminates the complex, dynamic and consequential ways of doing strategy","volume":"4","author":[{"family":"Jarzabkowski","given":"Paula"},{"family":"Lê","given":"Jane K"},{"family":"Seidl","given":"David"},{"family":"Vaara","given":"Eero"}],"issued":{"date-parts":[["2025"]]}}}],"schema":"https://github.com/citation-style-language/schema/raw/master/csl-citation.json"}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kern w:val="0"/>
          <w:sz w:val="10"/>
          <w:szCs w:val="10"/>
        </w:rPr>
        <w:t xml:space="preserve">(Jarzabkowski </w:t>
      </w:r>
      <w:r w:rsidR="007E7839" w:rsidRPr="00037AA4">
        <w:rPr>
          <w:rFonts w:ascii="Times New Roman" w:hAnsi="Times New Roman" w:cs="Times New Roman"/>
          <w:i/>
          <w:iCs/>
          <w:kern w:val="0"/>
          <w:sz w:val="10"/>
          <w:szCs w:val="10"/>
        </w:rPr>
        <w:t>et al.</w:t>
      </w:r>
      <w:r w:rsidR="007E7839" w:rsidRPr="00037AA4">
        <w:rPr>
          <w:rFonts w:ascii="Times New Roman" w:hAnsi="Times New Roman" w:cs="Times New Roman"/>
          <w:kern w:val="0"/>
          <w:sz w:val="10"/>
          <w:szCs w:val="10"/>
        </w:rPr>
        <w:t>, 2025)</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 Porter’s model is relatively static and may not fully reflect rapid technological change. Furthermore, the framework mainly focuses on external competition and pays limited attention to internal organisational capabilities. Barney suggests that sustainable competitive advantage also depends on valuable internal resources</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{"citationID":"T9JkFp3U","properties":{"unsorted":false,"formattedCitation":"(Foss and Mazzelli, 2025)","plainCitation":"(Foss and Mazzelli, 2025)","noteIndex":0},"citationItems":[{"id":460,"uris":["http://zotero.org/users/local/JBGcfLdO/items/RCYUVEMQ"],"itemData":{"id":460,"type":"article-journal","container-title":"Journal of Business Research","ISSN":"0148-2963","journalAbbreviation":"Journal of Business Research","page":"114947","publisher":"Elsevier","title":"Bringing managers and management back into strategy: Interfaces and dynamic managerial capabilities","volume":"186","author":[{"family":"Foss","given":"Nicolai J"},{"family":"Mazzelli","given":"Ambra"}],"issued":{"date-parts":[["2025"]]}}}],"schema":"https://github.com/citation-style-language/schema/raw/master/csl-citation.json"}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sz w:val="10"/>
          <w:szCs w:val="10"/>
        </w:rPr>
        <w:t>(Foss and Mazzelli, 2025)</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Overall, Porter’s Five Forces remains one of the most influential strategic management frameworks for analysing industry competition and supporting strategic decision-making. Tesla demonstrates how organisations can use the framework to respond to external uncertainty and maintain competitive advantage in rapidly changing industries.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 xml:space="preserve">2. VRIO Framework – </w:t>
      </w:r>
      <w:proofErr w:type="gramStart"/>
      <w:r w:rsidRPr="00037AA4">
        <w:rPr>
          <w:rFonts w:ascii="Times New Roman" w:hAnsi="Times New Roman" w:cs="Times New Roman"/>
          <w:sz w:val="10"/>
          <w:szCs w:val="10"/>
        </w:rPr>
        <w:t>Apple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w:t>
      </w:r>
      <w:proofErr w:type="gramEnd"/>
      <w:r w:rsidRPr="00037AA4">
        <w:rPr>
          <w:rFonts w:ascii="Times New Roman" w:hAnsi="Times New Roman" w:cs="Times New Roman"/>
          <w:sz w:val="10"/>
          <w:szCs w:val="10"/>
        </w:rPr>
        <w:t xml:space="preserve"> VRIO framework is one of the most important internal strategic management models because it explains how organisations achieve sustainable competitive advantage through resources and capabilities. Barney argues that firms gain long-term advantage when resources are valuable, rare, difficult to imitate and organisationally supported</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{"citationID":"6Rvs1hDj","properties":{"unsorted":false,"formattedCitation":"(Murcia, Ferreira and Ferreira, 2022)","plainCitation":"(Murcia, Ferreira and Ferreira, 2022)","noteIndex":0},"citationItems":[{"id":461,"uris":["http://zotero.org/users/local/JBGcfLdO/items/4GH7HZTT"],"itemData":{"id":461,"type":"article-journal","container-title":"Technological Forecasting and Social Change","ISSN":"0040-1625","journalAbbreviation":"Technological Forecasting and Social Change","page":"121251","publisher":"Elsevier","title":"Enhancing strategic management using a “quantified VRIO”: Adding value with the MCDA approach","volume":"174","author":[{"family":"Murcia","given":"Nathanaelle NS"},{"family":"Ferreira","given":"Fernando AF"},{"family":"Ferreira","given":"Joao JM"}],"issued":{"date-parts":[["2022"]]}}}],"schema":"https://github.com/citation-style-language/schema/raw/master/csl-citation.json"}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sz w:val="10"/>
          <w:szCs w:val="10"/>
        </w:rPr>
        <w:t>(Murcia, Ferreira and Ferreira, 2022)</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 Apple provides a strong example because its ecosystem, innovation capability and brand image create sustainable competitive advantage in the global technology industry.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VRIO stands for Valuable, Rare, Inimitable and Organised. Valuable resources improve organisational efficiency or customer value. Apple’s integrated ecosystem, including the iPhone, MacBook and Apple Watch, improves convenience and strengthens customer loyalty. This creates significant value for customers and increases switching costs.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second element is Rare. Apple possesses a global brand reputation and design culture that few competitors can match. Rare resources strengthen strategic advantage because they are not widely available within the industry.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third element is Inimitable. Apple’s innovation capability, software integration and customer experience are extremely difficult to copy. Competitors may imitate individual products, but Apple’s ecosystem and organisational culture have developed over many years. Barney argues that resources become more sustainable when competitors cannot easily replicate them</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{"citationID":"oTUeWosj","properties":{"unsorted":false,"formattedCitation":"(Murcia, Ferreira and Ferreira, 2022)","plainCitation":"(Murcia, Ferreira and Ferreira, 2022)","noteIndex":0},"citationItems":[{"id":461,"uris":["http://zotero.org/users/local/JBGcfLdO/items/4GH7HZTT"],"itemData":{"id":461,"type":"article-journal","container-title":"Technological Forecasting and Social Change","ISSN":"0040-1625","journalAbbreviation":"Technological Forecasting and Social Change","page":"121251","publisher":"Elsevier","title":"Enhancing strategic management using a “quantified VRIO”: Adding value with the MCDA approach","volume":"174","author":[{"family":"Murcia","given":"Nathanaelle NS"},{"family":"Ferreira","given":"Fernando AF"},{"family":"Ferreira","given":"Joao JM"}],"issued":{"date-parts":[["2022"]]}}}],"schema":"https://github.com/citation-style-language/schema/raw/master/csl-citation.json"}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sz w:val="10"/>
          <w:szCs w:val="10"/>
        </w:rPr>
        <w:t>(Murcia, Ferreira and Ferreira, 2022)</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final element is Organised. Organisations must possess systems and structures that fully exploit strategic resources. Apple has efficient management systems, global supply chains and operational capabilities that allow the company to maximise competitive advantage.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The VRIO framework helps managers identify whether resources create temporary or sustainable advantage. Apple’s ecosystem creates long-term customer retention and premium market positioning. The framework also supports strategic decisions regarding innovation, branding and technological investment.</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 xml:space="preserve">One major strength of VRIO is that it explains how internal capabilities influence long-term competitiveness. </w:t>
      </w:r>
      <w:bookmarkStart w:id="0" w:name="OLE_LINK1"/>
      <w:r w:rsidRPr="00037AA4">
        <w:rPr>
          <w:rFonts w:ascii="Times New Roman" w:hAnsi="Times New Roman" w:cs="Times New Roman"/>
          <w:sz w:val="10"/>
          <w:szCs w:val="10"/>
        </w:rPr>
        <w:t>Grant suggests that internal resources are increasingly important in knowledge-based industries</w:t>
      </w:r>
      <w:r w:rsidR="007E7839" w:rsidRPr="00037AA4">
        <w:rPr>
          <w:rFonts w:ascii="Times New Roman" w:hAnsi="Times New Roman" w:cs="Times New Roman" w:hint="eastAsia"/>
          <w:sz w:val="10"/>
          <w:szCs w:val="10"/>
        </w:rPr>
        <w:t xml:space="preserve"> </w:t>
      </w:r>
      <w:r w:rsidR="007E7839" w:rsidRPr="00037AA4">
        <w:rPr>
          <w:rFonts w:ascii="Times New Roman" w:hAnsi="Times New Roman" w:cs="Times New Roman"/>
          <w:sz w:val="10"/>
          <w:szCs w:val="10"/>
        </w:rPr>
        <w:fldChar w:fldCharType="begin"/>
      </w:r>
      <w:r w:rsidR="007E7839" w:rsidRPr="00037AA4">
        <w:rPr>
          <w:rFonts w:ascii="Times New Roman" w:hAnsi="Times New Roman" w:cs="Times New Roman"/>
          <w:sz w:val="10"/>
          <w:szCs w:val="10"/>
        </w:rPr>
        <w:instrText xml:space="preserve"> ADDIN ZOTERO_ITEM CSL_CITATION {"citationID":"yiPUWex2","properties":{"unsorted":false,"formattedCitation":"(Zhang {\\i{}et al.}, 2023)","plainCitation":"(Zhang et al., 2023)","noteIndex":0},"citationItems":[{"id":462,"uris":["http://zotero.org/users/local/JBGcfLdO/items/PJE6Q5BZ"],"itemData":{"id":462,"type":"article-journal","container-title":"Technological forecasting and social change","ISSN":"0040-1625","journalAbbreviation":"Technological forecasting and social change","page":"122114","publisher":"Elsevier","title":"Open innovation and sustainable competitive advantage: The role of organizational learning","volume":"186","author":[{"family":"Zhang","given":"Xiaobin"},{"family":"Chu","given":"Zhaofang"},{"family":"Ren","given":"Lei"},{"family":"Xing","given":"Jianguo"}],"issued":{"date-parts":[["2023"]]}}}],"schema":"https://github.com/citation-style-language/schema/raw/master/csl-citation.json"} </w:instrText>
      </w:r>
      <w:r w:rsidR="007E7839" w:rsidRPr="00037AA4">
        <w:rPr>
          <w:rFonts w:ascii="Times New Roman" w:hAnsi="Times New Roman" w:cs="Times New Roman"/>
          <w:sz w:val="10"/>
          <w:szCs w:val="10"/>
        </w:rPr>
        <w:fldChar w:fldCharType="separate"/>
      </w:r>
      <w:r w:rsidR="007E7839" w:rsidRPr="00037AA4">
        <w:rPr>
          <w:rFonts w:ascii="Times New Roman" w:hAnsi="Times New Roman" w:cs="Times New Roman"/>
          <w:kern w:val="0"/>
          <w:sz w:val="10"/>
          <w:szCs w:val="10"/>
        </w:rPr>
        <w:t xml:space="preserve">(Zhang </w:t>
      </w:r>
      <w:r w:rsidR="007E7839" w:rsidRPr="00037AA4">
        <w:rPr>
          <w:rFonts w:ascii="Times New Roman" w:hAnsi="Times New Roman" w:cs="Times New Roman"/>
          <w:i/>
          <w:iCs/>
          <w:kern w:val="0"/>
          <w:sz w:val="10"/>
          <w:szCs w:val="10"/>
        </w:rPr>
        <w:t>et al.</w:t>
      </w:r>
      <w:r w:rsidR="007E7839" w:rsidRPr="00037AA4">
        <w:rPr>
          <w:rFonts w:ascii="Times New Roman" w:hAnsi="Times New Roman" w:cs="Times New Roman"/>
          <w:kern w:val="0"/>
          <w:sz w:val="10"/>
          <w:szCs w:val="10"/>
        </w:rPr>
        <w:t>, 2023)</w:t>
      </w:r>
      <w:r w:rsidR="007E7839" w:rsidRPr="00037AA4">
        <w:rPr>
          <w:rFonts w:ascii="Times New Roman" w:hAnsi="Times New Roman" w:cs="Times New Roman"/>
          <w:sz w:val="10"/>
          <w:szCs w:val="10"/>
        </w:rPr>
        <w:fldChar w:fldCharType="end"/>
      </w:r>
      <w:r w:rsidRPr="00037AA4">
        <w:rPr>
          <w:rFonts w:ascii="Times New Roman" w:hAnsi="Times New Roman" w:cs="Times New Roman"/>
          <w:sz w:val="10"/>
          <w:szCs w:val="10"/>
        </w:rPr>
        <w:t>.</w:t>
      </w:r>
      <w:bookmarkEnd w:id="0"/>
      <w:r w:rsidRPr="00037AA4">
        <w:rPr>
          <w:rFonts w:ascii="Times New Roman" w:hAnsi="Times New Roman" w:cs="Times New Roman"/>
          <w:sz w:val="10"/>
          <w:szCs w:val="10"/>
        </w:rPr>
        <w:t xml:space="preserve"> However, the framework also has limitations. VRIO focuses mainly on internal organisational resources and may underestimate external environmental change. Rapid technological innovation can quickly reduce the value of strategic resources. In addition, some resources such as organisational culture are difficult to measure objectively.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Overall, VRIO remains one of the most influential frameworks for analysing sustainable competitive advantage. Apple demonstrates how valuable, rare and difficult-to-imitate resources can strengthen market leadership and long-term organisational performance.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3. SWOT Analysis – Starbucks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SWOT analysis is one of the most widely used strategic management frameworks because it combines internal and external analysis. The framework evaluates strengths, weaknesses, opportunities and threats. Kotler and Keller explain that SWOT helps organisations align internal capabilities with external market conditions</w:t>
      </w:r>
      <w:r w:rsidR="00C1793C" w:rsidRPr="00037AA4">
        <w:rPr>
          <w:rFonts w:ascii="Times New Roman" w:hAnsi="Times New Roman" w:cs="Times New Roman" w:hint="eastAsia"/>
          <w:sz w:val="10"/>
          <w:szCs w:val="10"/>
        </w:rPr>
        <w:t xml:space="preserve"> </w:t>
      </w:r>
      <w:r w:rsidR="00C1793C" w:rsidRPr="00037AA4">
        <w:rPr>
          <w:rFonts w:ascii="Times New Roman" w:hAnsi="Times New Roman" w:cs="Times New Roman"/>
          <w:sz w:val="10"/>
          <w:szCs w:val="10"/>
        </w:rPr>
        <w:fldChar w:fldCharType="begin"/>
      </w:r>
      <w:r w:rsidR="00C1793C" w:rsidRPr="00037AA4">
        <w:rPr>
          <w:rFonts w:ascii="Times New Roman" w:hAnsi="Times New Roman" w:cs="Times New Roman"/>
          <w:sz w:val="10"/>
          <w:szCs w:val="10"/>
        </w:rPr>
        <w:instrText xml:space="preserve"> ADDIN ZOTERO_ITEM CSL_CITATION {"citationID":"zuQgJwT1","properties":{"unsorted":false,"formattedCitation":"(Karadzhov, 2025)","plainCitation":"(Karadzhov, 2025)","noteIndex":0},"citationItems":[{"id":463,"uris":["http://zotero.org/users/local/JBGcfLdO/items/RWLNZIQ4"],"itemData":{"id":463,"type":"article-journal","container-title":"International Journal of Research and Review","issue":"1","journalAbbreviation":"International Journal of Research and Review","page":"66-75","title":"How to create the best SWOT analysis","volume":"12","author":[{"family":"Karadzhov","given":"Vladimir"}],"issued":{"date-parts":[["2025"]]}}}],"schema":"https://github.com/citation-style-language/schema/raw/master/csl-citation.json"} </w:instrText>
      </w:r>
      <w:r w:rsidR="00C1793C" w:rsidRPr="00037AA4">
        <w:rPr>
          <w:rFonts w:ascii="Times New Roman" w:hAnsi="Times New Roman" w:cs="Times New Roman"/>
          <w:sz w:val="10"/>
          <w:szCs w:val="10"/>
        </w:rPr>
        <w:fldChar w:fldCharType="separate"/>
      </w:r>
      <w:r w:rsidR="00C1793C" w:rsidRPr="00037AA4">
        <w:rPr>
          <w:rFonts w:ascii="Times New Roman" w:hAnsi="Times New Roman" w:cs="Times New Roman"/>
          <w:sz w:val="10"/>
          <w:szCs w:val="10"/>
        </w:rPr>
        <w:t>(Karadzhov, 2025)</w:t>
      </w:r>
      <w:r w:rsidR="00C1793C" w:rsidRPr="00037AA4">
        <w:rPr>
          <w:rFonts w:ascii="Times New Roman" w:hAnsi="Times New Roman" w:cs="Times New Roman"/>
          <w:sz w:val="10"/>
          <w:szCs w:val="10"/>
        </w:rPr>
        <w:fldChar w:fldCharType="end"/>
      </w:r>
      <w:r w:rsidRPr="00037AA4">
        <w:rPr>
          <w:rFonts w:ascii="Times New Roman" w:hAnsi="Times New Roman" w:cs="Times New Roman"/>
          <w:sz w:val="10"/>
          <w:szCs w:val="10"/>
        </w:rPr>
        <w:t>. Starbucks operates in the highly competitive coffee industry where customer experience and global branding are essential for long-term success.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Strengths refer to internal advantages that improve organisational performance. Starbucks possesses strong brand recognition, global market presence and customer loyalty. The company is also recognised for premium coffee quality and customer experience. These strengths strengthen competitive positioning and allow Starbucks to charge premium prices.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Weaknesses are internal limitations that may reduce competitiveness. Starbucks has relatively high pricing compared to many competitors. This may reduce affordability during economic downturns. The company is also highly dependent on urban markets and international supply chains.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Opportunities refer to favourable external conditions. Starbucks has opportunities for international expansion, digital innovation and sustainability initiatives. The company continues expanding into emerging markets such as China and India. Digital ordering systems and loyalty programmes also improve customer engagement.</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Threats include external risks that may negatively affect performance. Starbucks faces intense competition from Costa Coffee, McDonald’s McCafé and independent cafés. Economic instability and changing consumer preferences may also reduce profitability.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SWOT analysis helps managers connect internal strengths with external opportunities while identifying risks and weaknesses. Starbucks can use the framework to strengthen innovation, improve customer loyalty and support expansion decisions.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A major strength of SWOT is its simplicity and flexibility. The framework is easy to apply across industries and supports strategic planning. However, SWOT may become overly descriptive and subjective because managers may disagree about organisational strengths and weaknesses. The model also does not prioritise strategic issues clearly.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Overall, SWOT analysis remains highly valuable for strategic management because it integrates internal and external analysis into one framework. Starbucks demonstrates how organisations can use SWOT to strengthen competitiveness and respond to market uncertainty.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 xml:space="preserve">4. PESTLE Analysis – </w:t>
      </w:r>
      <w:proofErr w:type="gramStart"/>
      <w:r w:rsidRPr="00037AA4">
        <w:rPr>
          <w:rFonts w:ascii="Times New Roman" w:hAnsi="Times New Roman" w:cs="Times New Roman"/>
          <w:sz w:val="10"/>
          <w:szCs w:val="10"/>
        </w:rPr>
        <w:t>Shell</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PESTLE</w:t>
      </w:r>
      <w:proofErr w:type="gramEnd"/>
      <w:r w:rsidRPr="00037AA4">
        <w:rPr>
          <w:rFonts w:ascii="Times New Roman" w:hAnsi="Times New Roman" w:cs="Times New Roman"/>
          <w:sz w:val="10"/>
          <w:szCs w:val="10"/>
        </w:rPr>
        <w:t xml:space="preserve"> analysis is a strategic management framework used to analyse the macro-environment. The framework examines political, economic, social, technological, legal and environmental factors. Johnson, Scholes and Whittington argue that organisations must understand external environmental change to make effective strategic decisions</w:t>
      </w:r>
      <w:r w:rsidR="00C1793C" w:rsidRPr="00037AA4">
        <w:rPr>
          <w:rFonts w:ascii="Times New Roman" w:hAnsi="Times New Roman" w:cs="Times New Roman" w:hint="eastAsia"/>
          <w:sz w:val="10"/>
          <w:szCs w:val="10"/>
        </w:rPr>
        <w:t xml:space="preserve"> </w:t>
      </w:r>
      <w:r w:rsidR="00C1793C" w:rsidRPr="00037AA4">
        <w:rPr>
          <w:rFonts w:ascii="Times New Roman" w:hAnsi="Times New Roman" w:cs="Times New Roman"/>
          <w:sz w:val="10"/>
          <w:szCs w:val="10"/>
        </w:rPr>
        <w:fldChar w:fldCharType="begin"/>
      </w:r>
      <w:r w:rsidR="00C1793C" w:rsidRPr="00037AA4">
        <w:rPr>
          <w:rFonts w:ascii="Times New Roman" w:hAnsi="Times New Roman" w:cs="Times New Roman"/>
          <w:sz w:val="10"/>
          <w:szCs w:val="10"/>
        </w:rPr>
        <w:instrText xml:space="preserve"> ADDIN ZOTERO_ITEM CSL_CITATION {"citationID":"89gTNn84","properties":{"unsorted":false,"formattedCitation":"(De Peiris, 2026)","plainCitation":"(De Peiris, 2026)","noteIndex":0},"citationItems":[{"id":464,"uris":["http://zotero.org/users/local/JBGcfLdO/items/4SGL8Y4Q"],"itemData":{"id":464,"type":"article-journal","container-title":"Journal of Strategy and Management","ISSN":"1755-425X","journalAbbreviation":"Journal of Strategy and Management","page":"1-19","publisher":"Emerald Publishing Limited","title":"Sensemaking the external environment as strategic practice: evidence from a Global South organisation","author":[{"family":"De Peiris","given":"Nayomi"}],"issued":{"date-parts":[["2026"]]}}}],"schema":"https://github.com/citation-style-language/schema/raw/master/csl-citation.json"} </w:instrText>
      </w:r>
      <w:r w:rsidR="00C1793C" w:rsidRPr="00037AA4">
        <w:rPr>
          <w:rFonts w:ascii="Times New Roman" w:hAnsi="Times New Roman" w:cs="Times New Roman"/>
          <w:sz w:val="10"/>
          <w:szCs w:val="10"/>
        </w:rPr>
        <w:fldChar w:fldCharType="separate"/>
      </w:r>
      <w:r w:rsidR="00C1793C" w:rsidRPr="00037AA4">
        <w:rPr>
          <w:rFonts w:ascii="Times New Roman" w:hAnsi="Times New Roman" w:cs="Times New Roman"/>
          <w:sz w:val="10"/>
          <w:szCs w:val="10"/>
        </w:rPr>
        <w:t>(De Peiris, 2026)</w:t>
      </w:r>
      <w:r w:rsidR="00C1793C" w:rsidRPr="00037AA4">
        <w:rPr>
          <w:rFonts w:ascii="Times New Roman" w:hAnsi="Times New Roman" w:cs="Times New Roman"/>
          <w:sz w:val="10"/>
          <w:szCs w:val="10"/>
        </w:rPr>
        <w:fldChar w:fldCharType="end"/>
      </w:r>
      <w:r w:rsidRPr="00037AA4">
        <w:rPr>
          <w:rFonts w:ascii="Times New Roman" w:hAnsi="Times New Roman" w:cs="Times New Roman"/>
          <w:sz w:val="10"/>
          <w:szCs w:val="10"/>
        </w:rPr>
        <w:t>. Shell operates in the global energy industry where climate change, regulation and technological innovation strongly influence business strategy.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Political factors include government policy and environmental regulation. Governments increasingly support renewable energy and carbon reduction policies. These regulations force Shell to reconsider long-term fossil fuel investment strategies.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Economic factors include inflation, energy demand and oil price volatility. Global economic downturns may reduce industrial energy consumption and negatively affect profitability.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Social factors include changing consumer attitudes toward sustainability. Consumers increasingly expect businesses to reduce environmental damage and invest in renewable energy.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Technological factors include renewable energy innovation, battery development and carbon capture systems. Technological change creates both opportunities and competitive pressure within the energy industry.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Legal factors include environmental laws, safety regulations and international climate agreements. Organisations that fail to comply with legal requirements may face financial penalties and reputational damage.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Environmental factors are especially important for Shell because climate change and carbon emissions strongly affect the energy industry. Environmental pressure encourages organisations to adopt sustainable strategies.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PESTLE helps Shell identify external risks and opportunities before making long-term investment decisions. The framework supports decisions regarding renewable energy investment, sustainability strategy and global expansion.</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One major strength of PESTLE is that it provides a broad overview of the external environment. However, the framework may become overly descriptive and does not directly provide strategic solutions. Rapid environmental change also means that macro-environmental analysis must be updated continuously.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Overall, PESTLE remains highly useful for analysing uncertainty and environmental change in global industries. Shell demonstrates how organisations use macro-environmental analysis to support strategic adaptation and long-term sustainability.</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 xml:space="preserve">5. Ansoff Matrix – </w:t>
      </w:r>
      <w:proofErr w:type="gramStart"/>
      <w:r w:rsidRPr="00037AA4">
        <w:rPr>
          <w:rFonts w:ascii="Times New Roman" w:hAnsi="Times New Roman" w:cs="Times New Roman"/>
          <w:sz w:val="10"/>
          <w:szCs w:val="10"/>
        </w:rPr>
        <w:t>Netflix</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Ansoff’s</w:t>
      </w:r>
      <w:proofErr w:type="gramEnd"/>
      <w:r w:rsidRPr="00037AA4">
        <w:rPr>
          <w:rFonts w:ascii="Times New Roman" w:hAnsi="Times New Roman" w:cs="Times New Roman"/>
          <w:sz w:val="10"/>
          <w:szCs w:val="10"/>
        </w:rPr>
        <w:t xml:space="preserve"> Matrix is one of the most important strategic growth frameworks in strategic management. Developed by Ansoff, the model helps organisations evaluate growth strategies through market penetration, market development, product development and diversification</w:t>
      </w:r>
      <w:r w:rsidR="00C1793C" w:rsidRPr="00037AA4">
        <w:rPr>
          <w:rFonts w:ascii="Times New Roman" w:hAnsi="Times New Roman" w:cs="Times New Roman" w:hint="eastAsia"/>
          <w:sz w:val="10"/>
          <w:szCs w:val="10"/>
        </w:rPr>
        <w:t xml:space="preserve"> </w:t>
      </w:r>
      <w:r w:rsidR="00C1793C" w:rsidRPr="00037AA4">
        <w:rPr>
          <w:rFonts w:ascii="Times New Roman" w:hAnsi="Times New Roman" w:cs="Times New Roman"/>
          <w:sz w:val="10"/>
          <w:szCs w:val="10"/>
        </w:rPr>
        <w:fldChar w:fldCharType="begin"/>
      </w:r>
      <w:r w:rsidR="00C1793C" w:rsidRPr="00037AA4">
        <w:rPr>
          <w:rFonts w:ascii="Times New Roman" w:hAnsi="Times New Roman" w:cs="Times New Roman"/>
          <w:sz w:val="10"/>
          <w:szCs w:val="10"/>
        </w:rPr>
        <w:instrText xml:space="preserve"> ADDIN ZOTERO_ITEM CSL_CITATION {"citationID":"j02HLikm","properties":{"unsorted":false,"formattedCitation":"(Ferreira and de S\\uc0\\u225{}, 2024)","plainCitation":"(Ferreira and de Sá, 2024)","noteIndex":0},"citationItems":[{"id":465,"uris":["http://zotero.org/users/local/JBGcfLdO/items/PVBUWBDH"],"itemData":{"id":465,"type":"article-journal","container-title":"The Canadian Journal of Information and Library Science","ISSN":"1920-7239","issue":"2","journalAbbreviation":"The Canadian Journal of Information and Library Science","page":"78-84","title":"The importance of the Ansoff matrix for the study of the information services market","volume":"47","author":[{"family":"Ferreira","given":"Ana Patrícia Pereira Ferraz Soares"},{"family":"Sá","given":"Marques Maria Beatriz Pinto","non-dropping-particle":"de"}],"issued":{"date-parts":[["2024"]]}}}],"schema":"https://github.com/citation-style-language/schema/raw/master/csl-citation.json"} </w:instrText>
      </w:r>
      <w:r w:rsidR="00C1793C" w:rsidRPr="00037AA4">
        <w:rPr>
          <w:rFonts w:ascii="Times New Roman" w:hAnsi="Times New Roman" w:cs="Times New Roman"/>
          <w:sz w:val="10"/>
          <w:szCs w:val="10"/>
        </w:rPr>
        <w:fldChar w:fldCharType="separate"/>
      </w:r>
      <w:r w:rsidR="00C1793C" w:rsidRPr="00037AA4">
        <w:rPr>
          <w:rFonts w:ascii="Times New Roman" w:hAnsi="Times New Roman" w:cs="Times New Roman"/>
          <w:kern w:val="0"/>
          <w:sz w:val="10"/>
          <w:szCs w:val="10"/>
        </w:rPr>
        <w:t>(Ferreira and de Sá, 2024)</w:t>
      </w:r>
      <w:r w:rsidR="00C1793C" w:rsidRPr="00037AA4">
        <w:rPr>
          <w:rFonts w:ascii="Times New Roman" w:hAnsi="Times New Roman" w:cs="Times New Roman"/>
          <w:sz w:val="10"/>
          <w:szCs w:val="10"/>
        </w:rPr>
        <w:fldChar w:fldCharType="end"/>
      </w:r>
      <w:r w:rsidRPr="00037AA4">
        <w:rPr>
          <w:rFonts w:ascii="Times New Roman" w:hAnsi="Times New Roman" w:cs="Times New Roman"/>
          <w:sz w:val="10"/>
          <w:szCs w:val="10"/>
        </w:rPr>
        <w:t>. Netflix operates in the highly competitive streaming industry where continuous innovation and market expansion are essential for long-term growth.</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Market penetration refers to increasing sales in existing markets using existing products. Netflix uses subscription plans, personalised recommendations and customer retention strategies to strengthen market share in existing regions such as North America and Europe.</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Market development involves entering new markets with existing products. Netflix continues expanding into developing economies including Asia and Africa. International expansion increases market opportunities but also requires adaptation to local languages, cultures and pricing conditions.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Product development refers to introducing new products or services for existing customers. Netflix has introduced gaming, interactive content and original productions to strengthen customer engagement and differentiation.</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Diversification involves entering new markets with new products and is considered the highest-risk strategy. Netflix has diversified into gaming and live entertainment. This strategy reduces dependence on streaming subscriptions but increases strategic risk because new industries require different organisational capabilities.</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Ansoff’s Matrix helps managers compare growth strategies and evaluate different levels of risk. The framework supports strategic decision-making regarding expansion, innovation and diversification.</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A major strength of Ansoff’s Matrix is its simplicity and focus on strategic growth. However, the framework does not fully analyse competition or internal organisational capability. Organisations may pursue attractive growth opportunities without possessing sufficient resources to succeed</w:t>
      </w:r>
      <w:r w:rsidR="00F9363A" w:rsidRPr="00037AA4">
        <w:rPr>
          <w:rFonts w:ascii="Times New Roman" w:hAnsi="Times New Roman" w:cs="Times New Roman" w:hint="eastAsia"/>
          <w:sz w:val="10"/>
          <w:szCs w:val="10"/>
        </w:rPr>
        <w:t xml:space="preserve">.  </w:t>
      </w:r>
      <w:r w:rsidRPr="00037AA4">
        <w:rPr>
          <w:rFonts w:ascii="Times New Roman" w:hAnsi="Times New Roman" w:cs="Times New Roman"/>
          <w:sz w:val="10"/>
          <w:szCs w:val="10"/>
        </w:rPr>
        <w:t>Overall, Ansoff’s Matrix remains highly useful for evaluating growth strategies in dynamic industries. Netflix demonstrates how organisations can use the framework to support innovation, international expansion and long-term competitiveness.</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hint="eastAsia"/>
          <w:sz w:val="10"/>
          <w:szCs w:val="10"/>
        </w:rPr>
        <w:t xml:space="preserve">Q2: </w:t>
      </w:r>
      <w:r w:rsidR="002A4381" w:rsidRPr="00037AA4">
        <w:rPr>
          <w:rFonts w:ascii="Times New Roman" w:hAnsi="Times New Roman" w:cs="Times New Roman"/>
          <w:sz w:val="10"/>
          <w:szCs w:val="10"/>
        </w:rPr>
        <w:t>RBV and VRIO Frameworks (</w:t>
      </w:r>
      <w:proofErr w:type="gramStart"/>
      <w:r w:rsidR="002A4381" w:rsidRPr="00037AA4">
        <w:rPr>
          <w:rFonts w:ascii="Times New Roman" w:hAnsi="Times New Roman" w:cs="Times New Roman"/>
          <w:sz w:val="10"/>
          <w:szCs w:val="10"/>
        </w:rPr>
        <w:t>Apple)</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Long</w:t>
      </w:r>
      <w:proofErr w:type="gramEnd"/>
      <w:r w:rsidR="002A4381" w:rsidRPr="00037AA4">
        <w:rPr>
          <w:rFonts w:ascii="Times New Roman" w:hAnsi="Times New Roman" w:cs="Times New Roman"/>
          <w:sz w:val="10"/>
          <w:szCs w:val="10"/>
        </w:rPr>
        <w:t>-term business success often depends on how effectively organisations understand and utilise their internal resources and capabilities. Internal strategic frameworks are important because they help organisations identify strengths, improve performance and develop sustainable competitive advantage. Two of the most influential internal strategic management frameworks are the Resource-Based View (RBV) and the VRIO framework. The RBV argues that organisations achieve competitive advantage through unique internal resources and capabilities rather than external market conditions alone</w:t>
      </w:r>
      <w:r w:rsidR="002A4381"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fldChar w:fldCharType="begin"/>
      </w:r>
      <w:r w:rsidR="002A4381" w:rsidRPr="00037AA4">
        <w:rPr>
          <w:rFonts w:ascii="Times New Roman" w:hAnsi="Times New Roman" w:cs="Times New Roman"/>
          <w:sz w:val="10"/>
          <w:szCs w:val="10"/>
        </w:rPr>
        <w:instrText xml:space="preserve"> ADDIN ZOTERO_ITEM CSL_CITATION {"citationID":"zQY6Ywfn","properties":{"unsorted":false,"formattedCitation":"(Mailani {\\i{}et al.}, 2024)","plainCitation":"(Mailani et al., 2024)","noteIndex":0},"citationItems":[{"id":466,"uris":["http://zotero.org/users/local/JBGcfLdO/items/E42EH92W"],"itemData":{"id":466,"type":"article-journal","container-title":"International Journal of Entrepreneurship and Sustainability Studies","ISSN":"2807-1921","issue":"1","journalAbbreviation":"International Journal of Entrepreneurship and Sustainability Studies","page":"1","publisher":"Research Synergy Foundation","title":"Resource-based view theory to achieve a sustainable competitive advantage of the firm: Systematic literature review","volume":"4","author":[{"family":"Mailani","given":"Desi"},{"family":"Hulu","given":"Margareth Zhandra Trixie"},{"family":"Simamora","given":"Mikhael Radot"},{"family":"Kesuma","given":"Sambas Ade"}],"issued":{"date-parts":[["2024"]]}}}],"schema":"https://github.com/citation-style-language/schema/raw/master/csl-citation.json"} </w:instrText>
      </w:r>
      <w:r w:rsidR="002A4381" w:rsidRPr="00037AA4">
        <w:rPr>
          <w:rFonts w:ascii="Times New Roman" w:hAnsi="Times New Roman" w:cs="Times New Roman"/>
          <w:sz w:val="10"/>
          <w:szCs w:val="10"/>
        </w:rPr>
        <w:fldChar w:fldCharType="separate"/>
      </w:r>
      <w:r w:rsidR="002A4381" w:rsidRPr="00037AA4">
        <w:rPr>
          <w:rFonts w:ascii="Times New Roman" w:hAnsi="Times New Roman" w:cs="Times New Roman"/>
          <w:kern w:val="0"/>
          <w:sz w:val="10"/>
          <w:szCs w:val="10"/>
        </w:rPr>
        <w:t xml:space="preserve">(Mailani </w:t>
      </w:r>
      <w:r w:rsidR="002A4381" w:rsidRPr="00037AA4">
        <w:rPr>
          <w:rFonts w:ascii="Times New Roman" w:hAnsi="Times New Roman" w:cs="Times New Roman"/>
          <w:i/>
          <w:iCs/>
          <w:kern w:val="0"/>
          <w:sz w:val="10"/>
          <w:szCs w:val="10"/>
        </w:rPr>
        <w:t>et al.</w:t>
      </w:r>
      <w:r w:rsidR="002A4381" w:rsidRPr="00037AA4">
        <w:rPr>
          <w:rFonts w:ascii="Times New Roman" w:hAnsi="Times New Roman" w:cs="Times New Roman"/>
          <w:kern w:val="0"/>
          <w:sz w:val="10"/>
          <w:szCs w:val="10"/>
        </w:rPr>
        <w:t>, 2024)</w:t>
      </w:r>
      <w:r w:rsidR="002A4381"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 The VRIO framework, developed by Barney, expands this perspective by evaluating whether organisational resources are valuable, rare, difficult to imitate and organisationally supported</w:t>
      </w:r>
      <w:r w:rsidR="003476A6" w:rsidRPr="00037AA4">
        <w:rPr>
          <w:rFonts w:ascii="Times New Roman" w:hAnsi="Times New Roman" w:cs="Times New Roman" w:hint="eastAsia"/>
          <w:sz w:val="10"/>
          <w:szCs w:val="10"/>
        </w:rPr>
        <w:t xml:space="preserve"> </w:t>
      </w:r>
      <w:r w:rsidR="003476A6" w:rsidRPr="00037AA4">
        <w:rPr>
          <w:rFonts w:ascii="Times New Roman" w:hAnsi="Times New Roman" w:cs="Times New Roman"/>
          <w:sz w:val="10"/>
          <w:szCs w:val="10"/>
        </w:rPr>
        <w:fldChar w:fldCharType="begin"/>
      </w:r>
      <w:r w:rsidR="003476A6" w:rsidRPr="00037AA4">
        <w:rPr>
          <w:rFonts w:ascii="Times New Roman" w:hAnsi="Times New Roman" w:cs="Times New Roman"/>
          <w:sz w:val="10"/>
          <w:szCs w:val="10"/>
        </w:rPr>
        <w:instrText xml:space="preserve"> ADDIN ZOTERO_ITEM CSL_CITATION {"citationID":"z5s8pUAm","properties":{"unsorted":false,"formattedCitation":"(Murcia, Ferreira and Ferreira, 2022)","plainCitation":"(Murcia, Ferreira and Ferreira, 2022)","noteIndex":0},"citationItems":[{"id":461,"uris":["http://zotero.org/users/local/JBGcfLdO/items/4GH7HZTT"],"itemData":{"id":461,"type":"article-journal","container-title":"Technological Forecasting and Social Change","ISSN":"0040-1625","journalAbbreviation":"Technological Forecasting and Social Change","page":"121251","publisher":"Elsevier","title":"Enhancing strategic management using a “quantified VRIO”: Adding value with the MCDA approach","volume":"174","author":[{"family":"Murcia","given":"Nathanaelle NS"},{"family":"Ferreira","given":"Fernando AF"},{"family":"Ferreira","given":"Joao JM"}],"issued":{"date-parts":[["2022"]]}}}],"schema":"https://github.com/citation-style-language/schema/raw/master/csl-citation.json"} </w:instrText>
      </w:r>
      <w:r w:rsidR="003476A6" w:rsidRPr="00037AA4">
        <w:rPr>
          <w:rFonts w:ascii="Times New Roman" w:hAnsi="Times New Roman" w:cs="Times New Roman"/>
          <w:sz w:val="10"/>
          <w:szCs w:val="10"/>
        </w:rPr>
        <w:fldChar w:fldCharType="separate"/>
      </w:r>
      <w:r w:rsidR="003476A6" w:rsidRPr="00037AA4">
        <w:rPr>
          <w:rFonts w:ascii="Times New Roman" w:hAnsi="Times New Roman" w:cs="Times New Roman"/>
          <w:sz w:val="10"/>
          <w:szCs w:val="10"/>
        </w:rPr>
        <w:t>(Murcia, Ferreira and Ferreira, 2022)</w:t>
      </w:r>
      <w:r w:rsidR="003476A6"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 Apple is an excellent example because the company has successfully used innovation, branding and ecosystem integration to strengthen long-term competitiveness in the global technology industry.</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 xml:space="preserve">The Resource-Based View suggests that organisations achieve superior performance through resources that competitors cannot easily replicate. According to </w:t>
      </w:r>
      <w:r w:rsidR="003476A6" w:rsidRPr="00037AA4">
        <w:rPr>
          <w:rFonts w:ascii="Times New Roman" w:hAnsi="Times New Roman" w:cs="Times New Roman"/>
          <w:sz w:val="10"/>
          <w:szCs w:val="10"/>
        </w:rPr>
        <w:fldChar w:fldCharType="begin"/>
      </w:r>
      <w:r w:rsidR="003476A6" w:rsidRPr="00037AA4">
        <w:rPr>
          <w:rFonts w:ascii="Times New Roman" w:hAnsi="Times New Roman" w:cs="Times New Roman"/>
          <w:sz w:val="10"/>
          <w:szCs w:val="10"/>
        </w:rPr>
        <w:instrText xml:space="preserve"> ADDIN ZOTERO_ITEM CSL_CITATION {"citationID":"1XqZLUrE","properties":{"unsorted":false,"formattedCitation":"(Helfat {\\i{}et al.}, 2023)","plainCitation":"(Helfat et al., 2023)","noteIndex":0},"citationItems":[{"id":467,"uris":["http://zotero.org/users/local/JBGcfLdO/items/33R29Q45"],"itemData":{"id":467,"type":"article-journal","container-title":"Strategic Management Journal","ISSN":"0143-2095","issue":"6","journalAbbreviation":"Strategic Management Journal","page":"1357-1390","publisher":"Wiley Online </w:instrText>
      </w:r>
      <w:r w:rsidR="003476A6" w:rsidRPr="00037AA4">
        <w:rPr>
          <w:rFonts w:ascii="Times New Roman" w:hAnsi="Times New Roman" w:cs="Times New Roman" w:hint="eastAsia"/>
          <w:sz w:val="10"/>
          <w:szCs w:val="10"/>
        </w:rPr>
        <w:instrText>Library","title":"Renewing the resource</w:instrText>
      </w:r>
      <w:r w:rsidR="003476A6" w:rsidRPr="00037AA4">
        <w:rPr>
          <w:rFonts w:ascii="Times New Roman" w:hAnsi="Times New Roman" w:cs="Times New Roman" w:hint="eastAsia"/>
          <w:sz w:val="10"/>
          <w:szCs w:val="10"/>
        </w:rPr>
        <w:instrText>‐</w:instrText>
      </w:r>
      <w:r w:rsidR="003476A6" w:rsidRPr="00037AA4">
        <w:rPr>
          <w:rFonts w:ascii="Times New Roman" w:hAnsi="Times New Roman" w:cs="Times New Roman" w:hint="eastAsia"/>
          <w:sz w:val="10"/>
          <w:szCs w:val="10"/>
        </w:rPr>
        <w:instrText>based view: New contexts, new concepts, and new methods","volume":"44","author":[{"family":"Helfat","given":"Constance E"},{"family":"Kaul","given":"Aseem"},{"family":"Ketchen Jr","given":"David J"},{"family":"Barne</w:instrText>
      </w:r>
      <w:r w:rsidR="003476A6" w:rsidRPr="00037AA4">
        <w:rPr>
          <w:rFonts w:ascii="Times New Roman" w:hAnsi="Times New Roman" w:cs="Times New Roman"/>
          <w:sz w:val="10"/>
          <w:szCs w:val="10"/>
        </w:rPr>
        <w:instrText xml:space="preserve">y","given":"Jay B"},{"family":"Chatain","given":"Olivier"},{"family":"Singh","given":"Harbir"}],"issued":{"date-parts":[["2023"]]}}}],"schema":"https://github.com/citation-style-language/schema/raw/master/csl-citation.json"} </w:instrText>
      </w:r>
      <w:r w:rsidR="003476A6" w:rsidRPr="00037AA4">
        <w:rPr>
          <w:rFonts w:ascii="Times New Roman" w:hAnsi="Times New Roman" w:cs="Times New Roman"/>
          <w:sz w:val="10"/>
          <w:szCs w:val="10"/>
        </w:rPr>
        <w:fldChar w:fldCharType="separate"/>
      </w:r>
      <w:r w:rsidR="003476A6" w:rsidRPr="00037AA4">
        <w:rPr>
          <w:rFonts w:ascii="Times New Roman" w:hAnsi="Times New Roman" w:cs="Times New Roman"/>
          <w:kern w:val="0"/>
          <w:sz w:val="10"/>
          <w:szCs w:val="10"/>
        </w:rPr>
        <w:t xml:space="preserve">Helfat </w:t>
      </w:r>
      <w:r w:rsidR="003476A6" w:rsidRPr="00037AA4">
        <w:rPr>
          <w:rFonts w:ascii="Times New Roman" w:hAnsi="Times New Roman" w:cs="Times New Roman"/>
          <w:i/>
          <w:iCs/>
          <w:kern w:val="0"/>
          <w:sz w:val="10"/>
          <w:szCs w:val="10"/>
        </w:rPr>
        <w:t>et al.</w:t>
      </w:r>
      <w:r w:rsidR="003476A6" w:rsidRPr="00037AA4">
        <w:rPr>
          <w:rFonts w:ascii="Times New Roman" w:hAnsi="Times New Roman" w:cs="Times New Roman" w:hint="eastAsia"/>
          <w:kern w:val="0"/>
          <w:sz w:val="10"/>
          <w:szCs w:val="10"/>
        </w:rPr>
        <w:t xml:space="preserve"> (</w:t>
      </w:r>
      <w:r w:rsidR="003476A6" w:rsidRPr="00037AA4">
        <w:rPr>
          <w:rFonts w:ascii="Times New Roman" w:hAnsi="Times New Roman" w:cs="Times New Roman"/>
          <w:kern w:val="0"/>
          <w:sz w:val="10"/>
          <w:szCs w:val="10"/>
        </w:rPr>
        <w:t>2023)</w:t>
      </w:r>
      <w:r w:rsidR="003476A6"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 xml:space="preserve">, resources can include physical assets, financial assets, human capital and intangible capabilities such as organisational culture, reputation and innovation. Tangible resources are important, but intangible resources are often more significant because they are more difficult for competitors to imitate. </w:t>
      </w:r>
      <w:r w:rsidR="00F8560F" w:rsidRPr="00037AA4">
        <w:rPr>
          <w:rFonts w:ascii="Times New Roman" w:hAnsi="Times New Roman" w:cs="Times New Roman" w:hint="eastAsia"/>
          <w:sz w:val="10"/>
          <w:szCs w:val="10"/>
        </w:rPr>
        <w:t>M</w:t>
      </w:r>
      <w:r w:rsidR="002A4381" w:rsidRPr="00037AA4">
        <w:rPr>
          <w:rFonts w:ascii="Times New Roman" w:hAnsi="Times New Roman" w:cs="Times New Roman"/>
          <w:sz w:val="10"/>
          <w:szCs w:val="10"/>
        </w:rPr>
        <w:t>odern competitive advantage increasingly depends on knowledge, technology and organisational capability rather than physical assets alone</w:t>
      </w:r>
      <w:r w:rsidR="00F8560F" w:rsidRPr="00037AA4">
        <w:rPr>
          <w:rFonts w:ascii="Times New Roman" w:hAnsi="Times New Roman" w:cs="Times New Roman" w:hint="eastAsia"/>
          <w:sz w:val="10"/>
          <w:szCs w:val="10"/>
        </w:rPr>
        <w:t xml:space="preserve"> </w:t>
      </w:r>
      <w:r w:rsidR="00F8560F" w:rsidRPr="00037AA4">
        <w:rPr>
          <w:rFonts w:ascii="Times New Roman" w:hAnsi="Times New Roman" w:cs="Times New Roman"/>
          <w:sz w:val="10"/>
          <w:szCs w:val="10"/>
        </w:rPr>
        <w:fldChar w:fldCharType="begin"/>
      </w:r>
      <w:r w:rsidR="00F8560F" w:rsidRPr="00037AA4">
        <w:rPr>
          <w:rFonts w:ascii="Times New Roman" w:hAnsi="Times New Roman" w:cs="Times New Roman"/>
          <w:sz w:val="10"/>
          <w:szCs w:val="10"/>
        </w:rPr>
        <w:instrText xml:space="preserve"> ADDIN ZOTERO_ITEM CSL_CITATION {"citationID":"SF5C50UK","properties":{"unsorted":false,"formattedCitation":"(Zhang, Ye and Zhou, 2025)","plainCitation":"(Zhang, Ye and Zhou, 2025)","noteIndex":0},"citationItems":[{"id":469,"uris":["http://zotero.org/users/local/JBGcfLdO/items/CDTU7A5Q"],"itemData":{"id":469,"type":"article-journal","container-title":"Sustainability","ISSN":"2071-1050","issue":"1","journalAbbreviation":"Sustainability","page":"234","publisher":"MDPI","title":"Building Knowledge-Based Competitive Advantage in Knowledge-Driven Economy: Systematic Literature Review","volume":"18","author":[{"family":"Zhang","given":"Na"},{"family":"Ye","given":"Jinglei"},{"family":"Zhou","given":"Qianwen"}],"issued":{"date-parts":[["2025"]]}}}],"schema":"https://github.com/citation-style-language/schema/raw/master/csl-citation.json"} </w:instrText>
      </w:r>
      <w:r w:rsidR="00F8560F" w:rsidRPr="00037AA4">
        <w:rPr>
          <w:rFonts w:ascii="Times New Roman" w:hAnsi="Times New Roman" w:cs="Times New Roman"/>
          <w:sz w:val="10"/>
          <w:szCs w:val="10"/>
        </w:rPr>
        <w:fldChar w:fldCharType="separate"/>
      </w:r>
      <w:r w:rsidR="00F8560F" w:rsidRPr="00037AA4">
        <w:rPr>
          <w:rFonts w:ascii="Times New Roman" w:hAnsi="Times New Roman" w:cs="Times New Roman"/>
          <w:sz w:val="10"/>
          <w:szCs w:val="10"/>
        </w:rPr>
        <w:t>(Zhang, Ye and Zhou, 2025)</w:t>
      </w:r>
      <w:r w:rsidR="00F8560F"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Apple demonstrates strong RBV characteristics through its ecosystem, innovation capability and global brand reputation. One of Apple’s most important strategic strengths is its integrated ecosystem, which includes the iPhone, iPad, MacBook, Apple Watch and digital services such as iCloud and Apple Music. This ecosystem creates convenience for consumers because products and services work seamlessly together. As a result, customers become more loyal to the brand and switching costs increase significantly. Apple’s ecosystem therefore represents a valuable internal capability that strengthens competitive advantage.</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Innovation is another major organisational capability. Apple continuously invests in research and development to improve product quality, software integration and customer experience. The company’s innovation culture encourages creativity and long-term strategic thinking. This allows Apple to maintain premium pricing and strong market differentiation. In addition, Apple’s global brand reputation is a highly valuable intangible resource. Consumers associate the brand with quality, innovation and prestige, allowing the organisation to maintain strong customer loyalty even during periods of economic uncertainty.</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 xml:space="preserve">However, the Resource-Based View also has limitations. One criticism is that the framework mainly focuses on internal organisational strengths while paying less attention to external environmental change. In rapidly changing industries such as technology, valuable resources may quickly become outdated due to innovation and competitive pressure. </w:t>
      </w:r>
      <w:r w:rsidR="00CF6014" w:rsidRPr="00037AA4">
        <w:rPr>
          <w:rFonts w:ascii="Times New Roman" w:hAnsi="Times New Roman" w:cs="Times New Roman" w:hint="eastAsia"/>
          <w:sz w:val="10"/>
          <w:szCs w:val="10"/>
        </w:rPr>
        <w:t>S</w:t>
      </w:r>
      <w:r w:rsidR="002A4381" w:rsidRPr="00037AA4">
        <w:rPr>
          <w:rFonts w:ascii="Times New Roman" w:hAnsi="Times New Roman" w:cs="Times New Roman"/>
          <w:sz w:val="10"/>
          <w:szCs w:val="10"/>
        </w:rPr>
        <w:t>trategic management should remain flexible because business environments constantly evolve. Therefore, organisations must combine internal analysis with external environmental analysis to maintain competitiveness</w:t>
      </w:r>
      <w:r w:rsidR="00CF6014" w:rsidRPr="00037AA4">
        <w:rPr>
          <w:rFonts w:ascii="Times New Roman" w:hAnsi="Times New Roman" w:cs="Times New Roman" w:hint="eastAsia"/>
          <w:sz w:val="10"/>
          <w:szCs w:val="10"/>
        </w:rPr>
        <w:t xml:space="preserve"> </w:t>
      </w:r>
      <w:r w:rsidR="00CF6014" w:rsidRPr="00037AA4">
        <w:rPr>
          <w:rFonts w:ascii="Times New Roman" w:hAnsi="Times New Roman" w:cs="Times New Roman"/>
          <w:sz w:val="10"/>
          <w:szCs w:val="10"/>
        </w:rPr>
        <w:fldChar w:fldCharType="begin"/>
      </w:r>
      <w:r w:rsidR="00CF6014" w:rsidRPr="00037AA4">
        <w:rPr>
          <w:rFonts w:ascii="Times New Roman" w:hAnsi="Times New Roman" w:cs="Times New Roman"/>
          <w:sz w:val="10"/>
          <w:szCs w:val="10"/>
        </w:rPr>
        <w:instrText xml:space="preserve"> ADDIN ZOTERO_ITEM CSL_CITATION {"citationID":"eIIivc08","properties":{"unsorted":false,"formattedCitation":"(van de Wetering, Mikalef and Pateli, 2018)","plainCitation":"(van de Wetering, Mikalef and Pateli, 2018)","noteIndex":0},"citationItems":[{"id":470,"uris":["http://zotero.org/users/local/JBGcfLdO/items/G256VHNW"],"itemData":{"id":470,"type":"article-journal","container-title":"International Journal of IT/Business Alignment and Governance (IJITBAG)","issue":"1","journalAbbreviation":"International Journal of IT/Business Alignment and Governance (IJITBAG)","page":"1-20","publisher":"IGI Global Scientific Publishing","title":"Strategic alignment between IT flexibility and dynamic capabilities: An empirical investigation","volume":"9","author":[{"family":"Wetering","given":"Rogier","non-dropping-particle":"van de"},{"family":"Mikalef","given":"Patrick"},{"family":"Pateli","given":"Adamantia"}],"issued":{"date-parts":[["2018"]]}}}],"schema":"https://github.com/citation-style-language/schema/raw/master/csl-citation.json"} </w:instrText>
      </w:r>
      <w:r w:rsidR="00CF6014" w:rsidRPr="00037AA4">
        <w:rPr>
          <w:rFonts w:ascii="Times New Roman" w:hAnsi="Times New Roman" w:cs="Times New Roman"/>
          <w:sz w:val="10"/>
          <w:szCs w:val="10"/>
        </w:rPr>
        <w:fldChar w:fldCharType="separate"/>
      </w:r>
      <w:r w:rsidR="00CF6014" w:rsidRPr="00037AA4">
        <w:rPr>
          <w:rFonts w:ascii="Times New Roman" w:hAnsi="Times New Roman" w:cs="Times New Roman"/>
          <w:sz w:val="10"/>
          <w:szCs w:val="10"/>
        </w:rPr>
        <w:t xml:space="preserve">(van de Wetering, </w:t>
      </w:r>
      <w:proofErr w:type="spellStart"/>
      <w:r w:rsidR="00CF6014" w:rsidRPr="00037AA4">
        <w:rPr>
          <w:rFonts w:ascii="Times New Roman" w:hAnsi="Times New Roman" w:cs="Times New Roman"/>
          <w:sz w:val="10"/>
          <w:szCs w:val="10"/>
        </w:rPr>
        <w:t>Mikalef</w:t>
      </w:r>
      <w:proofErr w:type="spellEnd"/>
      <w:r w:rsidR="00CF6014" w:rsidRPr="00037AA4">
        <w:rPr>
          <w:rFonts w:ascii="Times New Roman" w:hAnsi="Times New Roman" w:cs="Times New Roman"/>
          <w:sz w:val="10"/>
          <w:szCs w:val="10"/>
        </w:rPr>
        <w:t xml:space="preserve"> and Pateli, 2018)</w:t>
      </w:r>
      <w:r w:rsidR="00CF6014"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 xml:space="preserve">The VRIO framework builds upon the RBV by evaluating whether organisational resources create sustainable competitive advantage. </w:t>
      </w:r>
      <w:r w:rsidR="00474877" w:rsidRPr="00037AA4">
        <w:rPr>
          <w:rFonts w:ascii="Times New Roman" w:hAnsi="Times New Roman" w:cs="Times New Roman" w:hint="eastAsia"/>
          <w:sz w:val="10"/>
          <w:szCs w:val="10"/>
        </w:rPr>
        <w:t>R</w:t>
      </w:r>
      <w:r w:rsidR="002A4381" w:rsidRPr="00037AA4">
        <w:rPr>
          <w:rFonts w:ascii="Times New Roman" w:hAnsi="Times New Roman" w:cs="Times New Roman"/>
          <w:sz w:val="10"/>
          <w:szCs w:val="10"/>
        </w:rPr>
        <w:t>esources must be valuable, rare, difficult to imitate and organisationally supported in order to provide long-term strategic advantage</w:t>
      </w:r>
      <w:r w:rsidR="00474877" w:rsidRPr="00037AA4">
        <w:rPr>
          <w:rFonts w:ascii="Times New Roman" w:hAnsi="Times New Roman" w:cs="Times New Roman" w:hint="eastAsia"/>
          <w:sz w:val="10"/>
          <w:szCs w:val="10"/>
        </w:rPr>
        <w:t xml:space="preserve"> </w:t>
      </w:r>
      <w:r w:rsidR="00474877" w:rsidRPr="00037AA4">
        <w:rPr>
          <w:rFonts w:ascii="Times New Roman" w:hAnsi="Times New Roman" w:cs="Times New Roman"/>
          <w:sz w:val="10"/>
          <w:szCs w:val="10"/>
        </w:rPr>
        <w:fldChar w:fldCharType="begin"/>
      </w:r>
      <w:r w:rsidR="00474877" w:rsidRPr="00037AA4">
        <w:rPr>
          <w:rFonts w:ascii="Times New Roman" w:hAnsi="Times New Roman" w:cs="Times New Roman"/>
          <w:sz w:val="10"/>
          <w:szCs w:val="10"/>
        </w:rPr>
        <w:instrText xml:space="preserve"> ADDIN ZOTERO_ITEM CSL_CITATION {"citationID":"y4LVTe1Q","properties":{"unsorted":false,"formattedCitation":"(Murcia, Ferreira and Ferreira, 2022)","plainCitation":"(Murcia, Ferreira and Ferreira, 2022)","noteIndex":0},"citationItems":[{"id":461,"uris":["http://zotero.org/users/local/JBGcfLdO/items/4GH7HZTT"],"itemData":{"id":461,"type":"article-journal","container-title":"Technological Forecasting and Social Change","ISSN":"0040-1625","journalAbbreviation":"Technological Forecasting and Social Change","page":"121251","publisher":"Elsevier","title":"Enhancing strategic management using a “quantified VRIO”: Adding value with the MCDA approach","volume":"174","author":[{"family":"Murcia","given":"Nathanaelle NS"},{"family":"Ferreira","given":"Fernando AF"},{"family":"Ferreira","given":"Joao JM"}],"issued":{"date-parts":[["2022"]]}}}],"schema":"https://github.com/citation-style-language/schema/raw/master/csl-citation.json"} </w:instrText>
      </w:r>
      <w:r w:rsidR="00474877" w:rsidRPr="00037AA4">
        <w:rPr>
          <w:rFonts w:ascii="Times New Roman" w:hAnsi="Times New Roman" w:cs="Times New Roman"/>
          <w:sz w:val="10"/>
          <w:szCs w:val="10"/>
        </w:rPr>
        <w:fldChar w:fldCharType="separate"/>
      </w:r>
      <w:r w:rsidR="00474877" w:rsidRPr="00037AA4">
        <w:rPr>
          <w:rFonts w:ascii="Times New Roman" w:hAnsi="Times New Roman" w:cs="Times New Roman"/>
          <w:sz w:val="10"/>
          <w:szCs w:val="10"/>
        </w:rPr>
        <w:t>(Murcia, Ferreira and Ferreira, 2022)</w:t>
      </w:r>
      <w:r w:rsidR="00474877"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The first element is valuable resources. Valuable resources improve organisational efficiency or customer value. Apple’s ecosystem is highly valuable because it improves user convenience and strengthens customer experience. Customers benefit from seamless integration between hardware, software and digital services. This creates strong customer loyalty and increases long-term profitability.</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The second element is rarity. Rare resources are not widely possessed by competitors. Apple’s global brand reputation and design capability are rare because few technology companies possess similar levels of customer loyalty and premium market positioning. This rarity strengthens Apple’s differentiation strategy.</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 xml:space="preserve">The third element is inimitability. Resources that are difficult to imitate create stronger long-term competitive protection. Apple’s organisational culture, innovation processes and ecosystem integration have developed over many years and cannot easily be copied by competitors. Although firms such as Samsung and Huawei may imitate individual product features, they struggle to replicate Apple’s complete ecosystem and customer experience. </w:t>
      </w:r>
      <w:r w:rsidR="00474877" w:rsidRPr="00037AA4">
        <w:rPr>
          <w:rFonts w:ascii="Times New Roman" w:hAnsi="Times New Roman" w:cs="Times New Roman" w:hint="eastAsia"/>
          <w:sz w:val="10"/>
          <w:szCs w:val="10"/>
        </w:rPr>
        <w:t>H</w:t>
      </w:r>
      <w:r w:rsidR="002A4381" w:rsidRPr="00037AA4">
        <w:rPr>
          <w:rFonts w:ascii="Times New Roman" w:hAnsi="Times New Roman" w:cs="Times New Roman"/>
          <w:sz w:val="10"/>
          <w:szCs w:val="10"/>
        </w:rPr>
        <w:t>istorical development, organisational complexity and brand reputation increase the difficulty of imitation</w:t>
      </w:r>
      <w:r w:rsidR="00474877" w:rsidRPr="00037AA4">
        <w:rPr>
          <w:rFonts w:ascii="Times New Roman" w:hAnsi="Times New Roman" w:cs="Times New Roman" w:hint="eastAsia"/>
          <w:sz w:val="10"/>
          <w:szCs w:val="10"/>
        </w:rPr>
        <w:t xml:space="preserve"> </w:t>
      </w:r>
      <w:r w:rsidR="00474877" w:rsidRPr="00037AA4">
        <w:rPr>
          <w:rFonts w:ascii="Times New Roman" w:hAnsi="Times New Roman" w:cs="Times New Roman"/>
          <w:sz w:val="10"/>
          <w:szCs w:val="10"/>
        </w:rPr>
        <w:fldChar w:fldCharType="begin"/>
      </w:r>
      <w:r w:rsidR="00474877" w:rsidRPr="00037AA4">
        <w:rPr>
          <w:rFonts w:ascii="Times New Roman" w:hAnsi="Times New Roman" w:cs="Times New Roman"/>
          <w:sz w:val="10"/>
          <w:szCs w:val="10"/>
        </w:rPr>
        <w:instrText xml:space="preserve"> ADDIN ZOTERO_ITEM CSL_CITATION {"citationID":"Uk0fGmMo","properties":{"unsorted":false,"formattedCitation":"(Gibson, Gibson and Webster, 2021)","plainCitation":"(Gibson, Gibson and Webster, 2021)","noteIndex":0},"citationItems":[{"id":471,"uris":["http://zotero.org/users/local/JBGcfLdO/items/H775EQA9"],"itemData":{"id":471,"type":"article-journal","container-title":"Journal of Management","ISSN":"0149-2063","issue":"7","journalAbbreviation":"Journal of Management","page":"1878-1898","publisher":"Sage Publications Sage CA: Los Angeles, CA","title":"Expanding our resources: Including community in the resource-based view of the firm","volume":"47","author":[{"family":"Gibson","given":"Cristina B"},{"family":"Gibson","given":"Stephen C"},{"family":"Webster","given":"Quinn"}],"issued":{"date-parts":[["2021"]]}}}],"schema":"https://github.com/citation-style-language/schema/raw/master/csl-citation.json"} </w:instrText>
      </w:r>
      <w:r w:rsidR="00474877" w:rsidRPr="00037AA4">
        <w:rPr>
          <w:rFonts w:ascii="Times New Roman" w:hAnsi="Times New Roman" w:cs="Times New Roman"/>
          <w:sz w:val="10"/>
          <w:szCs w:val="10"/>
        </w:rPr>
        <w:fldChar w:fldCharType="separate"/>
      </w:r>
      <w:r w:rsidR="00474877" w:rsidRPr="00037AA4">
        <w:rPr>
          <w:rFonts w:ascii="Times New Roman" w:hAnsi="Times New Roman" w:cs="Times New Roman"/>
          <w:sz w:val="10"/>
          <w:szCs w:val="10"/>
        </w:rPr>
        <w:t>(Gibson, Gibson and Webster, 2021)</w:t>
      </w:r>
      <w:r w:rsidR="00474877" w:rsidRPr="00037AA4">
        <w:rPr>
          <w:rFonts w:ascii="Times New Roman" w:hAnsi="Times New Roman" w:cs="Times New Roman"/>
          <w:sz w:val="10"/>
          <w:szCs w:val="10"/>
        </w:rPr>
        <w:fldChar w:fldCharType="end"/>
      </w:r>
      <w:r w:rsidR="002A4381"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The final element is organisation. Organisations must possess systems and structures that allow resources to be fully utilised. Apple has highly efficient management systems, supply chain networks and leadership structures that support strategic implementation. The company’s operational efficiency allows it to maximise the value of its internal resources.</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The VRIO framework helps managers identify which resources create temporary advantage and which resources provide sustainable competitive advantage. Apple’s ecosystem and brand reputation create long-term customer retention and premium pricing power. The framework also supports strategic decision-making regarding innovation investment, product development and organisational capability.</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A major strength of VRIO is that it provides a structured and practical method for evaluating competitive advantage. Managers can identify which resources should be protected and developed strategically. In addition, the framework emphasises the importance of organisational alignment because valuable resources alone are insufficient without effective management systems.</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However, VRIO also has limitations. Some organisational capabilities are difficult to measure objectively, particularly intangible resources such as innovation culture and leadership quality. Furthermore, technological industries change rapidly, meaning that rare resources may eventually become common as competitors improve. The framework also focuses primarily on internal capabilities and may underestimate the importance of external market conditions and competitive pressure.</w:t>
      </w:r>
      <w:r w:rsidR="00F9363A" w:rsidRPr="00037AA4">
        <w:rPr>
          <w:rFonts w:ascii="Times New Roman" w:hAnsi="Times New Roman" w:cs="Times New Roman" w:hint="eastAsia"/>
          <w:sz w:val="10"/>
          <w:szCs w:val="10"/>
        </w:rPr>
        <w:t xml:space="preserve">  </w:t>
      </w:r>
      <w:r w:rsidR="002A4381" w:rsidRPr="00037AA4">
        <w:rPr>
          <w:rFonts w:ascii="Times New Roman" w:hAnsi="Times New Roman" w:cs="Times New Roman"/>
          <w:sz w:val="10"/>
          <w:szCs w:val="10"/>
        </w:rPr>
        <w:t>Overall, the Resource-Based View and VRIO framework are highly valuable internal strategic management tools because they help organisations identify strengths and build sustainable competitive advantage. Apple demonstrates how innovation capability, ecosystem integration and brand reputation can strengthen long-term competitiveness and market leadership. The frameworks provide important insights for managers by explaining how internal resources contribute to strategic success. Nevertheless, organisations must also remain aware of external environmental change and technological disruption in order to maintain long-term competitive advantage.</w:t>
      </w:r>
      <w:r w:rsidR="00F9363A" w:rsidRPr="00037AA4">
        <w:rPr>
          <w:rFonts w:ascii="Times New Roman" w:hAnsi="Times New Roman" w:cs="Times New Roman" w:hint="eastAsia"/>
          <w:sz w:val="10"/>
          <w:szCs w:val="10"/>
        </w:rPr>
        <w:t xml:space="preserve"> </w:t>
      </w:r>
      <w:r w:rsidR="0040476C" w:rsidRPr="00037AA4">
        <w:rPr>
          <w:rFonts w:ascii="Times New Roman" w:hAnsi="Times New Roman" w:cs="Times New Roman" w:hint="eastAsia"/>
          <w:sz w:val="10"/>
          <w:szCs w:val="10"/>
        </w:rPr>
        <w:t>Q3:</w:t>
      </w:r>
      <w:r w:rsidR="00DE7334" w:rsidRPr="00037AA4">
        <w:rPr>
          <w:sz w:val="10"/>
          <w:szCs w:val="10"/>
        </w:rPr>
        <w:t xml:space="preserve"> </w:t>
      </w:r>
      <w:r w:rsidR="00DE7334" w:rsidRPr="00037AA4">
        <w:rPr>
          <w:rFonts w:ascii="Times New Roman" w:hAnsi="Times New Roman" w:cs="Times New Roman"/>
          <w:sz w:val="10"/>
          <w:szCs w:val="10"/>
        </w:rPr>
        <w:t xml:space="preserve">Apple: Customer Understanding, Pricing, Innovation and Communication </w:t>
      </w:r>
      <w:proofErr w:type="gramStart"/>
      <w:r w:rsidR="00DE7334" w:rsidRPr="00037AA4">
        <w:rPr>
          <w:rFonts w:ascii="Times New Roman" w:hAnsi="Times New Roman" w:cs="Times New Roman"/>
          <w:sz w:val="10"/>
          <w:szCs w:val="10"/>
        </w:rPr>
        <w:t>Strategy</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Businesses</w:t>
      </w:r>
      <w:proofErr w:type="gramEnd"/>
      <w:r w:rsidR="00DE7334" w:rsidRPr="00037AA4">
        <w:rPr>
          <w:rFonts w:ascii="Times New Roman" w:hAnsi="Times New Roman" w:cs="Times New Roman"/>
          <w:sz w:val="10"/>
          <w:szCs w:val="10"/>
        </w:rPr>
        <w:t xml:space="preserve"> do not succeed through strategy alone because organisations must also understand customer behaviour, market expectations and consumer decision-making. Modern organisations increasingly rely on customer understanding, pricing, innovation and communication strategies to strengthen competitive positioning and long-term profitability. </w:t>
      </w:r>
      <w:r w:rsidR="00225E66" w:rsidRPr="00037AA4">
        <w:rPr>
          <w:rFonts w:ascii="Times New Roman" w:hAnsi="Times New Roman" w:cs="Times New Roman" w:hint="eastAsia"/>
          <w:sz w:val="10"/>
          <w:szCs w:val="10"/>
        </w:rPr>
        <w:t>O</w:t>
      </w:r>
      <w:r w:rsidR="00DE7334" w:rsidRPr="00037AA4">
        <w:rPr>
          <w:rFonts w:ascii="Times New Roman" w:hAnsi="Times New Roman" w:cs="Times New Roman"/>
          <w:sz w:val="10"/>
          <w:szCs w:val="10"/>
        </w:rPr>
        <w:t>rganisations must understand customer needs and market behaviour in order to maintain competitiveness in dynamic industries</w:t>
      </w:r>
      <w:r w:rsidR="00225E66" w:rsidRPr="00037AA4">
        <w:rPr>
          <w:rFonts w:ascii="Times New Roman" w:hAnsi="Times New Roman" w:cs="Times New Roman" w:hint="eastAsia"/>
          <w:sz w:val="10"/>
          <w:szCs w:val="10"/>
        </w:rPr>
        <w:t xml:space="preserve"> </w:t>
      </w:r>
      <w:r w:rsidR="00225E66" w:rsidRPr="00037AA4">
        <w:rPr>
          <w:rFonts w:ascii="Times New Roman" w:hAnsi="Times New Roman" w:cs="Times New Roman"/>
          <w:sz w:val="10"/>
          <w:szCs w:val="10"/>
        </w:rPr>
        <w:fldChar w:fldCharType="begin"/>
      </w:r>
      <w:r w:rsidR="00225E66" w:rsidRPr="00037AA4">
        <w:rPr>
          <w:rFonts w:ascii="Times New Roman" w:hAnsi="Times New Roman" w:cs="Times New Roman"/>
          <w:sz w:val="10"/>
          <w:szCs w:val="10"/>
        </w:rPr>
        <w:instrText xml:space="preserve"> ADDIN ZOTERO_ITEM CSL_CITATION {"citationID":"mRqllzVK","properties":{"unsorted":false,"formattedCitation":"(Akbar, 2024)","plainCitation":"(Akbar, 2024)","noteIndex":0},"citationItems":[{"id":472,"uris":["http://zotero.org/users/local/JBGcfLdO/items/I6D63SEY"],"itemData":{"id":472,"type":"article-journal","container-title":"Advances in Business &amp; Industrial Marketing Research","ISSN":"2985-7589","issue":"2","journalAbbreviation":"Advances in Business &amp; Industrial Marketing Research","page":"96-109","title":"Customer-centric strategies: Navigating the dynamics of marketing management for competitive advantage","volume":"2","author":[{"family":"Akbar","given":"Mohammad Aldrin"}],"issued":{"date-parts":[["2024"]]}}}],"schema":"https://github.com/citation-style-language/schema/raw/master/csl-citation.json"} </w:instrText>
      </w:r>
      <w:r w:rsidR="00225E66" w:rsidRPr="00037AA4">
        <w:rPr>
          <w:rFonts w:ascii="Times New Roman" w:hAnsi="Times New Roman" w:cs="Times New Roman"/>
          <w:sz w:val="10"/>
          <w:szCs w:val="10"/>
        </w:rPr>
        <w:fldChar w:fldCharType="separate"/>
      </w:r>
      <w:r w:rsidR="00225E66" w:rsidRPr="00037AA4">
        <w:rPr>
          <w:rFonts w:ascii="Times New Roman" w:hAnsi="Times New Roman" w:cs="Times New Roman"/>
          <w:sz w:val="10"/>
          <w:szCs w:val="10"/>
        </w:rPr>
        <w:t>(Akbar, 2024)</w:t>
      </w:r>
      <w:r w:rsidR="00225E66"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 Apple is one of the strongest examples because the company successfully combines premium pricing, continuous innovation and effective communication strategies to strengthen its global market position within the technology industry.</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Customer understanding is one of the most important factors influencing market success. Consumer behaviour refers to how individuals select, purchase and use products or services. </w:t>
      </w:r>
      <w:r w:rsidR="00225E66" w:rsidRPr="00037AA4">
        <w:rPr>
          <w:rFonts w:ascii="Times New Roman" w:hAnsi="Times New Roman" w:cs="Times New Roman" w:hint="eastAsia"/>
          <w:sz w:val="10"/>
          <w:szCs w:val="10"/>
        </w:rPr>
        <w:t>C</w:t>
      </w:r>
      <w:r w:rsidR="00DE7334" w:rsidRPr="00037AA4">
        <w:rPr>
          <w:rFonts w:ascii="Times New Roman" w:hAnsi="Times New Roman" w:cs="Times New Roman"/>
          <w:sz w:val="10"/>
          <w:szCs w:val="10"/>
        </w:rPr>
        <w:t>onsumer purchasing decisions are influenced by psychological, social and emotional factors rather than product features alone</w:t>
      </w:r>
      <w:r w:rsidR="00225E66" w:rsidRPr="00037AA4">
        <w:rPr>
          <w:rFonts w:ascii="Times New Roman" w:hAnsi="Times New Roman" w:cs="Times New Roman" w:hint="eastAsia"/>
          <w:sz w:val="10"/>
          <w:szCs w:val="10"/>
        </w:rPr>
        <w:t xml:space="preserve"> </w:t>
      </w:r>
      <w:r w:rsidR="00225E66" w:rsidRPr="00037AA4">
        <w:rPr>
          <w:rFonts w:ascii="Times New Roman" w:hAnsi="Times New Roman" w:cs="Times New Roman"/>
          <w:sz w:val="10"/>
          <w:szCs w:val="10"/>
        </w:rPr>
        <w:fldChar w:fldCharType="begin"/>
      </w:r>
      <w:r w:rsidR="00225E66" w:rsidRPr="00037AA4">
        <w:rPr>
          <w:rFonts w:ascii="Times New Roman" w:hAnsi="Times New Roman" w:cs="Times New Roman"/>
          <w:sz w:val="10"/>
          <w:szCs w:val="10"/>
        </w:rPr>
        <w:instrText xml:space="preserve"> ADDIN ZOTERO_ITEM CSL_CITATION {"citationID":"u0hw2z0z","properties":{"unsorted":false,"formattedCitation":"(Dirwan and Latief, 2023)","plainCitation":"(Dirwan and Latief, 2023)","noteIndex":0},"citationItems":[{"id":473,"uris":["http://zotero.org/users/local/JBGcfLdO/items/S2WBUEE8"],"itemData":{"id":473,"type":"article-journal","container-title":"Advances in Business &amp; Industrial Marketing Research","ISSN":"2985-7589","issue":"3","journalAbbreviation":"Advances in Business &amp; Industrial Marketing Research","page":"130-145","title":"Understanding the psychology behind consumer behavior","volume":"1","author":[{"family":"Dirwan","given":"Dirwan"},{"family":"Latief","given":"Fitriani"}],"issued":{"date-parts":[["2023"]]}}}],"schema":"https://github.com/citation-style-language/schema/raw/master/csl-citation.json"} </w:instrText>
      </w:r>
      <w:r w:rsidR="00225E66" w:rsidRPr="00037AA4">
        <w:rPr>
          <w:rFonts w:ascii="Times New Roman" w:hAnsi="Times New Roman" w:cs="Times New Roman"/>
          <w:sz w:val="10"/>
          <w:szCs w:val="10"/>
        </w:rPr>
        <w:fldChar w:fldCharType="separate"/>
      </w:r>
      <w:r w:rsidR="00225E66" w:rsidRPr="00037AA4">
        <w:rPr>
          <w:rFonts w:ascii="Times New Roman" w:hAnsi="Times New Roman" w:cs="Times New Roman"/>
          <w:sz w:val="10"/>
          <w:szCs w:val="10"/>
        </w:rPr>
        <w:t>(Dirwan and Latief, 2023)</w:t>
      </w:r>
      <w:r w:rsidR="00225E66"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 Apple demonstrates strong customer understanding because the company recognises that consumers increasingly value simplicity, convenience, design and emotional attachment.</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Apple’s ecosystem is designed around user convenience and integration. Products such as the iPhone, MacBook, Apple Watch and AirPods work seamlessly together, creating a consistent customer experience. This improves customer satisfaction and strengthens loyalty because consumers become accustomed to Apple’s ecosystem. In addition, Apple understands that many consumers view technology products as symbols of status and identity. The organisation therefore focuses strongly on premium design and brand prestige.</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Customer understanding also influences product development. Apple regularly analyses consumer trends and adapts products to changing market expectations. For example, the company increasingly invests in health technology, artificial intelligence and wearable devices because consumers demand greater convenience and lifestyle integration. </w:t>
      </w:r>
      <w:r w:rsidR="005655B6" w:rsidRPr="00037AA4">
        <w:rPr>
          <w:rFonts w:ascii="Times New Roman" w:hAnsi="Times New Roman" w:cs="Times New Roman" w:hint="eastAsia"/>
          <w:sz w:val="10"/>
          <w:szCs w:val="10"/>
        </w:rPr>
        <w:t>O</w:t>
      </w:r>
      <w:r w:rsidR="00DE7334" w:rsidRPr="00037AA4">
        <w:rPr>
          <w:rFonts w:ascii="Times New Roman" w:hAnsi="Times New Roman" w:cs="Times New Roman"/>
          <w:sz w:val="10"/>
          <w:szCs w:val="10"/>
        </w:rPr>
        <w:t>rganisations that understand customer needs more effectively are better positioned to maintain competitive advantage</w:t>
      </w:r>
      <w:r w:rsidR="005655B6" w:rsidRPr="00037AA4">
        <w:rPr>
          <w:rFonts w:ascii="Times New Roman" w:hAnsi="Times New Roman" w:cs="Times New Roman" w:hint="eastAsia"/>
          <w:sz w:val="10"/>
          <w:szCs w:val="10"/>
        </w:rPr>
        <w:t xml:space="preserve"> </w:t>
      </w:r>
      <w:r w:rsidR="005655B6" w:rsidRPr="00037AA4">
        <w:rPr>
          <w:rFonts w:ascii="Times New Roman" w:hAnsi="Times New Roman" w:cs="Times New Roman"/>
          <w:sz w:val="10"/>
          <w:szCs w:val="10"/>
        </w:rPr>
        <w:fldChar w:fldCharType="begin"/>
      </w:r>
      <w:r w:rsidR="005655B6" w:rsidRPr="00037AA4">
        <w:rPr>
          <w:rFonts w:ascii="Times New Roman" w:hAnsi="Times New Roman" w:cs="Times New Roman"/>
          <w:sz w:val="10"/>
          <w:szCs w:val="10"/>
        </w:rPr>
        <w:instrText xml:space="preserve"> ADDIN ZOTERO_ITEM CSL_CITATION {"citationID":"9dpzm5lZ","properties":{"unsorted":false,"formattedCitation":"(Mhaka, 2025)","plainCitation":"(Mhaka, 2025)","noteIndex":0},"citationItems":[{"id":474,"uris":["http://zotero.org/users/local/JBGcfLdO/items/6AY652P4"],"itemData":{"id":474,"type":"article-journal","title":"Reassessing the Marketing Mix: Transitioning Towards a Customer-Centric Framework","author":[{"family":"Mhaka","given":"Munyaradzi"}],"issued":{"date-parts":[["2025"]]}}}],"schema":"https://github.com/citation-style-language/schema/raw/master/csl-citation.json"} </w:instrText>
      </w:r>
      <w:r w:rsidR="005655B6" w:rsidRPr="00037AA4">
        <w:rPr>
          <w:rFonts w:ascii="Times New Roman" w:hAnsi="Times New Roman" w:cs="Times New Roman"/>
          <w:sz w:val="10"/>
          <w:szCs w:val="10"/>
        </w:rPr>
        <w:fldChar w:fldCharType="separate"/>
      </w:r>
      <w:r w:rsidR="005655B6" w:rsidRPr="00037AA4">
        <w:rPr>
          <w:rFonts w:ascii="Times New Roman" w:hAnsi="Times New Roman" w:cs="Times New Roman"/>
          <w:sz w:val="10"/>
          <w:szCs w:val="10"/>
        </w:rPr>
        <w:t>(Mhaka, 2025)</w:t>
      </w:r>
      <w:r w:rsidR="005655B6"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Pricing strategy is another important factor influencing market position. Apple uses premium pricing, which means products are sold at relatively high prices compared to competitors. </w:t>
      </w:r>
      <w:r w:rsidR="006D1995" w:rsidRPr="00037AA4">
        <w:rPr>
          <w:rFonts w:ascii="Times New Roman" w:hAnsi="Times New Roman" w:cs="Times New Roman" w:hint="eastAsia"/>
          <w:sz w:val="10"/>
          <w:szCs w:val="10"/>
        </w:rPr>
        <w:t>D</w:t>
      </w:r>
      <w:r w:rsidR="00DE7334" w:rsidRPr="00037AA4">
        <w:rPr>
          <w:rFonts w:ascii="Times New Roman" w:hAnsi="Times New Roman" w:cs="Times New Roman"/>
          <w:sz w:val="10"/>
          <w:szCs w:val="10"/>
        </w:rPr>
        <w:t>ifferentiation strategies allow organisations to charge premium prices because consumers perceive products as unique and valuable</w:t>
      </w:r>
      <w:r w:rsidR="006D1995" w:rsidRPr="00037AA4">
        <w:rPr>
          <w:rFonts w:ascii="Times New Roman" w:hAnsi="Times New Roman" w:cs="Times New Roman" w:hint="eastAsia"/>
          <w:sz w:val="10"/>
          <w:szCs w:val="10"/>
        </w:rPr>
        <w:t xml:space="preserve"> </w:t>
      </w:r>
      <w:r w:rsidR="006D1995" w:rsidRPr="00037AA4">
        <w:rPr>
          <w:rFonts w:ascii="Times New Roman" w:hAnsi="Times New Roman" w:cs="Times New Roman"/>
          <w:sz w:val="10"/>
          <w:szCs w:val="10"/>
        </w:rPr>
        <w:fldChar w:fldCharType="begin"/>
      </w:r>
      <w:r w:rsidR="006D1995" w:rsidRPr="00037AA4">
        <w:rPr>
          <w:rFonts w:ascii="Times New Roman" w:hAnsi="Times New Roman" w:cs="Times New Roman"/>
          <w:sz w:val="10"/>
          <w:szCs w:val="10"/>
        </w:rPr>
        <w:instrText xml:space="preserve"> ADDIN ZOTERO_ITEM CSL_CITATION {"citationID":"5aMjC8eD","properties":{"unsorted":false,"formattedCitation":"(Arslan and Can, 2025)","plainCitation":"(Arslan and Can, 2025)","noteIndex":0},"citationItems":[{"id":475,"uris":["http://zotero.org/users/local/JBGcfLdO/items/MEWBRQXU"],"itemData":{"id":475,"type":"article-journal","container-title":"Journal of Strategy and Management","ISSN":"1755-425X","issue":"3","journalAbbreviation":"Journal of Strategy and Management","page":"657-676","publisher":"Emerald Publishing Limited","title":"The effects of differentiation strategies on firm performance: the role of sustainable procurement policies in environmental uncertainty","volume":"18","author":[{"family":"Arslan","given":"Onur"},{"family":"Can","given":"Esin"}],"issued":{"date-parts":[["2025"]]}}}],"schema":"https://github.com/citation-style-language/schema/raw/master/csl-citation.json"} </w:instrText>
      </w:r>
      <w:r w:rsidR="006D1995" w:rsidRPr="00037AA4">
        <w:rPr>
          <w:rFonts w:ascii="Times New Roman" w:hAnsi="Times New Roman" w:cs="Times New Roman"/>
          <w:sz w:val="10"/>
          <w:szCs w:val="10"/>
        </w:rPr>
        <w:fldChar w:fldCharType="separate"/>
      </w:r>
      <w:r w:rsidR="006D1995" w:rsidRPr="00037AA4">
        <w:rPr>
          <w:rFonts w:ascii="Times New Roman" w:hAnsi="Times New Roman" w:cs="Times New Roman"/>
          <w:sz w:val="10"/>
          <w:szCs w:val="10"/>
        </w:rPr>
        <w:t>(Arslan and Can, 2025)</w:t>
      </w:r>
      <w:r w:rsidR="006D1995"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 Apple’s pricing strategy strengthens perceptions of quality, exclusivity and innovation.</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Unlike competitors that compete primarily through low pricing, Apple focuses on value-based pricing. Consumers are willing to pay higher prices because </w:t>
      </w:r>
      <w:r w:rsidR="00DE7334" w:rsidRPr="00037AA4">
        <w:rPr>
          <w:rFonts w:ascii="Times New Roman" w:hAnsi="Times New Roman" w:cs="Times New Roman"/>
          <w:sz w:val="10"/>
          <w:szCs w:val="10"/>
        </w:rPr>
        <w:lastRenderedPageBreak/>
        <w:t>they associate Apple products with superior design, reliability and status. Premium pricing also increases profitability and reinforces brand prestige. This demonstrates how pricing strategy can influence both financial performance and consumer perception.</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However, premium pricing also creates limitations. High prices may reduce affordability for some consumers, particularly during economic downturns. Competitors such as Samsung and Xiaomi offer lower-priced alternatives with similar technological features. As a result, Apple must continuously justify premium pricing through innovation and customer experience.</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Innovation is central to Apple’s market success. </w:t>
      </w:r>
      <w:r w:rsidR="00A53B79" w:rsidRPr="00037AA4">
        <w:rPr>
          <w:rFonts w:ascii="Times New Roman" w:hAnsi="Times New Roman" w:cs="Times New Roman" w:hint="eastAsia"/>
          <w:sz w:val="10"/>
          <w:szCs w:val="10"/>
        </w:rPr>
        <w:t>i</w:t>
      </w:r>
      <w:r w:rsidR="00DE7334" w:rsidRPr="00037AA4">
        <w:rPr>
          <w:rFonts w:ascii="Times New Roman" w:hAnsi="Times New Roman" w:cs="Times New Roman"/>
          <w:sz w:val="10"/>
          <w:szCs w:val="10"/>
        </w:rPr>
        <w:t>nnovation is one of the most important drivers of competitive advantage because organisations must continuously develop new products, processes and technologies</w:t>
      </w:r>
      <w:r w:rsidR="00A53B79"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fldChar w:fldCharType="begin"/>
      </w:r>
      <w:r w:rsidR="00A53B79" w:rsidRPr="00037AA4">
        <w:rPr>
          <w:rFonts w:ascii="Times New Roman" w:hAnsi="Times New Roman" w:cs="Times New Roman"/>
          <w:sz w:val="10"/>
          <w:szCs w:val="10"/>
        </w:rPr>
        <w:instrText xml:space="preserve"> ADDIN ZOTERO_ITEM CSL_CITATION {"citationID":"eoBpLYbR","properties":{"unsorted":false,"formattedCitation":"(Cowling, Sclip and Velliscig, 2025)","plainCitation":"(Cowling, Sclip and Velliscig, 2025)","noteIndex":0},"citationItems":[{"id":476,"uris":["http://zotero.org/users/local/JBGcfLdO/items/VHB7L7M5"],"itemData":{"id":476,"type":"article-journal","container-title":"British Journal of Management","ISSN":"1045-3172","issue":"4","journalAbbreviation":"British Journal of Management","page":"1462-1477","publisher":"Wiley Online Library","title":"Can Small Firms Innovate Away From Competition?","volume":"36","author":[{"family":"Cowling","given":"Marc"},{"family":"Sclip","given":"Alex"},{"family":"Velliscig","given":"Giulio"}],"issued":{"date-parts":[["2025"]]}}}],"schema":"https://github.com/citation-style-language/schema/raw/master/csl-citation.json"} </w:instrText>
      </w:r>
      <w:r w:rsidR="00A53B79" w:rsidRPr="00037AA4">
        <w:rPr>
          <w:rFonts w:ascii="Times New Roman" w:hAnsi="Times New Roman" w:cs="Times New Roman"/>
          <w:sz w:val="10"/>
          <w:szCs w:val="10"/>
        </w:rPr>
        <w:fldChar w:fldCharType="separate"/>
      </w:r>
      <w:r w:rsidR="00A53B79" w:rsidRPr="00037AA4">
        <w:rPr>
          <w:rFonts w:ascii="Times New Roman" w:hAnsi="Times New Roman" w:cs="Times New Roman"/>
          <w:sz w:val="10"/>
          <w:szCs w:val="10"/>
        </w:rPr>
        <w:t>(Cowling, Sclip and Velliscig, 2025)</w:t>
      </w:r>
      <w:r w:rsidR="00A53B79"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 Apple consistently invests in research and development to improve products and maintain differentiation within the technology industry.</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The introduction of products such as the iPhone, iPad and Apple Watch transformed consumer behaviour and strengthened Apple’s market leadership. Innovation also extends beyond hardware because Apple continuously develops software integration, digital services and ecosystem connectivity. Continuous innovation strengthens customer loyalty because consumers expect Apple to provide new technology and improved user experiences.</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Innovation also reduces direct price competition. Rather than competing solely on cost, Apple differentiates itself through design, functionality and ecosystem integration. This strengthens competitive advantage and allows the organisation to maintain premium pricing strategies. However, innovation requires extremely high levels of investment and organisational capability. Rapid technological change also means that innovation advantages may not last permanently because competitors continuously develop alternative technologies.</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 xml:space="preserve">Communication strategy is equally important in strengthening market position. </w:t>
      </w:r>
      <w:r w:rsidR="00A53B79" w:rsidRPr="00037AA4">
        <w:rPr>
          <w:rFonts w:ascii="Times New Roman" w:hAnsi="Times New Roman" w:cs="Times New Roman" w:hint="eastAsia"/>
          <w:sz w:val="10"/>
          <w:szCs w:val="10"/>
        </w:rPr>
        <w:t>S</w:t>
      </w:r>
      <w:r w:rsidR="00DE7334" w:rsidRPr="00037AA4">
        <w:rPr>
          <w:rFonts w:ascii="Times New Roman" w:hAnsi="Times New Roman" w:cs="Times New Roman"/>
          <w:sz w:val="10"/>
          <w:szCs w:val="10"/>
        </w:rPr>
        <w:t>trong brand communication increases customer loyalty, emotional attachment and brand equity</w:t>
      </w:r>
      <w:r w:rsidR="00A53B79"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fldChar w:fldCharType="begin"/>
      </w:r>
      <w:r w:rsidR="00A53B79" w:rsidRPr="00037AA4">
        <w:rPr>
          <w:rFonts w:ascii="Times New Roman" w:hAnsi="Times New Roman" w:cs="Times New Roman"/>
          <w:sz w:val="10"/>
          <w:szCs w:val="10"/>
        </w:rPr>
        <w:instrText xml:space="preserve"> ADDIN ZOTERO_ITEM CSL_CITATION {"citationID":"LirGUTIl","properties":{"unsorted":false,"formattedCitation":"(Mugisha, Bayih and Wang, 2025)","plainCitation":"(Mugisha, Bayih and Wang, 2025)","noteIndex":0},"citationItems":[{"id":477,"uris":["http://zotero.org/users/local/JBGcfLdO/items/VM5F8W47"],"itemData":{"id":477,"type":"article-journal","title":"The effects of CBBE on social media consumer engagement: A Quantitative Approach","author":[{"family":"Mugisha","given":"Jimmy"},{"family":"Bayih","given":"Ezra"},{"family":"Wang","given":"Yuwen"}],"issued":{"date-parts":[["2025"]]}}}],"schema":"https://github.com/citation-style-language/schema/raw/master/csl-citation.json"} </w:instrText>
      </w:r>
      <w:r w:rsidR="00A53B79" w:rsidRPr="00037AA4">
        <w:rPr>
          <w:rFonts w:ascii="Times New Roman" w:hAnsi="Times New Roman" w:cs="Times New Roman"/>
          <w:sz w:val="10"/>
          <w:szCs w:val="10"/>
        </w:rPr>
        <w:fldChar w:fldCharType="separate"/>
      </w:r>
      <w:r w:rsidR="00A53B79" w:rsidRPr="00037AA4">
        <w:rPr>
          <w:rFonts w:ascii="Times New Roman" w:hAnsi="Times New Roman" w:cs="Times New Roman"/>
          <w:sz w:val="10"/>
          <w:szCs w:val="10"/>
        </w:rPr>
        <w:t>(Mugisha, Bayih and Wang, 2025)</w:t>
      </w:r>
      <w:r w:rsidR="00A53B79" w:rsidRPr="00037AA4">
        <w:rPr>
          <w:rFonts w:ascii="Times New Roman" w:hAnsi="Times New Roman" w:cs="Times New Roman"/>
          <w:sz w:val="10"/>
          <w:szCs w:val="10"/>
        </w:rPr>
        <w:fldChar w:fldCharType="end"/>
      </w:r>
      <w:r w:rsidR="00DE7334" w:rsidRPr="00037AA4">
        <w:rPr>
          <w:rFonts w:ascii="Times New Roman" w:hAnsi="Times New Roman" w:cs="Times New Roman"/>
          <w:sz w:val="10"/>
          <w:szCs w:val="10"/>
        </w:rPr>
        <w:t>. Apple uses highly effective communication strategies focused on simplicity, innovation and emotional branding.</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Apple’s advertising campaigns are usually minimalist and product-focused. The organisation avoids excessive technical language and instead emphasises lifestyle benefits and user experience. Product launch events also create excitement and global media attention. These communication strategies strengthen emotional attachment between consumers and the brand.</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Social media, digital marketing and brand consistency also strengthen customer engagement. Apple maintains a consistent premium image across stores, advertising and online platforms. This consistency improves brand recognition and reinforces perceptions of quality and exclusivity.</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However, communication strategies also involve risks. Negative publicity, product failures or social criticism may damage brand reputation quickly. In addition, consumer preferences constantly evolve, meaning organisations must continuously adapt communication methods to remain relevant in competitive markets.</w:t>
      </w:r>
      <w:r w:rsidR="00F9363A" w:rsidRPr="00037AA4">
        <w:rPr>
          <w:rFonts w:ascii="Times New Roman" w:hAnsi="Times New Roman" w:cs="Times New Roman" w:hint="eastAsia"/>
          <w:sz w:val="10"/>
          <w:szCs w:val="10"/>
        </w:rPr>
        <w:t xml:space="preserve">  </w:t>
      </w:r>
      <w:r w:rsidR="00DE7334" w:rsidRPr="00037AA4">
        <w:rPr>
          <w:rFonts w:ascii="Times New Roman" w:hAnsi="Times New Roman" w:cs="Times New Roman"/>
          <w:sz w:val="10"/>
          <w:szCs w:val="10"/>
        </w:rPr>
        <w:t>Overall, Apple demonstrates how organisations can strengthen market position through a combination of customer understanding, pricing, innovation and communication strategies. Customer understanding allows Apple to anticipate consumer needs and improve customer experience. Premium pricing reinforces brand prestige and profitability, while innovation strengthens differentiation and long-term competitiveness. Communication strategy also increases customer loyalty and emotional attachment. Nevertheless, organisations must remain adaptable because consumer behaviour, market conditions and technological environments constantly evolve. Apple’s success demonstrates that integrated strategic marketing is essential for maintaining strong market positioning in highly competitive industries.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hint="eastAsia"/>
          <w:sz w:val="10"/>
          <w:szCs w:val="10"/>
        </w:rPr>
        <w:t>Q4:</w:t>
      </w:r>
      <w:r w:rsidR="00A53B79" w:rsidRPr="00037AA4">
        <w:rPr>
          <w:sz w:val="10"/>
          <w:szCs w:val="10"/>
        </w:rPr>
        <w:t xml:space="preserve"> </w:t>
      </w:r>
      <w:r w:rsidR="00A53B79" w:rsidRPr="00037AA4">
        <w:rPr>
          <w:rFonts w:ascii="Times New Roman" w:hAnsi="Times New Roman" w:cs="Times New Roman"/>
          <w:sz w:val="10"/>
          <w:szCs w:val="10"/>
        </w:rPr>
        <w:t>CSR, Sustainability and Stakeholder Value (</w:t>
      </w:r>
      <w:proofErr w:type="gramStart"/>
      <w:r w:rsidR="00A53B79" w:rsidRPr="00037AA4">
        <w:rPr>
          <w:rFonts w:ascii="Times New Roman" w:hAnsi="Times New Roman" w:cs="Times New Roman"/>
          <w:sz w:val="10"/>
          <w:szCs w:val="10"/>
        </w:rPr>
        <w:t>Unilever)</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Modern</w:t>
      </w:r>
      <w:proofErr w:type="gramEnd"/>
      <w:r w:rsidR="00A53B79" w:rsidRPr="00037AA4">
        <w:rPr>
          <w:rFonts w:ascii="Times New Roman" w:hAnsi="Times New Roman" w:cs="Times New Roman"/>
          <w:sz w:val="10"/>
          <w:szCs w:val="10"/>
        </w:rPr>
        <w:t xml:space="preserve"> organisations are under increasing pressure to think beyond profit and consider their wider responsibilities toward society and the environment. Businesses today face growing expectations from governments, consumers, employees and investors to operate ethically and sustainably. While traditional shareholder theory argues that businesses should focus primarily on maximising financial returns, stakeholder theory suggests that organisations must also consider the interests of employees, customers, suppliers, communities and the environment. social responsibility of business is to increase profits</w:t>
      </w:r>
      <w:r w:rsidR="00FE5230" w:rsidRPr="00037AA4">
        <w:rPr>
          <w:rFonts w:ascii="Times New Roman" w:hAnsi="Times New Roman" w:cs="Times New Roman" w:hint="eastAsia"/>
          <w:sz w:val="10"/>
          <w:szCs w:val="10"/>
        </w:rPr>
        <w:t xml:space="preserve"> </w:t>
      </w:r>
      <w:r w:rsidR="00FE5230" w:rsidRPr="00037AA4">
        <w:rPr>
          <w:rFonts w:ascii="Times New Roman" w:hAnsi="Times New Roman" w:cs="Times New Roman"/>
          <w:sz w:val="10"/>
          <w:szCs w:val="10"/>
        </w:rPr>
        <w:fldChar w:fldCharType="begin"/>
      </w:r>
      <w:r w:rsidR="00FE5230" w:rsidRPr="00037AA4">
        <w:rPr>
          <w:rFonts w:ascii="Times New Roman" w:hAnsi="Times New Roman" w:cs="Times New Roman"/>
          <w:sz w:val="10"/>
          <w:szCs w:val="10"/>
        </w:rPr>
        <w:instrText xml:space="preserve"> ADDIN ZOTERO_ITEM CSL_CITATION {"citationID":"00LD5BYz","properties":{"unsorted":false,"formattedCitation":"(Asem, Fan and Tian, 2025)","plainCitation":"(Asem, Fan and Tian, 2025)","noteIndex":0},"citationItems":[{"id":478,"uris":["http://zotero.org/users/local/JBGcfLdO/items/5X6LMSE3"],"itemData":{"id":478,"type":"article-journal","container-title":"arXiv preprint arXiv:2507.09020","journalAbbreviation":"arXiv preprint arXiv:2507.09020","title":"ESG and the Cost of Capital: Insights from an AI-Assisted Systematic Literature Review","author":[{"family":"Asem","given":"Ebenezer"},{"family":"Fan","given":"Ruijie"},{"family":"Tian","given":"Gloria Y"}],"issued":{"date-parts":[["2025"]]}}}],"schema":"https://github.com/citation-style-language/schema/raw/master/csl-citation.json"} </w:instrText>
      </w:r>
      <w:r w:rsidR="00FE5230" w:rsidRPr="00037AA4">
        <w:rPr>
          <w:rFonts w:ascii="Times New Roman" w:hAnsi="Times New Roman" w:cs="Times New Roman"/>
          <w:sz w:val="10"/>
          <w:szCs w:val="10"/>
        </w:rPr>
        <w:fldChar w:fldCharType="separate"/>
      </w:r>
      <w:r w:rsidR="00FE5230" w:rsidRPr="00037AA4">
        <w:rPr>
          <w:rFonts w:ascii="Times New Roman" w:hAnsi="Times New Roman" w:cs="Times New Roman"/>
          <w:sz w:val="10"/>
          <w:szCs w:val="10"/>
        </w:rPr>
        <w:t>(Asem, Fan and Tian, 2025)</w:t>
      </w:r>
      <w:r w:rsidR="00FE5230"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 xml:space="preserve">. In contrast, </w:t>
      </w:r>
      <w:r w:rsidR="00FE5230" w:rsidRPr="00037AA4">
        <w:rPr>
          <w:rFonts w:ascii="Times New Roman" w:hAnsi="Times New Roman" w:cs="Times New Roman" w:hint="eastAsia"/>
          <w:sz w:val="10"/>
          <w:szCs w:val="10"/>
        </w:rPr>
        <w:t>l</w:t>
      </w:r>
      <w:r w:rsidR="00A53B79" w:rsidRPr="00037AA4">
        <w:rPr>
          <w:rFonts w:ascii="Times New Roman" w:hAnsi="Times New Roman" w:cs="Times New Roman"/>
          <w:sz w:val="10"/>
          <w:szCs w:val="10"/>
        </w:rPr>
        <w:t>ong-term organisational success depends on balancing stakeholder interests rather than concentrating only on shareholders</w:t>
      </w:r>
      <w:r w:rsidR="00FE5230" w:rsidRPr="00037AA4">
        <w:rPr>
          <w:rFonts w:ascii="Times New Roman" w:hAnsi="Times New Roman" w:cs="Times New Roman" w:hint="eastAsia"/>
          <w:sz w:val="10"/>
          <w:szCs w:val="10"/>
        </w:rPr>
        <w:t xml:space="preserve"> </w:t>
      </w:r>
      <w:r w:rsidR="00FE5230" w:rsidRPr="00037AA4">
        <w:rPr>
          <w:rFonts w:ascii="Times New Roman" w:hAnsi="Times New Roman" w:cs="Times New Roman"/>
          <w:sz w:val="10"/>
          <w:szCs w:val="10"/>
        </w:rPr>
        <w:fldChar w:fldCharType="begin"/>
      </w:r>
      <w:r w:rsidR="00FE5230" w:rsidRPr="00037AA4">
        <w:rPr>
          <w:rFonts w:ascii="Times New Roman" w:hAnsi="Times New Roman" w:cs="Times New Roman"/>
          <w:sz w:val="10"/>
          <w:szCs w:val="10"/>
        </w:rPr>
        <w:instrText xml:space="preserve"> ADDIN ZOTERO_ITEM CSL_CITATION {"citationID":"bDn7wYJr","properties":{"unsorted":false,"formattedCitation":"(Awa, Etim and Ogbonda, 2024)","plainCitation":"(Awa, Etim and Ogbonda, 2024)","noteIndex":0},"citationItems":[{"id":479,"uris":["http://zotero.org/users/local/JBGcfLdO/items/GNKIJ457"],"itemData":{"id":479,"type":"article-journal","container-title":"International Journal of Corporate Social Responsibility","ISSN":"2366-0066","issue":"1","journalAbbreviation":"International Journal of Corporate Social Responsibility","page":"11","publisher":"Springer","title":"Stakeholders, stakeholder theory and corporate social responsibility (CSR)","volume":"9","author":[{"family":"Awa","given":"Hart O"},{"family":"Etim","given":"Willie"},{"family":"Ogbonda","given":"Enyinda"}],"issued":{"date-parts":[["2024"]]}}}],"schema":"https://github.com/citation-style-language/schema/raw/master/csl-citation.json"} </w:instrText>
      </w:r>
      <w:r w:rsidR="00FE5230" w:rsidRPr="00037AA4">
        <w:rPr>
          <w:rFonts w:ascii="Times New Roman" w:hAnsi="Times New Roman" w:cs="Times New Roman"/>
          <w:sz w:val="10"/>
          <w:szCs w:val="10"/>
        </w:rPr>
        <w:fldChar w:fldCharType="separate"/>
      </w:r>
      <w:r w:rsidR="00FE5230" w:rsidRPr="00037AA4">
        <w:rPr>
          <w:rFonts w:ascii="Times New Roman" w:hAnsi="Times New Roman" w:cs="Times New Roman"/>
          <w:sz w:val="10"/>
          <w:szCs w:val="10"/>
        </w:rPr>
        <w:t>(Awa, Etim and Ogbonda, 2024)</w:t>
      </w:r>
      <w:r w:rsidR="00FE5230"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 This essay will evaluate the extent to which businesses should prioritise social responsibility, sustainability and stakeholder value using the example of Unilever.</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The shareholder perspective argues that the primary purpose of business is profit maximisation. </w:t>
      </w:r>
      <w:bookmarkStart w:id="1" w:name="OLE_LINK2"/>
      <w:r w:rsidR="00904753" w:rsidRPr="00037AA4">
        <w:rPr>
          <w:rFonts w:ascii="Times New Roman" w:hAnsi="Times New Roman" w:cs="Times New Roman" w:hint="eastAsia"/>
          <w:sz w:val="10"/>
          <w:szCs w:val="10"/>
        </w:rPr>
        <w:t>M</w:t>
      </w:r>
      <w:r w:rsidR="00A53B79" w:rsidRPr="00037AA4">
        <w:rPr>
          <w:rFonts w:ascii="Times New Roman" w:hAnsi="Times New Roman" w:cs="Times New Roman"/>
          <w:sz w:val="10"/>
          <w:szCs w:val="10"/>
        </w:rPr>
        <w:t>anagers are responsible for increasing shareholder wealth while operating within legal and ethical boundaries</w:t>
      </w:r>
      <w:r w:rsidR="00904753" w:rsidRPr="00037AA4">
        <w:rPr>
          <w:rFonts w:ascii="Times New Roman" w:hAnsi="Times New Roman" w:cs="Times New Roman" w:hint="eastAsia"/>
          <w:sz w:val="10"/>
          <w:szCs w:val="10"/>
        </w:rPr>
        <w:t xml:space="preserve"> </w:t>
      </w:r>
      <w:r w:rsidR="00904753" w:rsidRPr="00037AA4">
        <w:rPr>
          <w:rFonts w:ascii="Times New Roman" w:hAnsi="Times New Roman" w:cs="Times New Roman"/>
          <w:sz w:val="10"/>
          <w:szCs w:val="10"/>
        </w:rPr>
        <w:fldChar w:fldCharType="begin"/>
      </w:r>
      <w:r w:rsidR="00904753" w:rsidRPr="00037AA4">
        <w:rPr>
          <w:rFonts w:ascii="Times New Roman" w:hAnsi="Times New Roman" w:cs="Times New Roman"/>
          <w:sz w:val="10"/>
          <w:szCs w:val="10"/>
        </w:rPr>
        <w:instrText xml:space="preserve"> ADDIN ZOTERO_ITEM CSL_CITATION {"citationID":"5NpyJef4","properties":{"unsorted":false,"formattedCitation":"(Rusconi and Menghwar, 2023)","plainCitation":"(Rusconi and Menghwar, 2023)","noteIndex":0},"citationItems":[{"id":480,"uris":["http://zotero.org/users/local/JBGcfLdO/items/2U44T7KY"],"itemData":{"id":480,"type":"article-journal","container-title":"Freeman","journalAbbreviation":"Freeman","page":"6","title":"Stakeholder theory as a link between ethics and business","author":[{"family":"Rusconi","given":"Gianfranco"},{"family":"Menghwar","given":"Prem Sagar"}],"issued":{"date-parts":[["2023"]]}}}],"schema":"https://github.com/citation-style-language/schema/raw/master/csl-citation.json"} </w:instrText>
      </w:r>
      <w:r w:rsidR="00904753" w:rsidRPr="00037AA4">
        <w:rPr>
          <w:rFonts w:ascii="Times New Roman" w:hAnsi="Times New Roman" w:cs="Times New Roman"/>
          <w:sz w:val="10"/>
          <w:szCs w:val="10"/>
        </w:rPr>
        <w:fldChar w:fldCharType="separate"/>
      </w:r>
      <w:r w:rsidR="00904753" w:rsidRPr="00037AA4">
        <w:rPr>
          <w:rFonts w:ascii="Times New Roman" w:hAnsi="Times New Roman" w:cs="Times New Roman"/>
          <w:sz w:val="10"/>
          <w:szCs w:val="10"/>
        </w:rPr>
        <w:t>(Rusconi and Menghwar, 2023)</w:t>
      </w:r>
      <w:r w:rsidR="00904753"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w:t>
      </w:r>
      <w:bookmarkEnd w:id="1"/>
      <w:r w:rsidR="00A53B79" w:rsidRPr="00037AA4">
        <w:rPr>
          <w:rFonts w:ascii="Times New Roman" w:hAnsi="Times New Roman" w:cs="Times New Roman"/>
          <w:sz w:val="10"/>
          <w:szCs w:val="10"/>
        </w:rPr>
        <w:t xml:space="preserve"> From this perspective, businesses contribute to society mainly through economic growth, employment and taxation. Focusing strongly on profitability may improve efficiency, innovation and investment returns. Many organisations continue prioritising shareholder value because investors expect financial performance and long-term profitability.</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However, excessive focus on profit can create negative consequences. Organisations that prioritise short-term financial performance may neglect environmental damage, unethical labour practices or customer welfare. In recent years, consumers and governments have become increasingly critical of organisations that ignore sustainability and social responsibility. This demonstrates that focusing exclusively on shareholder value may damage reputation and reduce long-term competitiveness.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Stakeholder theory provides an alternative perspective. </w:t>
      </w:r>
      <w:r w:rsidR="00B24C08" w:rsidRPr="00037AA4">
        <w:rPr>
          <w:rFonts w:ascii="Times New Roman" w:hAnsi="Times New Roman" w:cs="Times New Roman" w:hint="eastAsia"/>
          <w:sz w:val="10"/>
          <w:szCs w:val="10"/>
        </w:rPr>
        <w:t>O</w:t>
      </w:r>
      <w:r w:rsidR="00A53B79" w:rsidRPr="00037AA4">
        <w:rPr>
          <w:rFonts w:ascii="Times New Roman" w:hAnsi="Times New Roman" w:cs="Times New Roman"/>
          <w:sz w:val="10"/>
          <w:szCs w:val="10"/>
        </w:rPr>
        <w:t>rganisations should consider all groups affected by business activities rather than focusing only on shareholders</w:t>
      </w:r>
      <w:r w:rsidR="00B24C08" w:rsidRPr="00037AA4">
        <w:rPr>
          <w:rFonts w:ascii="Times New Roman" w:hAnsi="Times New Roman" w:cs="Times New Roman" w:hint="eastAsia"/>
          <w:sz w:val="10"/>
          <w:szCs w:val="10"/>
        </w:rPr>
        <w:t xml:space="preserve"> </w:t>
      </w:r>
      <w:r w:rsidR="00B24C08" w:rsidRPr="00037AA4">
        <w:rPr>
          <w:rFonts w:ascii="Times New Roman" w:hAnsi="Times New Roman" w:cs="Times New Roman"/>
          <w:sz w:val="10"/>
          <w:szCs w:val="10"/>
        </w:rPr>
        <w:fldChar w:fldCharType="begin"/>
      </w:r>
      <w:r w:rsidR="00B24C08" w:rsidRPr="00037AA4">
        <w:rPr>
          <w:rFonts w:ascii="Times New Roman" w:hAnsi="Times New Roman" w:cs="Times New Roman"/>
          <w:sz w:val="10"/>
          <w:szCs w:val="10"/>
        </w:rPr>
        <w:instrText xml:space="preserve"> ADDIN ZOTERO_ITEM CSL_CITATION {"citationID":"mNYzxpwd","properties":{"unsorted":false,"formattedCitation":"(McCance, 2024)","plainCitation":"(McCance, 2024)","noteIndex":0},"citationItems":[{"id":481,"uris":["http://zotero.org/users/local/JBGcfLdO/items/EYYBPZHT"],"itemData":{"id":481,"type":"article-journal","title":"Stakeholder: how Ed Freeman’s vision for responsible business moved from theory to reality. Darden report online","author":[{"family":"McCance","given":"M"}],"issued":{"date-parts":[["2024"]]}}}],"schema":"https://github.com/citation-style-language/schema/raw/master/csl-citation.json"} </w:instrText>
      </w:r>
      <w:r w:rsidR="00B24C08" w:rsidRPr="00037AA4">
        <w:rPr>
          <w:rFonts w:ascii="Times New Roman" w:hAnsi="Times New Roman" w:cs="Times New Roman"/>
          <w:sz w:val="10"/>
          <w:szCs w:val="10"/>
        </w:rPr>
        <w:fldChar w:fldCharType="separate"/>
      </w:r>
      <w:r w:rsidR="00B24C08" w:rsidRPr="00037AA4">
        <w:rPr>
          <w:rFonts w:ascii="Times New Roman" w:hAnsi="Times New Roman" w:cs="Times New Roman"/>
          <w:sz w:val="10"/>
          <w:szCs w:val="10"/>
        </w:rPr>
        <w:t>(McCance, 2024)</w:t>
      </w:r>
      <w:r w:rsidR="00B24C08"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 Stakeholders include employees, customers, suppliers, governments, local communities and the environment. According to stakeholder theory, organisations achieve long-term success when they balance stakeholder interests effectively.</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Unilever provides a strong example of stakeholder-focused management. The company has invested heavily in sustainability initiatives, ethical sourcing and environmental responsibility. For example, Unilever aims to reduce carbon emissions, improve sustainable packaging and strengthen ethical supply chains. These initiatives demonstrate how organisations increasingly integrate sustainability into strategic decision-making.</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Stakeholder-focused strategies may strengthen long-term competitiveness because modern consumers increasingly prefer ethical and sustainable brands. Unilever’s sustainability initiatives improve organisational reputation and customer loyalty. Investors also increasingly support companies with strong Environmental, Social and Governance (ESG) performance because sustainability may reduce long-term business risk. This suggests that stakeholder management can improve both organisational legitimacy and long-term profitability.</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Corporate Social Responsibility (CSR) is also an important concept within modern strategic management. CSR refers to organisational responsibilities beyond legal and financial obligations. </w:t>
      </w:r>
      <w:r w:rsidR="00B24C08" w:rsidRPr="00037AA4">
        <w:rPr>
          <w:rFonts w:ascii="Times New Roman" w:hAnsi="Times New Roman" w:cs="Times New Roman"/>
          <w:sz w:val="10"/>
          <w:szCs w:val="10"/>
        </w:rPr>
        <w:fldChar w:fldCharType="begin"/>
      </w:r>
      <w:r w:rsidR="00B24C08" w:rsidRPr="00037AA4">
        <w:rPr>
          <w:rFonts w:ascii="Times New Roman" w:hAnsi="Times New Roman" w:cs="Times New Roman"/>
          <w:sz w:val="10"/>
          <w:szCs w:val="10"/>
        </w:rPr>
        <w:instrText xml:space="preserve"> ADDIN ZOTERO_ITEM CSL_CITATION {"citationID":"BzWXSk7G","properties":{"unsorted":false,"formattedCitation":"(Jansen {\\i{}et al.}, 2024)","plainCitation":"(Jansen et al., 2024)","noteIndex":0},"citationItems":[{"id":482,"uris":["http://zotero.org/users/local/JBGcfLdO/items/JTIWRH8Q"],"itemData":{"id":482,"type":"article-journal","container-title":"Corporate Social Responsibility and Environmental Management","ISSN":"1535-3958","issue":"5","journalAbbreviation":"Corporate Social Responsibility and Environmental Management","page":"4398-4427","publisher":"Wiley Online Library","title":"Corporate social responsibility in controversial industries: A literature review and research agenda","volume":"31","author":[{"family":"Jansen","given":"Linda"},{"family":"Cunningham","given":"Peggy"},{"family":"Diehl","given":"Sandra"},{"family":"Terlutter","given":"Ralf"}],"issued":{"date-parts":[["2024"]]}}}],"schema":"https://github.com/citation-style-language/schema/raw/master/csl-citation.json"} </w:instrText>
      </w:r>
      <w:r w:rsidR="00B24C08" w:rsidRPr="00037AA4">
        <w:rPr>
          <w:rFonts w:ascii="Times New Roman" w:hAnsi="Times New Roman" w:cs="Times New Roman"/>
          <w:sz w:val="10"/>
          <w:szCs w:val="10"/>
        </w:rPr>
        <w:fldChar w:fldCharType="separate"/>
      </w:r>
      <w:r w:rsidR="00B24C08" w:rsidRPr="00037AA4">
        <w:rPr>
          <w:rFonts w:ascii="Times New Roman" w:hAnsi="Times New Roman" w:cs="Times New Roman"/>
          <w:kern w:val="0"/>
          <w:sz w:val="10"/>
          <w:szCs w:val="10"/>
        </w:rPr>
        <w:t xml:space="preserve">Jansen </w:t>
      </w:r>
      <w:r w:rsidR="00B24C08" w:rsidRPr="00037AA4">
        <w:rPr>
          <w:rFonts w:ascii="Times New Roman" w:hAnsi="Times New Roman" w:cs="Times New Roman"/>
          <w:i/>
          <w:iCs/>
          <w:kern w:val="0"/>
          <w:sz w:val="10"/>
          <w:szCs w:val="10"/>
        </w:rPr>
        <w:t>et al.</w:t>
      </w:r>
      <w:r w:rsidR="00B24C08" w:rsidRPr="00037AA4">
        <w:rPr>
          <w:rFonts w:ascii="Times New Roman" w:hAnsi="Times New Roman" w:cs="Times New Roman"/>
          <w:kern w:val="0"/>
          <w:sz w:val="10"/>
          <w:szCs w:val="10"/>
        </w:rPr>
        <w:t xml:space="preserve"> </w:t>
      </w:r>
      <w:r w:rsidR="00B24C08" w:rsidRPr="00037AA4">
        <w:rPr>
          <w:rFonts w:ascii="Times New Roman" w:hAnsi="Times New Roman" w:cs="Times New Roman" w:hint="eastAsia"/>
          <w:kern w:val="0"/>
          <w:sz w:val="10"/>
          <w:szCs w:val="10"/>
        </w:rPr>
        <w:t>(</w:t>
      </w:r>
      <w:r w:rsidR="00B24C08" w:rsidRPr="00037AA4">
        <w:rPr>
          <w:rFonts w:ascii="Times New Roman" w:hAnsi="Times New Roman" w:cs="Times New Roman"/>
          <w:kern w:val="0"/>
          <w:sz w:val="10"/>
          <w:szCs w:val="10"/>
        </w:rPr>
        <w:t>2024)</w:t>
      </w:r>
      <w:r w:rsidR="00B24C08"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 xml:space="preserve"> developed the CSR Pyramid, which includes economic, legal, ethical and philanthropic responsibilities. Economic responsibility remains important because organisations must remain profitable. However, businesses are also expected to operate legally, behave ethically and contribute positively to society.</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Unilever demonstrates strong CSR practices through sustainability programmes, environmental initiatives and social campaigns. The company promotes sustainable sourcing and invests in reducing waste and carbon emissions. These strategies strengthen corporate reputation and demonstrate organisational commitment to broader social responsibilities.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Sustainability has become increasingly important because climate change and environmental concerns strongly influence business environments. Organisations that fail to address sustainability risks may face reputational damage, legal pressure and declining customer trust. </w:t>
      </w:r>
      <w:r w:rsidR="00B24C08" w:rsidRPr="00037AA4">
        <w:rPr>
          <w:rFonts w:ascii="Times New Roman" w:hAnsi="Times New Roman" w:cs="Times New Roman" w:hint="eastAsia"/>
          <w:sz w:val="10"/>
          <w:szCs w:val="10"/>
        </w:rPr>
        <w:t>O</w:t>
      </w:r>
      <w:r w:rsidR="00A53B79" w:rsidRPr="00037AA4">
        <w:rPr>
          <w:rFonts w:ascii="Times New Roman" w:hAnsi="Times New Roman" w:cs="Times New Roman"/>
          <w:sz w:val="10"/>
          <w:szCs w:val="10"/>
        </w:rPr>
        <w:t>rganisations must adapt strategically to changing stakeholder expectations and environmental conditions</w:t>
      </w:r>
      <w:r w:rsidR="00B24C08" w:rsidRPr="00037AA4">
        <w:rPr>
          <w:rFonts w:ascii="Times New Roman" w:hAnsi="Times New Roman" w:cs="Times New Roman" w:hint="eastAsia"/>
          <w:sz w:val="10"/>
          <w:szCs w:val="10"/>
        </w:rPr>
        <w:t xml:space="preserve"> </w:t>
      </w:r>
      <w:r w:rsidR="00B24C08" w:rsidRPr="00037AA4">
        <w:rPr>
          <w:rFonts w:ascii="Times New Roman" w:hAnsi="Times New Roman" w:cs="Times New Roman"/>
          <w:sz w:val="10"/>
          <w:szCs w:val="10"/>
        </w:rPr>
        <w:fldChar w:fldCharType="begin"/>
      </w:r>
      <w:r w:rsidR="00B24C08" w:rsidRPr="00037AA4">
        <w:rPr>
          <w:rFonts w:ascii="Times New Roman" w:hAnsi="Times New Roman" w:cs="Times New Roman"/>
          <w:sz w:val="10"/>
          <w:szCs w:val="10"/>
        </w:rPr>
        <w:instrText xml:space="preserve"> ADDIN ZOTERO_ITEM CSL_CITATION {"citationID":"I0fChQBE","properties":{"unsorted":false,"formattedCitation":"(van de Wetering, Mikalef and Pateli, 2018)","plainCitation":"(van de Wetering, Mikalef and Pateli, 2018)","noteIndex":0},"citationItems":[{"id":470,"uris":["http://zotero.org/users/local/JBGcfLdO/items/G256VHNW"],"itemData":{"id":470,"type":"article-journal","container-title":"International Journal of IT/Business Alignment and Governance (IJITBAG)","issue":"1","journalAbbreviation":"International Journal of IT/Business Alignment and Governance (IJITBAG)","page":"1-20","publisher":"IGI Global Scientific Publishing","title":"Strategic alignment between IT flexibility and dynamic capabilities: An empirical investigation","volume":"9","author":[{"family":"Wetering","given":"Rogier","non-dropping-particle":"van de"},{"family":"Mikalef","given":"Patrick"},{"family":"Pateli","given":"Adamantia"}],"issued":{"date-parts":[["2018"]]}}}],"schema":"https://github.com/citation-style-language/schema/raw/master/csl-citation.json"} </w:instrText>
      </w:r>
      <w:r w:rsidR="00B24C08" w:rsidRPr="00037AA4">
        <w:rPr>
          <w:rFonts w:ascii="Times New Roman" w:hAnsi="Times New Roman" w:cs="Times New Roman"/>
          <w:sz w:val="10"/>
          <w:szCs w:val="10"/>
        </w:rPr>
        <w:fldChar w:fldCharType="separate"/>
      </w:r>
      <w:r w:rsidR="00B24C08" w:rsidRPr="00037AA4">
        <w:rPr>
          <w:rFonts w:ascii="Times New Roman" w:hAnsi="Times New Roman" w:cs="Times New Roman"/>
          <w:sz w:val="10"/>
          <w:szCs w:val="10"/>
        </w:rPr>
        <w:t xml:space="preserve">(van de Wetering, </w:t>
      </w:r>
      <w:proofErr w:type="spellStart"/>
      <w:r w:rsidR="00B24C08" w:rsidRPr="00037AA4">
        <w:rPr>
          <w:rFonts w:ascii="Times New Roman" w:hAnsi="Times New Roman" w:cs="Times New Roman"/>
          <w:sz w:val="10"/>
          <w:szCs w:val="10"/>
        </w:rPr>
        <w:t>Mikalef</w:t>
      </w:r>
      <w:proofErr w:type="spellEnd"/>
      <w:r w:rsidR="00B24C08" w:rsidRPr="00037AA4">
        <w:rPr>
          <w:rFonts w:ascii="Times New Roman" w:hAnsi="Times New Roman" w:cs="Times New Roman"/>
          <w:sz w:val="10"/>
          <w:szCs w:val="10"/>
        </w:rPr>
        <w:t xml:space="preserve"> and Pateli, 2018)</w:t>
      </w:r>
      <w:r w:rsidR="00B24C08"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Organisational culture also plays an important role in supporting sustainability and stakeholder value. </w:t>
      </w:r>
      <w:r w:rsidR="00B24C08" w:rsidRPr="00037AA4">
        <w:rPr>
          <w:rFonts w:ascii="Times New Roman" w:hAnsi="Times New Roman" w:cs="Times New Roman" w:hint="eastAsia"/>
          <w:sz w:val="10"/>
          <w:szCs w:val="10"/>
        </w:rPr>
        <w:t>O</w:t>
      </w:r>
      <w:r w:rsidR="00A53B79" w:rsidRPr="00037AA4">
        <w:rPr>
          <w:rFonts w:ascii="Times New Roman" w:hAnsi="Times New Roman" w:cs="Times New Roman"/>
          <w:sz w:val="10"/>
          <w:szCs w:val="10"/>
        </w:rPr>
        <w:t>rganisational culture strongly influences decision-making, leadership and employee behaviour</w:t>
      </w:r>
      <w:r w:rsidR="00B24C08" w:rsidRPr="00037AA4">
        <w:rPr>
          <w:rFonts w:ascii="Times New Roman" w:hAnsi="Times New Roman" w:cs="Times New Roman" w:hint="eastAsia"/>
          <w:sz w:val="10"/>
          <w:szCs w:val="10"/>
        </w:rPr>
        <w:t xml:space="preserve"> </w:t>
      </w:r>
      <w:r w:rsidR="00B24C08" w:rsidRPr="00037AA4">
        <w:rPr>
          <w:rFonts w:ascii="Times New Roman" w:hAnsi="Times New Roman" w:cs="Times New Roman"/>
          <w:sz w:val="10"/>
          <w:szCs w:val="10"/>
        </w:rPr>
        <w:fldChar w:fldCharType="begin"/>
      </w:r>
      <w:r w:rsidR="00B24C08" w:rsidRPr="00037AA4">
        <w:rPr>
          <w:rFonts w:ascii="Times New Roman" w:hAnsi="Times New Roman" w:cs="Times New Roman"/>
          <w:sz w:val="10"/>
          <w:szCs w:val="10"/>
        </w:rPr>
        <w:instrText xml:space="preserve"> ADDIN ZOTERO_ITEM CSL_CITATION {"citationID":"efW4heAK","properties":{"unsorted":false,"formattedCitation":"(Hattangadi, 2017)","plainCitation":"(Hattangadi, 2017)","noteIndex":0},"citationItems":[{"id":483,"uris":["http://zotero.org/users/local/JBGcfLdO/items/DHY7WHVD"],"itemData":{"id":483,"type":"article-journal","container-title":"Retrieved November","journalAbbreviation":"Retrieved November","page":"2018","title":"Edgar Schein’s three levels of organizational culture","volume":"15","author":[{"family":"Hattangadi","given":"Vidya"}],"issued":{"date-parts":[["2017"]]}}}],"schema":"https://github.com/citation-style-language/schema/raw/master/csl-citation.json"} </w:instrText>
      </w:r>
      <w:r w:rsidR="00B24C08" w:rsidRPr="00037AA4">
        <w:rPr>
          <w:rFonts w:ascii="Times New Roman" w:hAnsi="Times New Roman" w:cs="Times New Roman"/>
          <w:sz w:val="10"/>
          <w:szCs w:val="10"/>
        </w:rPr>
        <w:fldChar w:fldCharType="separate"/>
      </w:r>
      <w:r w:rsidR="00B24C08" w:rsidRPr="00037AA4">
        <w:rPr>
          <w:rFonts w:ascii="Times New Roman" w:hAnsi="Times New Roman" w:cs="Times New Roman"/>
          <w:sz w:val="10"/>
          <w:szCs w:val="10"/>
        </w:rPr>
        <w:t>(Hattangadi, 2017)</w:t>
      </w:r>
      <w:r w:rsidR="00B24C08"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 Organisations with strong ethical cultures are more likely to support sustainability and responsible business practices.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Unilever promotes a sustainability-oriented organisational culture focused on ethical leadership and long-term thinking. Employees are encouraged to consider environmental and social impacts alongside financial performance. This demonstrates how organisational culture can support strategic sustainability objectives and stakeholder relationships.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Despite the benefits of CSR and sustainability, organisations also face challenges when balancing stakeholder interests with profitability. Sustainability initiatives often require significant investment in technology, supply chains and environmental programmes. These costs may reduce short-term profitability and create pressure from shareholders expecting immediate financial returns.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In addition, stakeholder interests may conflict with each other. For example, investors may prioritise profitability while communities and environmental groups demand greater sustainability investment. Organisations therefore face difficult strategic decisions when balancing economic, social and environmental responsibilities.</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 xml:space="preserve">Another criticism is the risk of greenwashing, where organisations exaggerate sustainability claims to improve public image without making meaningful environmental improvements. Consumers increasingly expect genuine sustainability commitment rather than marketing-focused CSR campaigns. </w:t>
      </w:r>
      <w:r w:rsidR="00B24C08" w:rsidRPr="00037AA4">
        <w:rPr>
          <w:rFonts w:ascii="Times New Roman" w:hAnsi="Times New Roman" w:cs="Times New Roman" w:hint="eastAsia"/>
          <w:sz w:val="10"/>
          <w:szCs w:val="10"/>
        </w:rPr>
        <w:t>O</w:t>
      </w:r>
      <w:r w:rsidR="00A53B79" w:rsidRPr="00037AA4">
        <w:rPr>
          <w:rFonts w:ascii="Times New Roman" w:hAnsi="Times New Roman" w:cs="Times New Roman"/>
          <w:sz w:val="10"/>
          <w:szCs w:val="10"/>
        </w:rPr>
        <w:t>rganisations operate in highly complex environments where competing stakeholder demands create strategic tension and uncertainty</w:t>
      </w:r>
      <w:r w:rsidR="00B24C08" w:rsidRPr="00037AA4">
        <w:rPr>
          <w:rFonts w:ascii="Times New Roman" w:hAnsi="Times New Roman" w:cs="Times New Roman" w:hint="eastAsia"/>
          <w:sz w:val="10"/>
          <w:szCs w:val="10"/>
        </w:rPr>
        <w:t xml:space="preserve"> </w:t>
      </w:r>
      <w:r w:rsidR="00B24C08" w:rsidRPr="00037AA4">
        <w:rPr>
          <w:rFonts w:ascii="Times New Roman" w:hAnsi="Times New Roman" w:cs="Times New Roman"/>
          <w:sz w:val="10"/>
          <w:szCs w:val="10"/>
        </w:rPr>
        <w:fldChar w:fldCharType="begin"/>
      </w:r>
      <w:r w:rsidR="00B24C08" w:rsidRPr="00037AA4">
        <w:rPr>
          <w:rFonts w:ascii="Times New Roman" w:hAnsi="Times New Roman" w:cs="Times New Roman"/>
          <w:sz w:val="10"/>
          <w:szCs w:val="10"/>
        </w:rPr>
        <w:instrText xml:space="preserve"> ADDIN ZOTERO_ITEM CSL_CITATION {"citationID":"M4xEaRDn","properties":{"unsorted":false,"formattedCitation":"(Gandrita, 2023)","plainCitation":"(Gandrita, 2023)","noteIndex":0},"citationItems":[{"id":484,"uris":["http://zotero.org/users/local/JBGcfLdO/items/HU9NR99K"],"itemData":{"id":484,"type":"article-journal","container-title":"Administrative Sciences","ISSN":"2076-3387","issue":"10","journalAbbreviation":"Administrative Sciences","page":"211","publisher":"MDPI","title":"Improving strategic planning: The crucial role of enhancing relationships between management levels","volume":"13","author":[{"family":"Gandrita","given":"Daniel Mandel"}],"issued":{"date-parts":[["2023"]]}}}],"schema":"https://github.com/citation-style-language/schema/raw/master/csl-citation.json"} </w:instrText>
      </w:r>
      <w:r w:rsidR="00B24C08" w:rsidRPr="00037AA4">
        <w:rPr>
          <w:rFonts w:ascii="Times New Roman" w:hAnsi="Times New Roman" w:cs="Times New Roman"/>
          <w:sz w:val="10"/>
          <w:szCs w:val="10"/>
        </w:rPr>
        <w:fldChar w:fldCharType="separate"/>
      </w:r>
      <w:r w:rsidR="00B24C08" w:rsidRPr="00037AA4">
        <w:rPr>
          <w:rFonts w:ascii="Times New Roman" w:hAnsi="Times New Roman" w:cs="Times New Roman"/>
          <w:sz w:val="10"/>
          <w:szCs w:val="10"/>
        </w:rPr>
        <w:t>(</w:t>
      </w:r>
      <w:proofErr w:type="spellStart"/>
      <w:r w:rsidR="00B24C08" w:rsidRPr="00037AA4">
        <w:rPr>
          <w:rFonts w:ascii="Times New Roman" w:hAnsi="Times New Roman" w:cs="Times New Roman"/>
          <w:sz w:val="10"/>
          <w:szCs w:val="10"/>
        </w:rPr>
        <w:t>Gandrita</w:t>
      </w:r>
      <w:proofErr w:type="spellEnd"/>
      <w:r w:rsidR="00B24C08" w:rsidRPr="00037AA4">
        <w:rPr>
          <w:rFonts w:ascii="Times New Roman" w:hAnsi="Times New Roman" w:cs="Times New Roman"/>
          <w:sz w:val="10"/>
          <w:szCs w:val="10"/>
        </w:rPr>
        <w:t>, 2023)</w:t>
      </w:r>
      <w:r w:rsidR="00B24C08" w:rsidRPr="00037AA4">
        <w:rPr>
          <w:rFonts w:ascii="Times New Roman" w:hAnsi="Times New Roman" w:cs="Times New Roman"/>
          <w:sz w:val="10"/>
          <w:szCs w:val="10"/>
        </w:rPr>
        <w:fldChar w:fldCharType="end"/>
      </w:r>
      <w:r w:rsidR="00A53B79" w:rsidRPr="00037AA4">
        <w:rPr>
          <w:rFonts w:ascii="Times New Roman" w:hAnsi="Times New Roman" w:cs="Times New Roman"/>
          <w:sz w:val="10"/>
          <w:szCs w:val="10"/>
        </w:rPr>
        <w:t>.</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Nevertheless, businesses can no longer focus solely on financial return because modern societies increasingly expect organisations to contribute positively to social and environmental wellbeing. Long-term business success now depends not only on profitability but also on reputation, trust and stakeholder relationships. Sustainability and CSR may therefore strengthen competitive advantage by improving customer loyalty, employee motivation and investor confidence.</w:t>
      </w:r>
      <w:r w:rsidR="00F9363A" w:rsidRPr="00037AA4">
        <w:rPr>
          <w:rFonts w:ascii="Times New Roman" w:hAnsi="Times New Roman" w:cs="Times New Roman" w:hint="eastAsia"/>
          <w:sz w:val="10"/>
          <w:szCs w:val="10"/>
        </w:rPr>
        <w:t xml:space="preserve">  </w:t>
      </w:r>
      <w:r w:rsidR="00A53B79" w:rsidRPr="00037AA4">
        <w:rPr>
          <w:rFonts w:ascii="Times New Roman" w:hAnsi="Times New Roman" w:cs="Times New Roman"/>
          <w:sz w:val="10"/>
          <w:szCs w:val="10"/>
        </w:rPr>
        <w:t>In conclusion, businesses should increasingly focus on social responsibility, sustainability and stakeholder value rather than concentrating only on financial performance. Although profitability remains essential, organisations such as Unilever demonstrate that long-term success increasingly depends on ethical behaviour, sustainability and stakeholder management. Stakeholder theory and CSR provide important frameworks for understanding the wider role of business in society. However, balancing financial performance with social and environmental responsibilities remains a major strategic challenge for modern organisations.</w:t>
      </w:r>
    </w:p>
    <w:p w14:paraId="473A692E" w14:textId="238478D7" w:rsidR="0076365F" w:rsidRPr="00037AA4" w:rsidRDefault="0076365F" w:rsidP="00A53B79">
      <w:pPr>
        <w:spacing w:line="240" w:lineRule="atLeast"/>
        <w:rPr>
          <w:rFonts w:ascii="Times New Roman" w:hAnsi="Times New Roman" w:cs="Times New Roman"/>
          <w:sz w:val="10"/>
          <w:szCs w:val="10"/>
        </w:rPr>
      </w:pPr>
    </w:p>
    <w:p w14:paraId="7D78EF62" w14:textId="11978A90" w:rsidR="00A53B79" w:rsidRDefault="0076365F" w:rsidP="00037AA4">
      <w:pPr>
        <w:widowControl/>
        <w:jc w:val="left"/>
        <w:rPr>
          <w:rFonts w:ascii="Times New Roman" w:hAnsi="Times New Roman" w:cs="Times New Roman"/>
          <w:szCs w:val="21"/>
        </w:rPr>
      </w:pPr>
      <w:r>
        <w:rPr>
          <w:rFonts w:ascii="Times New Roman" w:hAnsi="Times New Roman" w:cs="Times New Roman"/>
          <w:szCs w:val="21"/>
        </w:rPr>
        <w:br w:type="page"/>
      </w:r>
      <w:r>
        <w:rPr>
          <w:rFonts w:ascii="Times New Roman" w:hAnsi="Times New Roman" w:cs="Times New Roman" w:hint="eastAsia"/>
          <w:szCs w:val="21"/>
        </w:rPr>
        <w:lastRenderedPageBreak/>
        <w:t>Reference</w:t>
      </w:r>
    </w:p>
    <w:p w14:paraId="0770EB93" w14:textId="77777777" w:rsidR="0076365F" w:rsidRPr="0076365F" w:rsidRDefault="0076365F" w:rsidP="00A53B79">
      <w:pPr>
        <w:spacing w:line="240" w:lineRule="atLeast"/>
        <w:rPr>
          <w:rFonts w:ascii="Times New Roman" w:hAnsi="Times New Roman" w:cs="Times New Roman"/>
          <w:szCs w:val="21"/>
        </w:rPr>
      </w:pPr>
    </w:p>
    <w:p w14:paraId="47D909C1"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szCs w:val="21"/>
        </w:rPr>
        <w:fldChar w:fldCharType="begin"/>
      </w:r>
      <w:r w:rsidRPr="0076365F">
        <w:rPr>
          <w:rFonts w:ascii="Times New Roman" w:hAnsi="Times New Roman" w:cs="Times New Roman"/>
          <w:szCs w:val="21"/>
        </w:rPr>
        <w:instrText xml:space="preserve"> ADDIN ZOTERO_BIBL {"uncited":[],"omitted":[],"custom":[]} CSL_BIBLIOGRAPHY </w:instrText>
      </w:r>
      <w:r w:rsidRPr="0076365F">
        <w:rPr>
          <w:rFonts w:ascii="Times New Roman" w:hAnsi="Times New Roman" w:cs="Times New Roman"/>
          <w:szCs w:val="21"/>
        </w:rPr>
        <w:fldChar w:fldCharType="separate"/>
      </w:r>
      <w:r w:rsidRPr="0076365F">
        <w:rPr>
          <w:rFonts w:ascii="Times New Roman" w:hAnsi="Times New Roman" w:cs="Times New Roman"/>
        </w:rPr>
        <w:t xml:space="preserve">Akbar, M.A. (2024) ‘Customer-centric strategies: Navigating the dynamics of marketing management for competitive advantage’, </w:t>
      </w:r>
      <w:r w:rsidRPr="0076365F">
        <w:rPr>
          <w:rFonts w:ascii="Times New Roman" w:hAnsi="Times New Roman" w:cs="Times New Roman"/>
          <w:i/>
          <w:iCs/>
        </w:rPr>
        <w:t>Advances in Business &amp; Industrial Marketing Research</w:t>
      </w:r>
      <w:r w:rsidRPr="0076365F">
        <w:rPr>
          <w:rFonts w:ascii="Times New Roman" w:hAnsi="Times New Roman" w:cs="Times New Roman"/>
        </w:rPr>
        <w:t>, 2(2), pp. 96–109.</w:t>
      </w:r>
    </w:p>
    <w:p w14:paraId="6C57FD14"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Arslan, O. and Can, E. (2025) ‘The effects of differentiation strategies on firm performance: the role of sustainable procurement policies in environmental uncertainty’, </w:t>
      </w:r>
      <w:r w:rsidRPr="0076365F">
        <w:rPr>
          <w:rFonts w:ascii="Times New Roman" w:hAnsi="Times New Roman" w:cs="Times New Roman"/>
          <w:i/>
          <w:iCs/>
        </w:rPr>
        <w:t>Journal of Strategy and Management</w:t>
      </w:r>
      <w:r w:rsidRPr="0076365F">
        <w:rPr>
          <w:rFonts w:ascii="Times New Roman" w:hAnsi="Times New Roman" w:cs="Times New Roman"/>
        </w:rPr>
        <w:t>, 18(3), pp. 657–676.</w:t>
      </w:r>
    </w:p>
    <w:p w14:paraId="0694E03B"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Asem, E., Fan, R. and Tian, G.Y. (2025) ‘ESG and the Cost of Capital: Insights from an AI-Assisted Systematic Literature Review’, </w:t>
      </w:r>
      <w:r w:rsidRPr="0076365F">
        <w:rPr>
          <w:rFonts w:ascii="Times New Roman" w:hAnsi="Times New Roman" w:cs="Times New Roman"/>
          <w:i/>
          <w:iCs/>
        </w:rPr>
        <w:t>arXiv preprint arXiv:2507.09020</w:t>
      </w:r>
      <w:r w:rsidRPr="0076365F">
        <w:rPr>
          <w:rFonts w:ascii="Times New Roman" w:hAnsi="Times New Roman" w:cs="Times New Roman"/>
        </w:rPr>
        <w:t xml:space="preserve"> [Preprint].</w:t>
      </w:r>
    </w:p>
    <w:p w14:paraId="186AE392"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Awa, H.O., Etim, W. and Ogbonda, E. (2024) ‘Stakeholders, stakeholder theory and corporate social responsibility (CSR)’, </w:t>
      </w:r>
      <w:r w:rsidRPr="0076365F">
        <w:rPr>
          <w:rFonts w:ascii="Times New Roman" w:hAnsi="Times New Roman" w:cs="Times New Roman"/>
          <w:i/>
          <w:iCs/>
        </w:rPr>
        <w:t>International Journal of Corporate Social Responsibility</w:t>
      </w:r>
      <w:r w:rsidRPr="0076365F">
        <w:rPr>
          <w:rFonts w:ascii="Times New Roman" w:hAnsi="Times New Roman" w:cs="Times New Roman"/>
        </w:rPr>
        <w:t>, 9(1), p. 11.</w:t>
      </w:r>
    </w:p>
    <w:p w14:paraId="57A90AFD"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Baird, K., Nuhu, N. and Jiao, L. (2024) ‘The effect of Porter’s competitive forces on competitive advantage and organisational performance and the moderating role of management accounting practices’, </w:t>
      </w:r>
      <w:r w:rsidRPr="0076365F">
        <w:rPr>
          <w:rFonts w:ascii="Times New Roman" w:hAnsi="Times New Roman" w:cs="Times New Roman"/>
          <w:i/>
          <w:iCs/>
        </w:rPr>
        <w:t>Journal of Management Control</w:t>
      </w:r>
      <w:r w:rsidRPr="0076365F">
        <w:rPr>
          <w:rFonts w:ascii="Times New Roman" w:hAnsi="Times New Roman" w:cs="Times New Roman"/>
        </w:rPr>
        <w:t>, 35(2), pp. 303–332.</w:t>
      </w:r>
    </w:p>
    <w:p w14:paraId="0B177989"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Cowling, M., Sclip, A. and Velliscig, G. (2025) ‘Can Small Firms Innovate Away From Competition?’, </w:t>
      </w:r>
      <w:r w:rsidRPr="0076365F">
        <w:rPr>
          <w:rFonts w:ascii="Times New Roman" w:hAnsi="Times New Roman" w:cs="Times New Roman"/>
          <w:i/>
          <w:iCs/>
        </w:rPr>
        <w:t>British Journal of Management</w:t>
      </w:r>
      <w:r w:rsidRPr="0076365F">
        <w:rPr>
          <w:rFonts w:ascii="Times New Roman" w:hAnsi="Times New Roman" w:cs="Times New Roman"/>
        </w:rPr>
        <w:t>, 36(4), pp. 1462–1477.</w:t>
      </w:r>
    </w:p>
    <w:p w14:paraId="1E9E2648"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De Peiris, N. (2026) ‘Sensemaking the external environment as strategic practice: evidence from a Global South organisation’, </w:t>
      </w:r>
      <w:r w:rsidRPr="0076365F">
        <w:rPr>
          <w:rFonts w:ascii="Times New Roman" w:hAnsi="Times New Roman" w:cs="Times New Roman"/>
          <w:i/>
          <w:iCs/>
        </w:rPr>
        <w:t>Journal of Strategy and Management</w:t>
      </w:r>
      <w:r w:rsidRPr="0076365F">
        <w:rPr>
          <w:rFonts w:ascii="Times New Roman" w:hAnsi="Times New Roman" w:cs="Times New Roman"/>
        </w:rPr>
        <w:t>, pp. 1–19.</w:t>
      </w:r>
    </w:p>
    <w:p w14:paraId="342F63C3"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Dirwan, D. and Latief, F. (2023) ‘Understanding the psychology behind consumer behavior’, </w:t>
      </w:r>
      <w:r w:rsidRPr="0076365F">
        <w:rPr>
          <w:rFonts w:ascii="Times New Roman" w:hAnsi="Times New Roman" w:cs="Times New Roman"/>
          <w:i/>
          <w:iCs/>
        </w:rPr>
        <w:t>Advances in Business &amp; Industrial Marketing Research</w:t>
      </w:r>
      <w:r w:rsidRPr="0076365F">
        <w:rPr>
          <w:rFonts w:ascii="Times New Roman" w:hAnsi="Times New Roman" w:cs="Times New Roman"/>
        </w:rPr>
        <w:t>, 1(3), pp. 130–145.</w:t>
      </w:r>
    </w:p>
    <w:p w14:paraId="1912EDE2"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Ferreira, A.P.P.F.S. and de Sá, M.M.B.P. (2024) ‘The importance of the Ansoff matrix for the study of the information services market’, </w:t>
      </w:r>
      <w:r w:rsidRPr="0076365F">
        <w:rPr>
          <w:rFonts w:ascii="Times New Roman" w:hAnsi="Times New Roman" w:cs="Times New Roman"/>
          <w:i/>
          <w:iCs/>
        </w:rPr>
        <w:t>The Canadian Journal of Information and Library Science</w:t>
      </w:r>
      <w:r w:rsidRPr="0076365F">
        <w:rPr>
          <w:rFonts w:ascii="Times New Roman" w:hAnsi="Times New Roman" w:cs="Times New Roman"/>
        </w:rPr>
        <w:t>, 47(2), pp. 78–84.</w:t>
      </w:r>
    </w:p>
    <w:p w14:paraId="063CB9DE"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Foss, N.J. and Mazzelli, A. (2025) ‘Bringing managers and management back into strategy: Interfaces and dynamic managerial capabilities’, </w:t>
      </w:r>
      <w:r w:rsidRPr="0076365F">
        <w:rPr>
          <w:rFonts w:ascii="Times New Roman" w:hAnsi="Times New Roman" w:cs="Times New Roman"/>
          <w:i/>
          <w:iCs/>
        </w:rPr>
        <w:t>Journal of Business Research</w:t>
      </w:r>
      <w:r w:rsidRPr="0076365F">
        <w:rPr>
          <w:rFonts w:ascii="Times New Roman" w:hAnsi="Times New Roman" w:cs="Times New Roman"/>
        </w:rPr>
        <w:t>, 186, p. 114947.</w:t>
      </w:r>
    </w:p>
    <w:p w14:paraId="62B3270E"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Gandrita, D.M. (2023) ‘Improving strategic planning: The crucial role of enhancing relationships between management levels’, </w:t>
      </w:r>
      <w:r w:rsidRPr="0076365F">
        <w:rPr>
          <w:rFonts w:ascii="Times New Roman" w:hAnsi="Times New Roman" w:cs="Times New Roman"/>
          <w:i/>
          <w:iCs/>
        </w:rPr>
        <w:t>Administrative Sciences</w:t>
      </w:r>
      <w:r w:rsidRPr="0076365F">
        <w:rPr>
          <w:rFonts w:ascii="Times New Roman" w:hAnsi="Times New Roman" w:cs="Times New Roman"/>
        </w:rPr>
        <w:t>, 13(10), p. 211.</w:t>
      </w:r>
    </w:p>
    <w:p w14:paraId="0DEE20C7"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Gibson, C.B., Gibson, S.C. and Webster, Q. (2021) ‘Expanding our resources: Including community in the resource-based view of the firm’, </w:t>
      </w:r>
      <w:r w:rsidRPr="0076365F">
        <w:rPr>
          <w:rFonts w:ascii="Times New Roman" w:hAnsi="Times New Roman" w:cs="Times New Roman"/>
          <w:i/>
          <w:iCs/>
        </w:rPr>
        <w:t>Journal of Management</w:t>
      </w:r>
      <w:r w:rsidRPr="0076365F">
        <w:rPr>
          <w:rFonts w:ascii="Times New Roman" w:hAnsi="Times New Roman" w:cs="Times New Roman"/>
        </w:rPr>
        <w:t>, 47(7), pp. 1878–1898.</w:t>
      </w:r>
    </w:p>
    <w:p w14:paraId="036C19DC"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Hattangadi, V. (2017) ‘Edgar Schein’s three levels of organizational culture’, </w:t>
      </w:r>
      <w:r w:rsidRPr="0076365F">
        <w:rPr>
          <w:rFonts w:ascii="Times New Roman" w:hAnsi="Times New Roman" w:cs="Times New Roman"/>
          <w:i/>
          <w:iCs/>
        </w:rPr>
        <w:t>Retrieved November</w:t>
      </w:r>
      <w:r w:rsidRPr="0076365F">
        <w:rPr>
          <w:rFonts w:ascii="Times New Roman" w:hAnsi="Times New Roman" w:cs="Times New Roman"/>
        </w:rPr>
        <w:t>, 15, p. 2018.</w:t>
      </w:r>
    </w:p>
    <w:p w14:paraId="6528BCCD"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Helfat, C.E. </w:t>
      </w:r>
      <w:r w:rsidRPr="0076365F">
        <w:rPr>
          <w:rFonts w:ascii="Times New Roman" w:hAnsi="Times New Roman" w:cs="Times New Roman"/>
          <w:i/>
          <w:iCs/>
        </w:rPr>
        <w:t>et al.</w:t>
      </w:r>
      <w:r w:rsidRPr="0076365F">
        <w:rPr>
          <w:rFonts w:ascii="Times New Roman" w:hAnsi="Times New Roman" w:cs="Times New Roman"/>
        </w:rPr>
        <w:t xml:space="preserve"> (2023) ‘Renewing the resource‐based view: New contexts, new concepts, and new methods’, </w:t>
      </w:r>
      <w:r w:rsidRPr="0076365F">
        <w:rPr>
          <w:rFonts w:ascii="Times New Roman" w:hAnsi="Times New Roman" w:cs="Times New Roman"/>
          <w:i/>
          <w:iCs/>
        </w:rPr>
        <w:t>Strategic Management Journal</w:t>
      </w:r>
      <w:r w:rsidRPr="0076365F">
        <w:rPr>
          <w:rFonts w:ascii="Times New Roman" w:hAnsi="Times New Roman" w:cs="Times New Roman"/>
        </w:rPr>
        <w:t>, 44(6), pp. 1357–1390.</w:t>
      </w:r>
    </w:p>
    <w:p w14:paraId="66DFE0EF"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lastRenderedPageBreak/>
        <w:t xml:space="preserve">Jansen, L. </w:t>
      </w:r>
      <w:r w:rsidRPr="0076365F">
        <w:rPr>
          <w:rFonts w:ascii="Times New Roman" w:hAnsi="Times New Roman" w:cs="Times New Roman"/>
          <w:i/>
          <w:iCs/>
        </w:rPr>
        <w:t>et al.</w:t>
      </w:r>
      <w:r w:rsidRPr="0076365F">
        <w:rPr>
          <w:rFonts w:ascii="Times New Roman" w:hAnsi="Times New Roman" w:cs="Times New Roman"/>
        </w:rPr>
        <w:t xml:space="preserve"> (2024) ‘Corporate social responsibility in controversial industries: A literature review and research agenda’, </w:t>
      </w:r>
      <w:r w:rsidRPr="0076365F">
        <w:rPr>
          <w:rFonts w:ascii="Times New Roman" w:hAnsi="Times New Roman" w:cs="Times New Roman"/>
          <w:i/>
          <w:iCs/>
        </w:rPr>
        <w:t>Corporate Social Responsibility and Environmental Management</w:t>
      </w:r>
      <w:r w:rsidRPr="0076365F">
        <w:rPr>
          <w:rFonts w:ascii="Times New Roman" w:hAnsi="Times New Roman" w:cs="Times New Roman"/>
        </w:rPr>
        <w:t>, 31(5), pp. 4398–4427.</w:t>
      </w:r>
    </w:p>
    <w:p w14:paraId="35C51035"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Jarzabkowski, P. </w:t>
      </w:r>
      <w:r w:rsidRPr="0076365F">
        <w:rPr>
          <w:rFonts w:ascii="Times New Roman" w:hAnsi="Times New Roman" w:cs="Times New Roman"/>
          <w:i/>
          <w:iCs/>
        </w:rPr>
        <w:t>et al.</w:t>
      </w:r>
      <w:r w:rsidRPr="0076365F">
        <w:rPr>
          <w:rFonts w:ascii="Times New Roman" w:hAnsi="Times New Roman" w:cs="Times New Roman"/>
        </w:rPr>
        <w:t xml:space="preserve"> (2025) ‘Two decades of revolutionizing strategy research: How strategy-as-practice illuminates the complex, dynamic and consequential ways of doing strategy’, </w:t>
      </w:r>
      <w:r w:rsidRPr="0076365F">
        <w:rPr>
          <w:rFonts w:ascii="Times New Roman" w:hAnsi="Times New Roman" w:cs="Times New Roman"/>
          <w:i/>
          <w:iCs/>
        </w:rPr>
        <w:t>Academy of Management Collections</w:t>
      </w:r>
      <w:r w:rsidRPr="0076365F">
        <w:rPr>
          <w:rFonts w:ascii="Times New Roman" w:hAnsi="Times New Roman" w:cs="Times New Roman"/>
        </w:rPr>
        <w:t>, 4(2), pp. 55–76.</w:t>
      </w:r>
    </w:p>
    <w:p w14:paraId="640BA3DC"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Karadzhov, V. (2025) ‘How to create the best SWOT analysis’, </w:t>
      </w:r>
      <w:r w:rsidRPr="0076365F">
        <w:rPr>
          <w:rFonts w:ascii="Times New Roman" w:hAnsi="Times New Roman" w:cs="Times New Roman"/>
          <w:i/>
          <w:iCs/>
        </w:rPr>
        <w:t>International Journal of Research and Review</w:t>
      </w:r>
      <w:r w:rsidRPr="0076365F">
        <w:rPr>
          <w:rFonts w:ascii="Times New Roman" w:hAnsi="Times New Roman" w:cs="Times New Roman"/>
        </w:rPr>
        <w:t>, 12(1), pp. 66–75.</w:t>
      </w:r>
    </w:p>
    <w:p w14:paraId="2D9A0A43"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Mailani, D. </w:t>
      </w:r>
      <w:r w:rsidRPr="0076365F">
        <w:rPr>
          <w:rFonts w:ascii="Times New Roman" w:hAnsi="Times New Roman" w:cs="Times New Roman"/>
          <w:i/>
          <w:iCs/>
        </w:rPr>
        <w:t>et al.</w:t>
      </w:r>
      <w:r w:rsidRPr="0076365F">
        <w:rPr>
          <w:rFonts w:ascii="Times New Roman" w:hAnsi="Times New Roman" w:cs="Times New Roman"/>
        </w:rPr>
        <w:t xml:space="preserve"> (2024) ‘Resource-based view theory to achieve a sustainable competitive advantage of the firm: Systematic literature review’, </w:t>
      </w:r>
      <w:r w:rsidRPr="0076365F">
        <w:rPr>
          <w:rFonts w:ascii="Times New Roman" w:hAnsi="Times New Roman" w:cs="Times New Roman"/>
          <w:i/>
          <w:iCs/>
        </w:rPr>
        <w:t>International Journal of Entrepreneurship and Sustainability Studies</w:t>
      </w:r>
      <w:r w:rsidRPr="0076365F">
        <w:rPr>
          <w:rFonts w:ascii="Times New Roman" w:hAnsi="Times New Roman" w:cs="Times New Roman"/>
        </w:rPr>
        <w:t>, 4(1), p. 1.</w:t>
      </w:r>
    </w:p>
    <w:p w14:paraId="09886FEE"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McCance, M. (2024) ‘Stakeholder: how Ed Freeman’s vision for responsible business moved from theory to reality. Darden report online’.</w:t>
      </w:r>
    </w:p>
    <w:p w14:paraId="523AAACB"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Mhaka, M. (2025) ‘Reassessing the Marketing Mix: Transitioning Towards a Customer-Centric Framework’.</w:t>
      </w:r>
    </w:p>
    <w:p w14:paraId="2FB70377"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Mugisha, J., Bayih, E. and Wang, Y. (2025) ‘The effects of CBBE on social media consumer engagement: A Quantitative Approach’.</w:t>
      </w:r>
    </w:p>
    <w:p w14:paraId="1B0CBE48"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Murcia, N.N., Ferreira, F.A. and Ferreira, J.J. (2022) ‘Enhancing strategic management using a “quantified VRIO”: Adding value with the MCDA approach’, </w:t>
      </w:r>
      <w:r w:rsidRPr="0076365F">
        <w:rPr>
          <w:rFonts w:ascii="Times New Roman" w:hAnsi="Times New Roman" w:cs="Times New Roman"/>
          <w:i/>
          <w:iCs/>
        </w:rPr>
        <w:t>Technological Forecasting and Social Change</w:t>
      </w:r>
      <w:r w:rsidRPr="0076365F">
        <w:rPr>
          <w:rFonts w:ascii="Times New Roman" w:hAnsi="Times New Roman" w:cs="Times New Roman"/>
        </w:rPr>
        <w:t>, 174, p. 121251.</w:t>
      </w:r>
    </w:p>
    <w:p w14:paraId="52EC7FA9"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Paksoy, T., Gunduz, M.A. and Demir, S. (2023) ‘Overall competitiveness efficiency: A quantitative approach to the five forces model’, </w:t>
      </w:r>
      <w:r w:rsidRPr="0076365F">
        <w:rPr>
          <w:rFonts w:ascii="Times New Roman" w:hAnsi="Times New Roman" w:cs="Times New Roman"/>
          <w:i/>
          <w:iCs/>
        </w:rPr>
        <w:t>Computers &amp; Industrial Engineering</w:t>
      </w:r>
      <w:r w:rsidRPr="0076365F">
        <w:rPr>
          <w:rFonts w:ascii="Times New Roman" w:hAnsi="Times New Roman" w:cs="Times New Roman"/>
        </w:rPr>
        <w:t>, 182, p. 109422.</w:t>
      </w:r>
    </w:p>
    <w:p w14:paraId="55EA5660"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Rusconi, G. and Menghwar, P.S. (2023) ‘Stakeholder theory as a link between ethics and business’, </w:t>
      </w:r>
      <w:r w:rsidRPr="0076365F">
        <w:rPr>
          <w:rFonts w:ascii="Times New Roman" w:hAnsi="Times New Roman" w:cs="Times New Roman"/>
          <w:i/>
          <w:iCs/>
        </w:rPr>
        <w:t>Freeman</w:t>
      </w:r>
      <w:r w:rsidRPr="0076365F">
        <w:rPr>
          <w:rFonts w:ascii="Times New Roman" w:hAnsi="Times New Roman" w:cs="Times New Roman"/>
        </w:rPr>
        <w:t>, p. 6.</w:t>
      </w:r>
    </w:p>
    <w:p w14:paraId="1A0094DE"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van de Wetering, R., Mikalef, P. and Pateli, A. (2018) ‘Strategic alignment between IT flexibility and dynamic capabilities: An empirical investigation’, </w:t>
      </w:r>
      <w:r w:rsidRPr="0076365F">
        <w:rPr>
          <w:rFonts w:ascii="Times New Roman" w:hAnsi="Times New Roman" w:cs="Times New Roman"/>
          <w:i/>
          <w:iCs/>
        </w:rPr>
        <w:t>International Journal of IT/Business Alignment and Governance (IJITBAG)</w:t>
      </w:r>
      <w:r w:rsidRPr="0076365F">
        <w:rPr>
          <w:rFonts w:ascii="Times New Roman" w:hAnsi="Times New Roman" w:cs="Times New Roman"/>
        </w:rPr>
        <w:t>, 9(1), pp. 1–20.</w:t>
      </w:r>
    </w:p>
    <w:p w14:paraId="235BC305"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Zhang, N., Ye, J. and Zhou, Q. (2025) ‘Building Knowledge-Based Competitive Advantage in Knowledge-Driven Economy: Systematic Literature Review’, </w:t>
      </w:r>
      <w:r w:rsidRPr="0076365F">
        <w:rPr>
          <w:rFonts w:ascii="Times New Roman" w:hAnsi="Times New Roman" w:cs="Times New Roman"/>
          <w:i/>
          <w:iCs/>
        </w:rPr>
        <w:t>Sustainability</w:t>
      </w:r>
      <w:r w:rsidRPr="0076365F">
        <w:rPr>
          <w:rFonts w:ascii="Times New Roman" w:hAnsi="Times New Roman" w:cs="Times New Roman"/>
        </w:rPr>
        <w:t>, 18(1), p. 234.</w:t>
      </w:r>
    </w:p>
    <w:p w14:paraId="12555D67" w14:textId="77777777" w:rsidR="0076365F" w:rsidRPr="0076365F" w:rsidRDefault="0076365F" w:rsidP="0076365F">
      <w:pPr>
        <w:pStyle w:val="af2"/>
        <w:rPr>
          <w:rFonts w:ascii="Times New Roman" w:hAnsi="Times New Roman" w:cs="Times New Roman"/>
        </w:rPr>
      </w:pPr>
      <w:r w:rsidRPr="0076365F">
        <w:rPr>
          <w:rFonts w:ascii="Times New Roman" w:hAnsi="Times New Roman" w:cs="Times New Roman"/>
        </w:rPr>
        <w:t xml:space="preserve">Zhang, X. </w:t>
      </w:r>
      <w:r w:rsidRPr="0076365F">
        <w:rPr>
          <w:rFonts w:ascii="Times New Roman" w:hAnsi="Times New Roman" w:cs="Times New Roman"/>
          <w:i/>
          <w:iCs/>
        </w:rPr>
        <w:t>et al.</w:t>
      </w:r>
      <w:r w:rsidRPr="0076365F">
        <w:rPr>
          <w:rFonts w:ascii="Times New Roman" w:hAnsi="Times New Roman" w:cs="Times New Roman"/>
        </w:rPr>
        <w:t xml:space="preserve"> (2023) ‘Open innovation and sustainable competitive advantage: The role of organizational learning’, </w:t>
      </w:r>
      <w:r w:rsidRPr="0076365F">
        <w:rPr>
          <w:rFonts w:ascii="Times New Roman" w:hAnsi="Times New Roman" w:cs="Times New Roman"/>
          <w:i/>
          <w:iCs/>
        </w:rPr>
        <w:t>Technological forecasting and social change</w:t>
      </w:r>
      <w:r w:rsidRPr="0076365F">
        <w:rPr>
          <w:rFonts w:ascii="Times New Roman" w:hAnsi="Times New Roman" w:cs="Times New Roman"/>
        </w:rPr>
        <w:t>, 186, p. 122114.</w:t>
      </w:r>
    </w:p>
    <w:p w14:paraId="2A3BEB24" w14:textId="5CB72AC5" w:rsidR="0076365F" w:rsidRPr="00CB3E29" w:rsidRDefault="0076365F" w:rsidP="00A53B79">
      <w:pPr>
        <w:spacing w:line="240" w:lineRule="atLeast"/>
        <w:rPr>
          <w:rFonts w:ascii="Times New Roman" w:hAnsi="Times New Roman" w:cs="Times New Roman"/>
          <w:szCs w:val="21"/>
        </w:rPr>
      </w:pPr>
      <w:r w:rsidRPr="0076365F">
        <w:rPr>
          <w:rFonts w:ascii="Times New Roman" w:hAnsi="Times New Roman" w:cs="Times New Roman"/>
          <w:szCs w:val="21"/>
        </w:rPr>
        <w:fldChar w:fldCharType="end"/>
      </w:r>
    </w:p>
    <w:sectPr w:rsidR="0076365F" w:rsidRPr="00CB3E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6C3B" w14:textId="77777777" w:rsidR="00DD0699" w:rsidRPr="0043607C" w:rsidRDefault="00DD0699" w:rsidP="0043607C">
      <w:r w:rsidRPr="0043607C">
        <w:separator/>
      </w:r>
    </w:p>
  </w:endnote>
  <w:endnote w:type="continuationSeparator" w:id="0">
    <w:p w14:paraId="4E7E2E1B" w14:textId="77777777" w:rsidR="00DD0699" w:rsidRPr="0043607C" w:rsidRDefault="00DD0699" w:rsidP="0043607C">
      <w:r w:rsidRPr="004360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A2F3E" w14:textId="77777777" w:rsidR="00DD0699" w:rsidRPr="0043607C" w:rsidRDefault="00DD0699" w:rsidP="0043607C">
      <w:r w:rsidRPr="0043607C">
        <w:separator/>
      </w:r>
    </w:p>
  </w:footnote>
  <w:footnote w:type="continuationSeparator" w:id="0">
    <w:p w14:paraId="0EB02E70" w14:textId="77777777" w:rsidR="00DD0699" w:rsidRPr="0043607C" w:rsidRDefault="00DD0699" w:rsidP="0043607C">
      <w:r w:rsidRPr="0043607C">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974"/>
    <w:rsid w:val="00037AA4"/>
    <w:rsid w:val="000D43D5"/>
    <w:rsid w:val="00225E66"/>
    <w:rsid w:val="002756CF"/>
    <w:rsid w:val="0029239F"/>
    <w:rsid w:val="002A4381"/>
    <w:rsid w:val="003476A6"/>
    <w:rsid w:val="0040476C"/>
    <w:rsid w:val="0043607C"/>
    <w:rsid w:val="00474877"/>
    <w:rsid w:val="004A6E3F"/>
    <w:rsid w:val="005655B6"/>
    <w:rsid w:val="00575587"/>
    <w:rsid w:val="006C449B"/>
    <w:rsid w:val="006D1995"/>
    <w:rsid w:val="007161B0"/>
    <w:rsid w:val="0076365F"/>
    <w:rsid w:val="007A12A6"/>
    <w:rsid w:val="007E7839"/>
    <w:rsid w:val="00904753"/>
    <w:rsid w:val="00936A6F"/>
    <w:rsid w:val="00A53B79"/>
    <w:rsid w:val="00B24C08"/>
    <w:rsid w:val="00B44AD8"/>
    <w:rsid w:val="00B46974"/>
    <w:rsid w:val="00C1793C"/>
    <w:rsid w:val="00CB3E29"/>
    <w:rsid w:val="00CF6014"/>
    <w:rsid w:val="00D97A06"/>
    <w:rsid w:val="00DD0699"/>
    <w:rsid w:val="00DE7334"/>
    <w:rsid w:val="00E70FFB"/>
    <w:rsid w:val="00F8560F"/>
    <w:rsid w:val="00F9363A"/>
    <w:rsid w:val="00FE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76AFB"/>
  <w15:chartTrackingRefBased/>
  <w15:docId w15:val="{8660AE16-105D-4BB0-81C5-6F1D1212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B4697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B4697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B4697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B4697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B46974"/>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B46974"/>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B4697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4697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4697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4697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B4697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B4697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B46974"/>
    <w:rPr>
      <w:rFonts w:cstheme="majorBidi"/>
      <w:color w:val="2F5496" w:themeColor="accent1" w:themeShade="BF"/>
      <w:sz w:val="28"/>
      <w:szCs w:val="28"/>
    </w:rPr>
  </w:style>
  <w:style w:type="character" w:customStyle="1" w:styleId="50">
    <w:name w:val="标题 5 字符"/>
    <w:basedOn w:val="a0"/>
    <w:link w:val="5"/>
    <w:uiPriority w:val="9"/>
    <w:semiHidden/>
    <w:rsid w:val="00B46974"/>
    <w:rPr>
      <w:rFonts w:cstheme="majorBidi"/>
      <w:color w:val="2F5496" w:themeColor="accent1" w:themeShade="BF"/>
      <w:sz w:val="24"/>
      <w:szCs w:val="24"/>
    </w:rPr>
  </w:style>
  <w:style w:type="character" w:customStyle="1" w:styleId="60">
    <w:name w:val="标题 6 字符"/>
    <w:basedOn w:val="a0"/>
    <w:link w:val="6"/>
    <w:uiPriority w:val="9"/>
    <w:semiHidden/>
    <w:rsid w:val="00B46974"/>
    <w:rPr>
      <w:rFonts w:cstheme="majorBidi"/>
      <w:b/>
      <w:bCs/>
      <w:color w:val="2F5496" w:themeColor="accent1" w:themeShade="BF"/>
    </w:rPr>
  </w:style>
  <w:style w:type="character" w:customStyle="1" w:styleId="70">
    <w:name w:val="标题 7 字符"/>
    <w:basedOn w:val="a0"/>
    <w:link w:val="7"/>
    <w:uiPriority w:val="9"/>
    <w:semiHidden/>
    <w:rsid w:val="00B46974"/>
    <w:rPr>
      <w:rFonts w:cstheme="majorBidi"/>
      <w:b/>
      <w:bCs/>
      <w:color w:val="595959" w:themeColor="text1" w:themeTint="A6"/>
    </w:rPr>
  </w:style>
  <w:style w:type="character" w:customStyle="1" w:styleId="80">
    <w:name w:val="标题 8 字符"/>
    <w:basedOn w:val="a0"/>
    <w:link w:val="8"/>
    <w:uiPriority w:val="9"/>
    <w:semiHidden/>
    <w:rsid w:val="00B46974"/>
    <w:rPr>
      <w:rFonts w:cstheme="majorBidi"/>
      <w:color w:val="595959" w:themeColor="text1" w:themeTint="A6"/>
    </w:rPr>
  </w:style>
  <w:style w:type="character" w:customStyle="1" w:styleId="90">
    <w:name w:val="标题 9 字符"/>
    <w:basedOn w:val="a0"/>
    <w:link w:val="9"/>
    <w:uiPriority w:val="9"/>
    <w:semiHidden/>
    <w:rsid w:val="00B46974"/>
    <w:rPr>
      <w:rFonts w:eastAsiaTheme="majorEastAsia" w:cstheme="majorBidi"/>
      <w:color w:val="595959" w:themeColor="text1" w:themeTint="A6"/>
    </w:rPr>
  </w:style>
  <w:style w:type="paragraph" w:styleId="a3">
    <w:name w:val="Title"/>
    <w:basedOn w:val="a"/>
    <w:next w:val="a"/>
    <w:link w:val="a4"/>
    <w:uiPriority w:val="10"/>
    <w:qFormat/>
    <w:rsid w:val="00B4697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4697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697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4697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46974"/>
    <w:pPr>
      <w:spacing w:before="160" w:after="160"/>
      <w:jc w:val="center"/>
    </w:pPr>
    <w:rPr>
      <w:i/>
      <w:iCs/>
      <w:color w:val="404040" w:themeColor="text1" w:themeTint="BF"/>
    </w:rPr>
  </w:style>
  <w:style w:type="character" w:customStyle="1" w:styleId="a8">
    <w:name w:val="引用 字符"/>
    <w:basedOn w:val="a0"/>
    <w:link w:val="a7"/>
    <w:uiPriority w:val="29"/>
    <w:rsid w:val="00B46974"/>
    <w:rPr>
      <w:i/>
      <w:iCs/>
      <w:color w:val="404040" w:themeColor="text1" w:themeTint="BF"/>
    </w:rPr>
  </w:style>
  <w:style w:type="paragraph" w:styleId="a9">
    <w:name w:val="List Paragraph"/>
    <w:basedOn w:val="a"/>
    <w:uiPriority w:val="34"/>
    <w:qFormat/>
    <w:rsid w:val="00B46974"/>
    <w:pPr>
      <w:ind w:left="720"/>
      <w:contextualSpacing/>
    </w:pPr>
  </w:style>
  <w:style w:type="character" w:styleId="aa">
    <w:name w:val="Intense Emphasis"/>
    <w:basedOn w:val="a0"/>
    <w:uiPriority w:val="21"/>
    <w:qFormat/>
    <w:rsid w:val="00B46974"/>
    <w:rPr>
      <w:i/>
      <w:iCs/>
      <w:color w:val="2F5496" w:themeColor="accent1" w:themeShade="BF"/>
    </w:rPr>
  </w:style>
  <w:style w:type="paragraph" w:styleId="ab">
    <w:name w:val="Intense Quote"/>
    <w:basedOn w:val="a"/>
    <w:next w:val="a"/>
    <w:link w:val="ac"/>
    <w:uiPriority w:val="30"/>
    <w:qFormat/>
    <w:rsid w:val="00B469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B46974"/>
    <w:rPr>
      <w:i/>
      <w:iCs/>
      <w:color w:val="2F5496" w:themeColor="accent1" w:themeShade="BF"/>
    </w:rPr>
  </w:style>
  <w:style w:type="character" w:styleId="ad">
    <w:name w:val="Intense Reference"/>
    <w:basedOn w:val="a0"/>
    <w:uiPriority w:val="32"/>
    <w:qFormat/>
    <w:rsid w:val="00B46974"/>
    <w:rPr>
      <w:b/>
      <w:bCs/>
      <w:smallCaps/>
      <w:color w:val="2F5496" w:themeColor="accent1" w:themeShade="BF"/>
      <w:spacing w:val="5"/>
    </w:rPr>
  </w:style>
  <w:style w:type="paragraph" w:styleId="ae">
    <w:name w:val="header"/>
    <w:basedOn w:val="a"/>
    <w:link w:val="af"/>
    <w:uiPriority w:val="99"/>
    <w:unhideWhenUsed/>
    <w:rsid w:val="0043607C"/>
    <w:pPr>
      <w:tabs>
        <w:tab w:val="center" w:pos="4153"/>
        <w:tab w:val="right" w:pos="8306"/>
      </w:tabs>
      <w:snapToGrid w:val="0"/>
      <w:jc w:val="center"/>
    </w:pPr>
    <w:rPr>
      <w:sz w:val="18"/>
      <w:szCs w:val="18"/>
    </w:rPr>
  </w:style>
  <w:style w:type="character" w:customStyle="1" w:styleId="af">
    <w:name w:val="页眉 字符"/>
    <w:basedOn w:val="a0"/>
    <w:link w:val="ae"/>
    <w:uiPriority w:val="99"/>
    <w:rsid w:val="0043607C"/>
    <w:rPr>
      <w:sz w:val="18"/>
      <w:szCs w:val="18"/>
    </w:rPr>
  </w:style>
  <w:style w:type="paragraph" w:styleId="af0">
    <w:name w:val="footer"/>
    <w:basedOn w:val="a"/>
    <w:link w:val="af1"/>
    <w:uiPriority w:val="99"/>
    <w:unhideWhenUsed/>
    <w:rsid w:val="0043607C"/>
    <w:pPr>
      <w:tabs>
        <w:tab w:val="center" w:pos="4153"/>
        <w:tab w:val="right" w:pos="8306"/>
      </w:tabs>
      <w:snapToGrid w:val="0"/>
      <w:jc w:val="left"/>
    </w:pPr>
    <w:rPr>
      <w:sz w:val="18"/>
      <w:szCs w:val="18"/>
    </w:rPr>
  </w:style>
  <w:style w:type="character" w:customStyle="1" w:styleId="af1">
    <w:name w:val="页脚 字符"/>
    <w:basedOn w:val="a0"/>
    <w:link w:val="af0"/>
    <w:uiPriority w:val="99"/>
    <w:rsid w:val="0043607C"/>
    <w:rPr>
      <w:sz w:val="18"/>
      <w:szCs w:val="18"/>
    </w:rPr>
  </w:style>
  <w:style w:type="paragraph" w:styleId="af2">
    <w:name w:val="Bibliography"/>
    <w:basedOn w:val="a"/>
    <w:next w:val="a"/>
    <w:uiPriority w:val="37"/>
    <w:unhideWhenUsed/>
    <w:rsid w:val="0076365F"/>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10141</Words>
  <Characters>57807</Characters>
  <Application>Microsoft Office Word</Application>
  <DocSecurity>0</DocSecurity>
  <Lines>481</Lines>
  <Paragraphs>135</Paragraphs>
  <ScaleCrop>false</ScaleCrop>
  <Company/>
  <LinksUpToDate>false</LinksUpToDate>
  <CharactersWithSpaces>67813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孟洋 蒋</dc:creator>
  <cp:keywords/>
  <dc:description/>
  <cp:lastModifiedBy>孟洋 蒋</cp:lastModifiedBy>
  <cp:revision>24</cp:revision>
  <dcterms:created xsi:type="dcterms:W3CDTF">2026-05-07T01:42:00Z</dcterms:created>
  <dcterms:modified xsi:type="dcterms:W3CDTF">2026-05-07T03:04:00Z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zotero-version="9.0.2"&gt;&lt;session id="OmVipyYR"/&gt;&lt;style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