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lang w:val="en-GB"/>
        </w:rPr>
        <w:id w:val="717472498"/>
        <w:docPartObj>
          <w:docPartGallery w:val="Cover Pages"/>
          <w:docPartUnique/>
        </w:docPartObj>
      </w:sdtPr>
      <w:sdtEndPr/>
      <w:sdtContent>
        <w:p w14:paraId="017199DD" w14:textId="1BC2A5DC" w:rsidR="00636BDA" w:rsidRDefault="00636BDA">
          <w:pPr>
            <w:pStyle w:val="a9"/>
          </w:pPr>
          <w:r>
            <w:rPr>
              <w:noProof/>
            </w:rPr>
            <mc:AlternateContent>
              <mc:Choice Requires="wpg">
                <w:drawing>
                  <wp:anchor distT="0" distB="0" distL="114300" distR="114300" simplePos="0" relativeHeight="251659264" behindDoc="1" locked="0" layoutInCell="1" allowOverlap="1" wp14:anchorId="7E285F7E" wp14:editId="6DE4508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A515082" w14:textId="2ECB4CE3" w:rsidR="00636BDA" w:rsidRDefault="00015DC1">
                                      <w:pPr>
                                        <w:pStyle w:val="a9"/>
                                        <w:jc w:val="right"/>
                                        <w:rPr>
                                          <w:color w:val="FFFFFF" w:themeColor="background1"/>
                                          <w:sz w:val="28"/>
                                          <w:szCs w:val="28"/>
                                        </w:rPr>
                                      </w:pPr>
                                      <w:r>
                                        <w:rPr>
                                          <w:color w:val="FFFFFF" w:themeColor="background1"/>
                                          <w:sz w:val="28"/>
                                          <w:szCs w:val="28"/>
                                        </w:rPr>
                                        <w:t>Assessment 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http://schemas.microsoft.com/office/word/2018/wordml" xmlns:w16cex="http://schemas.microsoft.com/office/word/2018/wordml/cex">
                <w:pict>
                  <v:group w14:anchorId="7E285F7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A515082" w14:textId="2ECB4CE3" w:rsidR="00636BDA" w:rsidRDefault="00015DC1">
                                <w:pPr>
                                  <w:pStyle w:val="NoSpacing"/>
                                  <w:jc w:val="right"/>
                                  <w:rPr>
                                    <w:color w:val="FFFFFF" w:themeColor="background1"/>
                                    <w:sz w:val="28"/>
                                    <w:szCs w:val="28"/>
                                  </w:rPr>
                                </w:pPr>
                                <w:r>
                                  <w:rPr>
                                    <w:color w:val="FFFFFF" w:themeColor="background1"/>
                                    <w:sz w:val="28"/>
                                    <w:szCs w:val="28"/>
                                  </w:rPr>
                                  <w:t>Assessment 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AF338C4" wp14:editId="0FD5A7A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AF3128" w14:textId="0AE2075F" w:rsidR="00636BDA" w:rsidRDefault="004D351C">
                                <w:pPr>
                                  <w:pStyle w:val="a9"/>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36BDA">
                                      <w:rPr>
                                        <w:color w:val="4472C4" w:themeColor="accent1"/>
                                        <w:sz w:val="26"/>
                                        <w:szCs w:val="26"/>
                                      </w:rPr>
                                      <w:t xml:space="preserve">Student </w:t>
                                    </w:r>
                                    <w:r w:rsidR="00AD2F11">
                                      <w:rPr>
                                        <w:color w:val="4472C4" w:themeColor="accent1"/>
                                        <w:sz w:val="26"/>
                                        <w:szCs w:val="26"/>
                                      </w:rPr>
                                      <w:t>ID 1916908</w:t>
                                    </w:r>
                                  </w:sdtContent>
                                </w:sdt>
                              </w:p>
                              <w:p w14:paraId="50FDC211" w14:textId="224F4D4E" w:rsidR="00636BDA" w:rsidRDefault="004D351C">
                                <w:pPr>
                                  <w:pStyle w:val="a9"/>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26EAB">
                                      <w:rPr>
                                        <w:caps/>
                                        <w:color w:val="595959" w:themeColor="text1" w:themeTint="A6"/>
                                        <w:sz w:val="20"/>
                                        <w:szCs w:val="20"/>
                                      </w:rPr>
                                      <w:t>STUDENT NAME:</w:t>
                                    </w:r>
                                  </w:sdtContent>
                                </w:sdt>
                                <w:r w:rsidR="00AD2F11">
                                  <w:rPr>
                                    <w:caps/>
                                    <w:color w:val="595959" w:themeColor="text1" w:themeTint="A6"/>
                                    <w:sz w:val="20"/>
                                    <w:szCs w:val="20"/>
                                  </w:rPr>
                                  <w:t xml:space="preserve"> DIANA VELIKOVA</w:t>
                                </w:r>
                                <w:bookmarkStart w:id="0" w:name="_GoBack"/>
                                <w:bookmarkEnd w:id="0"/>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F338C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9AF3128" w14:textId="0AE2075F" w:rsidR="00636BDA" w:rsidRDefault="004D351C">
                          <w:pPr>
                            <w:pStyle w:val="a9"/>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36BDA">
                                <w:rPr>
                                  <w:color w:val="4472C4" w:themeColor="accent1"/>
                                  <w:sz w:val="26"/>
                                  <w:szCs w:val="26"/>
                                </w:rPr>
                                <w:t xml:space="preserve">Student </w:t>
                              </w:r>
                              <w:r w:rsidR="00AD2F11">
                                <w:rPr>
                                  <w:color w:val="4472C4" w:themeColor="accent1"/>
                                  <w:sz w:val="26"/>
                                  <w:szCs w:val="26"/>
                                </w:rPr>
                                <w:t>ID 1916908</w:t>
                              </w:r>
                            </w:sdtContent>
                          </w:sdt>
                        </w:p>
                        <w:p w14:paraId="50FDC211" w14:textId="224F4D4E" w:rsidR="00636BDA" w:rsidRDefault="004D351C">
                          <w:pPr>
                            <w:pStyle w:val="a9"/>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26EAB">
                                <w:rPr>
                                  <w:caps/>
                                  <w:color w:val="595959" w:themeColor="text1" w:themeTint="A6"/>
                                  <w:sz w:val="20"/>
                                  <w:szCs w:val="20"/>
                                </w:rPr>
                                <w:t>STUDENT NAME:</w:t>
                              </w:r>
                            </w:sdtContent>
                          </w:sdt>
                          <w:r w:rsidR="00AD2F11">
                            <w:rPr>
                              <w:caps/>
                              <w:color w:val="595959" w:themeColor="text1" w:themeTint="A6"/>
                              <w:sz w:val="20"/>
                              <w:szCs w:val="20"/>
                            </w:rPr>
                            <w:t xml:space="preserve"> DIANA VELIKOVA</w:t>
                          </w:r>
                          <w:bookmarkStart w:id="1" w:name="_GoBack"/>
                          <w:bookmarkEnd w:id="1"/>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28E3DB1" wp14:editId="75E1585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51B354" w14:textId="098C1483" w:rsidR="00636BDA" w:rsidRDefault="004D351C" w:rsidP="00636BDA">
                                <w:pPr>
                                  <w:pStyle w:val="a9"/>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36BDA" w:rsidRPr="00636BDA">
                                      <w:rPr>
                                        <w:rFonts w:asciiTheme="majorHAnsi" w:eastAsiaTheme="majorEastAsia" w:hAnsiTheme="majorHAnsi" w:cstheme="majorBidi"/>
                                        <w:color w:val="262626" w:themeColor="text1" w:themeTint="D9"/>
                                        <w:sz w:val="72"/>
                                        <w:szCs w:val="72"/>
                                      </w:rPr>
                                      <w:t>LCBB4004</w:t>
                                    </w:r>
                                    <w:r w:rsidR="00636BDA">
                                      <w:rPr>
                                        <w:rFonts w:asciiTheme="majorHAnsi" w:eastAsiaTheme="majorEastAsia" w:hAnsiTheme="majorHAnsi" w:cstheme="majorBidi"/>
                                        <w:color w:val="262626" w:themeColor="text1" w:themeTint="D9"/>
                                        <w:sz w:val="72"/>
                                        <w:szCs w:val="72"/>
                                      </w:rPr>
                                      <w:t xml:space="preserve"> </w:t>
                                    </w:r>
                                    <w:r w:rsidR="00636BDA" w:rsidRPr="00636BDA">
                                      <w:rPr>
                                        <w:rFonts w:asciiTheme="majorHAnsi" w:eastAsiaTheme="majorEastAsia" w:hAnsiTheme="majorHAnsi" w:cstheme="majorBidi"/>
                                        <w:color w:val="262626" w:themeColor="text1" w:themeTint="D9"/>
                                        <w:sz w:val="72"/>
                                        <w:szCs w:val="72"/>
                                      </w:rPr>
                                      <w:t>MARKETING FUNDAMENTALS</w:t>
                                    </w:r>
                                  </w:sdtContent>
                                </w:sdt>
                              </w:p>
                              <w:p w14:paraId="21597FE6" w14:textId="7386E3C6" w:rsidR="00636BDA" w:rsidRDefault="004D351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26EAB">
                                      <w:rPr>
                                        <w:color w:val="404040" w:themeColor="text1" w:themeTint="BF"/>
                                        <w:sz w:val="36"/>
                                        <w:szCs w:val="36"/>
                                      </w:rPr>
                                      <w:t>Module Leader:</w:t>
                                    </w:r>
                                  </w:sdtContent>
                                </w:sdt>
                                <w:r w:rsidR="00636BDA" w:rsidRPr="00636BDA">
                                  <w:rPr>
                                    <w:color w:val="404040" w:themeColor="text1" w:themeTint="BF"/>
                                    <w:sz w:val="36"/>
                                    <w:szCs w:val="36"/>
                                  </w:rPr>
                                  <w:t>Tushara Balendran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http://schemas.microsoft.com/office/word/2018/wordml" xmlns:w16cex="http://schemas.microsoft.com/office/word/2018/wordml/cex">
                <w:pict>
                  <v:shape w14:anchorId="128E3DB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851B354" w14:textId="098C1483" w:rsidR="00636BDA" w:rsidRDefault="00AA007C" w:rsidP="00636BD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36BDA" w:rsidRPr="00636BDA">
                                <w:rPr>
                                  <w:rFonts w:asciiTheme="majorHAnsi" w:eastAsiaTheme="majorEastAsia" w:hAnsiTheme="majorHAnsi" w:cstheme="majorBidi"/>
                                  <w:color w:val="262626" w:themeColor="text1" w:themeTint="D9"/>
                                  <w:sz w:val="72"/>
                                  <w:szCs w:val="72"/>
                                </w:rPr>
                                <w:t>LCBB4004</w:t>
                              </w:r>
                              <w:r w:rsidR="00636BDA">
                                <w:rPr>
                                  <w:rFonts w:asciiTheme="majorHAnsi" w:eastAsiaTheme="majorEastAsia" w:hAnsiTheme="majorHAnsi" w:cstheme="majorBidi"/>
                                  <w:color w:val="262626" w:themeColor="text1" w:themeTint="D9"/>
                                  <w:sz w:val="72"/>
                                  <w:szCs w:val="72"/>
                                </w:rPr>
                                <w:t xml:space="preserve"> </w:t>
                              </w:r>
                              <w:r w:rsidR="00636BDA" w:rsidRPr="00636BDA">
                                <w:rPr>
                                  <w:rFonts w:asciiTheme="majorHAnsi" w:eastAsiaTheme="majorEastAsia" w:hAnsiTheme="majorHAnsi" w:cstheme="majorBidi"/>
                                  <w:color w:val="262626" w:themeColor="text1" w:themeTint="D9"/>
                                  <w:sz w:val="72"/>
                                  <w:szCs w:val="72"/>
                                </w:rPr>
                                <w:t>MARKETING FUNDAMENTALS</w:t>
                              </w:r>
                            </w:sdtContent>
                          </w:sdt>
                        </w:p>
                        <w:p w14:paraId="21597FE6" w14:textId="7386E3C6" w:rsidR="00636BDA" w:rsidRDefault="00AA007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26EAB">
                                <w:rPr>
                                  <w:color w:val="404040" w:themeColor="text1" w:themeTint="BF"/>
                                  <w:sz w:val="36"/>
                                  <w:szCs w:val="36"/>
                                </w:rPr>
                                <w:t>Module Leader:</w:t>
                              </w:r>
                            </w:sdtContent>
                          </w:sdt>
                          <w:r w:rsidR="00636BDA" w:rsidRPr="00636BDA">
                            <w:rPr>
                              <w:color w:val="404040" w:themeColor="text1" w:themeTint="BF"/>
                              <w:sz w:val="36"/>
                              <w:szCs w:val="36"/>
                            </w:rPr>
                            <w:t>Tushara Balendran</w:t>
                          </w:r>
                        </w:p>
                      </w:txbxContent>
                    </v:textbox>
                    <w10:wrap anchorx="page" anchory="page"/>
                  </v:shape>
                </w:pict>
              </mc:Fallback>
            </mc:AlternateContent>
          </w:r>
        </w:p>
        <w:p w14:paraId="394E7FE6" w14:textId="7EF58764" w:rsidR="00636BDA" w:rsidRDefault="00636BDA">
          <w:pPr>
            <w:spacing w:after="160" w:line="259" w:lineRule="auto"/>
          </w:pPr>
          <w:r>
            <w:br w:type="page"/>
          </w:r>
        </w:p>
      </w:sdtContent>
    </w:sdt>
    <w:sdt>
      <w:sdtPr>
        <w:rPr>
          <w:rFonts w:ascii="Arial" w:eastAsiaTheme="minorHAnsi" w:hAnsi="Arial" w:cstheme="minorBidi"/>
          <w:color w:val="auto"/>
          <w:sz w:val="22"/>
          <w:szCs w:val="22"/>
          <w:lang w:val="en-GB"/>
        </w:rPr>
        <w:id w:val="-1473434771"/>
        <w:docPartObj>
          <w:docPartGallery w:val="Table of Contents"/>
          <w:docPartUnique/>
        </w:docPartObj>
      </w:sdtPr>
      <w:sdtEndPr>
        <w:rPr>
          <w:b/>
          <w:bCs/>
          <w:noProof/>
        </w:rPr>
      </w:sdtEndPr>
      <w:sdtContent>
        <w:p w14:paraId="52F94B0C" w14:textId="68A6C38A" w:rsidR="0007685A" w:rsidRDefault="0007685A">
          <w:pPr>
            <w:pStyle w:val="ab"/>
          </w:pPr>
          <w:r>
            <w:t>Table of Contents</w:t>
          </w:r>
        </w:p>
        <w:p w14:paraId="3022562B" w14:textId="3650B10B" w:rsidR="0007685A" w:rsidRDefault="0007685A">
          <w:pPr>
            <w:pStyle w:val="1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8769266" w:history="1">
            <w:r w:rsidRPr="005E4F1D">
              <w:rPr>
                <w:rStyle w:val="ac"/>
                <w:noProof/>
              </w:rPr>
              <w:t>Introduction</w:t>
            </w:r>
            <w:r>
              <w:rPr>
                <w:noProof/>
                <w:webHidden/>
              </w:rPr>
              <w:tab/>
            </w:r>
            <w:r>
              <w:rPr>
                <w:noProof/>
                <w:webHidden/>
              </w:rPr>
              <w:fldChar w:fldCharType="begin"/>
            </w:r>
            <w:r>
              <w:rPr>
                <w:noProof/>
                <w:webHidden/>
              </w:rPr>
              <w:instrText xml:space="preserve"> PAGEREF _Toc48769266 \h </w:instrText>
            </w:r>
            <w:r>
              <w:rPr>
                <w:noProof/>
                <w:webHidden/>
              </w:rPr>
            </w:r>
            <w:r>
              <w:rPr>
                <w:noProof/>
                <w:webHidden/>
              </w:rPr>
              <w:fldChar w:fldCharType="separate"/>
            </w:r>
            <w:r>
              <w:rPr>
                <w:noProof/>
                <w:webHidden/>
              </w:rPr>
              <w:t>2</w:t>
            </w:r>
            <w:r>
              <w:rPr>
                <w:noProof/>
                <w:webHidden/>
              </w:rPr>
              <w:fldChar w:fldCharType="end"/>
            </w:r>
          </w:hyperlink>
        </w:p>
        <w:p w14:paraId="30508437" w14:textId="3BF5728E" w:rsidR="0007685A" w:rsidRDefault="004D351C">
          <w:pPr>
            <w:pStyle w:val="11"/>
            <w:tabs>
              <w:tab w:val="right" w:leader="dot" w:pos="9016"/>
            </w:tabs>
            <w:rPr>
              <w:rFonts w:asciiTheme="minorHAnsi" w:eastAsiaTheme="minorEastAsia" w:hAnsiTheme="minorHAnsi"/>
              <w:noProof/>
              <w:lang w:eastAsia="en-GB"/>
            </w:rPr>
          </w:pPr>
          <w:hyperlink w:anchor="_Toc48769267" w:history="1">
            <w:r w:rsidR="0007685A" w:rsidRPr="005E4F1D">
              <w:rPr>
                <w:rStyle w:val="ac"/>
                <w:noProof/>
              </w:rPr>
              <w:t>Creating Value through Marketing</w:t>
            </w:r>
            <w:r w:rsidR="0007685A">
              <w:rPr>
                <w:noProof/>
                <w:webHidden/>
              </w:rPr>
              <w:tab/>
            </w:r>
            <w:r w:rsidR="0007685A">
              <w:rPr>
                <w:noProof/>
                <w:webHidden/>
              </w:rPr>
              <w:fldChar w:fldCharType="begin"/>
            </w:r>
            <w:r w:rsidR="0007685A">
              <w:rPr>
                <w:noProof/>
                <w:webHidden/>
              </w:rPr>
              <w:instrText xml:space="preserve"> PAGEREF _Toc48769267 \h </w:instrText>
            </w:r>
            <w:r w:rsidR="0007685A">
              <w:rPr>
                <w:noProof/>
                <w:webHidden/>
              </w:rPr>
            </w:r>
            <w:r w:rsidR="0007685A">
              <w:rPr>
                <w:noProof/>
                <w:webHidden/>
              </w:rPr>
              <w:fldChar w:fldCharType="separate"/>
            </w:r>
            <w:r w:rsidR="0007685A">
              <w:rPr>
                <w:noProof/>
                <w:webHidden/>
              </w:rPr>
              <w:t>2</w:t>
            </w:r>
            <w:r w:rsidR="0007685A">
              <w:rPr>
                <w:noProof/>
                <w:webHidden/>
              </w:rPr>
              <w:fldChar w:fldCharType="end"/>
            </w:r>
          </w:hyperlink>
        </w:p>
        <w:p w14:paraId="1BED0E98" w14:textId="1F4C3DD6" w:rsidR="0007685A" w:rsidRDefault="004D351C">
          <w:pPr>
            <w:pStyle w:val="11"/>
            <w:tabs>
              <w:tab w:val="right" w:leader="dot" w:pos="9016"/>
            </w:tabs>
            <w:rPr>
              <w:rFonts w:asciiTheme="minorHAnsi" w:eastAsiaTheme="minorEastAsia" w:hAnsiTheme="minorHAnsi"/>
              <w:noProof/>
              <w:lang w:eastAsia="en-GB"/>
            </w:rPr>
          </w:pPr>
          <w:hyperlink w:anchor="_Toc48769268" w:history="1">
            <w:r w:rsidR="0007685A" w:rsidRPr="005E4F1D">
              <w:rPr>
                <w:rStyle w:val="ac"/>
                <w:noProof/>
              </w:rPr>
              <w:t>Stakeholder Engagement</w:t>
            </w:r>
            <w:r w:rsidR="0007685A">
              <w:rPr>
                <w:noProof/>
                <w:webHidden/>
              </w:rPr>
              <w:tab/>
            </w:r>
            <w:r w:rsidR="0007685A">
              <w:rPr>
                <w:noProof/>
                <w:webHidden/>
              </w:rPr>
              <w:fldChar w:fldCharType="begin"/>
            </w:r>
            <w:r w:rsidR="0007685A">
              <w:rPr>
                <w:noProof/>
                <w:webHidden/>
              </w:rPr>
              <w:instrText xml:space="preserve"> PAGEREF _Toc48769268 \h </w:instrText>
            </w:r>
            <w:r w:rsidR="0007685A">
              <w:rPr>
                <w:noProof/>
                <w:webHidden/>
              </w:rPr>
            </w:r>
            <w:r w:rsidR="0007685A">
              <w:rPr>
                <w:noProof/>
                <w:webHidden/>
              </w:rPr>
              <w:fldChar w:fldCharType="separate"/>
            </w:r>
            <w:r w:rsidR="0007685A">
              <w:rPr>
                <w:noProof/>
                <w:webHidden/>
              </w:rPr>
              <w:t>3</w:t>
            </w:r>
            <w:r w:rsidR="0007685A">
              <w:rPr>
                <w:noProof/>
                <w:webHidden/>
              </w:rPr>
              <w:fldChar w:fldCharType="end"/>
            </w:r>
          </w:hyperlink>
        </w:p>
        <w:p w14:paraId="7055A42C" w14:textId="416CE53B" w:rsidR="0007685A" w:rsidRDefault="004D351C">
          <w:pPr>
            <w:pStyle w:val="11"/>
            <w:tabs>
              <w:tab w:val="right" w:leader="dot" w:pos="9016"/>
            </w:tabs>
            <w:rPr>
              <w:rFonts w:asciiTheme="minorHAnsi" w:eastAsiaTheme="minorEastAsia" w:hAnsiTheme="minorHAnsi"/>
              <w:noProof/>
              <w:lang w:eastAsia="en-GB"/>
            </w:rPr>
          </w:pPr>
          <w:hyperlink w:anchor="_Toc48769269" w:history="1">
            <w:r w:rsidR="0007685A" w:rsidRPr="005E4F1D">
              <w:rPr>
                <w:rStyle w:val="ac"/>
                <w:noProof/>
              </w:rPr>
              <w:t>Creating Value and Stakeholder Engagement</w:t>
            </w:r>
            <w:r w:rsidR="0007685A">
              <w:rPr>
                <w:noProof/>
                <w:webHidden/>
              </w:rPr>
              <w:tab/>
            </w:r>
            <w:r w:rsidR="0007685A">
              <w:rPr>
                <w:noProof/>
                <w:webHidden/>
              </w:rPr>
              <w:fldChar w:fldCharType="begin"/>
            </w:r>
            <w:r w:rsidR="0007685A">
              <w:rPr>
                <w:noProof/>
                <w:webHidden/>
              </w:rPr>
              <w:instrText xml:space="preserve"> PAGEREF _Toc48769269 \h </w:instrText>
            </w:r>
            <w:r w:rsidR="0007685A">
              <w:rPr>
                <w:noProof/>
                <w:webHidden/>
              </w:rPr>
            </w:r>
            <w:r w:rsidR="0007685A">
              <w:rPr>
                <w:noProof/>
                <w:webHidden/>
              </w:rPr>
              <w:fldChar w:fldCharType="separate"/>
            </w:r>
            <w:r w:rsidR="0007685A">
              <w:rPr>
                <w:noProof/>
                <w:webHidden/>
              </w:rPr>
              <w:t>3</w:t>
            </w:r>
            <w:r w:rsidR="0007685A">
              <w:rPr>
                <w:noProof/>
                <w:webHidden/>
              </w:rPr>
              <w:fldChar w:fldCharType="end"/>
            </w:r>
          </w:hyperlink>
        </w:p>
        <w:p w14:paraId="20882CB7" w14:textId="3890BA33" w:rsidR="0007685A" w:rsidRDefault="004D351C">
          <w:pPr>
            <w:pStyle w:val="11"/>
            <w:tabs>
              <w:tab w:val="right" w:leader="dot" w:pos="9016"/>
            </w:tabs>
            <w:rPr>
              <w:rFonts w:asciiTheme="minorHAnsi" w:eastAsiaTheme="minorEastAsia" w:hAnsiTheme="minorHAnsi"/>
              <w:noProof/>
              <w:lang w:eastAsia="en-GB"/>
            </w:rPr>
          </w:pPr>
          <w:hyperlink w:anchor="_Toc48769270" w:history="1">
            <w:r w:rsidR="0007685A" w:rsidRPr="005E4F1D">
              <w:rPr>
                <w:rStyle w:val="ac"/>
                <w:noProof/>
              </w:rPr>
              <w:t>Evaluation of Zara Approach to Creating Value and Enhancing Stakeholder Engagement</w:t>
            </w:r>
            <w:r w:rsidR="0007685A">
              <w:rPr>
                <w:noProof/>
                <w:webHidden/>
              </w:rPr>
              <w:tab/>
            </w:r>
            <w:r w:rsidR="0007685A">
              <w:rPr>
                <w:noProof/>
                <w:webHidden/>
              </w:rPr>
              <w:fldChar w:fldCharType="begin"/>
            </w:r>
            <w:r w:rsidR="0007685A">
              <w:rPr>
                <w:noProof/>
                <w:webHidden/>
              </w:rPr>
              <w:instrText xml:space="preserve"> PAGEREF _Toc48769270 \h </w:instrText>
            </w:r>
            <w:r w:rsidR="0007685A">
              <w:rPr>
                <w:noProof/>
                <w:webHidden/>
              </w:rPr>
            </w:r>
            <w:r w:rsidR="0007685A">
              <w:rPr>
                <w:noProof/>
                <w:webHidden/>
              </w:rPr>
              <w:fldChar w:fldCharType="separate"/>
            </w:r>
            <w:r w:rsidR="0007685A">
              <w:rPr>
                <w:noProof/>
                <w:webHidden/>
              </w:rPr>
              <w:t>5</w:t>
            </w:r>
            <w:r w:rsidR="0007685A">
              <w:rPr>
                <w:noProof/>
                <w:webHidden/>
              </w:rPr>
              <w:fldChar w:fldCharType="end"/>
            </w:r>
          </w:hyperlink>
        </w:p>
        <w:p w14:paraId="23281E5B" w14:textId="5B2D183B" w:rsidR="0007685A" w:rsidRDefault="004D351C">
          <w:pPr>
            <w:pStyle w:val="11"/>
            <w:tabs>
              <w:tab w:val="right" w:leader="dot" w:pos="9016"/>
            </w:tabs>
            <w:rPr>
              <w:rFonts w:asciiTheme="minorHAnsi" w:eastAsiaTheme="minorEastAsia" w:hAnsiTheme="minorHAnsi"/>
              <w:noProof/>
              <w:lang w:eastAsia="en-GB"/>
            </w:rPr>
          </w:pPr>
          <w:hyperlink w:anchor="_Toc48769271" w:history="1">
            <w:r w:rsidR="0007685A" w:rsidRPr="005E4F1D">
              <w:rPr>
                <w:rStyle w:val="ac"/>
                <w:noProof/>
              </w:rPr>
              <w:t>Conclusion</w:t>
            </w:r>
            <w:r w:rsidR="0007685A">
              <w:rPr>
                <w:noProof/>
                <w:webHidden/>
              </w:rPr>
              <w:tab/>
            </w:r>
            <w:r w:rsidR="0007685A">
              <w:rPr>
                <w:noProof/>
                <w:webHidden/>
              </w:rPr>
              <w:fldChar w:fldCharType="begin"/>
            </w:r>
            <w:r w:rsidR="0007685A">
              <w:rPr>
                <w:noProof/>
                <w:webHidden/>
              </w:rPr>
              <w:instrText xml:space="preserve"> PAGEREF _Toc48769271 \h </w:instrText>
            </w:r>
            <w:r w:rsidR="0007685A">
              <w:rPr>
                <w:noProof/>
                <w:webHidden/>
              </w:rPr>
            </w:r>
            <w:r w:rsidR="0007685A">
              <w:rPr>
                <w:noProof/>
                <w:webHidden/>
              </w:rPr>
              <w:fldChar w:fldCharType="separate"/>
            </w:r>
            <w:r w:rsidR="0007685A">
              <w:rPr>
                <w:noProof/>
                <w:webHidden/>
              </w:rPr>
              <w:t>6</w:t>
            </w:r>
            <w:r w:rsidR="0007685A">
              <w:rPr>
                <w:noProof/>
                <w:webHidden/>
              </w:rPr>
              <w:fldChar w:fldCharType="end"/>
            </w:r>
          </w:hyperlink>
        </w:p>
        <w:p w14:paraId="55215389" w14:textId="2B74506B" w:rsidR="0007685A" w:rsidRDefault="004D351C">
          <w:pPr>
            <w:pStyle w:val="11"/>
            <w:tabs>
              <w:tab w:val="right" w:leader="dot" w:pos="9016"/>
            </w:tabs>
            <w:rPr>
              <w:rFonts w:asciiTheme="minorHAnsi" w:eastAsiaTheme="minorEastAsia" w:hAnsiTheme="minorHAnsi"/>
              <w:noProof/>
              <w:lang w:eastAsia="en-GB"/>
            </w:rPr>
          </w:pPr>
          <w:hyperlink w:anchor="_Toc48769272" w:history="1">
            <w:r w:rsidR="0007685A" w:rsidRPr="005E4F1D">
              <w:rPr>
                <w:rStyle w:val="ac"/>
                <w:noProof/>
              </w:rPr>
              <w:t>Reference List</w:t>
            </w:r>
            <w:r w:rsidR="0007685A">
              <w:rPr>
                <w:noProof/>
                <w:webHidden/>
              </w:rPr>
              <w:tab/>
            </w:r>
            <w:r w:rsidR="0007685A">
              <w:rPr>
                <w:noProof/>
                <w:webHidden/>
              </w:rPr>
              <w:fldChar w:fldCharType="begin"/>
            </w:r>
            <w:r w:rsidR="0007685A">
              <w:rPr>
                <w:noProof/>
                <w:webHidden/>
              </w:rPr>
              <w:instrText xml:space="preserve"> PAGEREF _Toc48769272 \h </w:instrText>
            </w:r>
            <w:r w:rsidR="0007685A">
              <w:rPr>
                <w:noProof/>
                <w:webHidden/>
              </w:rPr>
            </w:r>
            <w:r w:rsidR="0007685A">
              <w:rPr>
                <w:noProof/>
                <w:webHidden/>
              </w:rPr>
              <w:fldChar w:fldCharType="separate"/>
            </w:r>
            <w:r w:rsidR="0007685A">
              <w:rPr>
                <w:noProof/>
                <w:webHidden/>
              </w:rPr>
              <w:t>7</w:t>
            </w:r>
            <w:r w:rsidR="0007685A">
              <w:rPr>
                <w:noProof/>
                <w:webHidden/>
              </w:rPr>
              <w:fldChar w:fldCharType="end"/>
            </w:r>
          </w:hyperlink>
        </w:p>
        <w:p w14:paraId="40C0EFD7" w14:textId="283DDF28" w:rsidR="0007685A" w:rsidRDefault="0007685A">
          <w:r>
            <w:rPr>
              <w:b/>
              <w:bCs/>
              <w:noProof/>
            </w:rPr>
            <w:fldChar w:fldCharType="end"/>
          </w:r>
        </w:p>
      </w:sdtContent>
    </w:sdt>
    <w:p w14:paraId="358B0B77" w14:textId="77777777" w:rsidR="00844443" w:rsidRDefault="00844443"/>
    <w:p w14:paraId="2B9C998D" w14:textId="31BB795C" w:rsidR="00BE1641" w:rsidRDefault="00BE1641"/>
    <w:p w14:paraId="002B8EAD" w14:textId="220D2491" w:rsidR="00BE1641" w:rsidRDefault="00BE1641"/>
    <w:p w14:paraId="6D409E79" w14:textId="630C8157" w:rsidR="00BE1641" w:rsidRDefault="00BE1641"/>
    <w:p w14:paraId="71CACA55" w14:textId="0BC11605" w:rsidR="00BE1641" w:rsidRDefault="00BE1641"/>
    <w:p w14:paraId="09766A1A" w14:textId="1ED12856" w:rsidR="00BE1641" w:rsidRDefault="00BE1641"/>
    <w:p w14:paraId="59052A41" w14:textId="3632F69A" w:rsidR="00BE1641" w:rsidRDefault="00BE1641"/>
    <w:p w14:paraId="5C2B3681" w14:textId="0541F925" w:rsidR="00BE1641" w:rsidRDefault="00BE1641"/>
    <w:p w14:paraId="4EFFBBB6" w14:textId="77777777" w:rsidR="00931F05" w:rsidRDefault="00931F05"/>
    <w:p w14:paraId="4C9FF9BE" w14:textId="303CC4F1" w:rsidR="00BE1641" w:rsidRDefault="00BE1641"/>
    <w:p w14:paraId="265C2B77" w14:textId="38FC4CDF" w:rsidR="00BE1641" w:rsidRDefault="00BE1641"/>
    <w:p w14:paraId="421DDC48" w14:textId="0E9884C2" w:rsidR="00BE1641" w:rsidRDefault="00BE1641"/>
    <w:p w14:paraId="0C29CEB6" w14:textId="3AEBD37D" w:rsidR="00BE1641" w:rsidRDefault="00BE1641"/>
    <w:p w14:paraId="770433F1" w14:textId="6D8563F5" w:rsidR="00BE1641" w:rsidRDefault="00BE1641"/>
    <w:p w14:paraId="3158952E" w14:textId="2E5FE432" w:rsidR="007D06FB" w:rsidRDefault="007D06FB"/>
    <w:p w14:paraId="2FC22DE1" w14:textId="4766D0CD" w:rsidR="007D06FB" w:rsidRDefault="007D06FB"/>
    <w:p w14:paraId="4E652DED" w14:textId="1A9FB4B1" w:rsidR="007D06FB" w:rsidRDefault="007D06FB"/>
    <w:p w14:paraId="51B98D66" w14:textId="56725021" w:rsidR="007D06FB" w:rsidRDefault="007D06FB"/>
    <w:p w14:paraId="7A78F48D" w14:textId="77777777" w:rsidR="007D06FB" w:rsidRDefault="007D06FB"/>
    <w:p w14:paraId="609E2223" w14:textId="2D907241" w:rsidR="00BE1641" w:rsidRDefault="00BE1641"/>
    <w:p w14:paraId="197C03C7" w14:textId="6E9E5627" w:rsidR="00BE1641" w:rsidRDefault="00BE1641" w:rsidP="00BE1641">
      <w:pPr>
        <w:pStyle w:val="1"/>
      </w:pPr>
      <w:bookmarkStart w:id="2" w:name="_Toc48769266"/>
      <w:r>
        <w:lastRenderedPageBreak/>
        <w:t>Introduction</w:t>
      </w:r>
      <w:bookmarkEnd w:id="2"/>
    </w:p>
    <w:p w14:paraId="4C9DEE76" w14:textId="77777777" w:rsidR="0007685A" w:rsidRDefault="0007685A" w:rsidP="0007685A">
      <w:r>
        <w:t>Buyers' demands are changing rapidly, and the entry into the advancement of data and correspondence is gracefully changing the chain in a system of associations. Nowadays, most organizations are evolving because of customer data through style magazines, design shows, websites, internet-based living and discussions. Buyers are constantly discussing the latest forms and strive to have a new range of style designers. In any case, these results of the style creators are too broad for most buyers. Zara does it another way. Zara divides its market into many customers who share an equivalent or comparative arrangement of requirements and needs, who are customers who know about design. Instead of asking customers what they need, Zara goes to broadcast shows or meet with initiators to choose where a model is. Subsequently recognizing a promising style, Zara just walks vigorously.</w:t>
      </w:r>
    </w:p>
    <w:p w14:paraId="0622AA63" w14:textId="55FC3213" w:rsidR="00015DC1" w:rsidRDefault="0007685A" w:rsidP="0007685A">
      <w:r>
        <w:t>Advertising is significant based on the fact that it considers the target group of interests and inspires enthusiasm for your contributions (Hanson, and Kalyanam, 2014). Each approach is an essential technique for partner engagement, but more appropriate for specific types of partners. Exchange links are one-way and rely on partners who choose to access the data. The opposite end of the pyramid association's engagement approach gives shared responsibility, dynamic, collaborative learning and activities. The table below presents each approach.</w:t>
      </w:r>
    </w:p>
    <w:p w14:paraId="29BB9899" w14:textId="75CB2F7E" w:rsidR="00015DC1" w:rsidRDefault="00015DC1" w:rsidP="00015DC1">
      <w:pPr>
        <w:pStyle w:val="1"/>
      </w:pPr>
      <w:bookmarkStart w:id="3" w:name="_Toc48769267"/>
      <w:r>
        <w:t>Creating Value through Marketing</w:t>
      </w:r>
      <w:bookmarkEnd w:id="3"/>
    </w:p>
    <w:p w14:paraId="58260546" w14:textId="77777777" w:rsidR="0007685A" w:rsidRDefault="00015DC1" w:rsidP="0007685A">
      <w:r>
        <w:t xml:space="preserve">One vital role of marketing is to create value for a product or service. This can be done by </w:t>
      </w:r>
      <w:r w:rsidR="0007685A">
        <w:t>An indispensable job of advertising is to create an incentive for an item or administration. This should be possible by providing data before writing an item or proceeding with an advertising message once something is ready to move (MacKay, 2011). There are several different ways this is practised:</w:t>
      </w:r>
    </w:p>
    <w:p w14:paraId="45A5281E" w14:textId="77777777" w:rsidR="0007685A" w:rsidRDefault="0007685A" w:rsidP="0007685A">
      <w:r>
        <w:t>Education - Marketing Correspondence Center to clarify what another item involves and how it will be valuable to the customer.</w:t>
      </w:r>
    </w:p>
    <w:p w14:paraId="6C00F0FF" w14:textId="77777777" w:rsidR="0007685A" w:rsidRDefault="0007685A" w:rsidP="0007685A">
      <w:r>
        <w:t>Necessity - While the realities surrounding the item are significant, advertisers must also enable the buyer to understand why they need the new item. For example, you know that there are numerous phones available and buyers have different options. Your main responsibility is to allow customers to "accept", they must have an iPhone on the grounds that it meets their requirements. You can advertise the size of the phone and how it fits effectively in their understanding, modern plan and how it will look beautiful when used and the faster processor, which allows the customer to achieve more in less time. Each of these components can make a requirement to the customer (Heizer et al., 2016).</w:t>
      </w:r>
    </w:p>
    <w:p w14:paraId="0EE9F67A" w14:textId="7B2A4844" w:rsidR="00015DC1" w:rsidRPr="00015DC1" w:rsidRDefault="0007685A" w:rsidP="0007685A">
      <w:r>
        <w:t>Arriving in the target market - Marketers need to understand their objective market, the people who are about to buy the product or the administration. There are many components to look at when arriving in the objective market, including their age groups, pay levels, area, instruction level, and various variables that identify potential customers. When advertisers find out who their potential customer is, they can send messages that intrigue those customers and find messages where they will see them.</w:t>
      </w:r>
    </w:p>
    <w:p w14:paraId="5C564595" w14:textId="69DE7339" w:rsidR="00015DC1" w:rsidRDefault="00015DC1" w:rsidP="00015DC1">
      <w:pPr>
        <w:pStyle w:val="1"/>
      </w:pPr>
      <w:bookmarkStart w:id="4" w:name="_Toc48769268"/>
      <w:r>
        <w:lastRenderedPageBreak/>
        <w:t>Stakeholder Engagement</w:t>
      </w:r>
      <w:bookmarkEnd w:id="4"/>
    </w:p>
    <w:p w14:paraId="2E780826" w14:textId="77777777" w:rsidR="0007685A" w:rsidRDefault="0007685A" w:rsidP="00015DC1">
      <w:r w:rsidRPr="0007685A">
        <w:t>Partner engagement is the process by which an association includes individuals who may be influenced by the choices it makes or may influence the use of its choices. They can strengthen or limit choices, be persuasive in the association or in the network where it operates, occupy applicable positions of authority, or be influenced over long distances. Partner engagement is a key element of corporate social debt (CSR) and the implementation of triple basic care. Organizations connect with their partners in discourse to find out which social and environmental issues are most important to them and involve partners in the dynamic procedure (Russel, 2018).</w:t>
      </w:r>
    </w:p>
    <w:p w14:paraId="3AFFE2D7" w14:textId="77777777" w:rsidR="0007685A" w:rsidRDefault="0007685A" w:rsidP="0007685A">
      <w:r>
        <w:t>As pointed out by Harrison (2014), partnership engagement is used by developed associations of private and open, especially when they need to build understanding and understanding around arrangements on complex issues and huge activities.</w:t>
      </w:r>
    </w:p>
    <w:p w14:paraId="05AE31F1" w14:textId="77777777" w:rsidR="0007685A" w:rsidRDefault="0007685A" w:rsidP="0007685A">
      <w:r>
        <w:t>There is no uncertainty that the Inditex Group has affected the style retailer industry, and this group of organizations is considered one of the innovators in this industry. In light of this, the purpose of the paper is twofold: the first is to explore the different levels of network engagement achieved by the Inditex group through internet-based living, and the second is to break down the main attributes that cause online support to come by focusing on online the commitment that inspires criticism. For this reason, the Facebook pages of the eight brands of this group were viewed. The results show that with respect to the retailer industry, network traffic does not actually involve more significant levels of partner engagement (Lee, 2015). In addition, topics should focus on new assortments and instructional exercises or tips on excellence and design to connect with partners on remarks. Similarly, the substance should be introduced using different organizations so as to obtain general and binding data. Finally, paying little attention to the objective fragment, distributions should be made during the week and outside working hours.</w:t>
      </w:r>
    </w:p>
    <w:p w14:paraId="06BEAA3E" w14:textId="77777777" w:rsidR="0007685A" w:rsidRDefault="0007685A" w:rsidP="0007685A">
      <w:r>
        <w:t>A hidden rule for partner engagement is that partners are given the opportunity to influence the dynamic procedure. A key part of this is the administration of many stakeholders. This separates the partner's commitment from the exchange forms that want to give a message or impact events to agree with the choice that has been made at the moment.</w:t>
      </w:r>
    </w:p>
    <w:p w14:paraId="0356577B" w14:textId="5B95CF22" w:rsidR="00015DC1" w:rsidRPr="00015DC1" w:rsidRDefault="0007685A" w:rsidP="0007685A">
      <w:r>
        <w:t>The commitment of the partners provides a chance to further adapt strategic policies to cultural requirements and aspirations, helping to move long distances and respect investors. The commitment of the partners is expected to support the professionals and their association, to oppose the undeniably mind-boggling and constantly changing business conditions, while achieving a fundamental change towards a feasible turn of events. The idea of ​​an engagement of accounting partners is significant and strongly related to the idea of ​​materiality. The basic rules for the readiness of non-budgetary summaries emphasize the central role of the partner association in this procedure (materiality investigation).</w:t>
      </w:r>
    </w:p>
    <w:p w14:paraId="2B31A979" w14:textId="77777777" w:rsidR="00015DC1" w:rsidRDefault="00015DC1" w:rsidP="00015DC1">
      <w:pPr>
        <w:pStyle w:val="1"/>
      </w:pPr>
      <w:bookmarkStart w:id="5" w:name="_Toc48606386"/>
      <w:bookmarkStart w:id="6" w:name="_Toc48769269"/>
      <w:r>
        <w:t>Creating Value and Stakeholder Engagement</w:t>
      </w:r>
      <w:bookmarkEnd w:id="5"/>
      <w:bookmarkEnd w:id="6"/>
    </w:p>
    <w:p w14:paraId="34A91560" w14:textId="77777777" w:rsidR="0007685A" w:rsidRDefault="0007685A" w:rsidP="0007685A">
      <w:r>
        <w:t xml:space="preserve">The inspiration for the introduction and the demands it makes on organizations over the years have changed. The thought is the current focal point of what advertising means doing for relationships. The promotional idea is the opportunity for partnerships to consider what customers need, how they need them, in what structure and at what price, and then to </w:t>
      </w:r>
      <w:r>
        <w:lastRenderedPageBreak/>
        <w:t>produce a component that arranges these models. The promotional idea suggests that the partnership or component that works perfectly around the client and meets their prerequisites will be the best.</w:t>
      </w:r>
    </w:p>
    <w:p w14:paraId="55A5CB35" w14:textId="7A6AE472" w:rsidR="0007685A" w:rsidRDefault="0007685A" w:rsidP="0007685A">
      <w:r>
        <w:t>The brand is essentially an identifier of something and much broader for an association. There are several new things all the time that are designed to meet a comparative need or deal with a comparable customer issue. It is significant that each of the associations is separated from the rest of the market. This is why partnerships give customers something to participate in what is worthwhile (Coomber, 2015). For example, the capacity for efficient, seamless, hassle-free, wonderful, and useful computer interface effectively for Apple. The mood for the unadulterated luxury of the car obviously recommends the Rolls Royce logo. This is achieved by the brands, they talk about everything that the thing can offer with a straight photo, logo, or name.</w:t>
      </w:r>
    </w:p>
    <w:p w14:paraId="54718718" w14:textId="77777777" w:rsidR="0007685A" w:rsidRDefault="0007685A" w:rsidP="0007685A">
      <w:r>
        <w:t>- The brand gives the affiliation an open character.</w:t>
      </w:r>
    </w:p>
    <w:p w14:paraId="6AC93EB2" w14:textId="22589191" w:rsidR="00015DC1" w:rsidRDefault="0007685A" w:rsidP="0007685A">
      <w:r>
        <w:t>- Once a brand is made, it makes much of the progress without anyone else. A created brand can give a predominant stimulus without another individual.</w:t>
      </w:r>
    </w:p>
    <w:p w14:paraId="181FED6C" w14:textId="77777777" w:rsidR="0007685A" w:rsidRDefault="0007685A" w:rsidP="0007685A">
      <w:r>
        <w:t>- The brand can be changed to oblige the affiliation. A brand can control how people see the affiliation and along these lines can enable the brand to choose the advantage of the showcase. (Lee, 2015).</w:t>
      </w:r>
    </w:p>
    <w:p w14:paraId="1BE3F51E" w14:textId="77777777" w:rsidR="0007685A" w:rsidRDefault="0007685A" w:rsidP="0007685A">
      <w:r>
        <w:t>The accomplices are largely social affairs that legally affect or are affected by the relationship in question. The second demonstration of belonging in a given circumstance, it thus begins to affect individuals in this state and all those related to their business (Saarinen, Tinnilä and Tseng, 2006). Affiliation affects customers, delegates, systems located in the traffic area. On the other hand, it is affected by suppliers and the organization because of its rules and choices. These social events are participants in belonging.</w:t>
      </w:r>
    </w:p>
    <w:p w14:paraId="38CDE400" w14:textId="0124A3AE" w:rsidR="0007685A" w:rsidRDefault="0007685A" w:rsidP="00015DC1">
      <w:r>
        <w:t>The principle that Zara should focus on is its representatives, as they are the first and also the main goal of the association's contact with its customers. It is their capabilities and behaviour that customers experience directly for Zara. This is what creates the image of the brand, as indicated by the customer. If delegates perform well, the evaluation of the brand or its articles will be conveyed through their direct data, and organization. (Daum, 2003) in the same way, they ensure that the vehicles being sold really comply with the quality certificates. Therefore, Zara's motivator depends entirely on their workers.</w:t>
      </w:r>
    </w:p>
    <w:p w14:paraId="0A530BF0" w14:textId="77777777" w:rsidR="0007685A" w:rsidRDefault="0007685A" w:rsidP="0007685A">
      <w:r>
        <w:t>The other significant accomplice Zara needs to talk to is their suppliers. Each competitor must give point by point for their new models and developments, all together Zara to use a comparable level of ability in the selection and modification of clothing. To get things done, they need to give a motivator to their customers. This is again something that delegates will be legally committed to.</w:t>
      </w:r>
    </w:p>
    <w:p w14:paraId="2EFD9C41" w14:textId="77777777" w:rsidR="0007685A" w:rsidRDefault="0007685A" w:rsidP="0007685A">
      <w:r>
        <w:t xml:space="preserve">The most important moment of Zara's freedom is the way they improve the quick organization of the reaction, although they can react quickly to the rapidly changing request of the buyer. In essence, Zara has power over much of the flexible chain. Zara not only makes her own textures but further structures makes and distributes her own clothes. Only a small part of the distribution is redistributed. Therefore, the new range is delivered in about fourteen days, while the candidates, for the most part, need half a year for similar results. </w:t>
      </w:r>
      <w:r>
        <w:lastRenderedPageBreak/>
        <w:t>The new Zara range will not last more than a month, which makes the range significantly more selective. Although they have overproduction, organizations regularly sell their clothes at a lower price. The possibility of obsolete items is reduced by the rapid difference in the Zara range, and buyers have a wider range of clothing solutions due to the different styles in stores.</w:t>
      </w:r>
    </w:p>
    <w:p w14:paraId="0EF28C9F" w14:textId="52602794" w:rsidR="00015DC1" w:rsidRDefault="0007685A" w:rsidP="0007685A">
      <w:r>
        <w:t>In essence, the top of the Zara is based on the fact that they use mass customization. The mixture of low volumes and high productivity reduces costs and connects the creating system. Then again, this powerful Zara methodology is dangerous. Although they are ordered by the customer, they really don't have much in common with their customers. Among other things, candidates are gaining more and more experience. In this way, I would commission Zara to plan some demonstration systems that try to introduce information and the work of buyers. This will not only lead to greater responsibility of the buyer but will further increase the incentive for the customer. Both customers as companies will benefit from this new system. In summary, Zara's vital importance to progress is a direct result of their rapid alignment. Zara focuses on the client-side that knows the style. Although this collection should always be elite and the first with style. Zara's new and selective range essentially allows shoppers to visit Zara stores continuously to see what is happening in the stores before they disappear. As a result of this Zara fast appropriation system, it can respond to rapidly changing customer interest. This is the motivation that made Zara a magnet for the customer. Zara is careful with the details of her procedure, so rivals are gaining more and more experience. In this way, they may need to improve their technique to remain one of the best retailers.</w:t>
      </w:r>
    </w:p>
    <w:p w14:paraId="324E6791" w14:textId="56D8C947" w:rsidR="00015DC1" w:rsidRDefault="00015DC1" w:rsidP="00015DC1">
      <w:pPr>
        <w:pStyle w:val="1"/>
      </w:pPr>
      <w:bookmarkStart w:id="7" w:name="_Toc48769270"/>
      <w:r>
        <w:t>Evaluation of Zara Approach to Creating Value and Enhancing Stakeholder Engagement</w:t>
      </w:r>
      <w:bookmarkEnd w:id="7"/>
      <w:r>
        <w:t xml:space="preserve"> </w:t>
      </w:r>
    </w:p>
    <w:p w14:paraId="55AE86C1" w14:textId="2A564AC8" w:rsidR="00015DC1" w:rsidRPr="00015DC1" w:rsidRDefault="0007685A" w:rsidP="00015DC1">
      <w:r w:rsidRPr="0007685A">
        <w:t>In reading Competitiveness and Globalization for Strategic Management (Hitt, M., Ireand, RD, and Hoskisson, RE, 2017), the large-scale contextual analysis “Zara: Opportunities Behind the Spanish“ Quick Fashion ”Retail Giant” intends to cope. with the Spanish organization Zara, which uses the current idea of ​​"fast design" as a development procedure. The miracle of putting new clothes in an extremely short turn of events and cycles of creation is called fast style. These are designer products created quickly and in small quantities to serve the markets for youth, youth, men's and women's style. The key attachment lies in the ability to follow the most stylish trends and to recognize items that will be sought close to manufacturers in markets, icons and feelings in these sections. The skill of planning is combined with the capacity to organize the creation chain to quickly obtain new textures, shades and designs, create and approve tests, deliver and distribute items in extremely short periods, as opposed to the conventional style schedule. These new accents in the style showcase are a reality and have a significant impact on the whole business. Zara has two main focal points that Michael Porter thinks about a lot: minimal effort and separation. In addition, referring to the study of the situation, Zara uses the skills of the center, for example, finely monitors the chain much more productively than its competitors and most of its fast method of transportation around the world, keeping inventories of new but moreover, unusual, as they discard only limited items in each shipment. Accordingly, the desire for customers and driving in the store around the world is normal from 17 visits for each customer each year. (Heath, M. An., Ireland, R. D., and Hoskison, R. E., 2017, p. 100)</w:t>
      </w:r>
    </w:p>
    <w:p w14:paraId="04ABD59F" w14:textId="77777777" w:rsidR="00015DC1" w:rsidRDefault="00015DC1" w:rsidP="00015DC1">
      <w:pPr>
        <w:pStyle w:val="1"/>
      </w:pPr>
      <w:bookmarkStart w:id="8" w:name="_Toc48606387"/>
      <w:bookmarkStart w:id="9" w:name="_Toc48769271"/>
      <w:r>
        <w:lastRenderedPageBreak/>
        <w:t>Conclusion</w:t>
      </w:r>
      <w:bookmarkEnd w:id="8"/>
      <w:bookmarkEnd w:id="9"/>
    </w:p>
    <w:p w14:paraId="610CDA73" w14:textId="7DF890D4" w:rsidR="00366C10" w:rsidRDefault="0007685A" w:rsidP="00BE1641">
      <w:r w:rsidRPr="0007685A">
        <w:t>The report examines the full breadth of works appearing in a legal environment. From what it shows is the way it recognizes the association and its subject. How to present plans and update the understanding that will strengthen the winning relationship with customers. This is fully developed through Zara's various point of convergence, whose legitimate setting gives the follower a pragmatic setting to prevent the speculation discussed. With this in mind, the presentation makes a fearless attempt to increase the importance of the orientation limit in affiliation.</w:t>
      </w:r>
    </w:p>
    <w:p w14:paraId="43D90EA0" w14:textId="7912E278" w:rsidR="0007685A" w:rsidRDefault="0007685A" w:rsidP="00BE1641"/>
    <w:p w14:paraId="64870755" w14:textId="2B313DE4" w:rsidR="0007685A" w:rsidRDefault="0007685A" w:rsidP="00BE1641"/>
    <w:p w14:paraId="1B2030E4" w14:textId="3D00653C" w:rsidR="0007685A" w:rsidRDefault="0007685A" w:rsidP="00BE1641"/>
    <w:p w14:paraId="5338706F" w14:textId="373E30A9" w:rsidR="0007685A" w:rsidRDefault="0007685A" w:rsidP="00BE1641"/>
    <w:p w14:paraId="67DD912B" w14:textId="3A170D4A" w:rsidR="0007685A" w:rsidRDefault="0007685A" w:rsidP="00BE1641"/>
    <w:p w14:paraId="2165B497" w14:textId="55CDBD20" w:rsidR="0007685A" w:rsidRDefault="0007685A" w:rsidP="00BE1641"/>
    <w:p w14:paraId="50DD5E46" w14:textId="5776819D" w:rsidR="0007685A" w:rsidRDefault="0007685A" w:rsidP="00BE1641"/>
    <w:p w14:paraId="78574A3C" w14:textId="47C7D6B5" w:rsidR="0007685A" w:rsidRDefault="0007685A" w:rsidP="00BE1641"/>
    <w:p w14:paraId="5884C1C8" w14:textId="780B024D" w:rsidR="0007685A" w:rsidRDefault="0007685A" w:rsidP="00BE1641"/>
    <w:p w14:paraId="59642C59" w14:textId="73062D38" w:rsidR="0007685A" w:rsidRDefault="0007685A" w:rsidP="00BE1641"/>
    <w:p w14:paraId="4F01A3D8" w14:textId="0CF781E5" w:rsidR="0007685A" w:rsidRDefault="0007685A" w:rsidP="00BE1641"/>
    <w:p w14:paraId="0E3EDB4D" w14:textId="1C6FD9CA" w:rsidR="0007685A" w:rsidRDefault="0007685A" w:rsidP="00BE1641"/>
    <w:p w14:paraId="0A02D26F" w14:textId="294F9AB5" w:rsidR="0007685A" w:rsidRDefault="0007685A" w:rsidP="00BE1641"/>
    <w:p w14:paraId="6DEED5F0" w14:textId="7E923D43" w:rsidR="0007685A" w:rsidRDefault="0007685A" w:rsidP="00BE1641"/>
    <w:p w14:paraId="4B4534E4" w14:textId="390AEAEA" w:rsidR="0007685A" w:rsidRDefault="0007685A" w:rsidP="00BE1641"/>
    <w:p w14:paraId="72E2F5E9" w14:textId="0800E2DC" w:rsidR="0007685A" w:rsidRDefault="0007685A" w:rsidP="00BE1641"/>
    <w:p w14:paraId="250BC51A" w14:textId="4F952C3E" w:rsidR="0007685A" w:rsidRDefault="0007685A" w:rsidP="00BE1641"/>
    <w:p w14:paraId="28CF3066" w14:textId="77777777" w:rsidR="0007685A" w:rsidRDefault="0007685A" w:rsidP="00BE1641"/>
    <w:p w14:paraId="45F39F22" w14:textId="2E2CC1A1" w:rsidR="00366C10" w:rsidRDefault="00366C10" w:rsidP="00BE1641"/>
    <w:p w14:paraId="27967C26" w14:textId="53258D61" w:rsidR="00366C10" w:rsidRDefault="00366C10" w:rsidP="00BE1641"/>
    <w:p w14:paraId="62AD9854" w14:textId="77777777" w:rsidR="00366C10" w:rsidRDefault="00366C10" w:rsidP="00BE1641"/>
    <w:p w14:paraId="67D39A19" w14:textId="2B0F769D" w:rsidR="00BE1641" w:rsidRDefault="00BE1641" w:rsidP="00BE1641">
      <w:pPr>
        <w:pStyle w:val="1"/>
      </w:pPr>
      <w:bookmarkStart w:id="10" w:name="_Toc48769272"/>
      <w:r>
        <w:lastRenderedPageBreak/>
        <w:t>Reference List</w:t>
      </w:r>
      <w:bookmarkEnd w:id="10"/>
    </w:p>
    <w:p w14:paraId="57B309DA" w14:textId="77777777" w:rsidR="00366C10" w:rsidRPr="00366C10" w:rsidRDefault="00366C10" w:rsidP="00366C10">
      <w:pPr>
        <w:rPr>
          <w:lang w:val="en-US"/>
        </w:rPr>
      </w:pPr>
      <w:r w:rsidRPr="00366C10">
        <w:rPr>
          <w:lang w:val="en-US"/>
        </w:rPr>
        <w:t>Coomber, S. (2015). </w:t>
      </w:r>
      <w:r w:rsidRPr="00366C10">
        <w:rPr>
          <w:i/>
          <w:iCs/>
          <w:lang w:val="en-US"/>
        </w:rPr>
        <w:t>Branding</w:t>
      </w:r>
      <w:r w:rsidRPr="00366C10">
        <w:rPr>
          <w:lang w:val="en-US"/>
        </w:rPr>
        <w:t>. Oxford, U.K.: Capstone Pub.</w:t>
      </w:r>
    </w:p>
    <w:p w14:paraId="0A8DD9FF" w14:textId="77777777" w:rsidR="00366C10" w:rsidRPr="00366C10" w:rsidRDefault="00366C10" w:rsidP="00366C10">
      <w:pPr>
        <w:rPr>
          <w:lang w:val="en-US"/>
        </w:rPr>
      </w:pPr>
      <w:r w:rsidRPr="00366C10">
        <w:rPr>
          <w:lang w:val="en-US"/>
        </w:rPr>
        <w:t>Daum, J. (2003). </w:t>
      </w:r>
      <w:r w:rsidRPr="00366C10">
        <w:rPr>
          <w:i/>
          <w:iCs/>
          <w:lang w:val="en-US"/>
        </w:rPr>
        <w:t>Intangible assets and value creation</w:t>
      </w:r>
      <w:r w:rsidRPr="00366C10">
        <w:rPr>
          <w:lang w:val="en-US"/>
        </w:rPr>
        <w:t>. Chichester, West Sussex, England: J. Wiley.</w:t>
      </w:r>
    </w:p>
    <w:p w14:paraId="7EF0D164" w14:textId="77777777" w:rsidR="00366C10" w:rsidRPr="00366C10" w:rsidRDefault="00366C10" w:rsidP="00366C10">
      <w:pPr>
        <w:rPr>
          <w:lang w:val="en-US"/>
        </w:rPr>
      </w:pPr>
      <w:bookmarkStart w:id="11" w:name="_Hlk48768594"/>
      <w:r w:rsidRPr="00366C10">
        <w:rPr>
          <w:lang w:val="en-US"/>
        </w:rPr>
        <w:t>Hanson, W. and Kalyanam, K. (2014)</w:t>
      </w:r>
      <w:bookmarkEnd w:id="11"/>
      <w:r w:rsidRPr="00366C10">
        <w:rPr>
          <w:lang w:val="en-US"/>
        </w:rPr>
        <w:t>. </w:t>
      </w:r>
      <w:r w:rsidRPr="00366C10">
        <w:rPr>
          <w:i/>
          <w:iCs/>
          <w:lang w:val="en-US"/>
        </w:rPr>
        <w:t>Principles of Internet marketing</w:t>
      </w:r>
      <w:r w:rsidRPr="00366C10">
        <w:rPr>
          <w:lang w:val="en-US"/>
        </w:rPr>
        <w:t>. Mason, Ohio: South-Western.</w:t>
      </w:r>
    </w:p>
    <w:p w14:paraId="779DEDA6" w14:textId="77777777" w:rsidR="00366C10" w:rsidRPr="00366C10" w:rsidRDefault="00366C10" w:rsidP="00366C10">
      <w:pPr>
        <w:rPr>
          <w:lang w:val="en-US"/>
        </w:rPr>
      </w:pPr>
      <w:r w:rsidRPr="00366C10">
        <w:rPr>
          <w:lang w:val="en-US"/>
        </w:rPr>
        <w:t>Harrison, A. (2014). </w:t>
      </w:r>
      <w:r w:rsidRPr="00366C10">
        <w:rPr>
          <w:i/>
          <w:iCs/>
          <w:lang w:val="en-US"/>
        </w:rPr>
        <w:t>Business environment in a global context</w:t>
      </w:r>
      <w:r w:rsidRPr="00366C10">
        <w:rPr>
          <w:lang w:val="en-US"/>
        </w:rPr>
        <w:t>. Oxford: Oxford University Press.</w:t>
      </w:r>
    </w:p>
    <w:p w14:paraId="00B2F11F" w14:textId="77777777" w:rsidR="00366C10" w:rsidRPr="00366C10" w:rsidRDefault="00366C10" w:rsidP="00366C10">
      <w:pPr>
        <w:rPr>
          <w:lang w:val="en-US"/>
        </w:rPr>
      </w:pPr>
      <w:r w:rsidRPr="00366C10">
        <w:rPr>
          <w:lang w:val="en-US"/>
        </w:rPr>
        <w:t>Heizer, J., Render, B. and Munson, C. (2016). </w:t>
      </w:r>
      <w:r w:rsidRPr="00366C10">
        <w:rPr>
          <w:i/>
          <w:iCs/>
          <w:lang w:val="en-US"/>
        </w:rPr>
        <w:t>Operations Management</w:t>
      </w:r>
      <w:r w:rsidRPr="00366C10">
        <w:rPr>
          <w:lang w:val="en-US"/>
        </w:rPr>
        <w:t>. Pearson Australia Pty Ltd.</w:t>
      </w:r>
    </w:p>
    <w:p w14:paraId="51E58A6B" w14:textId="77777777" w:rsidR="007D06FB" w:rsidRPr="007D06FB" w:rsidRDefault="007D06FB" w:rsidP="007D06FB">
      <w:pPr>
        <w:rPr>
          <w:lang w:val="en-CA"/>
        </w:rPr>
      </w:pPr>
      <w:r w:rsidRPr="007D06FB">
        <w:rPr>
          <w:lang w:val="en-CA"/>
        </w:rPr>
        <w:t>Hitt, M. A., Ireland, R. D., &amp; Hoskisson, R. E. (2017). </w:t>
      </w:r>
      <w:r w:rsidRPr="007D06FB">
        <w:rPr>
          <w:i/>
          <w:iCs/>
          <w:lang w:val="en-CA"/>
        </w:rPr>
        <w:t>Strategic management: Competitiveness &amp; globalization : concepts &amp; cases</w:t>
      </w:r>
      <w:r w:rsidRPr="007D06FB">
        <w:rPr>
          <w:lang w:val="en-CA"/>
        </w:rPr>
        <w:t>.</w:t>
      </w:r>
    </w:p>
    <w:p w14:paraId="67A309DB" w14:textId="77777777" w:rsidR="00366C10" w:rsidRPr="00366C10" w:rsidRDefault="00366C10" w:rsidP="00366C10">
      <w:pPr>
        <w:rPr>
          <w:lang w:val="en-US"/>
        </w:rPr>
      </w:pPr>
      <w:r w:rsidRPr="00366C10">
        <w:rPr>
          <w:lang w:val="en-US"/>
        </w:rPr>
        <w:t>Lee, A. (2015). </w:t>
      </w:r>
      <w:r w:rsidRPr="00366C10">
        <w:rPr>
          <w:i/>
          <w:iCs/>
          <w:lang w:val="en-US"/>
        </w:rPr>
        <w:t>The strategy of global branding and brand equity</w:t>
      </w:r>
      <w:r w:rsidRPr="00366C10">
        <w:rPr>
          <w:lang w:val="en-US"/>
        </w:rPr>
        <w:t>. Abingdon, Oxon: Routledge.</w:t>
      </w:r>
    </w:p>
    <w:p w14:paraId="74BE12DD" w14:textId="77777777" w:rsidR="00366C10" w:rsidRPr="00366C10" w:rsidRDefault="00366C10" w:rsidP="00366C10">
      <w:pPr>
        <w:rPr>
          <w:lang w:val="en-US"/>
        </w:rPr>
      </w:pPr>
      <w:r w:rsidRPr="00366C10">
        <w:rPr>
          <w:lang w:val="en-US"/>
        </w:rPr>
        <w:t>MacKay, C. (2011). </w:t>
      </w:r>
      <w:r w:rsidRPr="00366C10">
        <w:rPr>
          <w:i/>
          <w:iCs/>
          <w:lang w:val="en-US"/>
        </w:rPr>
        <w:t>Effective Marketing in Easy Steps</w:t>
      </w:r>
      <w:r w:rsidRPr="00366C10">
        <w:rPr>
          <w:lang w:val="en-US"/>
        </w:rPr>
        <w:t>. Southam: In Easy Steps Limited.</w:t>
      </w:r>
    </w:p>
    <w:p w14:paraId="3AE68F3D" w14:textId="77777777" w:rsidR="00366C10" w:rsidRPr="00366C10" w:rsidRDefault="00366C10" w:rsidP="00366C10">
      <w:pPr>
        <w:rPr>
          <w:lang w:val="en-US"/>
        </w:rPr>
      </w:pPr>
      <w:r w:rsidRPr="00366C10">
        <w:rPr>
          <w:lang w:val="en-US"/>
        </w:rPr>
        <w:t>Russell, E. (2018). </w:t>
      </w:r>
      <w:r w:rsidRPr="00366C10">
        <w:rPr>
          <w:i/>
          <w:iCs/>
          <w:lang w:val="en-US"/>
        </w:rPr>
        <w:t>The fundamentals of marketing</w:t>
      </w:r>
      <w:r w:rsidRPr="00366C10">
        <w:rPr>
          <w:lang w:val="en-US"/>
        </w:rPr>
        <w:t>. Lausanne: AVA Publishing SA.</w:t>
      </w:r>
    </w:p>
    <w:p w14:paraId="0B463AD5" w14:textId="09F5839A" w:rsidR="00BE1641" w:rsidRPr="007D06FB" w:rsidRDefault="00366C10" w:rsidP="00BE1641">
      <w:pPr>
        <w:rPr>
          <w:lang w:val="en-US"/>
        </w:rPr>
      </w:pPr>
      <w:r w:rsidRPr="00366C10">
        <w:rPr>
          <w:lang w:val="en-US"/>
        </w:rPr>
        <w:t>Saarinen, T., Tinnilä, M. and Tseng, A. (2006). </w:t>
      </w:r>
      <w:r w:rsidRPr="00366C10">
        <w:rPr>
          <w:i/>
          <w:iCs/>
          <w:lang w:val="en-US"/>
        </w:rPr>
        <w:t>Managing business in a multi-channel world</w:t>
      </w:r>
      <w:r w:rsidRPr="00366C10">
        <w:rPr>
          <w:lang w:val="en-US"/>
        </w:rPr>
        <w:t>. Hershey PA: Idea Group Pub.</w:t>
      </w:r>
    </w:p>
    <w:p w14:paraId="02E4B15E" w14:textId="1A75088A" w:rsidR="00BE1641" w:rsidRDefault="00BE1641"/>
    <w:p w14:paraId="16D5621E" w14:textId="1321C40F" w:rsidR="00BE1641" w:rsidRDefault="00BE1641"/>
    <w:p w14:paraId="116B3EE8" w14:textId="77777777" w:rsidR="00BE1641" w:rsidRDefault="00BE1641"/>
    <w:p w14:paraId="19572791" w14:textId="3F959927" w:rsidR="00BE1641" w:rsidRDefault="00BE1641"/>
    <w:p w14:paraId="69213ED6" w14:textId="77777777" w:rsidR="00BE1641" w:rsidRDefault="00BE1641"/>
    <w:sectPr w:rsidR="00BE1641" w:rsidSect="00636BD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2F7C4" w14:textId="77777777" w:rsidR="004D351C" w:rsidRDefault="004D351C" w:rsidP="00BE1641">
      <w:pPr>
        <w:spacing w:after="0" w:line="240" w:lineRule="auto"/>
      </w:pPr>
      <w:r>
        <w:separator/>
      </w:r>
    </w:p>
  </w:endnote>
  <w:endnote w:type="continuationSeparator" w:id="0">
    <w:p w14:paraId="4C44306B" w14:textId="77777777" w:rsidR="004D351C" w:rsidRDefault="004D351C" w:rsidP="00BE1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3705798"/>
      <w:docPartObj>
        <w:docPartGallery w:val="Page Numbers (Bottom of Page)"/>
        <w:docPartUnique/>
      </w:docPartObj>
    </w:sdtPr>
    <w:sdtEndPr>
      <w:rPr>
        <w:noProof/>
      </w:rPr>
    </w:sdtEndPr>
    <w:sdtContent>
      <w:p w14:paraId="58A2E9ED" w14:textId="5DD4EA7D" w:rsidR="00BE1641" w:rsidRDefault="00BE1641">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3AC1FDE1" w14:textId="77777777" w:rsidR="00BE1641" w:rsidRDefault="00BE1641">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698063" w14:textId="77777777" w:rsidR="004D351C" w:rsidRDefault="004D351C" w:rsidP="00BE1641">
      <w:pPr>
        <w:spacing w:after="0" w:line="240" w:lineRule="auto"/>
      </w:pPr>
      <w:r>
        <w:separator/>
      </w:r>
    </w:p>
  </w:footnote>
  <w:footnote w:type="continuationSeparator" w:id="0">
    <w:p w14:paraId="057E6F8A" w14:textId="77777777" w:rsidR="004D351C" w:rsidRDefault="004D351C" w:rsidP="00BE16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554"/>
    <w:rsid w:val="00014C0D"/>
    <w:rsid w:val="00015DC1"/>
    <w:rsid w:val="0007685A"/>
    <w:rsid w:val="00106360"/>
    <w:rsid w:val="001925A2"/>
    <w:rsid w:val="002D0E14"/>
    <w:rsid w:val="00366C10"/>
    <w:rsid w:val="003A63CD"/>
    <w:rsid w:val="00426EAB"/>
    <w:rsid w:val="004D351C"/>
    <w:rsid w:val="00610D02"/>
    <w:rsid w:val="00636BDA"/>
    <w:rsid w:val="007D06FB"/>
    <w:rsid w:val="00844443"/>
    <w:rsid w:val="008D3554"/>
    <w:rsid w:val="00912C4D"/>
    <w:rsid w:val="00931F05"/>
    <w:rsid w:val="0097139E"/>
    <w:rsid w:val="009B4532"/>
    <w:rsid w:val="00A14BD0"/>
    <w:rsid w:val="00AA007C"/>
    <w:rsid w:val="00AD2F11"/>
    <w:rsid w:val="00BE1641"/>
    <w:rsid w:val="00CB228C"/>
    <w:rsid w:val="00DE5333"/>
    <w:rsid w:val="00E026CD"/>
    <w:rsid w:val="00E72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7C07A"/>
  <w15:chartTrackingRefBased/>
  <w15:docId w15:val="{A8F25CD2-2E94-4F92-9DCC-2C618B52A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BE1641"/>
    <w:pPr>
      <w:tabs>
        <w:tab w:val="center" w:pos="4513"/>
        <w:tab w:val="right" w:pos="9026"/>
      </w:tabs>
      <w:spacing w:after="0" w:line="240" w:lineRule="auto"/>
    </w:pPr>
  </w:style>
  <w:style w:type="character" w:customStyle="1" w:styleId="a6">
    <w:name w:val="Горен колонтитул Знак"/>
    <w:basedOn w:val="a0"/>
    <w:link w:val="a5"/>
    <w:uiPriority w:val="99"/>
    <w:rsid w:val="00BE1641"/>
    <w:rPr>
      <w:rFonts w:ascii="Arial" w:hAnsi="Arial"/>
    </w:rPr>
  </w:style>
  <w:style w:type="paragraph" w:styleId="a7">
    <w:name w:val="footer"/>
    <w:basedOn w:val="a"/>
    <w:link w:val="a8"/>
    <w:uiPriority w:val="99"/>
    <w:unhideWhenUsed/>
    <w:rsid w:val="00BE1641"/>
    <w:pPr>
      <w:tabs>
        <w:tab w:val="center" w:pos="4513"/>
        <w:tab w:val="right" w:pos="9026"/>
      </w:tabs>
      <w:spacing w:after="0" w:line="240" w:lineRule="auto"/>
    </w:pPr>
  </w:style>
  <w:style w:type="character" w:customStyle="1" w:styleId="a8">
    <w:name w:val="Долен колонтитул Знак"/>
    <w:basedOn w:val="a0"/>
    <w:link w:val="a7"/>
    <w:uiPriority w:val="99"/>
    <w:rsid w:val="00BE1641"/>
    <w:rPr>
      <w:rFonts w:ascii="Arial" w:hAnsi="Arial"/>
    </w:rPr>
  </w:style>
  <w:style w:type="paragraph" w:styleId="a9">
    <w:name w:val="No Spacing"/>
    <w:link w:val="aa"/>
    <w:uiPriority w:val="1"/>
    <w:qFormat/>
    <w:rsid w:val="00636BDA"/>
    <w:pPr>
      <w:spacing w:after="0" w:line="240" w:lineRule="auto"/>
    </w:pPr>
    <w:rPr>
      <w:rFonts w:eastAsiaTheme="minorEastAsia"/>
      <w:lang w:val="en-US"/>
    </w:rPr>
  </w:style>
  <w:style w:type="character" w:customStyle="1" w:styleId="aa">
    <w:name w:val="Без разредка Знак"/>
    <w:basedOn w:val="a0"/>
    <w:link w:val="a9"/>
    <w:uiPriority w:val="1"/>
    <w:rsid w:val="00636BDA"/>
    <w:rPr>
      <w:rFonts w:eastAsiaTheme="minorEastAsia"/>
      <w:lang w:val="en-US"/>
    </w:rPr>
  </w:style>
  <w:style w:type="paragraph" w:styleId="ab">
    <w:name w:val="TOC Heading"/>
    <w:basedOn w:val="1"/>
    <w:next w:val="a"/>
    <w:uiPriority w:val="39"/>
    <w:unhideWhenUsed/>
    <w:qFormat/>
    <w:rsid w:val="00366C10"/>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366C10"/>
    <w:pPr>
      <w:spacing w:after="100"/>
    </w:pPr>
  </w:style>
  <w:style w:type="paragraph" w:styleId="21">
    <w:name w:val="toc 2"/>
    <w:basedOn w:val="a"/>
    <w:next w:val="a"/>
    <w:autoRedefine/>
    <w:uiPriority w:val="39"/>
    <w:unhideWhenUsed/>
    <w:rsid w:val="00366C10"/>
    <w:pPr>
      <w:spacing w:after="100"/>
      <w:ind w:left="220"/>
    </w:pPr>
  </w:style>
  <w:style w:type="paragraph" w:styleId="31">
    <w:name w:val="toc 3"/>
    <w:basedOn w:val="a"/>
    <w:next w:val="a"/>
    <w:autoRedefine/>
    <w:uiPriority w:val="39"/>
    <w:unhideWhenUsed/>
    <w:rsid w:val="00366C10"/>
    <w:pPr>
      <w:spacing w:after="100"/>
      <w:ind w:left="440"/>
    </w:pPr>
  </w:style>
  <w:style w:type="character" w:styleId="ac">
    <w:name w:val="Hyperlink"/>
    <w:basedOn w:val="a0"/>
    <w:uiPriority w:val="99"/>
    <w:unhideWhenUsed/>
    <w:rsid w:val="00366C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Assessment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95E519-321E-4FB7-B020-D6288AD31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8</Pages>
  <Words>2423</Words>
  <Characters>13817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LCBB4004 MARKETING FUNDAMENTALS</vt:lpstr>
    </vt:vector>
  </TitlesOfParts>
  <Company>STUDENT NAME:</Company>
  <LinksUpToDate>false</LinksUpToDate>
  <CharactersWithSpaces>16208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LCBB4004 MARKETING FUNDAMENTALS</dc:title>
  <dc:subject>Module Leader:</dc:subject>
  <dc:creator>Student ID 1916908</dc:creator>
  <cp:keywords/>
  <dc:description/>
  <cp:revision>11</cp:revision>
  <dcterms:created xsi:type="dcterms:W3CDTF">2020-08-17T21:22:00Z</dcterms:created>
  <dcterms:modified xsi:type="dcterms:W3CDTF">2020-08-24T06:17:00Z</dcterms:modified>
</cp:coreProperties>
</file>