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4DC4F" w14:textId="0504CA06" w:rsidR="005A0382" w:rsidRPr="005A0382" w:rsidRDefault="005A0382">
      <w:pPr>
        <w:rPr>
          <w:lang w:val="en-US"/>
        </w:rPr>
      </w:pPr>
    </w:p>
    <w:p w14:paraId="5E319E7C" w14:textId="77777777" w:rsidR="00A06A20" w:rsidRPr="00A06A20" w:rsidRDefault="00A06A20" w:rsidP="00A06A20">
      <w:pPr>
        <w:spacing w:line="360" w:lineRule="auto"/>
        <w:jc w:val="both"/>
        <w:rPr>
          <w:rFonts w:ascii="Arial" w:hAnsi="Arial" w:cs="Arial"/>
          <w:sz w:val="24"/>
          <w:szCs w:val="24"/>
          <w:lang w:val="en-US"/>
        </w:rPr>
      </w:pPr>
      <w:bookmarkStart w:id="0" w:name="_Hlk14724274"/>
      <w:r w:rsidRPr="00A06A20">
        <w:rPr>
          <w:rFonts w:ascii="Arial" w:hAnsi="Arial" w:cs="Arial"/>
          <w:sz w:val="24"/>
          <w:szCs w:val="24"/>
          <w:lang w:val="en-US"/>
        </w:rPr>
        <w:t>The rational</w:t>
      </w:r>
    </w:p>
    <w:p w14:paraId="3099E4FF"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At the core of advocacy is the concept of independence. Everyone, should have the right to express their personal views and be able to make choices about their own lives. In environments where an individual may need to approach care services or other services for support, they should have a right to their say in how these services are provided and managed. However, this can be difficult for some individual’s who may have problems with communicating or because of a disability or illness. In this instance, advocacy has been acknowledged as an important service which may assist individuals to work out what their needs are, and be able to communicate this information to the relevant service providers. This includes making sure that individuals know their rights and what options are available to them. But most importantly, advocacy can make sure the person feelings and wishes are taken seriously and considered in relation to their health and wellbeing. The support process only ends when the person is fully satisfied with the outcome (Age Concern Cardiff and the Vale of Glamorgan, 2012).</w:t>
      </w:r>
    </w:p>
    <w:p w14:paraId="72483898" w14:textId="42BDCA48"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 portfolio of information has been created to support an independent advocate in their practice, this includes relevant current legislation, policy, guidelines for good practice, information regarding training opportunities and professional development and a case history to reflect on. For instance, the case of Winterbourne View hospital has been included as it is significant to the improvement of care, legislation and policies in the UK (Department of Health, 2013). </w:t>
      </w:r>
    </w:p>
    <w:p w14:paraId="1987516F" w14:textId="0605F36B"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According to the Department of Health (2015. a), as of April 2016, legislation to support independent advocacy, for example, the Social Services and Wellbeing Act (Wales) 2014 and the Care Act (England) 2014 was implemented to protect the care and support of vulnerable individuals (Welsh Government, 2015; 2019; The National Archives, no date). In response to this, the Joint Improvement Programme (JIP) was developed following the shocking abuse of people with severe learning disabilities at the Winterbourne View hospital (Cafe, 2012; National Health Service, 2012; 2013). The investigation led to the eventual prosecution of eleven members of staff and the closing of the hospital (see, appendix 1, for case history). The JIP aim to support local communities to facilitate improved services for people with autism (with challenging </w:t>
      </w:r>
      <w:r w:rsidRPr="00A06A20">
        <w:rPr>
          <w:rFonts w:ascii="Arial" w:hAnsi="Arial" w:cs="Arial"/>
          <w:sz w:val="24"/>
          <w:szCs w:val="24"/>
          <w:lang w:val="en-US"/>
        </w:rPr>
        <w:lastRenderedPageBreak/>
        <w:t xml:space="preserve">behaviour), learning disabilities or a mental health condition; to essentially reduce the need for vulnerable people to go through assessments and into treatment units like Winterbourne View Hospital (Department of Health 2012). Furthermore, the Department of Health (2013) has argued that the care and planning process often excludes individuals with learning disabilities from being involved in their care plan. Good quality advocacy can empower individuals, but also help uncover possible abuse and neglect which might be happening. The advocacy duty will begin from the initial contact with the local authority and will continue to support the client through the assessment, planning and care process, as well as through the stages of safeguarding enquiry/review (see, appendix, 2). </w:t>
      </w:r>
    </w:p>
    <w:p w14:paraId="774BCFE9"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To be able to support individuals, such as those neglected in the above case history, advocates will need to have a good understanding of the Mental Health Act 1983 (See appendix, 10, p.10). This piece of legislation supports the rights of people with mental health issues in England and Wales. For example, the Charity Mind (2013) provides an independent advocacy service to support and empower individuals with a mental health problem. Mind campaign to improve services for vulnerable individuals, raise social awareness and promote a greater understanding of mental health. Service users may benefit from support in relation to their rights in a number of ways, for example, treatment in hospital or in the community (see, appendix 10, p. 10). In the case of non-instructed advocacy and in particular where individuals have a reduced  capacity to make decisions for themselves, an independent mental capacity advocate may need to be included in the support process as they will have a sound knowledge of the framework of the Mental Capacity Act 2005 (see, appendix 10, p. 13 and appendix, 11, pp. 55-59). Their job will be to ensure that the individual has an opportunity to be included in decisions that are being made about them (Redley </w:t>
      </w:r>
      <w:r w:rsidRPr="00A06A20">
        <w:rPr>
          <w:rFonts w:ascii="Arial" w:hAnsi="Arial" w:cs="Arial"/>
          <w:i/>
          <w:iCs/>
          <w:sz w:val="24"/>
          <w:szCs w:val="24"/>
          <w:lang w:val="en-US"/>
        </w:rPr>
        <w:t>et al.</w:t>
      </w:r>
      <w:r w:rsidRPr="00A06A20">
        <w:rPr>
          <w:rFonts w:ascii="Arial" w:hAnsi="Arial" w:cs="Arial"/>
          <w:sz w:val="24"/>
          <w:szCs w:val="24"/>
          <w:lang w:val="en-US"/>
        </w:rPr>
        <w:t xml:space="preserve"> 2010; Samsi, Manthorpe and Rapaport, 2011). Other legislation regarding duties and responsibilities of independent advocacy may adhere to related human rights and equality legislation, this may include the Equality Act 2010, Human Rights Act 1998; as well as relevent policies that promote independency and client centred initiatives (see, appendix 11, p. 36).</w:t>
      </w:r>
    </w:p>
    <w:p w14:paraId="32740D83"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Local authorities now have to provide access to independent advocacy services for children and adults who meet the criteria for support in accordance with the Social Services and Well-being (Wales) Act 2014 (See, appendix 2). For instance, individuals </w:t>
      </w:r>
      <w:r w:rsidRPr="00A06A20">
        <w:rPr>
          <w:rFonts w:ascii="Arial" w:hAnsi="Arial" w:cs="Arial"/>
          <w:sz w:val="24"/>
          <w:szCs w:val="24"/>
          <w:lang w:val="en-US"/>
        </w:rPr>
        <w:lastRenderedPageBreak/>
        <w:t xml:space="preserve">who may find the management process of their own care and support too much of a challenge to face alone. In addition, some vulnerable individuals may not have an appropriate adult to support their individual needs, such as a family, friend or care provider. However, at times entitlements to statutory advocacy may overlap, for example: </w:t>
      </w:r>
    </w:p>
    <w:p w14:paraId="46FCE4F5" w14:textId="2D57F962"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Section 130E of the Mental Health Act, section 332BB of the Education Act, or paragraph 6D of Schedule 17 to the Equality Act 2010, section 35 of the Mental Capacity Act 2005 and section 187 of the National Health Services (Wales) Act 2006 (see, appendix 11, p. 97).</w:t>
      </w:r>
    </w:p>
    <w:p w14:paraId="6EE87686"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When this happens, consideration should be given to facilitate the continuity of the service user’s support by minismising the need for the individual to have to relay their desired outcomes to different advocates. The most effective outcome would be if all parties concerned could agree a single advocate to support the individual (see, appendix 11, p. 97). According the Social Services and Wellbeing Act 2014, section 181(2), advocacy services is defined as: </w:t>
      </w:r>
    </w:p>
    <w:p w14:paraId="1AD0D0D1" w14:textId="2306F035"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services which provide assistance (by way of representation or otherwise) to persons for purposes relating to their care and support and that independent advocacy is a service independent of the local authority and adheres to the Care Act 2014 (Care Council for Wales 2016, p. 13). </w:t>
      </w:r>
    </w:p>
    <w:p w14:paraId="57E7A369"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The Advocacy code of practice (See, appendix, 3) which adheres to the Social Service and Wellbeing Act (Wales) adds: that independent advocacy safeguards vulnerable individuals whom may be at risk of discrimination and may also be difficult for services to support. Independent advocacy (see, appendix, 4) aims to empower vulnerable individual’s to be able to express their individual needs and to make informed decisions for themselves (Welsh Government, 2015). The concept of ’empowerment’ has become central to the practice and promotion of healthcare. Holcomb-McCoy and Brian (2010) argue that vulnerable individuals are at a significant risk of oppression and is a key consideration during the consultation process in regard of empowerment and advocacy. They define empowerment as: </w:t>
      </w:r>
    </w:p>
    <w:p w14:paraId="5B0F3487" w14:textId="5C39DF4B"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 process of increasing personal, interpersonal, or political power so that individuals, families, and communities can take action to improve their situations. It is a process that fosters power (i.e., the capacity to implement) in disenfranchised and powerless </w:t>
      </w:r>
      <w:r w:rsidRPr="00A06A20">
        <w:rPr>
          <w:rFonts w:ascii="Arial" w:hAnsi="Arial" w:cs="Arial"/>
          <w:sz w:val="24"/>
          <w:szCs w:val="24"/>
          <w:lang w:val="en-US"/>
        </w:rPr>
        <w:lastRenderedPageBreak/>
        <w:t>groups of people, for use in their own lives, in their communities, and in their society by acting on issues that they define as important Holcomb-McCoy and Brian (2010, p. 262).</w:t>
      </w:r>
    </w:p>
    <w:p w14:paraId="662DC8DD" w14:textId="3338295F"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The relationship between and advocate and their client will be primarily based on trust and empowerment and there must be no conflict of interest. An advocate places the individual at the centre of their own decision making and must acquire relevant training and skills to be able to identify the signs of abuse (see, appendix 11, p. 24). There are many tools that an advocate may use in their practice when supporting vulnerable people. For instance, Cattaneo and Chapman (2010, </w:t>
      </w:r>
      <w:r w:rsidRPr="00A06A20">
        <w:rPr>
          <w:rFonts w:ascii="Arial" w:hAnsi="Arial" w:cs="Arial"/>
          <w:i/>
          <w:iCs/>
          <w:sz w:val="24"/>
          <w:szCs w:val="24"/>
          <w:lang w:val="en-US"/>
        </w:rPr>
        <w:t>cited</w:t>
      </w:r>
      <w:r w:rsidRPr="00A06A20">
        <w:rPr>
          <w:rFonts w:ascii="Arial" w:hAnsi="Arial" w:cs="Arial"/>
          <w:sz w:val="24"/>
          <w:szCs w:val="24"/>
          <w:lang w:val="en-US"/>
        </w:rPr>
        <w:t xml:space="preserve"> in, Cattaneo and Goodman, 2013) uses the Empowerment Process Model to describe the empowerment building process. For example, when a person is experiencing a lack of power and autonomy in their current position; an advocate may support the individual to set goals to increase their power and take action themselves; this may help to build the individuals self-efficacy. During the advocacy support process, a relationship between the advocate and the client can be developed. This may further develop trust and confidence where the power and control are ultimately placed back into the hands of the individual (see, appendix, 11, p. 24). This process also aims to widen the individual’s knowledge, skills, local resources and support services, but ultimately supports the individual to be able to observe and reflect on the impact his or her actions may have in relation to changing the current situation (See, appendix 6). </w:t>
      </w:r>
    </w:p>
    <w:p w14:paraId="057FAC44"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There are national occupational standards for professional practitioners such as advocates to adhere to; these highlight the significance of developing good working practice. This entails promoting choice, wellbeing and protection of people. For instance, practice which maintains and evaluates systems to support and promote equality and diversity and individual’s rights in making sure personal choices are upheld in relation to their care and safety (see, appendix, 5). Furthermore, Rose (1990, p. 43) proposes that: </w:t>
      </w:r>
    </w:p>
    <w:p w14:paraId="0E006859"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The advocacy/empowerment orientation to practice is an effort to combat the socially structured alienation, isolation, and poverty of substantive content available to understand ourselves and daily life.</w:t>
      </w:r>
    </w:p>
    <w:p w14:paraId="40AFE849" w14:textId="77777777" w:rsidR="00A06A20" w:rsidRPr="00A06A20" w:rsidRDefault="00A06A20" w:rsidP="00A06A20">
      <w:pPr>
        <w:spacing w:line="360" w:lineRule="auto"/>
        <w:jc w:val="both"/>
        <w:rPr>
          <w:rFonts w:ascii="Arial" w:hAnsi="Arial" w:cs="Arial"/>
          <w:sz w:val="24"/>
          <w:szCs w:val="24"/>
          <w:lang w:val="en-US"/>
        </w:rPr>
      </w:pPr>
    </w:p>
    <w:p w14:paraId="376F1D13"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lastRenderedPageBreak/>
        <w:t xml:space="preserve">Rose (1990) also proposes that this approach to practice places the advocate/practitioner at the heart of addressing the oppressive structures which impact on vulnerable individual’s; the advocate in this case becomes more than a voice for the individual, but a driving force for social change. In addition, for social structures to continue to develop, transformation must take place in relation to both that which causes oppressive conditions and the ideologies which entrap individuals, rendering them defenseless. The fundamentals of advocacy values are rooted within power inequalities in society, for example, between state power that influences services and individual freedom of people using services (Ridley </w:t>
      </w:r>
      <w:r w:rsidRPr="00A06A20">
        <w:rPr>
          <w:rFonts w:ascii="Arial" w:hAnsi="Arial" w:cs="Arial"/>
          <w:i/>
          <w:iCs/>
          <w:sz w:val="24"/>
          <w:szCs w:val="24"/>
          <w:lang w:val="en-US"/>
        </w:rPr>
        <w:t>et al</w:t>
      </w:r>
      <w:r w:rsidRPr="00A06A20">
        <w:rPr>
          <w:rFonts w:ascii="Arial" w:hAnsi="Arial" w:cs="Arial"/>
          <w:sz w:val="24"/>
          <w:szCs w:val="24"/>
          <w:lang w:val="en-US"/>
        </w:rPr>
        <w:t>. 2015). Advocates will therefore need to have a sound understanding of relevant theories relating to power and oppression. There are a number of theoretical perspectives which support this concept, for example, Marx argued that societal inequalities are rooted in class struggles (social stratification) and the powers which control production (capitalism); such as business owners and those who work for the business owners. Marx believed that the very nature of capitalism lies at the heart of exploitation and oppression that generates inequality and disadvantage in society (Haralambos and Holborn, 2008). Moreover, social justice perspectives have argued how sexist, racist and classist norms are engrained within conventional mental health theory and practice and the impact structural oppression can have on mental health and wellbeing of people affected (Smith, Chambers and Bratini, 2009). In view of this, practitioners may need to develop socially just interventions regarding their practice with clients from oppressed groups.</w:t>
      </w:r>
    </w:p>
    <w:p w14:paraId="3CBB329A"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To achieve this, independent advocates may need to collaborate with a wide range of care and support services as well as other organisations that can deliver additional support for clients during the advocacy process, and understand the significance of using and maintaining systems throughout (see, appendix 7). In the case of the Winterbourne hospital it was emphasised how commissioners and council partners had neglected to develop the family support and prevention services. Other failings included ineffective performance management of Primary Care Trusts in the authorising of placements for this client group. The family support and prevention services play a key role in preventing vulnerable people from being placed into residential care such as that of Winterbourne View (see, appendix,1, p. 2).  National Occupational Standards (2015) highlight the importance of strategically coordinating </w:t>
      </w:r>
      <w:r w:rsidRPr="00A06A20">
        <w:rPr>
          <w:rFonts w:ascii="Arial" w:hAnsi="Arial" w:cs="Arial"/>
          <w:sz w:val="24"/>
          <w:szCs w:val="24"/>
          <w:lang w:val="en-US"/>
        </w:rPr>
        <w:lastRenderedPageBreak/>
        <w:t>networks and partnerships between formal and informal systems in relation to community development. Therefore, communities are strengthened through collective and collaborative actions which may support the care and wellbeing of vulnerable individuals (see, appendix 8).</w:t>
      </w:r>
    </w:p>
    <w:p w14:paraId="74910978"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In response to the implementation of the Social Services and Well-being (Wales) Act 2014, the Care Council for Wales was asked to commission a national learning and development plan to improve a professional’s current awareness and comprehension of advocacy in Wales. An information learning hub was also developed so that all relevant organisations including advocates are able to access resources on the Act to assist them in their working practice (Social Care Wales, 2017). This service not only provides an extensive training module (see, appendix, 11) but provides updates to relevant information in relation to the Act. For instance, provides links to information about the Regulation and Inspection of Social Care (Wales) Act 2016 (Morgan, 2019). Although the ‘Independent Professional Advocacy’ training module is mainly aimed at informing individuals who work in social care and support services it may also support an independent advocate to effectively engage with these services. Furthermore, the above training module also provides links to key resources and other materials which may also support an independent advocate in their practice, including:  ‘links to regulations, codes of practice and statutory guidance’, UN Convention on the Rights of Disabled People, Welsh Government’s Framework for Action on Independent Living, ‘Talking Points: Personal Outcomes Approach (2012) – Joint Improvement Team’, ‘Social Care Institute for Excellence (SCIE) Mental Capacity Act (MCA) resource’, ‘Human Rights Explained – The British Institute of Human Rights and an Advocate’s Guide to Independent Non-Instructed Advocacy’ (See, appendix 11, pp. 100-101). For this reason, information regarding these sources of information has not been included in the portfolio. </w:t>
      </w:r>
    </w:p>
    <w:p w14:paraId="7B254464"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To conclude, the concept and relevance of reflective practice for independent advocacy will be briefly discussed. Russell (2005) proposes that many professional educationalists continue to pursue reflective practice as a significant element of professional training and development (see, appendix, 12). Hood (2007, </w:t>
      </w:r>
      <w:r w:rsidRPr="00A06A20">
        <w:rPr>
          <w:rFonts w:ascii="Arial" w:hAnsi="Arial" w:cs="Arial"/>
          <w:i/>
          <w:iCs/>
          <w:sz w:val="24"/>
          <w:szCs w:val="24"/>
          <w:lang w:val="en-US"/>
        </w:rPr>
        <w:t>cited</w:t>
      </w:r>
      <w:r w:rsidRPr="00A06A20">
        <w:rPr>
          <w:rFonts w:ascii="Arial" w:hAnsi="Arial" w:cs="Arial"/>
          <w:sz w:val="24"/>
          <w:szCs w:val="24"/>
          <w:lang w:val="en-US"/>
        </w:rPr>
        <w:t xml:space="preserve"> in Stonehouse, 2011) suggests that using a model of reflection may help to reinforce the process and help to build on thoughts and feelings. There are a number of models used to support reflective practice, for example, Kolb’s Experiential Learning Cycle </w:t>
      </w:r>
      <w:r w:rsidRPr="00A06A20">
        <w:rPr>
          <w:rFonts w:ascii="Arial" w:hAnsi="Arial" w:cs="Arial"/>
          <w:sz w:val="24"/>
          <w:szCs w:val="24"/>
          <w:lang w:val="en-US"/>
        </w:rPr>
        <w:lastRenderedPageBreak/>
        <w:t xml:space="preserve">(1984) and Gibbs Reflective Cycle (1988) (See, appendix, 12, p. 300). Bassot (2016) emphasis’s that critical reflection plays a significant role in professional practice. When an advocate, for instance approaches their work in a reflective way they may take more time to contemplate their practice at a deeper level including, questioning their approach and gaining greater self -awareness. Wheatley (2002 </w:t>
      </w:r>
      <w:r w:rsidRPr="00A06A20">
        <w:rPr>
          <w:rFonts w:ascii="Arial" w:hAnsi="Arial" w:cs="Arial"/>
          <w:i/>
          <w:iCs/>
          <w:sz w:val="24"/>
          <w:szCs w:val="24"/>
          <w:lang w:val="en-US"/>
        </w:rPr>
        <w:t>cited</w:t>
      </w:r>
      <w:r w:rsidRPr="00A06A20">
        <w:rPr>
          <w:rFonts w:ascii="Arial" w:hAnsi="Arial" w:cs="Arial"/>
          <w:sz w:val="24"/>
          <w:szCs w:val="24"/>
          <w:lang w:val="en-US"/>
        </w:rPr>
        <w:t xml:space="preserve"> in Bassot, 2016, p. 1) claims that ‘without reflection, we go blindly on our own way, creating more unintended consequences, and failing to achieve anything useful.’</w:t>
      </w:r>
    </w:p>
    <w:p w14:paraId="69A0AA23" w14:textId="77777777" w:rsidR="00A06A20" w:rsidRDefault="00A06A20" w:rsidP="009228E7">
      <w:pPr>
        <w:spacing w:line="360" w:lineRule="auto"/>
        <w:rPr>
          <w:rFonts w:ascii="Arial" w:hAnsi="Arial" w:cs="Arial"/>
          <w:sz w:val="24"/>
          <w:szCs w:val="24"/>
          <w:lang w:val="en-US"/>
        </w:rPr>
      </w:pPr>
    </w:p>
    <w:bookmarkEnd w:id="0"/>
    <w:p w14:paraId="4210FB94" w14:textId="77777777" w:rsidR="007C69F3" w:rsidRDefault="007C69F3" w:rsidP="00396114">
      <w:pPr>
        <w:jc w:val="center"/>
        <w:rPr>
          <w:lang w:val="en-US"/>
        </w:rPr>
      </w:pPr>
    </w:p>
    <w:p w14:paraId="552485A8" w14:textId="77777777" w:rsidR="007C69F3" w:rsidRDefault="007C69F3" w:rsidP="00396114">
      <w:pPr>
        <w:jc w:val="center"/>
        <w:rPr>
          <w:lang w:val="en-US"/>
        </w:rPr>
      </w:pPr>
    </w:p>
    <w:p w14:paraId="279D593D" w14:textId="77777777" w:rsidR="007C69F3" w:rsidRDefault="007C69F3" w:rsidP="00396114">
      <w:pPr>
        <w:jc w:val="center"/>
        <w:rPr>
          <w:lang w:val="en-US"/>
        </w:rPr>
      </w:pPr>
    </w:p>
    <w:p w14:paraId="5DDC2843" w14:textId="77777777" w:rsidR="007C69F3" w:rsidRDefault="007C69F3" w:rsidP="00396114">
      <w:pPr>
        <w:jc w:val="center"/>
        <w:rPr>
          <w:lang w:val="en-US"/>
        </w:rPr>
      </w:pPr>
    </w:p>
    <w:p w14:paraId="6E9C8FFB" w14:textId="77777777" w:rsidR="007C69F3" w:rsidRDefault="007C69F3" w:rsidP="00396114">
      <w:pPr>
        <w:jc w:val="center"/>
        <w:rPr>
          <w:lang w:val="en-US"/>
        </w:rPr>
      </w:pPr>
    </w:p>
    <w:p w14:paraId="1BED9E83" w14:textId="77777777" w:rsidR="007C69F3" w:rsidRDefault="007C69F3" w:rsidP="00396114">
      <w:pPr>
        <w:jc w:val="center"/>
        <w:rPr>
          <w:lang w:val="en-US"/>
        </w:rPr>
      </w:pPr>
    </w:p>
    <w:p w14:paraId="24C3B7EB" w14:textId="69CF69A9" w:rsidR="007C69F3" w:rsidRDefault="007C69F3" w:rsidP="00A06A20">
      <w:pPr>
        <w:rPr>
          <w:lang w:val="en-US"/>
        </w:rPr>
      </w:pPr>
    </w:p>
    <w:p w14:paraId="551569E9" w14:textId="318CF09A" w:rsidR="00A06A20" w:rsidRDefault="00A06A20" w:rsidP="00A06A20">
      <w:pPr>
        <w:rPr>
          <w:lang w:val="en-US"/>
        </w:rPr>
      </w:pPr>
    </w:p>
    <w:p w14:paraId="06F71F70" w14:textId="517DB6D8" w:rsidR="00A06A20" w:rsidRDefault="00A06A20" w:rsidP="00A06A20">
      <w:pPr>
        <w:rPr>
          <w:lang w:val="en-US"/>
        </w:rPr>
      </w:pPr>
    </w:p>
    <w:p w14:paraId="5EDC6E49" w14:textId="497FBCFD" w:rsidR="00A06A20" w:rsidRDefault="00A06A20" w:rsidP="00A06A20">
      <w:pPr>
        <w:rPr>
          <w:lang w:val="en-US"/>
        </w:rPr>
      </w:pPr>
    </w:p>
    <w:p w14:paraId="448200EA" w14:textId="4A69E407" w:rsidR="00A06A20" w:rsidRDefault="00A06A20" w:rsidP="00A06A20">
      <w:pPr>
        <w:rPr>
          <w:lang w:val="en-US"/>
        </w:rPr>
      </w:pPr>
    </w:p>
    <w:p w14:paraId="5B5DC445" w14:textId="373F8234" w:rsidR="00A06A20" w:rsidRDefault="00A06A20" w:rsidP="00A06A20">
      <w:pPr>
        <w:rPr>
          <w:lang w:val="en-US"/>
        </w:rPr>
      </w:pPr>
    </w:p>
    <w:p w14:paraId="1A72D764" w14:textId="77777777" w:rsidR="00A06A20" w:rsidRDefault="00A06A20" w:rsidP="00A06A20">
      <w:pPr>
        <w:rPr>
          <w:lang w:val="en-US"/>
        </w:rPr>
      </w:pPr>
    </w:p>
    <w:p w14:paraId="02A3079F" w14:textId="77777777" w:rsidR="007C69F3" w:rsidRDefault="007C69F3" w:rsidP="00396114">
      <w:pPr>
        <w:jc w:val="center"/>
        <w:rPr>
          <w:lang w:val="en-US"/>
        </w:rPr>
      </w:pPr>
    </w:p>
    <w:p w14:paraId="3CA9A7D8" w14:textId="77777777" w:rsidR="00A06A20" w:rsidRDefault="00A06A20" w:rsidP="00396114">
      <w:pPr>
        <w:jc w:val="center"/>
        <w:rPr>
          <w:lang w:val="en-US"/>
        </w:rPr>
      </w:pPr>
    </w:p>
    <w:p w14:paraId="298C13F0" w14:textId="77777777" w:rsidR="00A06A20" w:rsidRDefault="00A06A20" w:rsidP="00396114">
      <w:pPr>
        <w:jc w:val="center"/>
        <w:rPr>
          <w:lang w:val="en-US"/>
        </w:rPr>
      </w:pPr>
    </w:p>
    <w:p w14:paraId="6B7693E7" w14:textId="77777777" w:rsidR="00A06A20" w:rsidRDefault="00A06A20" w:rsidP="00396114">
      <w:pPr>
        <w:jc w:val="center"/>
        <w:rPr>
          <w:lang w:val="en-US"/>
        </w:rPr>
      </w:pPr>
    </w:p>
    <w:p w14:paraId="2005BAF7" w14:textId="77777777" w:rsidR="00A06A20" w:rsidRDefault="00A06A20" w:rsidP="00396114">
      <w:pPr>
        <w:jc w:val="center"/>
        <w:rPr>
          <w:lang w:val="en-US"/>
        </w:rPr>
      </w:pPr>
    </w:p>
    <w:p w14:paraId="04F68736" w14:textId="77777777" w:rsidR="00A06A20" w:rsidRDefault="00A06A20" w:rsidP="00396114">
      <w:pPr>
        <w:jc w:val="center"/>
        <w:rPr>
          <w:lang w:val="en-US"/>
        </w:rPr>
      </w:pPr>
    </w:p>
    <w:p w14:paraId="26E454F0" w14:textId="77777777" w:rsidR="00A06A20" w:rsidRDefault="00A06A20" w:rsidP="00396114">
      <w:pPr>
        <w:jc w:val="center"/>
        <w:rPr>
          <w:lang w:val="en-US"/>
        </w:rPr>
      </w:pPr>
    </w:p>
    <w:p w14:paraId="7EB2D1E6" w14:textId="77777777" w:rsidR="00A06A20" w:rsidRDefault="00A06A20" w:rsidP="00396114">
      <w:pPr>
        <w:jc w:val="center"/>
        <w:rPr>
          <w:lang w:val="en-US"/>
        </w:rPr>
      </w:pPr>
    </w:p>
    <w:p w14:paraId="789EBF95" w14:textId="2441E383" w:rsidR="005302AA" w:rsidRPr="005F371E" w:rsidRDefault="005302AA" w:rsidP="0034219B">
      <w:pPr>
        <w:rPr>
          <w:lang w:val="en-US"/>
        </w:rPr>
      </w:pPr>
      <w:bookmarkStart w:id="1" w:name="_GoBack"/>
      <w:bookmarkEnd w:id="1"/>
    </w:p>
    <w:sectPr w:rsidR="005302AA" w:rsidRPr="005F371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64A86" w14:textId="77777777" w:rsidR="0013178B" w:rsidRDefault="0013178B" w:rsidP="00396114">
      <w:pPr>
        <w:spacing w:after="0" w:line="240" w:lineRule="auto"/>
      </w:pPr>
      <w:r>
        <w:separator/>
      </w:r>
    </w:p>
  </w:endnote>
  <w:endnote w:type="continuationSeparator" w:id="0">
    <w:p w14:paraId="62101F4E" w14:textId="77777777" w:rsidR="0013178B" w:rsidRDefault="0013178B" w:rsidP="00396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9179408"/>
      <w:docPartObj>
        <w:docPartGallery w:val="Page Numbers (Bottom of Page)"/>
        <w:docPartUnique/>
      </w:docPartObj>
    </w:sdtPr>
    <w:sdtEndPr>
      <w:rPr>
        <w:noProof/>
      </w:rPr>
    </w:sdtEndPr>
    <w:sdtContent>
      <w:p w14:paraId="7721F17C" w14:textId="5998A856" w:rsidR="00396114" w:rsidRDefault="00396114">
        <w:pPr>
          <w:pStyle w:val="Footer"/>
          <w:jc w:val="right"/>
        </w:pPr>
        <w:r>
          <w:fldChar w:fldCharType="begin"/>
        </w:r>
        <w:r>
          <w:instrText xml:space="preserve"> PAGE   \* MERGEFORMAT </w:instrText>
        </w:r>
        <w:r>
          <w:fldChar w:fldCharType="separate"/>
        </w:r>
        <w:r w:rsidR="0034219B">
          <w:rPr>
            <w:noProof/>
          </w:rPr>
          <w:t>7</w:t>
        </w:r>
        <w:r>
          <w:rPr>
            <w:noProof/>
          </w:rPr>
          <w:fldChar w:fldCharType="end"/>
        </w:r>
      </w:p>
    </w:sdtContent>
  </w:sdt>
  <w:p w14:paraId="73485BAF" w14:textId="77777777" w:rsidR="00396114" w:rsidRDefault="00396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6FF2E" w14:textId="77777777" w:rsidR="0013178B" w:rsidRDefault="0013178B" w:rsidP="00396114">
      <w:pPr>
        <w:spacing w:after="0" w:line="240" w:lineRule="auto"/>
      </w:pPr>
      <w:r>
        <w:separator/>
      </w:r>
    </w:p>
  </w:footnote>
  <w:footnote w:type="continuationSeparator" w:id="0">
    <w:p w14:paraId="5D449AA1" w14:textId="77777777" w:rsidR="0013178B" w:rsidRDefault="0013178B" w:rsidP="00396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1FBB4" w14:textId="4443B0FB" w:rsidR="00396114" w:rsidRDefault="00916580">
    <w:pPr>
      <w:pStyle w:val="Header"/>
    </w:pPr>
    <w:r>
      <w:t>ECAY4001</w:t>
    </w:r>
    <w:r w:rsidR="00396114">
      <w:ptab w:relativeTo="margin" w:alignment="center" w:leader="none"/>
    </w:r>
    <w:r>
      <w:t>1811212</w:t>
    </w:r>
  </w:p>
  <w:p w14:paraId="7BC12F72" w14:textId="3EBDF424" w:rsidR="00396114" w:rsidRDefault="00396114">
    <w:pPr>
      <w:pStyle w:val="Header"/>
    </w:pPr>
    <w:r>
      <w:t xml:space="preserve">Assignment </w:t>
    </w:r>
    <w:r w:rsidR="00916580">
      <w:t>2</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71E"/>
    <w:rsid w:val="00001C5F"/>
    <w:rsid w:val="00025E8E"/>
    <w:rsid w:val="00050E46"/>
    <w:rsid w:val="00061D85"/>
    <w:rsid w:val="0007167C"/>
    <w:rsid w:val="00075298"/>
    <w:rsid w:val="00090761"/>
    <w:rsid w:val="00096CE5"/>
    <w:rsid w:val="000A00FE"/>
    <w:rsid w:val="000A04F4"/>
    <w:rsid w:val="000B12DA"/>
    <w:rsid w:val="000B3267"/>
    <w:rsid w:val="000D3DCC"/>
    <w:rsid w:val="000F4B4E"/>
    <w:rsid w:val="001220FE"/>
    <w:rsid w:val="00124B1B"/>
    <w:rsid w:val="00124D72"/>
    <w:rsid w:val="0013178B"/>
    <w:rsid w:val="0013284F"/>
    <w:rsid w:val="0013361A"/>
    <w:rsid w:val="00147211"/>
    <w:rsid w:val="00170B7B"/>
    <w:rsid w:val="001744C6"/>
    <w:rsid w:val="001766E5"/>
    <w:rsid w:val="0017722F"/>
    <w:rsid w:val="00180913"/>
    <w:rsid w:val="00180C60"/>
    <w:rsid w:val="001849BD"/>
    <w:rsid w:val="001A1F25"/>
    <w:rsid w:val="001B1B39"/>
    <w:rsid w:val="001B254D"/>
    <w:rsid w:val="001C7621"/>
    <w:rsid w:val="001D6CBF"/>
    <w:rsid w:val="001E3C8B"/>
    <w:rsid w:val="001F133F"/>
    <w:rsid w:val="0020133C"/>
    <w:rsid w:val="00202C83"/>
    <w:rsid w:val="00210304"/>
    <w:rsid w:val="00226F67"/>
    <w:rsid w:val="0023442A"/>
    <w:rsid w:val="002350F2"/>
    <w:rsid w:val="00242FFD"/>
    <w:rsid w:val="00246BD1"/>
    <w:rsid w:val="0026095E"/>
    <w:rsid w:val="002665F2"/>
    <w:rsid w:val="00282048"/>
    <w:rsid w:val="002837CE"/>
    <w:rsid w:val="0028478B"/>
    <w:rsid w:val="00287061"/>
    <w:rsid w:val="00296609"/>
    <w:rsid w:val="002C14EA"/>
    <w:rsid w:val="002C6519"/>
    <w:rsid w:val="002C7B9A"/>
    <w:rsid w:val="002D60E2"/>
    <w:rsid w:val="002E7514"/>
    <w:rsid w:val="002F6782"/>
    <w:rsid w:val="00315854"/>
    <w:rsid w:val="003163BD"/>
    <w:rsid w:val="003173DC"/>
    <w:rsid w:val="003231F5"/>
    <w:rsid w:val="003259AF"/>
    <w:rsid w:val="00326706"/>
    <w:rsid w:val="0034219B"/>
    <w:rsid w:val="00361CE6"/>
    <w:rsid w:val="0036427E"/>
    <w:rsid w:val="00385803"/>
    <w:rsid w:val="00385D42"/>
    <w:rsid w:val="00385E1E"/>
    <w:rsid w:val="00387126"/>
    <w:rsid w:val="00392096"/>
    <w:rsid w:val="00395307"/>
    <w:rsid w:val="00396114"/>
    <w:rsid w:val="003A34D8"/>
    <w:rsid w:val="003A6A5D"/>
    <w:rsid w:val="003B0747"/>
    <w:rsid w:val="003C4F3D"/>
    <w:rsid w:val="003D37F6"/>
    <w:rsid w:val="003E4DE1"/>
    <w:rsid w:val="003E75FD"/>
    <w:rsid w:val="003F497E"/>
    <w:rsid w:val="00406B51"/>
    <w:rsid w:val="00407B91"/>
    <w:rsid w:val="004138BB"/>
    <w:rsid w:val="00414B8F"/>
    <w:rsid w:val="00422604"/>
    <w:rsid w:val="00444F40"/>
    <w:rsid w:val="00456EFF"/>
    <w:rsid w:val="00464304"/>
    <w:rsid w:val="00465DEA"/>
    <w:rsid w:val="00471DDA"/>
    <w:rsid w:val="0048112D"/>
    <w:rsid w:val="00484C4E"/>
    <w:rsid w:val="0048519E"/>
    <w:rsid w:val="00485F98"/>
    <w:rsid w:val="00490C4C"/>
    <w:rsid w:val="00493C84"/>
    <w:rsid w:val="004967A0"/>
    <w:rsid w:val="004A296E"/>
    <w:rsid w:val="004A4349"/>
    <w:rsid w:val="004A4E93"/>
    <w:rsid w:val="004C1309"/>
    <w:rsid w:val="004C4BA2"/>
    <w:rsid w:val="004D5D0C"/>
    <w:rsid w:val="004E0F5B"/>
    <w:rsid w:val="004E2C12"/>
    <w:rsid w:val="004F2C8F"/>
    <w:rsid w:val="0050365F"/>
    <w:rsid w:val="005048C3"/>
    <w:rsid w:val="00513785"/>
    <w:rsid w:val="005302AA"/>
    <w:rsid w:val="0054387A"/>
    <w:rsid w:val="00544649"/>
    <w:rsid w:val="00571F29"/>
    <w:rsid w:val="00577D89"/>
    <w:rsid w:val="00584B90"/>
    <w:rsid w:val="005A0382"/>
    <w:rsid w:val="005A1970"/>
    <w:rsid w:val="005B1787"/>
    <w:rsid w:val="005D1BB9"/>
    <w:rsid w:val="005D3BD4"/>
    <w:rsid w:val="005D5043"/>
    <w:rsid w:val="005E3786"/>
    <w:rsid w:val="005F371E"/>
    <w:rsid w:val="00601E89"/>
    <w:rsid w:val="006074BD"/>
    <w:rsid w:val="00614C1F"/>
    <w:rsid w:val="00627D93"/>
    <w:rsid w:val="00630994"/>
    <w:rsid w:val="00632C4F"/>
    <w:rsid w:val="0064332B"/>
    <w:rsid w:val="00645E8F"/>
    <w:rsid w:val="00654C62"/>
    <w:rsid w:val="006604AE"/>
    <w:rsid w:val="00662784"/>
    <w:rsid w:val="0068649C"/>
    <w:rsid w:val="0069491E"/>
    <w:rsid w:val="006A1D22"/>
    <w:rsid w:val="006D3B76"/>
    <w:rsid w:val="006D6F34"/>
    <w:rsid w:val="006E33CE"/>
    <w:rsid w:val="006E5D78"/>
    <w:rsid w:val="006E638A"/>
    <w:rsid w:val="00703D28"/>
    <w:rsid w:val="00706AF6"/>
    <w:rsid w:val="00715A45"/>
    <w:rsid w:val="0072499C"/>
    <w:rsid w:val="0072778B"/>
    <w:rsid w:val="007328A7"/>
    <w:rsid w:val="007623B6"/>
    <w:rsid w:val="00762C0A"/>
    <w:rsid w:val="00766DC5"/>
    <w:rsid w:val="00775831"/>
    <w:rsid w:val="007A2BB8"/>
    <w:rsid w:val="007A3581"/>
    <w:rsid w:val="007A5E63"/>
    <w:rsid w:val="007A7A71"/>
    <w:rsid w:val="007B0D0A"/>
    <w:rsid w:val="007B6783"/>
    <w:rsid w:val="007C39EF"/>
    <w:rsid w:val="007C69F3"/>
    <w:rsid w:val="007E5861"/>
    <w:rsid w:val="007E7496"/>
    <w:rsid w:val="00805C57"/>
    <w:rsid w:val="00814996"/>
    <w:rsid w:val="00821CEF"/>
    <w:rsid w:val="00830B03"/>
    <w:rsid w:val="00845941"/>
    <w:rsid w:val="00857E8F"/>
    <w:rsid w:val="008645A6"/>
    <w:rsid w:val="00864921"/>
    <w:rsid w:val="00865A48"/>
    <w:rsid w:val="00867D35"/>
    <w:rsid w:val="00880123"/>
    <w:rsid w:val="00883FF6"/>
    <w:rsid w:val="008C138F"/>
    <w:rsid w:val="008D16E9"/>
    <w:rsid w:val="008D19A1"/>
    <w:rsid w:val="008D2868"/>
    <w:rsid w:val="008D5C83"/>
    <w:rsid w:val="008F2218"/>
    <w:rsid w:val="008F51F8"/>
    <w:rsid w:val="008F5D36"/>
    <w:rsid w:val="008F60C7"/>
    <w:rsid w:val="0091606D"/>
    <w:rsid w:val="00916580"/>
    <w:rsid w:val="0092204F"/>
    <w:rsid w:val="009228E7"/>
    <w:rsid w:val="00932D88"/>
    <w:rsid w:val="00936EE3"/>
    <w:rsid w:val="00941CCD"/>
    <w:rsid w:val="0094289D"/>
    <w:rsid w:val="00943D70"/>
    <w:rsid w:val="00945F27"/>
    <w:rsid w:val="00971B9D"/>
    <w:rsid w:val="00972792"/>
    <w:rsid w:val="00973863"/>
    <w:rsid w:val="009739A1"/>
    <w:rsid w:val="00992A52"/>
    <w:rsid w:val="00997B41"/>
    <w:rsid w:val="009A1E04"/>
    <w:rsid w:val="009A5ADD"/>
    <w:rsid w:val="009A66F6"/>
    <w:rsid w:val="009A7670"/>
    <w:rsid w:val="009B02E5"/>
    <w:rsid w:val="009B5523"/>
    <w:rsid w:val="009B7CD2"/>
    <w:rsid w:val="009C68E7"/>
    <w:rsid w:val="009D1B3E"/>
    <w:rsid w:val="009D22EF"/>
    <w:rsid w:val="00A0198A"/>
    <w:rsid w:val="00A06A20"/>
    <w:rsid w:val="00A15A6B"/>
    <w:rsid w:val="00A17EB4"/>
    <w:rsid w:val="00A17EC4"/>
    <w:rsid w:val="00A212DA"/>
    <w:rsid w:val="00A27FFC"/>
    <w:rsid w:val="00A40026"/>
    <w:rsid w:val="00A44099"/>
    <w:rsid w:val="00A55D21"/>
    <w:rsid w:val="00A5651A"/>
    <w:rsid w:val="00A66822"/>
    <w:rsid w:val="00A779AF"/>
    <w:rsid w:val="00AA5FFA"/>
    <w:rsid w:val="00AA7021"/>
    <w:rsid w:val="00AB52F0"/>
    <w:rsid w:val="00AC5EAD"/>
    <w:rsid w:val="00AC680E"/>
    <w:rsid w:val="00AC7EE0"/>
    <w:rsid w:val="00AD60EA"/>
    <w:rsid w:val="00AE03AD"/>
    <w:rsid w:val="00AE232D"/>
    <w:rsid w:val="00AE2524"/>
    <w:rsid w:val="00AE3B1B"/>
    <w:rsid w:val="00AF268D"/>
    <w:rsid w:val="00AF5108"/>
    <w:rsid w:val="00B1690E"/>
    <w:rsid w:val="00B3319A"/>
    <w:rsid w:val="00B51563"/>
    <w:rsid w:val="00B539D1"/>
    <w:rsid w:val="00B84DBB"/>
    <w:rsid w:val="00B900BC"/>
    <w:rsid w:val="00B90A4D"/>
    <w:rsid w:val="00B96439"/>
    <w:rsid w:val="00BA24F4"/>
    <w:rsid w:val="00BA3736"/>
    <w:rsid w:val="00BA3CBA"/>
    <w:rsid w:val="00BA5EC1"/>
    <w:rsid w:val="00BB1C06"/>
    <w:rsid w:val="00BC3C15"/>
    <w:rsid w:val="00BD0E57"/>
    <w:rsid w:val="00BE3A94"/>
    <w:rsid w:val="00BF13BA"/>
    <w:rsid w:val="00BF5DC1"/>
    <w:rsid w:val="00C05153"/>
    <w:rsid w:val="00C103F2"/>
    <w:rsid w:val="00C1221D"/>
    <w:rsid w:val="00C15454"/>
    <w:rsid w:val="00C158FC"/>
    <w:rsid w:val="00C15BBE"/>
    <w:rsid w:val="00C1717B"/>
    <w:rsid w:val="00C269F9"/>
    <w:rsid w:val="00C3023B"/>
    <w:rsid w:val="00C44B76"/>
    <w:rsid w:val="00C46460"/>
    <w:rsid w:val="00C5419A"/>
    <w:rsid w:val="00C603FC"/>
    <w:rsid w:val="00C71109"/>
    <w:rsid w:val="00C712F9"/>
    <w:rsid w:val="00C77F6E"/>
    <w:rsid w:val="00C80FE0"/>
    <w:rsid w:val="00C832C5"/>
    <w:rsid w:val="00C95635"/>
    <w:rsid w:val="00C97E46"/>
    <w:rsid w:val="00CB0F1A"/>
    <w:rsid w:val="00CB5865"/>
    <w:rsid w:val="00CB73FC"/>
    <w:rsid w:val="00CD6B18"/>
    <w:rsid w:val="00CE2BBC"/>
    <w:rsid w:val="00CF0D45"/>
    <w:rsid w:val="00CF6CF0"/>
    <w:rsid w:val="00D067AF"/>
    <w:rsid w:val="00D20AEB"/>
    <w:rsid w:val="00D25301"/>
    <w:rsid w:val="00D53F3A"/>
    <w:rsid w:val="00D73DA8"/>
    <w:rsid w:val="00D87A0A"/>
    <w:rsid w:val="00DA0F5D"/>
    <w:rsid w:val="00DA7A56"/>
    <w:rsid w:val="00DC5C93"/>
    <w:rsid w:val="00DD0287"/>
    <w:rsid w:val="00DD404B"/>
    <w:rsid w:val="00DE2138"/>
    <w:rsid w:val="00DE31F6"/>
    <w:rsid w:val="00DE5EAE"/>
    <w:rsid w:val="00DF4046"/>
    <w:rsid w:val="00E07031"/>
    <w:rsid w:val="00E07243"/>
    <w:rsid w:val="00E10A27"/>
    <w:rsid w:val="00E14E97"/>
    <w:rsid w:val="00E17FE7"/>
    <w:rsid w:val="00E314CE"/>
    <w:rsid w:val="00E33F0D"/>
    <w:rsid w:val="00E35C1A"/>
    <w:rsid w:val="00E3632F"/>
    <w:rsid w:val="00E677BC"/>
    <w:rsid w:val="00E67F94"/>
    <w:rsid w:val="00E758AE"/>
    <w:rsid w:val="00E8595F"/>
    <w:rsid w:val="00E950B9"/>
    <w:rsid w:val="00EA047C"/>
    <w:rsid w:val="00EA2B5A"/>
    <w:rsid w:val="00EC4DEE"/>
    <w:rsid w:val="00ED37D6"/>
    <w:rsid w:val="00EE2CFE"/>
    <w:rsid w:val="00EE69EF"/>
    <w:rsid w:val="00EF5881"/>
    <w:rsid w:val="00EF61EA"/>
    <w:rsid w:val="00F12AFB"/>
    <w:rsid w:val="00F130AF"/>
    <w:rsid w:val="00F208CA"/>
    <w:rsid w:val="00F22DFB"/>
    <w:rsid w:val="00F50F44"/>
    <w:rsid w:val="00F5635E"/>
    <w:rsid w:val="00F6331F"/>
    <w:rsid w:val="00F63C4F"/>
    <w:rsid w:val="00F81C26"/>
    <w:rsid w:val="00F84DE8"/>
    <w:rsid w:val="00FA473A"/>
    <w:rsid w:val="00FC07C9"/>
    <w:rsid w:val="00FC27EA"/>
    <w:rsid w:val="00FC4B27"/>
    <w:rsid w:val="00FD5A01"/>
    <w:rsid w:val="00FE5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E12D"/>
  <w15:chartTrackingRefBased/>
  <w15:docId w15:val="{CA45E418-656F-4723-A7BF-303B6E27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71E"/>
    <w:rPr>
      <w:color w:val="0563C1" w:themeColor="hyperlink"/>
      <w:u w:val="single"/>
    </w:rPr>
  </w:style>
  <w:style w:type="character" w:customStyle="1" w:styleId="UnresolvedMention">
    <w:name w:val="Unresolved Mention"/>
    <w:basedOn w:val="DefaultParagraphFont"/>
    <w:uiPriority w:val="99"/>
    <w:semiHidden/>
    <w:unhideWhenUsed/>
    <w:rsid w:val="005F371E"/>
    <w:rPr>
      <w:color w:val="605E5C"/>
      <w:shd w:val="clear" w:color="auto" w:fill="E1DFDD"/>
    </w:rPr>
  </w:style>
  <w:style w:type="character" w:styleId="FollowedHyperlink">
    <w:name w:val="FollowedHyperlink"/>
    <w:basedOn w:val="DefaultParagraphFont"/>
    <w:uiPriority w:val="99"/>
    <w:semiHidden/>
    <w:unhideWhenUsed/>
    <w:rsid w:val="00AD60EA"/>
    <w:rPr>
      <w:color w:val="954F72" w:themeColor="followedHyperlink"/>
      <w:u w:val="single"/>
    </w:rPr>
  </w:style>
  <w:style w:type="paragraph" w:styleId="Header">
    <w:name w:val="header"/>
    <w:basedOn w:val="Normal"/>
    <w:link w:val="HeaderChar"/>
    <w:uiPriority w:val="99"/>
    <w:unhideWhenUsed/>
    <w:rsid w:val="00396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114"/>
  </w:style>
  <w:style w:type="paragraph" w:styleId="Footer">
    <w:name w:val="footer"/>
    <w:basedOn w:val="Normal"/>
    <w:link w:val="FooterChar"/>
    <w:uiPriority w:val="99"/>
    <w:unhideWhenUsed/>
    <w:rsid w:val="00396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17108-F201-45DD-9C58-34B3F1AF6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dc:creator>
  <cp:keywords/>
  <dc:description/>
  <cp:lastModifiedBy>Ken Dicks</cp:lastModifiedBy>
  <cp:revision>2</cp:revision>
  <dcterms:created xsi:type="dcterms:W3CDTF">2019-07-26T08:24:00Z</dcterms:created>
  <dcterms:modified xsi:type="dcterms:W3CDTF">2019-07-26T08:24:00Z</dcterms:modified>
</cp:coreProperties>
</file>