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0354636"/>
        <w:docPartObj>
          <w:docPartGallery w:val="Cover Pages"/>
          <w:docPartUnique/>
        </w:docPartObj>
      </w:sdtPr>
      <w:sdtEndPr>
        <w:rPr>
          <w:color w:val="FF0000"/>
        </w:rPr>
      </w:sdtEndPr>
      <w:sdtContent>
        <w:p w:rsidR="00F20CA0" w:rsidRDefault="00F20CA0"/>
        <w:p w:rsidR="00586432" w:rsidRPr="009C7CB3" w:rsidRDefault="00F20CA0" w:rsidP="00586432">
          <w:pPr>
            <w:rPr>
              <w:color w:val="FF0000"/>
            </w:rPr>
          </w:pPr>
          <w:r>
            <w:rPr>
              <w:noProof/>
            </w:rPr>
            <mc:AlternateContent>
              <mc:Choice Requires="wps">
                <w:drawing>
                  <wp:anchor distT="0" distB="0" distL="182880" distR="182880" simplePos="0" relativeHeight="251660288" behindDoc="0" locked="0" layoutInCell="1" allowOverlap="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15949" w:rsidRDefault="000F755C">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15949">
                                      <w:rPr>
                                        <w:color w:val="5B9BD5" w:themeColor="accent1"/>
                                        <w:sz w:val="72"/>
                                        <w:szCs w:val="72"/>
                                      </w:rPr>
                                      <w:t>PID Report</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815949" w:rsidRDefault="00815949">
                                    <w:pPr>
                                      <w:pStyle w:val="NoSpacing"/>
                                      <w:spacing w:before="40" w:after="40"/>
                                      <w:rPr>
                                        <w:caps/>
                                        <w:color w:val="1F3864" w:themeColor="accent5" w:themeShade="80"/>
                                        <w:sz w:val="28"/>
                                        <w:szCs w:val="28"/>
                                      </w:rPr>
                                    </w:pPr>
                                    <w:r>
                                      <w:rPr>
                                        <w:caps/>
                                        <w:color w:val="1F3864" w:themeColor="accent5" w:themeShade="80"/>
                                        <w:sz w:val="28"/>
                                        <w:szCs w:val="28"/>
                                      </w:rPr>
                                      <w:t>‘</w:t>
                                    </w:r>
                                    <w:r w:rsidRPr="00F20CA0">
                                      <w:rPr>
                                        <w:caps/>
                                        <w:color w:val="1F3864" w:themeColor="accent5" w:themeShade="80"/>
                                        <w:sz w:val="28"/>
                                        <w:szCs w:val="28"/>
                                      </w:rPr>
                                      <w:t>Helping Hands</w:t>
                                    </w:r>
                                    <w:r>
                                      <w:rPr>
                                        <w:caps/>
                                        <w:color w:val="1F3864" w:themeColor="accent5" w:themeShade="80"/>
                                        <w:sz w:val="28"/>
                                        <w:szCs w:val="28"/>
                                      </w:rPr>
                                      <w:t>’</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815949" w:rsidRDefault="00815949">
                                    <w:pPr>
                                      <w:pStyle w:val="NoSpacing"/>
                                      <w:spacing w:before="80" w:after="40"/>
                                      <w:rPr>
                                        <w:caps/>
                                        <w:color w:val="4472C4" w:themeColor="accent5"/>
                                        <w:sz w:val="24"/>
                                        <w:szCs w:val="24"/>
                                      </w:rPr>
                                    </w:pPr>
                                    <w:r>
                                      <w:rPr>
                                        <w:caps/>
                                        <w:color w:val="4472C4" w:themeColor="accent5"/>
                                        <w:sz w:val="24"/>
                                        <w:szCs w:val="24"/>
                                      </w:rPr>
                                      <w:t>Stacey Brown (P150365)</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rsidR="00815949" w:rsidRDefault="000F755C">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15949">
                                <w:rPr>
                                  <w:color w:val="5B9BD5" w:themeColor="accent1"/>
                                  <w:sz w:val="72"/>
                                  <w:szCs w:val="72"/>
                                </w:rPr>
                                <w:t>PID Report</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815949" w:rsidRDefault="00815949">
                              <w:pPr>
                                <w:pStyle w:val="NoSpacing"/>
                                <w:spacing w:before="40" w:after="40"/>
                                <w:rPr>
                                  <w:caps/>
                                  <w:color w:val="1F3864" w:themeColor="accent5" w:themeShade="80"/>
                                  <w:sz w:val="28"/>
                                  <w:szCs w:val="28"/>
                                </w:rPr>
                              </w:pPr>
                              <w:r>
                                <w:rPr>
                                  <w:caps/>
                                  <w:color w:val="1F3864" w:themeColor="accent5" w:themeShade="80"/>
                                  <w:sz w:val="28"/>
                                  <w:szCs w:val="28"/>
                                </w:rPr>
                                <w:t>‘</w:t>
                              </w:r>
                              <w:r w:rsidRPr="00F20CA0">
                                <w:rPr>
                                  <w:caps/>
                                  <w:color w:val="1F3864" w:themeColor="accent5" w:themeShade="80"/>
                                  <w:sz w:val="28"/>
                                  <w:szCs w:val="28"/>
                                </w:rPr>
                                <w:t>Helping Hands</w:t>
                              </w:r>
                              <w:r>
                                <w:rPr>
                                  <w:caps/>
                                  <w:color w:val="1F3864" w:themeColor="accent5" w:themeShade="80"/>
                                  <w:sz w:val="28"/>
                                  <w:szCs w:val="28"/>
                                </w:rPr>
                                <w:t>’</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815949" w:rsidRDefault="00815949">
                              <w:pPr>
                                <w:pStyle w:val="NoSpacing"/>
                                <w:spacing w:before="80" w:after="40"/>
                                <w:rPr>
                                  <w:caps/>
                                  <w:color w:val="4472C4" w:themeColor="accent5"/>
                                  <w:sz w:val="24"/>
                                  <w:szCs w:val="24"/>
                                </w:rPr>
                              </w:pPr>
                              <w:r>
                                <w:rPr>
                                  <w:caps/>
                                  <w:color w:val="4472C4" w:themeColor="accent5"/>
                                  <w:sz w:val="24"/>
                                  <w:szCs w:val="24"/>
                                </w:rPr>
                                <w:t>Stacey Brown (P150365)</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rsidR="00815949" w:rsidRDefault="00815949">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5b9bd5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rsidR="00815949" w:rsidRDefault="00815949">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Pr>
              <w:color w:val="FF0000"/>
            </w:rPr>
            <w:br w:type="page"/>
          </w:r>
        </w:p>
      </w:sdtContent>
    </w:sdt>
    <w:p w:rsidR="00586432" w:rsidRDefault="00586432" w:rsidP="00586432">
      <w:bookmarkStart w:id="0" w:name="_Toc29996432"/>
      <w:r w:rsidRPr="00586432">
        <w:rPr>
          <w:rStyle w:val="Heading1Char"/>
        </w:rPr>
        <w:lastRenderedPageBreak/>
        <w:t>Executive Summary</w:t>
      </w:r>
      <w:bookmarkEnd w:id="0"/>
      <w:r>
        <w:t xml:space="preserve"> </w:t>
      </w:r>
    </w:p>
    <w:p w:rsidR="006338B7" w:rsidRDefault="006338B7" w:rsidP="006338B7">
      <w:pPr>
        <w:spacing w:line="360" w:lineRule="auto"/>
      </w:pPr>
      <w:r w:rsidRPr="006338B7">
        <w:t xml:space="preserve">This report outlines the business case for ‘Helping Hands’; a heath program that focuses on mental wellbeing at its core.  </w:t>
      </w:r>
      <w:r>
        <w:t xml:space="preserve">The business idea is a series of fitness classes developed specifically to improve mental wellbeing. Alongside this will be yoga classes and cookery classes that focus on nutrition for improved mental health.  </w:t>
      </w:r>
      <w:r w:rsidRPr="00F20CA0">
        <w:t xml:space="preserve">This project is necessary because there are currently not enough recreational activities that are fundamentally focused on mental health needs. </w:t>
      </w:r>
      <w:r>
        <w:t xml:space="preserve"> Services that provide </w:t>
      </w:r>
      <w:r w:rsidRPr="00F20CA0">
        <w:t xml:space="preserve">mental health awareness </w:t>
      </w:r>
      <w:r>
        <w:t xml:space="preserve">are usually in addition to the main service or offered as a separate service.  </w:t>
      </w:r>
    </w:p>
    <w:p w:rsidR="006338B7" w:rsidRDefault="006338B7" w:rsidP="006338B7">
      <w:pPr>
        <w:spacing w:line="360" w:lineRule="auto"/>
      </w:pPr>
      <w:r>
        <w:t>Research shows that mental wellbeing can be improved through p</w:t>
      </w:r>
      <w:r w:rsidR="00193E51">
        <w:t xml:space="preserve">hysical exercise and a balanced diet.  The project aims to utilise this research to provide a series of classes that can improve mental wellbeing.  </w:t>
      </w:r>
    </w:p>
    <w:p w:rsidR="00193E51" w:rsidRDefault="00193E51" w:rsidP="006338B7">
      <w:pPr>
        <w:spacing w:line="360" w:lineRule="auto"/>
      </w:pPr>
      <w:r>
        <w:t xml:space="preserve">Porter’s Five Forces is used to provide an environmental analysis.  </w:t>
      </w:r>
      <w:r w:rsidR="009C7CB3">
        <w:t xml:space="preserve">The outcome of the Five Forces analysis is that threat of supplier power is the biggest threat.  The threat of competition, new entrants or substitutions is relatively low.  Most of the supplies required for the business can be purchased from multiple suppliers, giving buyer power to ‘Helping Hands’.  However, the cost of renting the venue is at risk of increasing over time.  </w:t>
      </w:r>
    </w:p>
    <w:p w:rsidR="009C7CB3" w:rsidRDefault="009C7CB3" w:rsidP="006338B7">
      <w:pPr>
        <w:spacing w:line="360" w:lineRule="auto"/>
      </w:pPr>
      <w:r>
        <w:t xml:space="preserve">The report concludes that the business idea is viable and should go ahead. </w:t>
      </w:r>
      <w:r w:rsidR="00815949">
        <w:t xml:space="preserve"> It also concludes that membership fees should be introduced in order to reduce buyer power, but this will have to be reviewed at a later date and the financial implications analysed.  </w:t>
      </w:r>
    </w:p>
    <w:p w:rsidR="006338B7" w:rsidRDefault="006338B7">
      <w:pPr>
        <w:pStyle w:val="TOCHeading"/>
        <w:rPr>
          <w:rFonts w:asciiTheme="minorHAnsi" w:eastAsiaTheme="minorHAnsi" w:hAnsiTheme="minorHAnsi" w:cstheme="minorBidi"/>
          <w:color w:val="auto"/>
          <w:sz w:val="22"/>
          <w:szCs w:val="22"/>
          <w:lang w:val="en-GB"/>
        </w:rPr>
      </w:pPr>
    </w:p>
    <w:sdt>
      <w:sdtPr>
        <w:rPr>
          <w:rFonts w:asciiTheme="minorHAnsi" w:eastAsiaTheme="minorHAnsi" w:hAnsiTheme="minorHAnsi" w:cstheme="minorBidi"/>
          <w:color w:val="auto"/>
          <w:sz w:val="22"/>
          <w:szCs w:val="22"/>
          <w:lang w:val="en-GB"/>
        </w:rPr>
        <w:id w:val="1866176272"/>
        <w:docPartObj>
          <w:docPartGallery w:val="Table of Contents"/>
          <w:docPartUnique/>
        </w:docPartObj>
      </w:sdtPr>
      <w:sdtEndPr>
        <w:rPr>
          <w:b/>
          <w:bCs/>
          <w:noProof/>
        </w:rPr>
      </w:sdtEndPr>
      <w:sdtContent>
        <w:p w:rsidR="00F20CA0" w:rsidRDefault="00F20CA0">
          <w:pPr>
            <w:pStyle w:val="TOCHeading"/>
          </w:pPr>
        </w:p>
        <w:p w:rsidR="00F20CA0" w:rsidRDefault="00F20CA0">
          <w:pPr>
            <w:rPr>
              <w:rFonts w:asciiTheme="majorHAnsi" w:eastAsiaTheme="majorEastAsia" w:hAnsiTheme="majorHAnsi" w:cstheme="majorBidi"/>
              <w:color w:val="2E74B5" w:themeColor="accent1" w:themeShade="BF"/>
              <w:sz w:val="32"/>
              <w:szCs w:val="32"/>
              <w:lang w:val="en-US"/>
            </w:rPr>
          </w:pPr>
          <w:r>
            <w:br w:type="page"/>
          </w:r>
        </w:p>
        <w:p w:rsidR="00F20CA0" w:rsidRDefault="00F20CA0">
          <w:pPr>
            <w:pStyle w:val="TOCHeading"/>
          </w:pPr>
          <w:r>
            <w:lastRenderedPageBreak/>
            <w:t>Contents</w:t>
          </w:r>
        </w:p>
        <w:p w:rsidR="000F755C" w:rsidRDefault="00F20CA0">
          <w:pPr>
            <w:pStyle w:val="TOC1"/>
            <w:rPr>
              <w:rFonts w:eastAsiaTheme="minorEastAsia"/>
              <w:lang w:eastAsia="en-GB"/>
            </w:rPr>
          </w:pPr>
          <w:r>
            <w:rPr>
              <w:noProof w:val="0"/>
            </w:rPr>
            <w:fldChar w:fldCharType="begin"/>
          </w:r>
          <w:r>
            <w:instrText xml:space="preserve"> TOC \o "1-3" \h \z \u </w:instrText>
          </w:r>
          <w:r>
            <w:rPr>
              <w:noProof w:val="0"/>
            </w:rPr>
            <w:fldChar w:fldCharType="separate"/>
          </w:r>
          <w:hyperlink w:anchor="_Toc29996432" w:history="1">
            <w:r w:rsidR="000F755C" w:rsidRPr="0045484C">
              <w:rPr>
                <w:rStyle w:val="Hyperlink"/>
              </w:rPr>
              <w:t>Executive Summary</w:t>
            </w:r>
            <w:r w:rsidR="000F755C">
              <w:rPr>
                <w:webHidden/>
              </w:rPr>
              <w:tab/>
            </w:r>
            <w:r w:rsidR="000F755C">
              <w:rPr>
                <w:webHidden/>
              </w:rPr>
              <w:fldChar w:fldCharType="begin"/>
            </w:r>
            <w:r w:rsidR="000F755C">
              <w:rPr>
                <w:webHidden/>
              </w:rPr>
              <w:instrText xml:space="preserve"> PAGEREF _Toc29996432 \h </w:instrText>
            </w:r>
            <w:r w:rsidR="000F755C">
              <w:rPr>
                <w:webHidden/>
              </w:rPr>
            </w:r>
            <w:r w:rsidR="000F755C">
              <w:rPr>
                <w:webHidden/>
              </w:rPr>
              <w:fldChar w:fldCharType="separate"/>
            </w:r>
            <w:r w:rsidR="000F755C">
              <w:rPr>
                <w:webHidden/>
              </w:rPr>
              <w:t>1</w:t>
            </w:r>
            <w:r w:rsidR="000F755C">
              <w:rPr>
                <w:webHidden/>
              </w:rPr>
              <w:fldChar w:fldCharType="end"/>
            </w:r>
          </w:hyperlink>
        </w:p>
        <w:p w:rsidR="000F755C" w:rsidRDefault="000F755C" w:rsidP="000F755C">
          <w:pPr>
            <w:pStyle w:val="TOC1"/>
            <w:tabs>
              <w:tab w:val="left" w:pos="440"/>
            </w:tabs>
            <w:rPr>
              <w:rFonts w:eastAsiaTheme="minorEastAsia"/>
              <w:lang w:eastAsia="en-GB"/>
            </w:rPr>
          </w:pPr>
          <w:r w:rsidRPr="000F755C">
            <w:rPr>
              <w:rStyle w:val="Hyperlink"/>
              <w:color w:val="auto"/>
              <w:u w:val="none"/>
            </w:rPr>
            <w:t xml:space="preserve">1. </w:t>
          </w:r>
          <w:hyperlink w:anchor="_Toc29996433" w:history="1">
            <w:r w:rsidRPr="0045484C">
              <w:rPr>
                <w:rStyle w:val="Hyperlink"/>
              </w:rPr>
              <w:t>Project Description with Business Case</w:t>
            </w:r>
            <w:r>
              <w:rPr>
                <w:webHidden/>
              </w:rPr>
              <w:tab/>
            </w:r>
            <w:r>
              <w:rPr>
                <w:webHidden/>
              </w:rPr>
              <w:fldChar w:fldCharType="begin"/>
            </w:r>
            <w:r>
              <w:rPr>
                <w:webHidden/>
              </w:rPr>
              <w:instrText xml:space="preserve"> PAGEREF _Toc29996433 \h </w:instrText>
            </w:r>
            <w:r>
              <w:rPr>
                <w:webHidden/>
              </w:rPr>
            </w:r>
            <w:r>
              <w:rPr>
                <w:webHidden/>
              </w:rPr>
              <w:fldChar w:fldCharType="separate"/>
            </w:r>
            <w:r>
              <w:rPr>
                <w:webHidden/>
              </w:rPr>
              <w:t>3</w:t>
            </w:r>
            <w:r>
              <w:rPr>
                <w:webHidden/>
              </w:rPr>
              <w:fldChar w:fldCharType="end"/>
            </w:r>
          </w:hyperlink>
        </w:p>
        <w:p w:rsidR="000F755C" w:rsidRDefault="000F755C">
          <w:pPr>
            <w:pStyle w:val="TOC1"/>
            <w:rPr>
              <w:rFonts w:eastAsiaTheme="minorEastAsia"/>
              <w:lang w:eastAsia="en-GB"/>
            </w:rPr>
          </w:pPr>
          <w:hyperlink w:anchor="_Toc29996434" w:history="1">
            <w:r w:rsidRPr="0045484C">
              <w:rPr>
                <w:rStyle w:val="Hyperlink"/>
              </w:rPr>
              <w:t>2. Environmental analysis</w:t>
            </w:r>
            <w:r>
              <w:rPr>
                <w:webHidden/>
              </w:rPr>
              <w:tab/>
            </w:r>
            <w:r>
              <w:rPr>
                <w:webHidden/>
              </w:rPr>
              <w:fldChar w:fldCharType="begin"/>
            </w:r>
            <w:r>
              <w:rPr>
                <w:webHidden/>
              </w:rPr>
              <w:instrText xml:space="preserve"> PAGEREF _Toc29996434 \h </w:instrText>
            </w:r>
            <w:r>
              <w:rPr>
                <w:webHidden/>
              </w:rPr>
            </w:r>
            <w:r>
              <w:rPr>
                <w:webHidden/>
              </w:rPr>
              <w:fldChar w:fldCharType="separate"/>
            </w:r>
            <w:r>
              <w:rPr>
                <w:webHidden/>
              </w:rPr>
              <w:t>4</w:t>
            </w:r>
            <w:r>
              <w:rPr>
                <w:webHidden/>
              </w:rPr>
              <w:fldChar w:fldCharType="end"/>
            </w:r>
          </w:hyperlink>
        </w:p>
        <w:p w:rsidR="000F755C" w:rsidRDefault="000F755C">
          <w:pPr>
            <w:pStyle w:val="TOC2"/>
            <w:tabs>
              <w:tab w:val="right" w:leader="dot" w:pos="9016"/>
            </w:tabs>
            <w:rPr>
              <w:rFonts w:eastAsiaTheme="minorEastAsia"/>
              <w:noProof/>
              <w:lang w:eastAsia="en-GB"/>
            </w:rPr>
          </w:pPr>
          <w:hyperlink w:anchor="_Toc29996435" w:history="1">
            <w:r w:rsidRPr="0045484C">
              <w:rPr>
                <w:rStyle w:val="Hyperlink"/>
                <w:noProof/>
              </w:rPr>
              <w:t>2.1 Threat of New Entrants</w:t>
            </w:r>
            <w:r>
              <w:rPr>
                <w:noProof/>
                <w:webHidden/>
              </w:rPr>
              <w:tab/>
            </w:r>
            <w:r>
              <w:rPr>
                <w:noProof/>
                <w:webHidden/>
              </w:rPr>
              <w:fldChar w:fldCharType="begin"/>
            </w:r>
            <w:r>
              <w:rPr>
                <w:noProof/>
                <w:webHidden/>
              </w:rPr>
              <w:instrText xml:space="preserve"> PAGEREF _Toc29996435 \h </w:instrText>
            </w:r>
            <w:r>
              <w:rPr>
                <w:noProof/>
                <w:webHidden/>
              </w:rPr>
            </w:r>
            <w:r>
              <w:rPr>
                <w:noProof/>
                <w:webHidden/>
              </w:rPr>
              <w:fldChar w:fldCharType="separate"/>
            </w:r>
            <w:r>
              <w:rPr>
                <w:noProof/>
                <w:webHidden/>
              </w:rPr>
              <w:t>5</w:t>
            </w:r>
            <w:r>
              <w:rPr>
                <w:noProof/>
                <w:webHidden/>
              </w:rPr>
              <w:fldChar w:fldCharType="end"/>
            </w:r>
          </w:hyperlink>
        </w:p>
        <w:p w:rsidR="000F755C" w:rsidRDefault="000F755C">
          <w:pPr>
            <w:pStyle w:val="TOC2"/>
            <w:tabs>
              <w:tab w:val="right" w:leader="dot" w:pos="9016"/>
            </w:tabs>
            <w:rPr>
              <w:rFonts w:eastAsiaTheme="minorEastAsia"/>
              <w:noProof/>
              <w:lang w:eastAsia="en-GB"/>
            </w:rPr>
          </w:pPr>
          <w:hyperlink w:anchor="_Toc29996436" w:history="1">
            <w:r w:rsidRPr="0045484C">
              <w:rPr>
                <w:rStyle w:val="Hyperlink"/>
                <w:noProof/>
              </w:rPr>
              <w:t>2.2 Supplier Bargaining Power</w:t>
            </w:r>
            <w:r>
              <w:rPr>
                <w:noProof/>
                <w:webHidden/>
              </w:rPr>
              <w:tab/>
            </w:r>
            <w:r>
              <w:rPr>
                <w:noProof/>
                <w:webHidden/>
              </w:rPr>
              <w:fldChar w:fldCharType="begin"/>
            </w:r>
            <w:r>
              <w:rPr>
                <w:noProof/>
                <w:webHidden/>
              </w:rPr>
              <w:instrText xml:space="preserve"> PAGEREF _Toc29996436 \h </w:instrText>
            </w:r>
            <w:r>
              <w:rPr>
                <w:noProof/>
                <w:webHidden/>
              </w:rPr>
            </w:r>
            <w:r>
              <w:rPr>
                <w:noProof/>
                <w:webHidden/>
              </w:rPr>
              <w:fldChar w:fldCharType="separate"/>
            </w:r>
            <w:r>
              <w:rPr>
                <w:noProof/>
                <w:webHidden/>
              </w:rPr>
              <w:t>6</w:t>
            </w:r>
            <w:r>
              <w:rPr>
                <w:noProof/>
                <w:webHidden/>
              </w:rPr>
              <w:fldChar w:fldCharType="end"/>
            </w:r>
          </w:hyperlink>
        </w:p>
        <w:p w:rsidR="000F755C" w:rsidRDefault="000F755C">
          <w:pPr>
            <w:pStyle w:val="TOC2"/>
            <w:tabs>
              <w:tab w:val="right" w:leader="dot" w:pos="9016"/>
            </w:tabs>
            <w:rPr>
              <w:rFonts w:eastAsiaTheme="minorEastAsia"/>
              <w:noProof/>
              <w:lang w:eastAsia="en-GB"/>
            </w:rPr>
          </w:pPr>
          <w:hyperlink w:anchor="_Toc29996437" w:history="1">
            <w:r w:rsidRPr="0045484C">
              <w:rPr>
                <w:rStyle w:val="Hyperlink"/>
                <w:noProof/>
              </w:rPr>
              <w:t>2.3 Competition</w:t>
            </w:r>
            <w:r>
              <w:rPr>
                <w:noProof/>
                <w:webHidden/>
              </w:rPr>
              <w:tab/>
            </w:r>
            <w:r>
              <w:rPr>
                <w:noProof/>
                <w:webHidden/>
              </w:rPr>
              <w:fldChar w:fldCharType="begin"/>
            </w:r>
            <w:r>
              <w:rPr>
                <w:noProof/>
                <w:webHidden/>
              </w:rPr>
              <w:instrText xml:space="preserve"> PAGEREF _Toc29996437 \h </w:instrText>
            </w:r>
            <w:r>
              <w:rPr>
                <w:noProof/>
                <w:webHidden/>
              </w:rPr>
            </w:r>
            <w:r>
              <w:rPr>
                <w:noProof/>
                <w:webHidden/>
              </w:rPr>
              <w:fldChar w:fldCharType="separate"/>
            </w:r>
            <w:r>
              <w:rPr>
                <w:noProof/>
                <w:webHidden/>
              </w:rPr>
              <w:t>6</w:t>
            </w:r>
            <w:r>
              <w:rPr>
                <w:noProof/>
                <w:webHidden/>
              </w:rPr>
              <w:fldChar w:fldCharType="end"/>
            </w:r>
          </w:hyperlink>
        </w:p>
        <w:p w:rsidR="000F755C" w:rsidRDefault="000F755C">
          <w:pPr>
            <w:pStyle w:val="TOC2"/>
            <w:tabs>
              <w:tab w:val="right" w:leader="dot" w:pos="9016"/>
            </w:tabs>
            <w:rPr>
              <w:rFonts w:eastAsiaTheme="minorEastAsia"/>
              <w:noProof/>
              <w:lang w:eastAsia="en-GB"/>
            </w:rPr>
          </w:pPr>
          <w:hyperlink w:anchor="_Toc29996438" w:history="1">
            <w:r w:rsidRPr="0045484C">
              <w:rPr>
                <w:rStyle w:val="Hyperlink"/>
                <w:noProof/>
              </w:rPr>
              <w:t>2.4 Threat of Substitutes</w:t>
            </w:r>
            <w:r>
              <w:rPr>
                <w:noProof/>
                <w:webHidden/>
              </w:rPr>
              <w:tab/>
            </w:r>
            <w:r>
              <w:rPr>
                <w:noProof/>
                <w:webHidden/>
              </w:rPr>
              <w:fldChar w:fldCharType="begin"/>
            </w:r>
            <w:r>
              <w:rPr>
                <w:noProof/>
                <w:webHidden/>
              </w:rPr>
              <w:instrText xml:space="preserve"> PAGEREF _Toc29996438 \h </w:instrText>
            </w:r>
            <w:r>
              <w:rPr>
                <w:noProof/>
                <w:webHidden/>
              </w:rPr>
            </w:r>
            <w:r>
              <w:rPr>
                <w:noProof/>
                <w:webHidden/>
              </w:rPr>
              <w:fldChar w:fldCharType="separate"/>
            </w:r>
            <w:r>
              <w:rPr>
                <w:noProof/>
                <w:webHidden/>
              </w:rPr>
              <w:t>7</w:t>
            </w:r>
            <w:r>
              <w:rPr>
                <w:noProof/>
                <w:webHidden/>
              </w:rPr>
              <w:fldChar w:fldCharType="end"/>
            </w:r>
          </w:hyperlink>
        </w:p>
        <w:p w:rsidR="000F755C" w:rsidRDefault="000F755C">
          <w:pPr>
            <w:pStyle w:val="TOC2"/>
            <w:tabs>
              <w:tab w:val="right" w:leader="dot" w:pos="9016"/>
            </w:tabs>
            <w:rPr>
              <w:rFonts w:eastAsiaTheme="minorEastAsia"/>
              <w:noProof/>
              <w:lang w:eastAsia="en-GB"/>
            </w:rPr>
          </w:pPr>
          <w:hyperlink w:anchor="_Toc29996439" w:history="1">
            <w:r w:rsidRPr="0045484C">
              <w:rPr>
                <w:rStyle w:val="Hyperlink"/>
                <w:noProof/>
              </w:rPr>
              <w:t>2.5 Customer Bargaining power</w:t>
            </w:r>
            <w:r>
              <w:rPr>
                <w:noProof/>
                <w:webHidden/>
              </w:rPr>
              <w:tab/>
            </w:r>
            <w:r>
              <w:rPr>
                <w:noProof/>
                <w:webHidden/>
              </w:rPr>
              <w:fldChar w:fldCharType="begin"/>
            </w:r>
            <w:r>
              <w:rPr>
                <w:noProof/>
                <w:webHidden/>
              </w:rPr>
              <w:instrText xml:space="preserve"> PAGEREF _Toc29996439 \h </w:instrText>
            </w:r>
            <w:r>
              <w:rPr>
                <w:noProof/>
                <w:webHidden/>
              </w:rPr>
            </w:r>
            <w:r>
              <w:rPr>
                <w:noProof/>
                <w:webHidden/>
              </w:rPr>
              <w:fldChar w:fldCharType="separate"/>
            </w:r>
            <w:r>
              <w:rPr>
                <w:noProof/>
                <w:webHidden/>
              </w:rPr>
              <w:t>7</w:t>
            </w:r>
            <w:r>
              <w:rPr>
                <w:noProof/>
                <w:webHidden/>
              </w:rPr>
              <w:fldChar w:fldCharType="end"/>
            </w:r>
          </w:hyperlink>
        </w:p>
        <w:p w:rsidR="000F755C" w:rsidRDefault="000F755C">
          <w:pPr>
            <w:pStyle w:val="TOC1"/>
            <w:rPr>
              <w:rFonts w:eastAsiaTheme="minorEastAsia"/>
              <w:lang w:eastAsia="en-GB"/>
            </w:rPr>
          </w:pPr>
          <w:hyperlink w:anchor="_Toc29996440" w:history="1">
            <w:r w:rsidRPr="0045484C">
              <w:rPr>
                <w:rStyle w:val="Hyperlink"/>
              </w:rPr>
              <w:t>3. Operational Requirements</w:t>
            </w:r>
            <w:r>
              <w:rPr>
                <w:webHidden/>
              </w:rPr>
              <w:tab/>
            </w:r>
            <w:r>
              <w:rPr>
                <w:webHidden/>
              </w:rPr>
              <w:fldChar w:fldCharType="begin"/>
            </w:r>
            <w:r>
              <w:rPr>
                <w:webHidden/>
              </w:rPr>
              <w:instrText xml:space="preserve"> PAGEREF _Toc29996440 \h </w:instrText>
            </w:r>
            <w:r>
              <w:rPr>
                <w:webHidden/>
              </w:rPr>
            </w:r>
            <w:r>
              <w:rPr>
                <w:webHidden/>
              </w:rPr>
              <w:fldChar w:fldCharType="separate"/>
            </w:r>
            <w:r>
              <w:rPr>
                <w:webHidden/>
              </w:rPr>
              <w:t>8</w:t>
            </w:r>
            <w:r>
              <w:rPr>
                <w:webHidden/>
              </w:rPr>
              <w:fldChar w:fldCharType="end"/>
            </w:r>
          </w:hyperlink>
        </w:p>
        <w:p w:rsidR="000F755C" w:rsidRDefault="000F755C">
          <w:pPr>
            <w:pStyle w:val="TOC1"/>
            <w:rPr>
              <w:rFonts w:eastAsiaTheme="minorEastAsia"/>
              <w:lang w:eastAsia="en-GB"/>
            </w:rPr>
          </w:pPr>
          <w:hyperlink w:anchor="_Toc29996441" w:history="1">
            <w:r w:rsidRPr="0045484C">
              <w:rPr>
                <w:rStyle w:val="Hyperlink"/>
              </w:rPr>
              <w:t>4. Financial Projections</w:t>
            </w:r>
            <w:r>
              <w:rPr>
                <w:webHidden/>
              </w:rPr>
              <w:tab/>
            </w:r>
            <w:r>
              <w:rPr>
                <w:webHidden/>
              </w:rPr>
              <w:fldChar w:fldCharType="begin"/>
            </w:r>
            <w:r>
              <w:rPr>
                <w:webHidden/>
              </w:rPr>
              <w:instrText xml:space="preserve"> PAGEREF _Toc29996441 \h </w:instrText>
            </w:r>
            <w:r>
              <w:rPr>
                <w:webHidden/>
              </w:rPr>
            </w:r>
            <w:r>
              <w:rPr>
                <w:webHidden/>
              </w:rPr>
              <w:fldChar w:fldCharType="separate"/>
            </w:r>
            <w:r>
              <w:rPr>
                <w:webHidden/>
              </w:rPr>
              <w:t>10</w:t>
            </w:r>
            <w:r>
              <w:rPr>
                <w:webHidden/>
              </w:rPr>
              <w:fldChar w:fldCharType="end"/>
            </w:r>
          </w:hyperlink>
        </w:p>
        <w:p w:rsidR="000F755C" w:rsidRDefault="000F755C">
          <w:pPr>
            <w:pStyle w:val="TOC1"/>
            <w:rPr>
              <w:rFonts w:eastAsiaTheme="minorEastAsia"/>
              <w:lang w:eastAsia="en-GB"/>
            </w:rPr>
          </w:pPr>
          <w:hyperlink w:anchor="_Toc29996442" w:history="1">
            <w:r w:rsidRPr="0045484C">
              <w:rPr>
                <w:rStyle w:val="Hyperlink"/>
              </w:rPr>
              <w:t>5. Recommendations &amp; Findings</w:t>
            </w:r>
            <w:r>
              <w:rPr>
                <w:webHidden/>
              </w:rPr>
              <w:tab/>
            </w:r>
            <w:r>
              <w:rPr>
                <w:webHidden/>
              </w:rPr>
              <w:fldChar w:fldCharType="begin"/>
            </w:r>
            <w:r>
              <w:rPr>
                <w:webHidden/>
              </w:rPr>
              <w:instrText xml:space="preserve"> PAGEREF _Toc29996442 \h </w:instrText>
            </w:r>
            <w:r>
              <w:rPr>
                <w:webHidden/>
              </w:rPr>
            </w:r>
            <w:r>
              <w:rPr>
                <w:webHidden/>
              </w:rPr>
              <w:fldChar w:fldCharType="separate"/>
            </w:r>
            <w:r>
              <w:rPr>
                <w:webHidden/>
              </w:rPr>
              <w:t>12</w:t>
            </w:r>
            <w:r>
              <w:rPr>
                <w:webHidden/>
              </w:rPr>
              <w:fldChar w:fldCharType="end"/>
            </w:r>
          </w:hyperlink>
        </w:p>
        <w:p w:rsidR="000F755C" w:rsidRDefault="000F755C">
          <w:pPr>
            <w:pStyle w:val="TOC1"/>
            <w:rPr>
              <w:rFonts w:eastAsiaTheme="minorEastAsia"/>
              <w:lang w:eastAsia="en-GB"/>
            </w:rPr>
          </w:pPr>
          <w:hyperlink w:anchor="_Toc29996443" w:history="1">
            <w:r w:rsidRPr="0045484C">
              <w:rPr>
                <w:rStyle w:val="Hyperlink"/>
              </w:rPr>
              <w:t>6. References</w:t>
            </w:r>
            <w:r>
              <w:rPr>
                <w:webHidden/>
              </w:rPr>
              <w:tab/>
            </w:r>
            <w:r>
              <w:rPr>
                <w:webHidden/>
              </w:rPr>
              <w:fldChar w:fldCharType="begin"/>
            </w:r>
            <w:r>
              <w:rPr>
                <w:webHidden/>
              </w:rPr>
              <w:instrText xml:space="preserve"> PAGEREF _Toc29996443 \h </w:instrText>
            </w:r>
            <w:r>
              <w:rPr>
                <w:webHidden/>
              </w:rPr>
            </w:r>
            <w:r>
              <w:rPr>
                <w:webHidden/>
              </w:rPr>
              <w:fldChar w:fldCharType="separate"/>
            </w:r>
            <w:r>
              <w:rPr>
                <w:webHidden/>
              </w:rPr>
              <w:t>13</w:t>
            </w:r>
            <w:r>
              <w:rPr>
                <w:webHidden/>
              </w:rPr>
              <w:fldChar w:fldCharType="end"/>
            </w:r>
          </w:hyperlink>
        </w:p>
        <w:p w:rsidR="00F20CA0" w:rsidRDefault="00F20CA0">
          <w:r>
            <w:rPr>
              <w:b/>
              <w:bCs/>
              <w:noProof/>
            </w:rPr>
            <w:fldChar w:fldCharType="end"/>
          </w:r>
        </w:p>
      </w:sdtContent>
    </w:sdt>
    <w:p w:rsidR="00F20CA0" w:rsidRDefault="00F20CA0">
      <w:pPr>
        <w:rPr>
          <w:rFonts w:asciiTheme="majorHAnsi" w:eastAsiaTheme="majorEastAsia" w:hAnsiTheme="majorHAnsi" w:cstheme="majorBidi"/>
          <w:color w:val="2E74B5" w:themeColor="accent1" w:themeShade="BF"/>
          <w:sz w:val="32"/>
          <w:szCs w:val="32"/>
        </w:rPr>
      </w:pPr>
      <w:r>
        <w:br w:type="page"/>
      </w:r>
      <w:bookmarkStart w:id="1" w:name="_GoBack"/>
      <w:bookmarkEnd w:id="1"/>
    </w:p>
    <w:p w:rsidR="00586432" w:rsidRDefault="00586432" w:rsidP="00F20CA0">
      <w:pPr>
        <w:pStyle w:val="Heading1"/>
        <w:numPr>
          <w:ilvl w:val="0"/>
          <w:numId w:val="1"/>
        </w:numPr>
      </w:pPr>
      <w:bookmarkStart w:id="2" w:name="_Toc29996433"/>
      <w:r>
        <w:lastRenderedPageBreak/>
        <w:t>Project Description with Business Case</w:t>
      </w:r>
      <w:bookmarkEnd w:id="2"/>
    </w:p>
    <w:p w:rsidR="00F20CA0" w:rsidRDefault="00F20CA0" w:rsidP="00F20CA0">
      <w:pPr>
        <w:spacing w:line="360" w:lineRule="auto"/>
      </w:pPr>
    </w:p>
    <w:p w:rsidR="00F20CA0" w:rsidRPr="00F20CA0" w:rsidRDefault="00F20CA0" w:rsidP="00F20CA0">
      <w:pPr>
        <w:spacing w:line="360" w:lineRule="auto"/>
        <w:rPr>
          <w:rFonts w:cstheme="minorHAnsi"/>
        </w:rPr>
      </w:pPr>
      <w:r>
        <w:t xml:space="preserve">The project is called ‘Helping Hands’ and is </w:t>
      </w:r>
      <w:r w:rsidRPr="00F20CA0">
        <w:t>a series of classes t</w:t>
      </w:r>
      <w:r w:rsidRPr="00F20CA0">
        <w:rPr>
          <w:rFonts w:cstheme="minorHAnsi"/>
        </w:rPr>
        <w:t>o increase recreational community-based activities for young adults.  These classes will promote the mental health benefits of physical activities and healthy eating.</w:t>
      </w:r>
    </w:p>
    <w:p w:rsidR="00F20CA0" w:rsidRPr="00F20CA0" w:rsidRDefault="00F20CA0" w:rsidP="00F20CA0">
      <w:pPr>
        <w:spacing w:line="360" w:lineRule="auto"/>
      </w:pPr>
      <w:r w:rsidRPr="00F20CA0">
        <w:t xml:space="preserve">This project is necessary because there are currently not enough recreational activities that are fundamentally focused on mental health needs. There are services </w:t>
      </w:r>
      <w:r>
        <w:t xml:space="preserve">within the UK </w:t>
      </w:r>
      <w:r w:rsidRPr="00F20CA0">
        <w:t>that aim to tackle obesity through physical activities</w:t>
      </w:r>
      <w:r>
        <w:t>, and m</w:t>
      </w:r>
      <w:r w:rsidRPr="00F20CA0">
        <w:t>ost health clubs and gyms promote the physical health benefits of exercise.</w:t>
      </w:r>
      <w:r>
        <w:t xml:space="preserve">  Services that provide </w:t>
      </w:r>
      <w:r w:rsidRPr="00F20CA0">
        <w:t xml:space="preserve">mental health awareness </w:t>
      </w:r>
      <w:r>
        <w:t>are usually in addition to the main service or offered as a separate service</w:t>
      </w:r>
      <w:r w:rsidR="000411F7">
        <w:t xml:space="preserve"> </w:t>
      </w:r>
      <w:sdt>
        <w:sdtPr>
          <w:id w:val="764654172"/>
          <w:citation/>
        </w:sdtPr>
        <w:sdtEndPr/>
        <w:sdtContent>
          <w:r w:rsidR="000411F7">
            <w:fldChar w:fldCharType="begin"/>
          </w:r>
          <w:r w:rsidR="000411F7">
            <w:instrText xml:space="preserve">CITATION NHS \l 2057 </w:instrText>
          </w:r>
          <w:r w:rsidR="000411F7">
            <w:fldChar w:fldCharType="separate"/>
          </w:r>
          <w:r w:rsidR="000411F7" w:rsidRPr="000411F7">
            <w:rPr>
              <w:noProof/>
            </w:rPr>
            <w:t>(NHS, 2019)</w:t>
          </w:r>
          <w:r w:rsidR="000411F7">
            <w:fldChar w:fldCharType="end"/>
          </w:r>
        </w:sdtContent>
      </w:sdt>
      <w:r w:rsidR="000411F7">
        <w:t xml:space="preserve">. </w:t>
      </w:r>
      <w:r w:rsidRPr="00F20CA0">
        <w:t>This business differs from other services in that it will simultaneously promote mental health being through physical therapy such as yoga</w:t>
      </w:r>
      <w:r>
        <w:t xml:space="preserve"> and other physical activities. </w:t>
      </w:r>
    </w:p>
    <w:p w:rsidR="00F20CA0" w:rsidRPr="00F20CA0" w:rsidRDefault="00F20CA0" w:rsidP="00F20CA0">
      <w:pPr>
        <w:spacing w:line="360" w:lineRule="auto"/>
      </w:pPr>
      <w:r>
        <w:t xml:space="preserve">The reason this is important is because </w:t>
      </w:r>
      <w:r w:rsidRPr="00F20CA0">
        <w:t>aerobic exercises such as walking, cycling, jogging, dancing and swimming can reduce mental health disorders such as anxiety and depression (</w:t>
      </w:r>
      <w:proofErr w:type="spellStart"/>
      <w:r w:rsidRPr="00F20CA0">
        <w:rPr>
          <w:color w:val="000000"/>
          <w:shd w:val="clear" w:color="auto" w:fill="FFFFFF"/>
        </w:rPr>
        <w:t>Guszkowska</w:t>
      </w:r>
      <w:proofErr w:type="spellEnd"/>
      <w:r w:rsidRPr="00F20CA0">
        <w:rPr>
          <w:color w:val="000000"/>
          <w:shd w:val="clear" w:color="auto" w:fill="FFFFFF"/>
        </w:rPr>
        <w:t xml:space="preserve">, 2004, cited in </w:t>
      </w:r>
      <w:r w:rsidR="00D61725" w:rsidRPr="00D61725">
        <w:rPr>
          <w:noProof/>
          <w:color w:val="000000"/>
          <w:shd w:val="clear" w:color="auto" w:fill="FFFFFF"/>
        </w:rPr>
        <w:t>Sharma, et al., 2006)</w:t>
      </w:r>
      <w:r w:rsidR="00D61725">
        <w:rPr>
          <w:color w:val="000000"/>
          <w:shd w:val="clear" w:color="auto" w:fill="FFFFFF"/>
        </w:rPr>
        <w:t xml:space="preserve">. </w:t>
      </w:r>
      <w:r>
        <w:rPr>
          <w:color w:val="000000"/>
          <w:shd w:val="clear" w:color="auto" w:fill="FFFFFF"/>
        </w:rPr>
        <w:t xml:space="preserve">This shows why physical activity can be used as tool to improve mental health conditions.  </w:t>
      </w:r>
      <w:r w:rsidRPr="00F20CA0">
        <w:rPr>
          <w:color w:val="000000"/>
          <w:shd w:val="clear" w:color="auto" w:fill="FFFFFF"/>
        </w:rPr>
        <w:t>Improvements in mood is believed to be caused by exercise-induced increase in blood circulation to the brain and effect on the hypothalamic-pituitary-adrenal (HPA) axis and therefore, on the physiologic reactivity to stress.</w:t>
      </w:r>
    </w:p>
    <w:p w:rsidR="00F20CA0" w:rsidRPr="00F20CA0" w:rsidRDefault="00F20CA0" w:rsidP="00F20CA0">
      <w:pPr>
        <w:spacing w:line="360" w:lineRule="auto"/>
      </w:pPr>
      <w:r w:rsidRPr="00F20CA0">
        <w:t>Research shows that being active can reduce risk of depression by up to 30%.  It can also reduce anxiety and stress, combat low mood and increase self-esteem</w:t>
      </w:r>
      <w:r w:rsidR="00D61725">
        <w:t xml:space="preserve"> </w:t>
      </w:r>
      <w:sdt>
        <w:sdtPr>
          <w:id w:val="655193960"/>
          <w:citation/>
        </w:sdtPr>
        <w:sdtEndPr/>
        <w:sdtContent>
          <w:r w:rsidR="00D61725">
            <w:fldChar w:fldCharType="begin"/>
          </w:r>
          <w:r w:rsidR="00D61725">
            <w:instrText xml:space="preserve"> CITATION Min11 \l 2057 </w:instrText>
          </w:r>
          <w:r w:rsidR="00D61725">
            <w:fldChar w:fldCharType="separate"/>
          </w:r>
          <w:r w:rsidR="00D61725" w:rsidRPr="00D61725">
            <w:rPr>
              <w:noProof/>
            </w:rPr>
            <w:t>(Mind, 2011)</w:t>
          </w:r>
          <w:r w:rsidR="00D61725">
            <w:fldChar w:fldCharType="end"/>
          </w:r>
        </w:sdtContent>
      </w:sdt>
      <w:r w:rsidR="00D61725">
        <w:t xml:space="preserve">. </w:t>
      </w:r>
      <w:r w:rsidRPr="00F20CA0">
        <w:t xml:space="preserve">Moreover, it is argued that physical exercise can enhance cognitive functioning. This evidence has been used to promote for physical exercise in schools and for older adults to prevent or reduce cognitive decline. </w:t>
      </w:r>
      <w:r w:rsidRPr="00F20CA0">
        <w:rPr>
          <w:color w:val="000000"/>
          <w:shd w:val="clear" w:color="auto" w:fill="FFFFFF"/>
        </w:rPr>
        <w:t xml:space="preserve">A meta‐analysis of randomized controlled trials (RCTs), testing exercise training studies in adults found that exercise influenced higher cognitive functioning </w:t>
      </w:r>
      <w:sdt>
        <w:sdtPr>
          <w:rPr>
            <w:color w:val="000000"/>
            <w:shd w:val="clear" w:color="auto" w:fill="FFFFFF"/>
          </w:rPr>
          <w:id w:val="713084684"/>
          <w:citation/>
        </w:sdtPr>
        <w:sdtEndPr/>
        <w:sdtContent>
          <w:r w:rsidR="00D61725">
            <w:rPr>
              <w:color w:val="000000"/>
              <w:shd w:val="clear" w:color="auto" w:fill="FFFFFF"/>
            </w:rPr>
            <w:fldChar w:fldCharType="begin"/>
          </w:r>
          <w:r w:rsidR="00D61725">
            <w:rPr>
              <w:color w:val="000000"/>
              <w:shd w:val="clear" w:color="auto" w:fill="FFFFFF"/>
            </w:rPr>
            <w:instrText xml:space="preserve"> CITATION Bid16 \l 2057 </w:instrText>
          </w:r>
          <w:r w:rsidR="00D61725">
            <w:rPr>
              <w:color w:val="000000"/>
              <w:shd w:val="clear" w:color="auto" w:fill="FFFFFF"/>
            </w:rPr>
            <w:fldChar w:fldCharType="separate"/>
          </w:r>
          <w:r w:rsidR="00D61725" w:rsidRPr="00D61725">
            <w:rPr>
              <w:noProof/>
              <w:color w:val="000000"/>
              <w:shd w:val="clear" w:color="auto" w:fill="FFFFFF"/>
            </w:rPr>
            <w:t>(Biddle, 2016)</w:t>
          </w:r>
          <w:r w:rsidR="00D61725">
            <w:rPr>
              <w:color w:val="000000"/>
              <w:shd w:val="clear" w:color="auto" w:fill="FFFFFF"/>
            </w:rPr>
            <w:fldChar w:fldCharType="end"/>
          </w:r>
        </w:sdtContent>
      </w:sdt>
      <w:r w:rsidR="00D61725">
        <w:rPr>
          <w:color w:val="000000"/>
          <w:shd w:val="clear" w:color="auto" w:fill="FFFFFF"/>
        </w:rPr>
        <w:t xml:space="preserve">. </w:t>
      </w:r>
    </w:p>
    <w:p w:rsidR="00F20CA0" w:rsidRDefault="00F20CA0" w:rsidP="00F20CA0">
      <w:pPr>
        <w:spacing w:line="360" w:lineRule="auto"/>
      </w:pPr>
      <w:r>
        <w:t xml:space="preserve">The unique selling point of this business is that it will </w:t>
      </w:r>
      <w:r w:rsidRPr="00F20CA0">
        <w:t xml:space="preserve">focus more on the benefits to mental health from physical activities such as improved confidence and stress relief.  </w:t>
      </w:r>
    </w:p>
    <w:p w:rsidR="005A51F1" w:rsidRDefault="00F20CA0" w:rsidP="00193E51">
      <w:pPr>
        <w:spacing w:after="0" w:line="360" w:lineRule="auto"/>
        <w:jc w:val="both"/>
      </w:pPr>
      <w:r>
        <w:t xml:space="preserve">Whilst the evidence for physical activity improving mental well being is strong, clients will be advised that the business should not be used a substitute for prescribed medication or formal mental health therapy, and should be used as a supplement to any other treatment they may already be receiving.  Clients will also be advised to consult their doctor before embarking on a new exercise programme if necessary.   </w:t>
      </w:r>
      <w:r w:rsidR="00D54D3D">
        <w:t xml:space="preserve">For cases of doctor referred clients and clients with more severe mental health issues, there is a small risk to themselves and others.  There would have to be members of staff at hand that </w:t>
      </w:r>
      <w:r w:rsidR="00D54D3D">
        <w:lastRenderedPageBreak/>
        <w:t xml:space="preserve">are qualified to deal with a mental health crisis.  Each member would have to complete a risk assessment and provide details of their doctor and/or emergency contacts.  </w:t>
      </w:r>
    </w:p>
    <w:p w:rsidR="00193E51" w:rsidRDefault="00193E51" w:rsidP="00193E51">
      <w:pPr>
        <w:spacing w:after="0" w:line="360" w:lineRule="auto"/>
        <w:jc w:val="both"/>
      </w:pPr>
    </w:p>
    <w:p w:rsidR="00D54D3D" w:rsidRDefault="00D54D3D" w:rsidP="00D54D3D">
      <w:pPr>
        <w:spacing w:line="360" w:lineRule="auto"/>
      </w:pPr>
      <w:r>
        <w:t>By bringing in healthy eating, it provides a holistic approach to mental health.  Recent studies have shown that "the risk of depression increases about 80% when you compare teens with the lowest-quality diet, or what we call the Western diet, to those who eat a higher-quality, whole-foods diet”</w:t>
      </w:r>
      <w:sdt>
        <w:sdtPr>
          <w:id w:val="1007401712"/>
          <w:citation/>
        </w:sdtPr>
        <w:sdtEndPr/>
        <w:sdtContent>
          <w:r>
            <w:fldChar w:fldCharType="begin"/>
          </w:r>
          <w:r>
            <w:instrText xml:space="preserve"> CITATION Mil15 \l 2057 </w:instrText>
          </w:r>
          <w:r>
            <w:fldChar w:fldCharType="separate"/>
          </w:r>
          <w:r>
            <w:rPr>
              <w:noProof/>
            </w:rPr>
            <w:t xml:space="preserve"> </w:t>
          </w:r>
          <w:r w:rsidRPr="00D54D3D">
            <w:rPr>
              <w:noProof/>
            </w:rPr>
            <w:t>(Miller, 2015)</w:t>
          </w:r>
          <w:r>
            <w:fldChar w:fldCharType="end"/>
          </w:r>
        </w:sdtContent>
      </w:sdt>
      <w:r>
        <w:t xml:space="preserve">. </w:t>
      </w:r>
    </w:p>
    <w:p w:rsidR="005A51F1" w:rsidRPr="00193E51" w:rsidRDefault="005A51F1" w:rsidP="00193E51">
      <w:pPr>
        <w:spacing w:line="360" w:lineRule="auto"/>
      </w:pPr>
      <w:r w:rsidRPr="00193E51">
        <w:t>According to</w:t>
      </w:r>
      <w:r w:rsidR="00193E51" w:rsidRPr="00193E51">
        <w:t xml:space="preserve"> </w:t>
      </w:r>
      <w:r w:rsidR="00193E51" w:rsidRPr="00193E51">
        <w:rPr>
          <w:noProof/>
        </w:rPr>
        <w:t>(Royal College of Psychiatrists, 2019)</w:t>
      </w:r>
      <w:r w:rsidR="00193E51" w:rsidRPr="00193E51">
        <w:t xml:space="preserve">, </w:t>
      </w:r>
      <w:r w:rsidRPr="00193E51">
        <w:t xml:space="preserve">healthy eating prevents diseases associated with being overweight. For example, issues related to high blood pressure, high blood sugar, high cholesterol, cancer, sleeping problems and various other issues. Research suggests that people with mental health problems are likely to have weight problem. This could be related to low moods </w:t>
      </w:r>
      <w:r w:rsidR="0073400D" w:rsidRPr="00193E51">
        <w:t xml:space="preserve">and not wanting to take up physical activity, emotional eating or always feeling hungry. </w:t>
      </w:r>
    </w:p>
    <w:p w:rsidR="00586432" w:rsidRPr="00586432" w:rsidRDefault="00586432" w:rsidP="00586432">
      <w:pPr>
        <w:pStyle w:val="Heading1"/>
      </w:pPr>
      <w:bookmarkStart w:id="3" w:name="_Toc29996434"/>
      <w:r w:rsidRPr="00586432">
        <w:t>2. Environmental analysis</w:t>
      </w:r>
      <w:bookmarkEnd w:id="3"/>
    </w:p>
    <w:p w:rsidR="000411F7" w:rsidRDefault="0073400D" w:rsidP="00193E51">
      <w:pPr>
        <w:spacing w:line="360" w:lineRule="auto"/>
      </w:pPr>
      <w:r w:rsidRPr="00055899">
        <w:rPr>
          <w:rFonts w:cstheme="minorHAnsi"/>
          <w:sz w:val="24"/>
          <w:szCs w:val="24"/>
        </w:rPr>
        <w:t xml:space="preserve">Porter’s five forces </w:t>
      </w:r>
      <w:r w:rsidR="00055899" w:rsidRPr="00055899">
        <w:rPr>
          <w:rFonts w:cstheme="minorHAnsi"/>
          <w:sz w:val="24"/>
          <w:szCs w:val="24"/>
        </w:rPr>
        <w:t>is a model based on potential external threats that an organisation might encounter</w:t>
      </w:r>
      <w:sdt>
        <w:sdtPr>
          <w:rPr>
            <w:rFonts w:cstheme="minorHAnsi"/>
            <w:sz w:val="24"/>
            <w:szCs w:val="24"/>
          </w:rPr>
          <w:id w:val="245705619"/>
          <w:citation/>
        </w:sdtPr>
        <w:sdtEndPr/>
        <w:sdtContent>
          <w:r w:rsidR="00D90A55">
            <w:rPr>
              <w:rFonts w:cstheme="minorHAnsi"/>
              <w:sz w:val="24"/>
              <w:szCs w:val="24"/>
            </w:rPr>
            <w:fldChar w:fldCharType="begin"/>
          </w:r>
          <w:r w:rsidR="00D90A55">
            <w:rPr>
              <w:rFonts w:cstheme="minorHAnsi"/>
              <w:sz w:val="24"/>
              <w:szCs w:val="24"/>
            </w:rPr>
            <w:instrText xml:space="preserve"> CITATION Bru18 \l 2057 </w:instrText>
          </w:r>
          <w:r w:rsidR="00D90A55">
            <w:rPr>
              <w:rFonts w:cstheme="minorHAnsi"/>
              <w:sz w:val="24"/>
              <w:szCs w:val="24"/>
            </w:rPr>
            <w:fldChar w:fldCharType="separate"/>
          </w:r>
          <w:r w:rsidR="00D90A55">
            <w:rPr>
              <w:rFonts w:cstheme="minorHAnsi"/>
              <w:noProof/>
              <w:sz w:val="24"/>
              <w:szCs w:val="24"/>
            </w:rPr>
            <w:t xml:space="preserve"> </w:t>
          </w:r>
          <w:r w:rsidR="00D90A55" w:rsidRPr="00D90A55">
            <w:rPr>
              <w:rFonts w:cstheme="minorHAnsi"/>
              <w:noProof/>
              <w:sz w:val="24"/>
              <w:szCs w:val="24"/>
            </w:rPr>
            <w:t>(Bruijl, 2018)</w:t>
          </w:r>
          <w:r w:rsidR="00D90A55">
            <w:rPr>
              <w:rFonts w:cstheme="minorHAnsi"/>
              <w:sz w:val="24"/>
              <w:szCs w:val="24"/>
            </w:rPr>
            <w:fldChar w:fldCharType="end"/>
          </w:r>
        </w:sdtContent>
      </w:sdt>
      <w:r w:rsidR="00055899" w:rsidRPr="00055899">
        <w:rPr>
          <w:rFonts w:cstheme="minorHAnsi"/>
          <w:sz w:val="24"/>
          <w:szCs w:val="24"/>
        </w:rPr>
        <w:t>.</w:t>
      </w:r>
      <w:r w:rsidR="00055899" w:rsidRPr="00055899">
        <w:rPr>
          <w:rFonts w:cstheme="minorHAnsi"/>
          <w:b/>
          <w:sz w:val="24"/>
          <w:szCs w:val="24"/>
        </w:rPr>
        <w:t xml:space="preserve"> </w:t>
      </w:r>
      <w:r w:rsidR="00055899" w:rsidRPr="00055899">
        <w:rPr>
          <w:rFonts w:cstheme="minorHAnsi"/>
          <w:b/>
          <w:color w:val="538135" w:themeColor="accent6" w:themeShade="BF"/>
          <w:sz w:val="24"/>
          <w:szCs w:val="24"/>
        </w:rPr>
        <w:t xml:space="preserve"> </w:t>
      </w:r>
      <w:r w:rsidR="00055899" w:rsidRPr="00055899">
        <w:t xml:space="preserve">An understanding of these threats and the way industry changes can help organisations plan their strategy.  </w:t>
      </w:r>
      <w:r w:rsidR="00055899">
        <w:t>T</w:t>
      </w:r>
      <w:r w:rsidR="00055899" w:rsidRPr="00055899">
        <w:t xml:space="preserve">he </w:t>
      </w:r>
      <w:r w:rsidR="00055899">
        <w:t xml:space="preserve">intention of organisation strategy </w:t>
      </w:r>
      <w:r w:rsidRPr="00055899">
        <w:t xml:space="preserve">to </w:t>
      </w:r>
      <w:r w:rsidR="00055899" w:rsidRPr="00055899">
        <w:t>identify</w:t>
      </w:r>
      <w:r w:rsidRPr="00055899">
        <w:t xml:space="preserve"> and </w:t>
      </w:r>
      <w:r w:rsidR="00055899">
        <w:t>manage</w:t>
      </w:r>
      <w:r w:rsidRPr="00055899">
        <w:t xml:space="preserve"> a competitive environment by looking </w:t>
      </w:r>
      <w:r w:rsidR="00055899">
        <w:t>at these risks and to consider</w:t>
      </w:r>
      <w:r w:rsidRPr="00055899">
        <w:t xml:space="preserve"> </w:t>
      </w:r>
      <w:r w:rsidR="00055899">
        <w:t xml:space="preserve">the wider </w:t>
      </w:r>
      <w:r w:rsidRPr="00055899">
        <w:t>perspective</w:t>
      </w:r>
      <w:r w:rsidR="00055899">
        <w:t xml:space="preserve">s of the competitive nature of business </w:t>
      </w:r>
      <w:sdt>
        <w:sdtPr>
          <w:id w:val="-1848239668"/>
          <w:citation/>
        </w:sdtPr>
        <w:sdtEndPr/>
        <w:sdtContent>
          <w:r w:rsidR="00055899">
            <w:fldChar w:fldCharType="begin"/>
          </w:r>
          <w:r w:rsidR="00055899">
            <w:instrText xml:space="preserve"> CITATION Por89 \l 2057 </w:instrText>
          </w:r>
          <w:r w:rsidR="00055899">
            <w:fldChar w:fldCharType="separate"/>
          </w:r>
          <w:r w:rsidR="00055899" w:rsidRPr="00055899">
            <w:rPr>
              <w:noProof/>
            </w:rPr>
            <w:t>(Porter, 1989)</w:t>
          </w:r>
          <w:r w:rsidR="00055899">
            <w:fldChar w:fldCharType="end"/>
          </w:r>
        </w:sdtContent>
      </w:sdt>
      <w:r w:rsidR="00055899">
        <w:t xml:space="preserve">. </w:t>
      </w:r>
    </w:p>
    <w:p w:rsidR="00FC6A1A" w:rsidRPr="008E15B1" w:rsidRDefault="00D90A55" w:rsidP="00193E51">
      <w:pPr>
        <w:spacing w:line="360" w:lineRule="auto"/>
        <w:rPr>
          <w:b/>
          <w:color w:val="538135" w:themeColor="accent6" w:themeShade="BF"/>
          <w:sz w:val="24"/>
          <w:szCs w:val="24"/>
        </w:rPr>
      </w:pPr>
      <w:r w:rsidRPr="00D90A55">
        <w:t>According to Johnson et al. (2008), t</w:t>
      </w:r>
      <w:r w:rsidR="00F66D08" w:rsidRPr="00D90A55">
        <w:t xml:space="preserve">he five forces </w:t>
      </w:r>
      <w:r w:rsidRPr="00D90A55">
        <w:t xml:space="preserve">model is a simple tool to help with identifying the external powers that suppliers and consumers have, by using </w:t>
      </w:r>
      <w:r w:rsidR="00F66D08" w:rsidRPr="00D90A55">
        <w:t>the outside-in perspective</w:t>
      </w:r>
      <w:sdt>
        <w:sdtPr>
          <w:id w:val="1789476058"/>
          <w:citation/>
        </w:sdtPr>
        <w:sdtEndPr/>
        <w:sdtContent>
          <w:r>
            <w:fldChar w:fldCharType="begin"/>
          </w:r>
          <w:r>
            <w:instrText xml:space="preserve"> CITATION Joh08 \l 2057 </w:instrText>
          </w:r>
          <w:r>
            <w:fldChar w:fldCharType="separate"/>
          </w:r>
          <w:r>
            <w:rPr>
              <w:noProof/>
            </w:rPr>
            <w:t xml:space="preserve"> </w:t>
          </w:r>
          <w:r w:rsidRPr="00D90A55">
            <w:rPr>
              <w:noProof/>
            </w:rPr>
            <w:t>(Johnson, et al., 2008)</w:t>
          </w:r>
          <w:r>
            <w:fldChar w:fldCharType="end"/>
          </w:r>
        </w:sdtContent>
      </w:sdt>
      <w:r w:rsidRPr="00D90A55">
        <w:t>.</w:t>
      </w:r>
      <w:r>
        <w:rPr>
          <w:b/>
          <w:color w:val="538135" w:themeColor="accent6" w:themeShade="BF"/>
          <w:sz w:val="24"/>
          <w:szCs w:val="24"/>
        </w:rPr>
        <w:t xml:space="preserve">  </w:t>
      </w:r>
    </w:p>
    <w:p w:rsidR="00E02B2B" w:rsidRPr="00605CA1" w:rsidRDefault="00894B61" w:rsidP="00193E51">
      <w:pPr>
        <w:spacing w:line="360" w:lineRule="auto"/>
      </w:pPr>
      <w:r>
        <w:t>“</w:t>
      </w:r>
      <w:r w:rsidR="00FC6A1A" w:rsidRPr="008E15B1">
        <w:t>Porter’s Five Forces model is a powerful management tool for analysing the current industry profitability and attractiveness by using the outside-in perspective</w:t>
      </w:r>
      <w:r>
        <w:t>”</w:t>
      </w:r>
      <w:sdt>
        <w:sdtPr>
          <w:id w:val="-1098484734"/>
          <w:citation/>
        </w:sdtPr>
        <w:sdtEndPr/>
        <w:sdtContent>
          <w:r>
            <w:fldChar w:fldCharType="begin"/>
          </w:r>
          <w:r>
            <w:instrText xml:space="preserve">CITATION Däl14 \p 1 \l 2057 </w:instrText>
          </w:r>
          <w:r>
            <w:fldChar w:fldCharType="separate"/>
          </w:r>
          <w:r>
            <w:rPr>
              <w:noProof/>
            </w:rPr>
            <w:t xml:space="preserve"> </w:t>
          </w:r>
          <w:r w:rsidRPr="00894B61">
            <w:rPr>
              <w:noProof/>
            </w:rPr>
            <w:t>(Dälken, 2014, p. 1)</w:t>
          </w:r>
          <w:r>
            <w:fldChar w:fldCharType="end"/>
          </w:r>
        </w:sdtContent>
      </w:sdt>
      <w:r w:rsidR="00FC6A1A" w:rsidRPr="008E15B1">
        <w:t xml:space="preserve">. </w:t>
      </w:r>
      <w:r>
        <w:t xml:space="preserve">Criticism of the model since the surge of internet use has increased due to </w:t>
      </w:r>
      <w:r w:rsidR="00C73DB7">
        <w:t xml:space="preserve">an increasing significance of digitalisation and globalisation.  </w:t>
      </w:r>
      <w:proofErr w:type="spellStart"/>
      <w:r w:rsidR="00C73DB7">
        <w:t>Dalken</w:t>
      </w:r>
      <w:proofErr w:type="spellEnd"/>
      <w:r w:rsidR="00C73DB7">
        <w:t xml:space="preserve"> (2014) argues that the old economy that the five forces were based on is not compatible with the </w:t>
      </w:r>
      <w:r w:rsidR="00C73DB7" w:rsidRPr="00C73DB7">
        <w:t xml:space="preserve">current economy.  This is because the five forces model is based on an industrial economics approach where the attractiveness of </w:t>
      </w:r>
      <w:r w:rsidR="00C73DB7">
        <w:t xml:space="preserve">the </w:t>
      </w:r>
      <w:r w:rsidR="00C73DB7" w:rsidRPr="00C73DB7">
        <w:t>market and its overall profitability can mainly be defined by the market structure</w:t>
      </w:r>
      <w:r w:rsidR="00C73DB7">
        <w:t xml:space="preserve"> </w:t>
      </w:r>
      <w:sdt>
        <w:sdtPr>
          <w:id w:val="-35968513"/>
          <w:citation/>
        </w:sdtPr>
        <w:sdtEndPr/>
        <w:sdtContent>
          <w:r w:rsidR="00C73DB7">
            <w:fldChar w:fldCharType="begin"/>
          </w:r>
          <w:r w:rsidR="00C73DB7">
            <w:instrText xml:space="preserve"> CITATION Sla02 \l 2057 </w:instrText>
          </w:r>
          <w:r w:rsidR="00C73DB7">
            <w:fldChar w:fldCharType="separate"/>
          </w:r>
          <w:r w:rsidR="00C73DB7" w:rsidRPr="00C73DB7">
            <w:rPr>
              <w:noProof/>
            </w:rPr>
            <w:t>(Slater &amp; Olson, 2002)</w:t>
          </w:r>
          <w:r w:rsidR="00C73DB7">
            <w:fldChar w:fldCharType="end"/>
          </w:r>
        </w:sdtContent>
      </w:sdt>
      <w:r w:rsidR="00C73DB7">
        <w:t>.</w:t>
      </w:r>
      <w:r w:rsidR="00E02B2B">
        <w:t xml:space="preserve">  The model was first introduced in 1979, so it should its relevance in today’s market should be questioned, especially with the increase in computer technology as an important factor of achieving competitive advantage.  </w:t>
      </w:r>
      <w:r w:rsidR="00E02B2B" w:rsidRPr="00E02B2B">
        <w:t xml:space="preserve">Computerised data storage allows businesses to have more access to more detailed information about their customers, and also their suppliers and competitors.    Information </w:t>
      </w:r>
      <w:r w:rsidR="00E02B2B" w:rsidRPr="00E02B2B">
        <w:lastRenderedPageBreak/>
        <w:t>technology also created the possibility of better co-operation or better competition</w:t>
      </w:r>
      <w:r w:rsidR="00E02B2B">
        <w:t xml:space="preserve"> </w:t>
      </w:r>
      <w:sdt>
        <w:sdtPr>
          <w:id w:val="-1246499939"/>
          <w:citation/>
        </w:sdtPr>
        <w:sdtEndPr/>
        <w:sdtContent>
          <w:r w:rsidR="00E02B2B">
            <w:fldChar w:fldCharType="begin"/>
          </w:r>
          <w:r w:rsidR="00E02B2B">
            <w:instrText xml:space="preserve"> CITATION Dow97 \l 2057 </w:instrText>
          </w:r>
          <w:r w:rsidR="00E02B2B">
            <w:fldChar w:fldCharType="separate"/>
          </w:r>
          <w:r w:rsidR="00E02B2B" w:rsidRPr="00E02B2B">
            <w:rPr>
              <w:noProof/>
            </w:rPr>
            <w:t>(Downes, 1997)</w:t>
          </w:r>
          <w:r w:rsidR="00E02B2B">
            <w:fldChar w:fldCharType="end"/>
          </w:r>
        </w:sdtContent>
      </w:sdt>
      <w:r w:rsidR="00E02B2B" w:rsidRPr="00E02B2B">
        <w:t xml:space="preserve"> Due to its age, Porter’s model does not include IT as a separate competitive force,</w:t>
      </w:r>
      <w:r w:rsidR="00E02B2B">
        <w:t xml:space="preserve"> but instead;</w:t>
      </w:r>
      <w:r w:rsidR="00E02B2B" w:rsidRPr="00E02B2B">
        <w:t xml:space="preserve"> “IT was only considered as a means of supporting the five forces”</w:t>
      </w:r>
      <w:r w:rsidR="00E02B2B">
        <w:t xml:space="preserve"> </w:t>
      </w:r>
      <w:sdt>
        <w:sdtPr>
          <w:id w:val="1729030153"/>
          <w:citation/>
        </w:sdtPr>
        <w:sdtEndPr/>
        <w:sdtContent>
          <w:r w:rsidR="00E02B2B">
            <w:fldChar w:fldCharType="begin"/>
          </w:r>
          <w:r w:rsidR="00E02B2B">
            <w:instrText xml:space="preserve">CITATION And04 \p 134 \l 2057 </w:instrText>
          </w:r>
          <w:r w:rsidR="00E02B2B">
            <w:fldChar w:fldCharType="separate"/>
          </w:r>
          <w:r w:rsidR="00E02B2B" w:rsidRPr="00E02B2B">
            <w:rPr>
              <w:noProof/>
            </w:rPr>
            <w:t>(Andriotis, 2004, p. 134)</w:t>
          </w:r>
          <w:r w:rsidR="00E02B2B">
            <w:fldChar w:fldCharType="end"/>
          </w:r>
        </w:sdtContent>
      </w:sdt>
      <w:r w:rsidR="00605CA1">
        <w:rPr>
          <w:b/>
          <w:color w:val="538135" w:themeColor="accent6" w:themeShade="BF"/>
          <w:sz w:val="24"/>
          <w:szCs w:val="24"/>
        </w:rPr>
        <w:t xml:space="preserve">. </w:t>
      </w:r>
      <w:r w:rsidR="00605CA1" w:rsidRPr="00605CA1">
        <w:t>As technology has changed since the five forces model was developed, it could be argued that it is more relevant for the old economy than the current one.</w:t>
      </w:r>
      <w:r w:rsidR="00193E51">
        <w:t xml:space="preserve"> </w:t>
      </w:r>
      <w:r w:rsidR="00605CA1" w:rsidRPr="00605CA1">
        <w:t xml:space="preserve"> </w:t>
      </w:r>
      <w:r w:rsidR="00193E51">
        <w:t xml:space="preserve">Earlier criticism is that Porter provided no justification for his choice of five </w:t>
      </w:r>
      <w:r w:rsidR="00193E51" w:rsidRPr="00193E51">
        <w:t xml:space="preserve">elements </w:t>
      </w:r>
      <w:sdt>
        <w:sdtPr>
          <w:id w:val="-878627639"/>
          <w:citation/>
        </w:sdtPr>
        <w:sdtEndPr/>
        <w:sdtContent>
          <w:r w:rsidR="00193E51" w:rsidRPr="00193E51">
            <w:fldChar w:fldCharType="begin"/>
          </w:r>
          <w:r w:rsidR="00193E51" w:rsidRPr="00193E51">
            <w:instrText xml:space="preserve"> CITATION OSh84 \l 2057 </w:instrText>
          </w:r>
          <w:r w:rsidR="00193E51" w:rsidRPr="00193E51">
            <w:fldChar w:fldCharType="separate"/>
          </w:r>
          <w:r w:rsidR="00193E51" w:rsidRPr="00193E51">
            <w:t>(O'Shaughnessy, 1984)</w:t>
          </w:r>
          <w:r w:rsidR="00193E51" w:rsidRPr="00193E51">
            <w:fldChar w:fldCharType="end"/>
          </w:r>
        </w:sdtContent>
      </w:sdt>
      <w:r w:rsidR="00193E51" w:rsidRPr="00193E51">
        <w:t>.  In addition, Porter’s five forces has been criticised as generating only snap-shots rather than a more in-depth analysis of the macro environment</w:t>
      </w:r>
      <w:r w:rsidR="00193E51">
        <w:t>, and does not take time into account</w:t>
      </w:r>
      <w:sdt>
        <w:sdtPr>
          <w:id w:val="845678704"/>
          <w:citation/>
        </w:sdtPr>
        <w:sdtEndPr/>
        <w:sdtContent>
          <w:r w:rsidR="00193E51" w:rsidRPr="00193E51">
            <w:fldChar w:fldCharType="begin"/>
          </w:r>
          <w:r w:rsidR="00193E51" w:rsidRPr="00193E51">
            <w:instrText xml:space="preserve"> CITATION Thu98 \l 2057 </w:instrText>
          </w:r>
          <w:r w:rsidR="00193E51" w:rsidRPr="00193E51">
            <w:fldChar w:fldCharType="separate"/>
          </w:r>
          <w:r w:rsidR="00193E51" w:rsidRPr="00193E51">
            <w:t xml:space="preserve"> (Thurlby, 1998)</w:t>
          </w:r>
          <w:r w:rsidR="00193E51" w:rsidRPr="00193E51">
            <w:fldChar w:fldCharType="end"/>
          </w:r>
        </w:sdtContent>
      </w:sdt>
      <w:r w:rsidR="00193E51" w:rsidRPr="00193E51">
        <w:t>.</w:t>
      </w:r>
      <w:r w:rsidR="00193E51">
        <w:rPr>
          <w:b/>
          <w:color w:val="538135" w:themeColor="accent6" w:themeShade="BF"/>
        </w:rPr>
        <w:t xml:space="preserve"> </w:t>
      </w:r>
    </w:p>
    <w:p w:rsidR="00FC6A1A" w:rsidRPr="00C73DB7" w:rsidRDefault="00C73DB7" w:rsidP="00193E51">
      <w:pPr>
        <w:spacing w:line="360" w:lineRule="auto"/>
      </w:pPr>
      <w:r>
        <w:t>However, despite th</w:t>
      </w:r>
      <w:r w:rsidR="00193E51">
        <w:t>ese</w:t>
      </w:r>
      <w:r>
        <w:t xml:space="preserve"> criticism</w:t>
      </w:r>
      <w:r w:rsidR="00193E51">
        <w:t>s</w:t>
      </w:r>
      <w:r>
        <w:t xml:space="preserve">, many organisations still find the model relevant and useful to use as a tool for identifying the five main forces in the macro </w:t>
      </w:r>
      <w:r w:rsidRPr="00C73DB7">
        <w:t xml:space="preserve">environment.  These are forces that can </w:t>
      </w:r>
      <w:r w:rsidR="00FC6A1A" w:rsidRPr="00C73DB7">
        <w:t>drive competition and threaten</w:t>
      </w:r>
      <w:r w:rsidRPr="00C73DB7">
        <w:t xml:space="preserve"> the profit for the organisation.  The market structure can influence the </w:t>
      </w:r>
      <w:r w:rsidR="00FC6A1A" w:rsidRPr="00C73DB7">
        <w:t xml:space="preserve">strategic behaviour of </w:t>
      </w:r>
      <w:r w:rsidRPr="00C73DB7">
        <w:t xml:space="preserve">an </w:t>
      </w:r>
      <w:r w:rsidR="00FC6A1A" w:rsidRPr="00C73DB7">
        <w:t>organization</w:t>
      </w:r>
      <w:r w:rsidRPr="00C73DB7">
        <w:t xml:space="preserve">.  For example, the </w:t>
      </w:r>
      <w:r w:rsidR="00FC6A1A" w:rsidRPr="00C73DB7">
        <w:t>market success depends on the competitive strategy</w:t>
      </w:r>
      <w:sdt>
        <w:sdtPr>
          <w:id w:val="-522402291"/>
          <w:citation/>
        </w:sdtPr>
        <w:sdtEndPr/>
        <w:sdtContent>
          <w:r>
            <w:fldChar w:fldCharType="begin"/>
          </w:r>
          <w:r>
            <w:instrText xml:space="preserve"> CITATION Sla02 \l 2057 </w:instrText>
          </w:r>
          <w:r>
            <w:fldChar w:fldCharType="separate"/>
          </w:r>
          <w:r>
            <w:rPr>
              <w:noProof/>
            </w:rPr>
            <w:t xml:space="preserve"> </w:t>
          </w:r>
          <w:r w:rsidRPr="00C73DB7">
            <w:rPr>
              <w:noProof/>
            </w:rPr>
            <w:t>(Slater &amp; Olson, 2002)</w:t>
          </w:r>
          <w:r>
            <w:fldChar w:fldCharType="end"/>
          </w:r>
        </w:sdtContent>
      </w:sdt>
      <w:r w:rsidR="00FC6A1A" w:rsidRPr="00C73DB7">
        <w:t>.</w:t>
      </w:r>
      <w:r w:rsidR="00FC6A1A" w:rsidRPr="008E15B1">
        <w:rPr>
          <w:b/>
          <w:color w:val="538135" w:themeColor="accent6" w:themeShade="BF"/>
          <w:sz w:val="24"/>
          <w:szCs w:val="24"/>
        </w:rPr>
        <w:t xml:space="preserve"> </w:t>
      </w:r>
    </w:p>
    <w:p w:rsidR="00D93C03" w:rsidRDefault="00D93C03" w:rsidP="00193E51">
      <w:pPr>
        <w:spacing w:line="360" w:lineRule="auto"/>
      </w:pPr>
      <w:r w:rsidRPr="008E15B1">
        <w:t>The Five Forces framework is a “useful starting point for strategic analysis even where profit criteria may not apply”</w:t>
      </w:r>
      <w:sdt>
        <w:sdtPr>
          <w:id w:val="-1235998657"/>
          <w:citation/>
        </w:sdtPr>
        <w:sdtEndPr/>
        <w:sdtContent>
          <w:r w:rsidR="00605CA1">
            <w:fldChar w:fldCharType="begin"/>
          </w:r>
          <w:r w:rsidR="00605CA1">
            <w:instrText xml:space="preserve">CITATION Joh08 \p 60 \l 2057 </w:instrText>
          </w:r>
          <w:r w:rsidR="00605CA1">
            <w:fldChar w:fldCharType="separate"/>
          </w:r>
          <w:r w:rsidR="00605CA1">
            <w:rPr>
              <w:noProof/>
            </w:rPr>
            <w:t xml:space="preserve"> </w:t>
          </w:r>
          <w:r w:rsidR="00605CA1" w:rsidRPr="00605CA1">
            <w:rPr>
              <w:noProof/>
            </w:rPr>
            <w:t>(Johnson, et al., 2008, p. 60)</w:t>
          </w:r>
          <w:r w:rsidR="00605CA1">
            <w:fldChar w:fldCharType="end"/>
          </w:r>
        </w:sdtContent>
      </w:sdt>
      <w:r w:rsidR="00605CA1">
        <w:t>.</w:t>
      </w:r>
    </w:p>
    <w:p w:rsidR="00D93C03" w:rsidRPr="007F48C3" w:rsidRDefault="00605CA1" w:rsidP="00193E51">
      <w:pPr>
        <w:spacing w:line="360" w:lineRule="auto"/>
      </w:pPr>
      <w:r w:rsidRPr="007F48C3">
        <w:t>There are many benefits to using the five forces in today’s economy</w:t>
      </w:r>
      <w:r w:rsidR="007F48C3" w:rsidRPr="007F48C3">
        <w:t xml:space="preserve"> for evaluating</w:t>
      </w:r>
      <w:r w:rsidR="00D93C03" w:rsidRPr="007F48C3">
        <w:t xml:space="preserve"> </w:t>
      </w:r>
      <w:r w:rsidR="007F48C3" w:rsidRPr="007F48C3">
        <w:t>m</w:t>
      </w:r>
      <w:r w:rsidR="00D93C03" w:rsidRPr="007F48C3">
        <w:t xml:space="preserve">arket </w:t>
      </w:r>
      <w:r w:rsidR="007F48C3" w:rsidRPr="007F48C3">
        <w:t>a</w:t>
      </w:r>
      <w:r w:rsidR="00D93C03" w:rsidRPr="007F48C3">
        <w:t>ttractiveness</w:t>
      </w:r>
      <w:r w:rsidR="007F48C3">
        <w:t xml:space="preserve">.  Using the five forces, an organisation can analyse the profitability </w:t>
      </w:r>
      <w:sdt>
        <w:sdtPr>
          <w:id w:val="-1341006107"/>
          <w:citation/>
        </w:sdtPr>
        <w:sdtEndPr/>
        <w:sdtContent>
          <w:r w:rsidR="007F48C3">
            <w:fldChar w:fldCharType="begin"/>
          </w:r>
          <w:r w:rsidR="007F48C3">
            <w:instrText xml:space="preserve"> CITATION Joh08 \l 2057 </w:instrText>
          </w:r>
          <w:r w:rsidR="007F48C3">
            <w:fldChar w:fldCharType="separate"/>
          </w:r>
          <w:r w:rsidR="007F48C3" w:rsidRPr="007F48C3">
            <w:rPr>
              <w:noProof/>
            </w:rPr>
            <w:t>(Johnson, et al., 2008)</w:t>
          </w:r>
          <w:r w:rsidR="007F48C3">
            <w:fldChar w:fldCharType="end"/>
          </w:r>
        </w:sdtContent>
      </w:sdt>
      <w:r w:rsidR="007F48C3" w:rsidRPr="007F48C3">
        <w:t xml:space="preserve">.  </w:t>
      </w:r>
      <w:r w:rsidR="007F48C3">
        <w:t xml:space="preserve">When strategic planning, it is possible to come up with </w:t>
      </w:r>
      <w:r w:rsidR="00D93C03" w:rsidRPr="007F48C3">
        <w:t xml:space="preserve">the strengths and the weaknesses of </w:t>
      </w:r>
      <w:r w:rsidR="007F48C3">
        <w:t>the</w:t>
      </w:r>
      <w:r w:rsidR="00D93C03" w:rsidRPr="007F48C3">
        <w:t xml:space="preserve"> organization and </w:t>
      </w:r>
      <w:r w:rsidR="007F48C3">
        <w:t>develop</w:t>
      </w:r>
      <w:r w:rsidR="00D93C03" w:rsidRPr="007F48C3">
        <w:t xml:space="preserve"> a plan for a stronger position within the industry. </w:t>
      </w:r>
      <w:r w:rsidR="007F48C3">
        <w:t xml:space="preserve">Porter’s Five </w:t>
      </w:r>
      <w:r w:rsidR="00D93C03" w:rsidRPr="007F48C3">
        <w:t xml:space="preserve">Forces </w:t>
      </w:r>
      <w:r w:rsidR="007F48C3">
        <w:t xml:space="preserve">simplifies the analysis process by categorising the threats.  </w:t>
      </w:r>
      <w:r w:rsidR="00D93C03" w:rsidRPr="007F48C3">
        <w:t xml:space="preserve"> </w:t>
      </w:r>
      <w:r w:rsidR="007F48C3">
        <w:t>“</w:t>
      </w:r>
      <w:r w:rsidR="00D93C03" w:rsidRPr="007F48C3">
        <w:t>It provides the opportunity to examine and evaluate complex interactions of competitors in an industry in a structured way</w:t>
      </w:r>
      <w:r w:rsidR="007F48C3">
        <w:t xml:space="preserve">” </w:t>
      </w:r>
      <w:sdt>
        <w:sdtPr>
          <w:id w:val="839120345"/>
          <w:citation/>
        </w:sdtPr>
        <w:sdtEndPr/>
        <w:sdtContent>
          <w:r w:rsidR="007F48C3">
            <w:fldChar w:fldCharType="begin"/>
          </w:r>
          <w:r w:rsidR="007F48C3">
            <w:instrText xml:space="preserve"> CITATION Por89 \l 2057 </w:instrText>
          </w:r>
          <w:r w:rsidR="007F48C3">
            <w:fldChar w:fldCharType="separate"/>
          </w:r>
          <w:r w:rsidR="007F48C3" w:rsidRPr="007F48C3">
            <w:rPr>
              <w:noProof/>
            </w:rPr>
            <w:t>(Porter, 1989)</w:t>
          </w:r>
          <w:r w:rsidR="007F48C3">
            <w:fldChar w:fldCharType="end"/>
          </w:r>
        </w:sdtContent>
      </w:sdt>
      <w:r w:rsidR="007F48C3">
        <w:t xml:space="preserve">. </w:t>
      </w:r>
      <w:r w:rsidR="00D93C03" w:rsidRPr="007F48C3">
        <w:t xml:space="preserve"> </w:t>
      </w:r>
      <w:r w:rsidR="007F48C3">
        <w:t>Porter’s Five Forces goes b</w:t>
      </w:r>
      <w:r w:rsidR="00D93C03" w:rsidRPr="007F48C3">
        <w:t xml:space="preserve">eyond </w:t>
      </w:r>
      <w:r w:rsidR="007F48C3">
        <w:t>“</w:t>
      </w:r>
      <w:r w:rsidR="00D93C03" w:rsidRPr="007F48C3">
        <w:t>a more simplistic focus on relative market growth rates in determining industry attractiveness”</w:t>
      </w:r>
      <w:r w:rsidR="00326775">
        <w:t xml:space="preserve"> </w:t>
      </w:r>
      <w:sdt>
        <w:sdtPr>
          <w:id w:val="-1748870147"/>
          <w:citation/>
        </w:sdtPr>
        <w:sdtEndPr/>
        <w:sdtContent>
          <w:r w:rsidR="00326775">
            <w:fldChar w:fldCharType="begin"/>
          </w:r>
          <w:r w:rsidR="00326775">
            <w:instrText xml:space="preserve"> CITATION Gru06 \l 2057 </w:instrText>
          </w:r>
          <w:r w:rsidR="00326775">
            <w:fldChar w:fldCharType="separate"/>
          </w:r>
          <w:r w:rsidR="00326775" w:rsidRPr="00326775">
            <w:rPr>
              <w:noProof/>
            </w:rPr>
            <w:t>(Grundy, 2006)</w:t>
          </w:r>
          <w:r w:rsidR="00326775">
            <w:fldChar w:fldCharType="end"/>
          </w:r>
        </w:sdtContent>
      </w:sdt>
      <w:r w:rsidR="00326775">
        <w:t xml:space="preserve">. </w:t>
      </w:r>
      <w:r w:rsidR="00D93C03" w:rsidRPr="007F48C3">
        <w:t xml:space="preserve"> </w:t>
      </w:r>
      <w:r w:rsidR="00326775">
        <w:t xml:space="preserve">Another </w:t>
      </w:r>
      <w:r w:rsidR="00D93C03" w:rsidRPr="007F48C3">
        <w:t>benefit</w:t>
      </w:r>
      <w:r w:rsidR="00326775">
        <w:t xml:space="preserve"> of using Porter’s Five Forces is that is allows </w:t>
      </w:r>
      <w:r w:rsidR="00D93C03" w:rsidRPr="007F48C3">
        <w:t xml:space="preserve">managers </w:t>
      </w:r>
      <w:r w:rsidR="00326775">
        <w:t>to</w:t>
      </w:r>
      <w:r w:rsidR="00D93C03" w:rsidRPr="007F48C3">
        <w:t xml:space="preserve"> focus </w:t>
      </w:r>
      <w:r w:rsidR="00326775">
        <w:t xml:space="preserve">more </w:t>
      </w:r>
      <w:r w:rsidR="00D93C03" w:rsidRPr="007F48C3">
        <w:t>on the external environment</w:t>
      </w:r>
      <w:r w:rsidR="00326775">
        <w:t xml:space="preserve"> when compared to other external analysis models such as SWOT.  </w:t>
      </w:r>
      <w:r w:rsidR="00D93C03" w:rsidRPr="007F48C3">
        <w:t xml:space="preserve"> The goal of the Five Forces framework is not only to assess industry profitability and attractiveness but also to comprehend the “underpinnings of competition and the root causes of profitability”</w:t>
      </w:r>
      <w:r w:rsidR="00326775">
        <w:t xml:space="preserve"> </w:t>
      </w:r>
      <w:sdt>
        <w:sdtPr>
          <w:id w:val="-1405761526"/>
          <w:citation/>
        </w:sdtPr>
        <w:sdtEndPr/>
        <w:sdtContent>
          <w:r w:rsidR="00326775">
            <w:fldChar w:fldCharType="begin"/>
          </w:r>
          <w:r w:rsidR="00326775">
            <w:instrText xml:space="preserve">CITATION Por08 \p 29 \l 2057 </w:instrText>
          </w:r>
          <w:r w:rsidR="00326775">
            <w:fldChar w:fldCharType="separate"/>
          </w:r>
          <w:r w:rsidR="00326775" w:rsidRPr="00326775">
            <w:rPr>
              <w:noProof/>
            </w:rPr>
            <w:t>(Porter, 2008, p. 29)</w:t>
          </w:r>
          <w:r w:rsidR="00326775">
            <w:fldChar w:fldCharType="end"/>
          </w:r>
        </w:sdtContent>
      </w:sdt>
      <w:r w:rsidR="00326775">
        <w:t xml:space="preserve">.  </w:t>
      </w:r>
    </w:p>
    <w:p w:rsidR="00D93C03" w:rsidRPr="008E15B1" w:rsidRDefault="00D93C03" w:rsidP="00193E51">
      <w:pPr>
        <w:spacing w:line="360" w:lineRule="auto"/>
        <w:rPr>
          <w:b/>
          <w:color w:val="538135" w:themeColor="accent6" w:themeShade="BF"/>
        </w:rPr>
      </w:pPr>
    </w:p>
    <w:p w:rsidR="000411F7" w:rsidRPr="00193E51" w:rsidRDefault="000F755C" w:rsidP="00193E51">
      <w:pPr>
        <w:pStyle w:val="Heading2"/>
      </w:pPr>
      <w:bookmarkStart w:id="4" w:name="_Toc29996435"/>
      <w:r>
        <w:t xml:space="preserve">2.1 </w:t>
      </w:r>
      <w:r w:rsidR="00193E51">
        <w:t>T</w:t>
      </w:r>
      <w:r w:rsidR="000411F7" w:rsidRPr="00193E51">
        <w:t>hreat of New Entrants</w:t>
      </w:r>
      <w:bookmarkEnd w:id="4"/>
      <w:r w:rsidR="000411F7" w:rsidRPr="00193E51">
        <w:t xml:space="preserve"> </w:t>
      </w:r>
    </w:p>
    <w:p w:rsidR="008E15B1" w:rsidRPr="008E15B1" w:rsidRDefault="008E15B1" w:rsidP="00193E51">
      <w:pPr>
        <w:spacing w:line="360" w:lineRule="auto"/>
        <w:rPr>
          <w:color w:val="538135" w:themeColor="accent6" w:themeShade="BF"/>
        </w:rPr>
      </w:pPr>
    </w:p>
    <w:p w:rsidR="009C7CB3" w:rsidRDefault="00D93C03" w:rsidP="009C7CB3">
      <w:pPr>
        <w:spacing w:line="360" w:lineRule="auto"/>
      </w:pPr>
      <w:r w:rsidRPr="00193E51">
        <w:t xml:space="preserve">Porter (1985) states that “new entrants to an industry bring new capacity, and the desire to gain market share that puts pressure on prices, costs and the rate of investment necessary to compete” </w:t>
      </w:r>
      <w:r w:rsidRPr="00193E51">
        <w:lastRenderedPageBreak/>
        <w:t>(p. 8</w:t>
      </w:r>
      <w:r w:rsidRPr="009C7CB3">
        <w:t>). However, the threat of entry will largely depend on how high entry barriers are and how many organizations are in the industry (Johnson et al., 2008).</w:t>
      </w:r>
      <w:r w:rsidR="009C7CB3">
        <w:t xml:space="preserve"> New entrants can cause a problem to established companies and will directly affect the competitive market as it provides another option for customers.  </w:t>
      </w:r>
    </w:p>
    <w:p w:rsidR="009C7CB3" w:rsidRDefault="009C7CB3" w:rsidP="009C7CB3">
      <w:pPr>
        <w:spacing w:line="360" w:lineRule="auto"/>
      </w:pPr>
      <w:r>
        <w:t xml:space="preserve">Porter (1989) identifies seven critical barriers for entering the market: </w:t>
      </w:r>
    </w:p>
    <w:p w:rsidR="009C7CB3" w:rsidRPr="009C7CB3" w:rsidRDefault="008E15B1" w:rsidP="009C7CB3">
      <w:pPr>
        <w:pStyle w:val="ListParagraph"/>
        <w:numPr>
          <w:ilvl w:val="0"/>
          <w:numId w:val="1"/>
        </w:numPr>
      </w:pPr>
      <w:r w:rsidRPr="009C7CB3">
        <w:t>supply-side economies of scale</w:t>
      </w:r>
    </w:p>
    <w:p w:rsidR="009C7CB3" w:rsidRPr="009C7CB3" w:rsidRDefault="008E15B1" w:rsidP="009C7CB3">
      <w:pPr>
        <w:pStyle w:val="ListParagraph"/>
        <w:numPr>
          <w:ilvl w:val="0"/>
          <w:numId w:val="1"/>
        </w:numPr>
      </w:pPr>
      <w:r w:rsidRPr="009C7CB3">
        <w:t>demand-side benefits of scale</w:t>
      </w:r>
    </w:p>
    <w:p w:rsidR="009C7CB3" w:rsidRPr="009C7CB3" w:rsidRDefault="008E15B1" w:rsidP="009C7CB3">
      <w:pPr>
        <w:pStyle w:val="ListParagraph"/>
        <w:numPr>
          <w:ilvl w:val="0"/>
          <w:numId w:val="1"/>
        </w:numPr>
      </w:pPr>
      <w:r w:rsidRPr="009C7CB3">
        <w:t>customer switching cost</w:t>
      </w:r>
    </w:p>
    <w:p w:rsidR="009C7CB3" w:rsidRPr="009C7CB3" w:rsidRDefault="009C7CB3" w:rsidP="009C7CB3">
      <w:pPr>
        <w:pStyle w:val="ListParagraph"/>
        <w:numPr>
          <w:ilvl w:val="0"/>
          <w:numId w:val="1"/>
        </w:numPr>
      </w:pPr>
      <w:r>
        <w:t>c</w:t>
      </w:r>
      <w:r w:rsidR="008E15B1" w:rsidRPr="009C7CB3">
        <w:t>apital requirements</w:t>
      </w:r>
    </w:p>
    <w:p w:rsidR="009C7CB3" w:rsidRPr="009C7CB3" w:rsidRDefault="008E15B1" w:rsidP="009C7CB3">
      <w:pPr>
        <w:pStyle w:val="ListParagraph"/>
        <w:numPr>
          <w:ilvl w:val="0"/>
          <w:numId w:val="1"/>
        </w:numPr>
      </w:pPr>
      <w:r w:rsidRPr="009C7CB3">
        <w:t>incumbency advantages independent of size</w:t>
      </w:r>
    </w:p>
    <w:p w:rsidR="009C7CB3" w:rsidRPr="009C7CB3" w:rsidRDefault="008E15B1" w:rsidP="009C7CB3">
      <w:pPr>
        <w:pStyle w:val="ListParagraph"/>
        <w:numPr>
          <w:ilvl w:val="0"/>
          <w:numId w:val="1"/>
        </w:numPr>
      </w:pPr>
      <w:r w:rsidRPr="009C7CB3">
        <w:t>unequal access to distribution channels</w:t>
      </w:r>
    </w:p>
    <w:p w:rsidR="009C7CB3" w:rsidRDefault="008E15B1" w:rsidP="009C7CB3">
      <w:pPr>
        <w:pStyle w:val="ListParagraph"/>
        <w:numPr>
          <w:ilvl w:val="0"/>
          <w:numId w:val="1"/>
        </w:numPr>
      </w:pPr>
      <w:r w:rsidRPr="009C7CB3">
        <w:t>restrictive government policy</w:t>
      </w:r>
    </w:p>
    <w:p w:rsidR="009C7CB3" w:rsidRPr="009C7CB3" w:rsidRDefault="009C7CB3" w:rsidP="009C7CB3">
      <w:r>
        <w:t>By analysing these barriers, it is possible to anticipate any possible moves from competitors</w:t>
      </w:r>
      <w:r w:rsidR="000C61FB">
        <w:t xml:space="preserve"> when considering entering into the market.  </w:t>
      </w:r>
      <w:r>
        <w:t xml:space="preserve"> </w:t>
      </w:r>
    </w:p>
    <w:p w:rsidR="000411F7" w:rsidRPr="00EE1E88" w:rsidRDefault="00EE1E88" w:rsidP="00193E51">
      <w:pPr>
        <w:spacing w:line="360" w:lineRule="auto"/>
      </w:pPr>
      <w:r w:rsidRPr="00EE1E88">
        <w:t xml:space="preserve">The threat of new entry could have a negative impact on the company if larger, well-established health clubs start to introduce classes that are tailored to mental health and wellbeing. </w:t>
      </w:r>
    </w:p>
    <w:p w:rsidR="000411F7" w:rsidRDefault="000F755C" w:rsidP="00193E51">
      <w:pPr>
        <w:pStyle w:val="Heading2"/>
        <w:spacing w:line="360" w:lineRule="auto"/>
      </w:pPr>
      <w:bookmarkStart w:id="5" w:name="_Toc29996436"/>
      <w:r>
        <w:t xml:space="preserve">2.2 </w:t>
      </w:r>
      <w:r w:rsidR="000411F7">
        <w:t>Supplier Bargaining Power</w:t>
      </w:r>
      <w:bookmarkEnd w:id="5"/>
      <w:r w:rsidR="000411F7">
        <w:t xml:space="preserve"> </w:t>
      </w:r>
    </w:p>
    <w:p w:rsidR="008E15B1" w:rsidRPr="008E15B1" w:rsidRDefault="008E15B1" w:rsidP="000C61FB">
      <w:pPr>
        <w:spacing w:line="360" w:lineRule="auto"/>
        <w:rPr>
          <w:b/>
          <w:color w:val="538135" w:themeColor="accent6" w:themeShade="BF"/>
        </w:rPr>
      </w:pPr>
      <w:r w:rsidRPr="008E15B1">
        <w:t>The bargaining power of suppliers</w:t>
      </w:r>
      <w:r w:rsidR="000C61FB">
        <w:t xml:space="preserve"> refers to how much</w:t>
      </w:r>
      <w:r w:rsidRPr="008E15B1">
        <w:t xml:space="preserve"> suppliers can exert power on </w:t>
      </w:r>
      <w:r w:rsidR="000C61FB">
        <w:t>buyers within</w:t>
      </w:r>
      <w:r w:rsidRPr="008E15B1">
        <w:t xml:space="preserve"> an industry. Suppliers can </w:t>
      </w:r>
      <w:r w:rsidR="000C61FB" w:rsidRPr="008E15B1">
        <w:t>apply</w:t>
      </w:r>
      <w:r w:rsidRPr="008E15B1">
        <w:t xml:space="preserve"> </w:t>
      </w:r>
      <w:r w:rsidR="000C61FB">
        <w:t xml:space="preserve">their </w:t>
      </w:r>
      <w:r w:rsidRPr="008E15B1">
        <w:t xml:space="preserve">power on </w:t>
      </w:r>
      <w:r w:rsidR="000C61FB">
        <w:t xml:space="preserve">companies working in a particular </w:t>
      </w:r>
      <w:r w:rsidRPr="008E15B1">
        <w:t xml:space="preserve">industry by </w:t>
      </w:r>
      <w:r w:rsidR="000C61FB">
        <w:t xml:space="preserve">understanding </w:t>
      </w:r>
      <w:r w:rsidRPr="008E15B1">
        <w:t>that there are no</w:t>
      </w:r>
      <w:r w:rsidR="000C61FB">
        <w:t xml:space="preserve"> other </w:t>
      </w:r>
      <w:r w:rsidRPr="008E15B1">
        <w:t xml:space="preserve">suppliers </w:t>
      </w:r>
      <w:r w:rsidR="000C61FB">
        <w:t>that the company can go to in order to meet their needs</w:t>
      </w:r>
      <w:sdt>
        <w:sdtPr>
          <w:id w:val="1290022211"/>
          <w:citation/>
        </w:sdtPr>
        <w:sdtEndPr/>
        <w:sdtContent>
          <w:r w:rsidR="000C61FB">
            <w:fldChar w:fldCharType="begin"/>
          </w:r>
          <w:r w:rsidR="000C61FB">
            <w:instrText xml:space="preserve"> CITATION Joh13 \l 2057 </w:instrText>
          </w:r>
          <w:r w:rsidR="000C61FB">
            <w:fldChar w:fldCharType="separate"/>
          </w:r>
          <w:r w:rsidR="000C61FB">
            <w:rPr>
              <w:noProof/>
            </w:rPr>
            <w:t xml:space="preserve"> </w:t>
          </w:r>
          <w:r w:rsidR="000C61FB" w:rsidRPr="000C61FB">
            <w:rPr>
              <w:noProof/>
            </w:rPr>
            <w:t>(Johnson, 2013)</w:t>
          </w:r>
          <w:r w:rsidR="000C61FB">
            <w:fldChar w:fldCharType="end"/>
          </w:r>
        </w:sdtContent>
      </w:sdt>
      <w:r w:rsidR="000C61FB">
        <w:t xml:space="preserve">.  </w:t>
      </w:r>
    </w:p>
    <w:p w:rsidR="000411F7" w:rsidRPr="00EE1E88" w:rsidRDefault="00EE1E88" w:rsidP="00193E51">
      <w:pPr>
        <w:spacing w:line="360" w:lineRule="auto"/>
      </w:pPr>
      <w:r w:rsidRPr="00EE1E88">
        <w:t xml:space="preserve">The main supplier threat </w:t>
      </w:r>
      <w:r w:rsidR="000C61FB">
        <w:t xml:space="preserve">for ‘Helping Hands’ </w:t>
      </w:r>
      <w:r w:rsidRPr="00EE1E88">
        <w:t xml:space="preserve">would be the venue deciding the increase the hire cost.  </w:t>
      </w:r>
      <w:r>
        <w:t>Equipment will be purchased at the start and can be replaced as-and-when-needed from a number of different sports equipment suppliers.  Food ingredients will be purchased wholesale, but suppliers can be altered should the original supplier fail to continue providing the company with their needs.  The two venues are the main suppliers that could cause a problem to the business if they increase the</w:t>
      </w:r>
      <w:r w:rsidR="00C26617">
        <w:t xml:space="preserve">ir costs.  </w:t>
      </w:r>
    </w:p>
    <w:p w:rsidR="000411F7" w:rsidRDefault="000411F7" w:rsidP="00193E51">
      <w:pPr>
        <w:spacing w:line="360" w:lineRule="auto"/>
      </w:pPr>
    </w:p>
    <w:p w:rsidR="000411F7" w:rsidRDefault="000F755C" w:rsidP="00193E51">
      <w:pPr>
        <w:pStyle w:val="Heading2"/>
        <w:spacing w:line="360" w:lineRule="auto"/>
      </w:pPr>
      <w:bookmarkStart w:id="6" w:name="_Toc29996437"/>
      <w:r>
        <w:t xml:space="preserve">2.3 </w:t>
      </w:r>
      <w:r w:rsidR="000411F7">
        <w:t>Competition</w:t>
      </w:r>
      <w:bookmarkEnd w:id="6"/>
      <w:r w:rsidR="000411F7">
        <w:t xml:space="preserve"> </w:t>
      </w:r>
    </w:p>
    <w:p w:rsidR="0073400D" w:rsidRDefault="0073400D" w:rsidP="00193E51">
      <w:pPr>
        <w:spacing w:line="360" w:lineRule="auto"/>
      </w:pPr>
    </w:p>
    <w:p w:rsidR="000411F7" w:rsidRPr="007F48C3" w:rsidRDefault="000411F7" w:rsidP="00193E51">
      <w:pPr>
        <w:spacing w:line="360" w:lineRule="auto"/>
      </w:pPr>
      <w:r w:rsidRPr="007F48C3">
        <w:t xml:space="preserve">Competition refers to any organisation that could take customers away by offering similar or better products or services.  </w:t>
      </w:r>
      <w:r w:rsidR="00605CA1" w:rsidRPr="007F48C3">
        <w:t xml:space="preserve">“Competition is essentially a process of the formation of opinion: by </w:t>
      </w:r>
      <w:r w:rsidR="007F48C3" w:rsidRPr="007F48C3">
        <w:t>spreading</w:t>
      </w:r>
      <w:r w:rsidR="00605CA1" w:rsidRPr="007F48C3">
        <w:t xml:space="preserve"> </w:t>
      </w:r>
      <w:r w:rsidR="007F48C3" w:rsidRPr="007F48C3">
        <w:lastRenderedPageBreak/>
        <w:t>information</w:t>
      </w:r>
      <w:r w:rsidR="00605CA1" w:rsidRPr="007F48C3">
        <w:t>, it c</w:t>
      </w:r>
      <w:r w:rsidR="00C26617">
        <w:t>r</w:t>
      </w:r>
      <w:r w:rsidR="00605CA1" w:rsidRPr="007F48C3">
        <w:t>e</w:t>
      </w:r>
      <w:r w:rsidR="00C26617">
        <w:t>a</w:t>
      </w:r>
      <w:r w:rsidR="00605CA1" w:rsidRPr="007F48C3">
        <w:t>tes that unity and coherence of the ec</w:t>
      </w:r>
      <w:r w:rsidR="00C26617">
        <w:t>onomic</w:t>
      </w:r>
      <w:r w:rsidR="00605CA1" w:rsidRPr="007F48C3">
        <w:t xml:space="preserve"> system </w:t>
      </w:r>
      <w:r w:rsidR="00C26617" w:rsidRPr="007F48C3">
        <w:t>which</w:t>
      </w:r>
      <w:r w:rsidR="00605CA1" w:rsidRPr="007F48C3">
        <w:t xml:space="preserve"> we </w:t>
      </w:r>
      <w:r w:rsidR="007F48C3" w:rsidRPr="007F48C3">
        <w:t>presuppose when we think if it as one market”</w:t>
      </w:r>
      <w:sdt>
        <w:sdtPr>
          <w:id w:val="982590643"/>
          <w:citation/>
        </w:sdtPr>
        <w:sdtEndPr/>
        <w:sdtContent>
          <w:r w:rsidR="007F48C3" w:rsidRPr="007F48C3">
            <w:fldChar w:fldCharType="begin"/>
          </w:r>
          <w:r w:rsidR="007F48C3" w:rsidRPr="007F48C3">
            <w:instrText xml:space="preserve">CITATION Hay16 \p 371 \l 2057 </w:instrText>
          </w:r>
          <w:r w:rsidR="007F48C3" w:rsidRPr="007F48C3">
            <w:fldChar w:fldCharType="separate"/>
          </w:r>
          <w:r w:rsidR="007F48C3" w:rsidRPr="007F48C3">
            <w:rPr>
              <w:noProof/>
            </w:rPr>
            <w:t xml:space="preserve"> (Hayek, 2016, p. 371)</w:t>
          </w:r>
          <w:r w:rsidR="007F48C3" w:rsidRPr="007F48C3">
            <w:fldChar w:fldCharType="end"/>
          </w:r>
        </w:sdtContent>
      </w:sdt>
      <w:r w:rsidR="00C26617">
        <w:t xml:space="preserve">. </w:t>
      </w:r>
    </w:p>
    <w:p w:rsidR="00D54D3D" w:rsidRDefault="00F20CA0" w:rsidP="00193E51">
      <w:pPr>
        <w:spacing w:after="0" w:line="360" w:lineRule="auto"/>
        <w:jc w:val="both"/>
      </w:pPr>
      <w:r w:rsidRPr="00F35095">
        <w:t xml:space="preserve">At present, there are a number of organisations that promote physical activities to improve mental health well-being. Third sector organisations such as </w:t>
      </w:r>
      <w:r w:rsidR="00D61725">
        <w:t>M</w:t>
      </w:r>
      <w:r w:rsidRPr="00F35095">
        <w:t>ind</w:t>
      </w:r>
      <w:r>
        <w:t>,</w:t>
      </w:r>
      <w:r w:rsidRPr="00F35095">
        <w:t xml:space="preserve"> provide toolkits and guidance on selecting, organising, funding, and promoting a sport and physical activity service.  As such, there may be other organisations or businesses providing a similar service. </w:t>
      </w:r>
    </w:p>
    <w:p w:rsidR="000C61FB" w:rsidRDefault="000C61FB" w:rsidP="00193E51">
      <w:pPr>
        <w:spacing w:after="0" w:line="360" w:lineRule="auto"/>
        <w:jc w:val="both"/>
      </w:pPr>
    </w:p>
    <w:p w:rsidR="00F20CA0" w:rsidRDefault="000C61FB" w:rsidP="00193E51">
      <w:pPr>
        <w:spacing w:after="0" w:line="360" w:lineRule="auto"/>
        <w:jc w:val="both"/>
      </w:pPr>
      <w:r>
        <w:t xml:space="preserve">In Swansea, there are gyms such as LC2, </w:t>
      </w:r>
      <w:proofErr w:type="spellStart"/>
      <w:r w:rsidR="00B907CB">
        <w:t>Langrove</w:t>
      </w:r>
      <w:proofErr w:type="spellEnd"/>
      <w:r w:rsidR="00B907CB">
        <w:t xml:space="preserve"> Health &amp; Fitness Club and </w:t>
      </w:r>
      <w:r w:rsidR="00270CC3">
        <w:t xml:space="preserve">CrossFit Swansea. </w:t>
      </w:r>
      <w:r w:rsidR="00F20CA0" w:rsidRPr="00F35095">
        <w:t xml:space="preserve">However, the core aim of these services </w:t>
      </w:r>
      <w:r w:rsidR="00D61725" w:rsidRPr="00F35095">
        <w:t>is</w:t>
      </w:r>
      <w:r w:rsidR="00F20CA0" w:rsidRPr="00F35095">
        <w:t xml:space="preserve"> around physical activities where mental health awareness is a by-product.  This business plan is unique in that its fundamental aim is to promote mental health well-being through a variety of physical well-being activities and </w:t>
      </w:r>
      <w:r w:rsidR="00F20CA0">
        <w:t xml:space="preserve">therapies, through a </w:t>
      </w:r>
      <w:r w:rsidR="00D54D3D">
        <w:t>community-based</w:t>
      </w:r>
      <w:r w:rsidR="00F20CA0">
        <w:t xml:space="preserve"> ethos</w:t>
      </w:r>
      <w:r w:rsidR="00270CC3">
        <w:t xml:space="preserve">, meaning there is no direct competition offering exactly the same service.  </w:t>
      </w:r>
    </w:p>
    <w:p w:rsidR="00D54D3D" w:rsidRDefault="00D54D3D" w:rsidP="00193E51">
      <w:pPr>
        <w:spacing w:after="0" w:line="360" w:lineRule="auto"/>
        <w:jc w:val="both"/>
        <w:rPr>
          <w:color w:val="FF0000"/>
        </w:rPr>
      </w:pPr>
    </w:p>
    <w:p w:rsidR="008E15B1" w:rsidRDefault="000F755C" w:rsidP="00227F9D">
      <w:pPr>
        <w:pStyle w:val="Heading2"/>
        <w:spacing w:line="360" w:lineRule="auto"/>
      </w:pPr>
      <w:bookmarkStart w:id="7" w:name="_Toc29996438"/>
      <w:r>
        <w:t xml:space="preserve">2.4 </w:t>
      </w:r>
      <w:r w:rsidR="00D54D3D">
        <w:t>Threat of Substitutes</w:t>
      </w:r>
      <w:bookmarkEnd w:id="7"/>
      <w:r w:rsidR="00D54D3D">
        <w:t xml:space="preserve"> </w:t>
      </w:r>
    </w:p>
    <w:p w:rsidR="008E15B1" w:rsidRPr="008E15B1" w:rsidRDefault="008E15B1" w:rsidP="00270CC3">
      <w:pPr>
        <w:pStyle w:val="NoSpacing"/>
        <w:spacing w:line="360" w:lineRule="auto"/>
      </w:pPr>
      <w:r w:rsidRPr="008E15B1">
        <w:t>The threat of substitute products or services</w:t>
      </w:r>
      <w:r w:rsidR="00B345A3">
        <w:t xml:space="preserve"> means that other services could be used by customers instead of the service offered by ‘Helping Hands’.  “</w:t>
      </w:r>
      <w:r w:rsidRPr="008E15B1">
        <w:t>The easier it is for the prospect to find substitutes to ones offered products or services the harder it is for an entrant to position himself in an industry and, hence, generate profits</w:t>
      </w:r>
      <w:r w:rsidR="00B345A3">
        <w:t>”</w:t>
      </w:r>
      <w:r w:rsidRPr="008E15B1">
        <w:t xml:space="preserve"> </w:t>
      </w:r>
      <w:sdt>
        <w:sdtPr>
          <w:id w:val="-1725828192"/>
          <w:citation/>
        </w:sdtPr>
        <w:sdtEndPr/>
        <w:sdtContent>
          <w:r w:rsidR="00B345A3">
            <w:fldChar w:fldCharType="begin"/>
          </w:r>
          <w:r w:rsidR="00B345A3">
            <w:rPr>
              <w:lang w:val="en-GB"/>
            </w:rPr>
            <w:instrText xml:space="preserve">CITATION Joh13 \p 3 \l 2057 </w:instrText>
          </w:r>
          <w:r w:rsidR="00B345A3">
            <w:fldChar w:fldCharType="separate"/>
          </w:r>
          <w:r w:rsidR="00B345A3" w:rsidRPr="00B345A3">
            <w:rPr>
              <w:noProof/>
              <w:lang w:val="en-GB"/>
            </w:rPr>
            <w:t>(Johnson, 2013, p. 3)</w:t>
          </w:r>
          <w:r w:rsidR="00B345A3">
            <w:fldChar w:fldCharType="end"/>
          </w:r>
        </w:sdtContent>
      </w:sdt>
    </w:p>
    <w:p w:rsidR="00B345A3" w:rsidRDefault="00B345A3" w:rsidP="00193E51">
      <w:pPr>
        <w:spacing w:line="360" w:lineRule="auto"/>
        <w:rPr>
          <w:color w:val="FF0000"/>
        </w:rPr>
      </w:pPr>
    </w:p>
    <w:p w:rsidR="00C26617" w:rsidRPr="00B345A3" w:rsidRDefault="00C26617" w:rsidP="00193E51">
      <w:pPr>
        <w:spacing w:line="360" w:lineRule="auto"/>
      </w:pPr>
      <w:r w:rsidRPr="00B345A3">
        <w:t>There are no companies that currently offer all that ‘Helping Hands’ is offering.  For people who want fitness, yoga, nutrition and cooking advice, and all if this with a focus on mental health in once place, there are currently no substitutes.  However, healthy eating recipes can be bought online</w:t>
      </w:r>
      <w:r w:rsidR="00B345A3" w:rsidRPr="00B345A3">
        <w:t>, and there are many fitness apps that can allow people to benefit from exercise from their own home, alongside their own research into ways of improving mental health.  That said, the better apps cost money and usually run on a monthly subscription, usually costing more than a class at ‘Helping Hands’.  ‘Helping Hands’ also provides the expert knowledge on what type of exercise benefits certain mental health conditions, so clients do not have to do it themselves</w:t>
      </w:r>
      <w:r w:rsidR="00B345A3">
        <w:t xml:space="preserve">, and have to work out what information is viable.  </w:t>
      </w:r>
    </w:p>
    <w:p w:rsidR="00F20CA0" w:rsidRDefault="00F20CA0" w:rsidP="00193E51">
      <w:pPr>
        <w:spacing w:after="0" w:line="360" w:lineRule="auto"/>
        <w:jc w:val="both"/>
      </w:pPr>
    </w:p>
    <w:p w:rsidR="00D54D3D" w:rsidRDefault="000F755C" w:rsidP="00193E51">
      <w:pPr>
        <w:pStyle w:val="Heading2"/>
        <w:spacing w:line="360" w:lineRule="auto"/>
      </w:pPr>
      <w:bookmarkStart w:id="8" w:name="_Toc29996439"/>
      <w:r>
        <w:t xml:space="preserve">2.5 </w:t>
      </w:r>
      <w:r w:rsidR="00D54D3D">
        <w:t>Customer Bargaining power</w:t>
      </w:r>
      <w:bookmarkEnd w:id="8"/>
      <w:r w:rsidR="00D54D3D">
        <w:t xml:space="preserve"> </w:t>
      </w:r>
    </w:p>
    <w:p w:rsidR="007B432F" w:rsidRDefault="008E15B1" w:rsidP="00B345A3">
      <w:pPr>
        <w:spacing w:line="360" w:lineRule="auto"/>
      </w:pPr>
      <w:r w:rsidRPr="00890EC3">
        <w:t xml:space="preserve">The bargaining power of customers </w:t>
      </w:r>
      <w:r w:rsidR="00B345A3">
        <w:t xml:space="preserve">refers to </w:t>
      </w:r>
      <w:r w:rsidRPr="00890EC3">
        <w:t>the ability of</w:t>
      </w:r>
      <w:r w:rsidR="00B345A3">
        <w:t xml:space="preserve"> </w:t>
      </w:r>
      <w:r w:rsidRPr="00890EC3">
        <w:t>customers to put pressure</w:t>
      </w:r>
      <w:r w:rsidR="00B345A3">
        <w:t xml:space="preserve"> on the firm to reduce costs or change price plans, through the threat of not using the service. </w:t>
      </w:r>
      <w:r w:rsidR="007B432F" w:rsidRPr="00890EC3">
        <w:t>The buyer</w:t>
      </w:r>
      <w:r w:rsidR="007B432F">
        <w:t xml:space="preserve"> </w:t>
      </w:r>
      <w:r w:rsidR="007B432F" w:rsidRPr="00890EC3">
        <w:t xml:space="preserve">power is </w:t>
      </w:r>
      <w:r w:rsidR="007B432F" w:rsidRPr="00890EC3">
        <w:lastRenderedPageBreak/>
        <w:t>high if the buyer has many alternatives</w:t>
      </w:r>
      <w:r w:rsidR="007B432F">
        <w:t xml:space="preserve"> </w:t>
      </w:r>
      <w:sdt>
        <w:sdtPr>
          <w:id w:val="1246693424"/>
          <w:citation/>
        </w:sdtPr>
        <w:sdtEndPr/>
        <w:sdtContent>
          <w:r w:rsidR="007B432F">
            <w:fldChar w:fldCharType="begin"/>
          </w:r>
          <w:r w:rsidR="007B432F">
            <w:instrText xml:space="preserve"> CITATION Rih14 \l 2057 </w:instrText>
          </w:r>
          <w:r w:rsidR="007B432F">
            <w:fldChar w:fldCharType="separate"/>
          </w:r>
          <w:r w:rsidR="007B432F" w:rsidRPr="007B432F">
            <w:rPr>
              <w:noProof/>
            </w:rPr>
            <w:t>(Rihan, 2014)</w:t>
          </w:r>
          <w:r w:rsidR="007B432F">
            <w:fldChar w:fldCharType="end"/>
          </w:r>
        </w:sdtContent>
      </w:sdt>
      <w:r w:rsidR="007B432F">
        <w:t xml:space="preserve">. </w:t>
      </w:r>
      <w:r w:rsidR="00B345A3">
        <w:t xml:space="preserve">Companies can reduce </w:t>
      </w:r>
      <w:r w:rsidRPr="00890EC3">
        <w:t>buyer power</w:t>
      </w:r>
      <w:r w:rsidR="007B432F">
        <w:t xml:space="preserve"> by offering schemes such as loyalty programs. </w:t>
      </w:r>
    </w:p>
    <w:p w:rsidR="008E15B1" w:rsidRPr="00890EC3" w:rsidRDefault="007B432F" w:rsidP="00B345A3">
      <w:pPr>
        <w:spacing w:line="360" w:lineRule="auto"/>
      </w:pPr>
      <w:r>
        <w:t>Porter (1989) lists the potential factors as:</w:t>
      </w:r>
    </w:p>
    <w:p w:rsidR="008E15B1" w:rsidRPr="00890EC3" w:rsidRDefault="008E15B1" w:rsidP="007B432F">
      <w:pPr>
        <w:pStyle w:val="ListParagraph"/>
        <w:numPr>
          <w:ilvl w:val="0"/>
          <w:numId w:val="7"/>
        </w:numPr>
        <w:spacing w:after="0" w:line="360" w:lineRule="auto"/>
      </w:pPr>
      <w:r w:rsidRPr="00890EC3">
        <w:t>Buyer concentration to firm concentration ratio</w:t>
      </w:r>
    </w:p>
    <w:p w:rsidR="008E15B1" w:rsidRPr="00890EC3" w:rsidRDefault="008E15B1" w:rsidP="007B432F">
      <w:pPr>
        <w:pStyle w:val="ListParagraph"/>
        <w:numPr>
          <w:ilvl w:val="0"/>
          <w:numId w:val="7"/>
        </w:numPr>
        <w:spacing w:after="0" w:line="360" w:lineRule="auto"/>
      </w:pPr>
      <w:r w:rsidRPr="00890EC3">
        <w:t>Degree of dependency upon existing channels of distribution</w:t>
      </w:r>
    </w:p>
    <w:p w:rsidR="008E15B1" w:rsidRPr="00890EC3" w:rsidRDefault="008E15B1" w:rsidP="007B432F">
      <w:pPr>
        <w:pStyle w:val="ListParagraph"/>
        <w:numPr>
          <w:ilvl w:val="0"/>
          <w:numId w:val="7"/>
        </w:numPr>
        <w:spacing w:after="0" w:line="360" w:lineRule="auto"/>
      </w:pPr>
      <w:r w:rsidRPr="00890EC3">
        <w:t>Bargaining leverage, particularly in industries with high fixed costs</w:t>
      </w:r>
    </w:p>
    <w:p w:rsidR="008E15B1" w:rsidRPr="00890EC3" w:rsidRDefault="008E15B1" w:rsidP="007B432F">
      <w:pPr>
        <w:pStyle w:val="ListParagraph"/>
        <w:numPr>
          <w:ilvl w:val="0"/>
          <w:numId w:val="7"/>
        </w:numPr>
        <w:spacing w:after="0" w:line="360" w:lineRule="auto"/>
      </w:pPr>
      <w:r w:rsidRPr="00890EC3">
        <w:t>Buyer switching costs relative to firm switching costs</w:t>
      </w:r>
    </w:p>
    <w:p w:rsidR="00D54D3D" w:rsidRPr="00890EC3" w:rsidRDefault="00D54D3D" w:rsidP="007B432F">
      <w:pPr>
        <w:pStyle w:val="ListParagraph"/>
        <w:numPr>
          <w:ilvl w:val="0"/>
          <w:numId w:val="7"/>
        </w:numPr>
        <w:spacing w:after="0" w:line="360" w:lineRule="auto"/>
      </w:pPr>
      <w:r w:rsidRPr="00890EC3">
        <w:t>How will this impact the company?</w:t>
      </w:r>
    </w:p>
    <w:p w:rsidR="008E15B1" w:rsidRPr="00890EC3" w:rsidRDefault="008E15B1" w:rsidP="007B432F">
      <w:pPr>
        <w:pStyle w:val="ListParagraph"/>
        <w:numPr>
          <w:ilvl w:val="0"/>
          <w:numId w:val="7"/>
        </w:numPr>
        <w:spacing w:after="0" w:line="360" w:lineRule="auto"/>
      </w:pPr>
      <w:r w:rsidRPr="00890EC3">
        <w:t>Buyer information availability</w:t>
      </w:r>
    </w:p>
    <w:p w:rsidR="008E15B1" w:rsidRPr="00890EC3" w:rsidRDefault="008E15B1" w:rsidP="007B432F">
      <w:pPr>
        <w:pStyle w:val="ListParagraph"/>
        <w:numPr>
          <w:ilvl w:val="0"/>
          <w:numId w:val="7"/>
        </w:numPr>
        <w:spacing w:after="0" w:line="360" w:lineRule="auto"/>
      </w:pPr>
      <w:r w:rsidRPr="00890EC3">
        <w:t>Force down prices</w:t>
      </w:r>
    </w:p>
    <w:p w:rsidR="008E15B1" w:rsidRPr="00890EC3" w:rsidRDefault="008E15B1" w:rsidP="007B432F">
      <w:pPr>
        <w:pStyle w:val="ListParagraph"/>
        <w:numPr>
          <w:ilvl w:val="0"/>
          <w:numId w:val="7"/>
        </w:numPr>
        <w:spacing w:after="0" w:line="360" w:lineRule="auto"/>
      </w:pPr>
      <w:r w:rsidRPr="00890EC3">
        <w:t>Availability of existing substitute products</w:t>
      </w:r>
    </w:p>
    <w:p w:rsidR="008E15B1" w:rsidRPr="00890EC3" w:rsidRDefault="008E15B1" w:rsidP="007B432F">
      <w:pPr>
        <w:pStyle w:val="ListParagraph"/>
        <w:numPr>
          <w:ilvl w:val="0"/>
          <w:numId w:val="7"/>
        </w:numPr>
        <w:spacing w:after="0" w:line="360" w:lineRule="auto"/>
      </w:pPr>
      <w:r w:rsidRPr="00890EC3">
        <w:t>Buyer price sensitivity</w:t>
      </w:r>
    </w:p>
    <w:p w:rsidR="008E15B1" w:rsidRPr="00890EC3" w:rsidRDefault="008E15B1" w:rsidP="007B432F">
      <w:pPr>
        <w:pStyle w:val="ListParagraph"/>
        <w:numPr>
          <w:ilvl w:val="0"/>
          <w:numId w:val="7"/>
        </w:numPr>
        <w:spacing w:after="0" w:line="360" w:lineRule="auto"/>
      </w:pPr>
      <w:r w:rsidRPr="00890EC3">
        <w:t>Differential advantage (uniqueness) of industry products</w:t>
      </w:r>
    </w:p>
    <w:p w:rsidR="008E15B1" w:rsidRPr="00890EC3" w:rsidRDefault="008E15B1" w:rsidP="007B432F">
      <w:pPr>
        <w:pStyle w:val="ListParagraph"/>
        <w:numPr>
          <w:ilvl w:val="0"/>
          <w:numId w:val="7"/>
        </w:numPr>
        <w:spacing w:after="0" w:line="360" w:lineRule="auto"/>
      </w:pPr>
      <w:r w:rsidRPr="00890EC3">
        <w:t>RFM (customer value) Analysis</w:t>
      </w:r>
    </w:p>
    <w:p w:rsidR="008E15B1" w:rsidRDefault="008E15B1" w:rsidP="007B432F">
      <w:pPr>
        <w:pStyle w:val="ListParagraph"/>
        <w:numPr>
          <w:ilvl w:val="0"/>
          <w:numId w:val="7"/>
        </w:numPr>
        <w:spacing w:after="0" w:line="360" w:lineRule="auto"/>
      </w:pPr>
      <w:r w:rsidRPr="00890EC3">
        <w:t>The total amount of trading</w:t>
      </w:r>
    </w:p>
    <w:p w:rsidR="007B432F" w:rsidRDefault="007B432F" w:rsidP="007B432F">
      <w:pPr>
        <w:pStyle w:val="ListParagraph"/>
        <w:spacing w:after="0" w:line="360" w:lineRule="auto"/>
      </w:pPr>
    </w:p>
    <w:p w:rsidR="007B432F" w:rsidRPr="00890EC3" w:rsidRDefault="007B432F" w:rsidP="007B432F">
      <w:pPr>
        <w:spacing w:after="0" w:line="360" w:lineRule="auto"/>
      </w:pPr>
      <w:r>
        <w:t xml:space="preserve">To counter buyer power, ‘Helping Hands’ could offer a monthly membership fee where customers can access as many classes a month, in fitness, yoga and cooking.  There could also be different levels of membership for different fees, such as fitness only.  </w:t>
      </w:r>
    </w:p>
    <w:p w:rsidR="00586432" w:rsidRDefault="00586432" w:rsidP="00586432">
      <w:pPr>
        <w:pStyle w:val="Heading1"/>
      </w:pPr>
      <w:bookmarkStart w:id="9" w:name="_Toc29996440"/>
      <w:r>
        <w:t>3. Operational Requirements</w:t>
      </w:r>
      <w:bookmarkEnd w:id="9"/>
    </w:p>
    <w:p w:rsidR="00F20CA0" w:rsidRDefault="00F20CA0" w:rsidP="00586432">
      <w:pPr>
        <w:rPr>
          <w:color w:val="FF0000"/>
        </w:rPr>
      </w:pPr>
    </w:p>
    <w:p w:rsidR="00F20CA0" w:rsidRPr="00050D01" w:rsidRDefault="00F20CA0" w:rsidP="00F20CA0">
      <w:pPr>
        <w:spacing w:after="0" w:line="240" w:lineRule="auto"/>
        <w:jc w:val="both"/>
        <w:rPr>
          <w:u w:val="single"/>
        </w:rPr>
      </w:pPr>
      <w:r w:rsidRPr="00050D01">
        <w:rPr>
          <w:u w:val="single"/>
        </w:rPr>
        <w:t>Place</w:t>
      </w:r>
    </w:p>
    <w:p w:rsidR="00F20CA0" w:rsidRDefault="00F20CA0" w:rsidP="00F20CA0">
      <w:pPr>
        <w:spacing w:after="0" w:line="240" w:lineRule="auto"/>
        <w:jc w:val="both"/>
      </w:pPr>
      <w:r>
        <w:t>A venue to hire within the community, local community centres in deprived areas.  The project requires a room where fitness classes can take place, and information about mental health can be displayed as posters and leaflets, classes will take place 6 days a week Mon-Fri 10am-11am, 2-3pm and 5pm-6pm Yoga 6pm-7pm.</w:t>
      </w:r>
    </w:p>
    <w:p w:rsidR="00F20CA0" w:rsidRDefault="00F20CA0" w:rsidP="00F20CA0">
      <w:pPr>
        <w:spacing w:after="0" w:line="240" w:lineRule="auto"/>
        <w:jc w:val="both"/>
      </w:pPr>
    </w:p>
    <w:p w:rsidR="00F20CA0" w:rsidRDefault="00F20CA0" w:rsidP="00F20CA0">
      <w:pPr>
        <w:pStyle w:val="ListParagraph"/>
        <w:numPr>
          <w:ilvl w:val="0"/>
          <w:numId w:val="3"/>
        </w:numPr>
        <w:spacing w:after="0" w:line="240" w:lineRule="auto"/>
        <w:jc w:val="both"/>
      </w:pPr>
      <w:r>
        <w:t xml:space="preserve">North </w:t>
      </w:r>
      <w:proofErr w:type="spellStart"/>
      <w:r>
        <w:t>Penlan</w:t>
      </w:r>
      <w:proofErr w:type="spellEnd"/>
      <w:r>
        <w:t xml:space="preserve"> community centre</w:t>
      </w:r>
    </w:p>
    <w:p w:rsidR="00F20CA0" w:rsidRDefault="00F20CA0" w:rsidP="00F20CA0">
      <w:pPr>
        <w:pStyle w:val="ListParagraph"/>
        <w:numPr>
          <w:ilvl w:val="0"/>
          <w:numId w:val="3"/>
        </w:numPr>
        <w:spacing w:after="0" w:line="240" w:lineRule="auto"/>
        <w:jc w:val="both"/>
      </w:pPr>
      <w:proofErr w:type="spellStart"/>
      <w:r>
        <w:t>Gorseinon</w:t>
      </w:r>
      <w:proofErr w:type="spellEnd"/>
      <w:r w:rsidR="00815949">
        <w:t xml:space="preserve"> community centre </w:t>
      </w:r>
    </w:p>
    <w:p w:rsidR="00F20CA0" w:rsidRDefault="00F20CA0" w:rsidP="00F20CA0">
      <w:pPr>
        <w:spacing w:after="0" w:line="240" w:lineRule="auto"/>
        <w:jc w:val="both"/>
      </w:pPr>
    </w:p>
    <w:p w:rsidR="00F20CA0" w:rsidRDefault="00F20CA0" w:rsidP="00F20CA0">
      <w:pPr>
        <w:spacing w:after="0" w:line="240" w:lineRule="auto"/>
        <w:jc w:val="both"/>
        <w:rPr>
          <w:u w:val="single"/>
        </w:rPr>
      </w:pPr>
      <w:r w:rsidRPr="00050D01">
        <w:rPr>
          <w:u w:val="single"/>
        </w:rPr>
        <w:t xml:space="preserve">People </w:t>
      </w:r>
    </w:p>
    <w:p w:rsidR="00F20CA0" w:rsidRDefault="00F20CA0" w:rsidP="00815949">
      <w:pPr>
        <w:spacing w:after="0" w:line="240" w:lineRule="auto"/>
        <w:jc w:val="both"/>
      </w:pPr>
    </w:p>
    <w:p w:rsidR="00F20CA0" w:rsidRDefault="00F20CA0" w:rsidP="00F20CA0">
      <w:pPr>
        <w:spacing w:after="0" w:line="240" w:lineRule="auto"/>
        <w:jc w:val="both"/>
      </w:pPr>
      <w:r>
        <w:t xml:space="preserve">A qualified fitness instructor and a yoga instructor to prepare the room for exercise, plan each fitness class, carry out the fitness classes, and tidy up afterwards. As a qualified fitness instructor, this role will be taken on by the project manager.   As the project grows, there will be an additional fitness instructor to handle more classes being offered.  </w:t>
      </w:r>
    </w:p>
    <w:p w:rsidR="00F20CA0" w:rsidRDefault="00F20CA0" w:rsidP="00F20CA0">
      <w:pPr>
        <w:spacing w:after="0" w:line="240" w:lineRule="auto"/>
        <w:jc w:val="both"/>
      </w:pPr>
    </w:p>
    <w:p w:rsidR="00F20CA0" w:rsidRDefault="00F20CA0" w:rsidP="00F20CA0">
      <w:pPr>
        <w:spacing w:after="0" w:line="240" w:lineRule="auto"/>
        <w:jc w:val="both"/>
      </w:pPr>
      <w:r>
        <w:lastRenderedPageBreak/>
        <w:t xml:space="preserve">There will also be an option to take yoga and other therapeutic classes, so a suitably qualified instructor will have to be hired.  This could be contracted out or hired weekly if required. </w:t>
      </w:r>
    </w:p>
    <w:p w:rsidR="00F20CA0" w:rsidRDefault="00F20CA0" w:rsidP="00F20CA0">
      <w:pPr>
        <w:spacing w:after="0" w:line="240" w:lineRule="auto"/>
        <w:jc w:val="both"/>
      </w:pPr>
    </w:p>
    <w:p w:rsidR="00F20CA0" w:rsidRDefault="00F20CA0" w:rsidP="00F20CA0">
      <w:pPr>
        <w:spacing w:after="0" w:line="240" w:lineRule="auto"/>
        <w:jc w:val="both"/>
      </w:pPr>
      <w:r>
        <w:t xml:space="preserve">The project also requires a mental health professional to oversee group discussions to help combat any issues that the group members are experiencing, in a safe environment.  </w:t>
      </w:r>
    </w:p>
    <w:p w:rsidR="00F20CA0" w:rsidRDefault="00F20CA0" w:rsidP="00F20CA0">
      <w:pPr>
        <w:spacing w:after="0" w:line="240" w:lineRule="auto"/>
        <w:jc w:val="both"/>
      </w:pPr>
    </w:p>
    <w:p w:rsidR="00F20CA0" w:rsidRDefault="00F20CA0" w:rsidP="00F20CA0">
      <w:pPr>
        <w:spacing w:after="0" w:line="240" w:lineRule="auto"/>
        <w:jc w:val="both"/>
      </w:pPr>
      <w:r>
        <w:t xml:space="preserve">Once the project has been established, it is hoped that we bring in cookery classes to promote healthy eating and living. This further assists good mental wellbeing.  This will require a qualified cook with a food and hygiene certificate and specialist knowledge of healthy recipes.   As the project develops, there may be the need for a kitchen assistant to help the cook with preparation and cleaning.  </w:t>
      </w:r>
    </w:p>
    <w:p w:rsidR="00F20CA0" w:rsidRDefault="00F20CA0" w:rsidP="00F20CA0">
      <w:pPr>
        <w:spacing w:after="0" w:line="240" w:lineRule="auto"/>
        <w:jc w:val="both"/>
      </w:pPr>
    </w:p>
    <w:p w:rsidR="00F20CA0" w:rsidRDefault="00F20CA0" w:rsidP="00F20CA0">
      <w:pPr>
        <w:spacing w:after="0" w:line="240" w:lineRule="auto"/>
        <w:jc w:val="both"/>
      </w:pPr>
      <w:r>
        <w:t xml:space="preserve">The project will need a treasurer to handle the money coming in from clients using the service, write up bids for funding, pay the venue and the staff, and keep records of finances.  This will be done by the project manager. </w:t>
      </w:r>
    </w:p>
    <w:p w:rsidR="00F20CA0" w:rsidRDefault="00F20CA0" w:rsidP="00F20CA0">
      <w:pPr>
        <w:spacing w:after="0" w:line="240" w:lineRule="auto"/>
        <w:jc w:val="both"/>
      </w:pPr>
    </w:p>
    <w:p w:rsidR="00F20CA0" w:rsidRDefault="00F20CA0" w:rsidP="00F20CA0">
      <w:pPr>
        <w:spacing w:after="0" w:line="240" w:lineRule="auto"/>
        <w:jc w:val="both"/>
      </w:pPr>
      <w:r>
        <w:t xml:space="preserve">To advertise the services, there will be someone to design posters and leaflets, and distribute these in appropriate forums.  This will be done by the project manager. </w:t>
      </w:r>
    </w:p>
    <w:p w:rsidR="00F20CA0" w:rsidRDefault="00F20CA0" w:rsidP="00F20CA0">
      <w:pPr>
        <w:spacing w:after="0" w:line="240" w:lineRule="auto"/>
        <w:jc w:val="both"/>
      </w:pPr>
    </w:p>
    <w:p w:rsidR="00F20CA0" w:rsidRDefault="00F20CA0" w:rsidP="00F20CA0">
      <w:pPr>
        <w:spacing w:after="0" w:line="240" w:lineRule="auto"/>
        <w:jc w:val="both"/>
      </w:pPr>
      <w:r>
        <w:t>All staff will have to be DBS checked. £44 pp</w:t>
      </w:r>
    </w:p>
    <w:p w:rsidR="00F20CA0" w:rsidRPr="00736048" w:rsidRDefault="00F20CA0" w:rsidP="00F20CA0">
      <w:pPr>
        <w:spacing w:after="0" w:line="240" w:lineRule="auto"/>
        <w:jc w:val="both"/>
      </w:pPr>
      <w:r>
        <w:t>Public liability insurance annual cost £469.54</w:t>
      </w:r>
    </w:p>
    <w:p w:rsidR="00F20CA0" w:rsidRDefault="00F20CA0" w:rsidP="00586432">
      <w:pPr>
        <w:rPr>
          <w:color w:val="FF0000"/>
        </w:rPr>
      </w:pPr>
    </w:p>
    <w:p w:rsidR="00F20CA0" w:rsidRDefault="00F20CA0" w:rsidP="00F20CA0">
      <w:pPr>
        <w:spacing w:after="0" w:line="240" w:lineRule="auto"/>
        <w:jc w:val="both"/>
      </w:pPr>
      <w:r>
        <w:t>The management approach will be more horizontal in style, as the authority will be given to each staff member for their skills and expertise</w:t>
      </w:r>
      <w:r w:rsidR="00D61725">
        <w:t xml:space="preserve"> </w:t>
      </w:r>
      <w:sdt>
        <w:sdtPr>
          <w:id w:val="1597672975"/>
          <w:citation/>
        </w:sdtPr>
        <w:sdtEndPr/>
        <w:sdtContent>
          <w:r w:rsidR="00D61725">
            <w:fldChar w:fldCharType="begin"/>
          </w:r>
          <w:r w:rsidR="00D61725">
            <w:instrText xml:space="preserve"> CITATION Bre13 \l 2057 </w:instrText>
          </w:r>
          <w:r w:rsidR="00D61725">
            <w:fldChar w:fldCharType="separate"/>
          </w:r>
          <w:r w:rsidR="00D61725" w:rsidRPr="00D61725">
            <w:rPr>
              <w:noProof/>
            </w:rPr>
            <w:t>(Brent &amp; Dent, 2013)</w:t>
          </w:r>
          <w:r w:rsidR="00D61725">
            <w:fldChar w:fldCharType="end"/>
          </w:r>
        </w:sdtContent>
      </w:sdt>
      <w:r w:rsidR="00D61725">
        <w:t xml:space="preserve">. </w:t>
      </w:r>
      <w:r>
        <w:t xml:space="preserve">The project manager will be the overall manager, and important decisions will have to go through the manager, but all staff will be able to have responsibility for their own work. </w:t>
      </w:r>
    </w:p>
    <w:p w:rsidR="00815949" w:rsidRDefault="00815949" w:rsidP="00F20CA0">
      <w:pPr>
        <w:spacing w:after="0" w:line="240" w:lineRule="auto"/>
        <w:jc w:val="both"/>
      </w:pPr>
    </w:p>
    <w:p w:rsidR="00815949" w:rsidRDefault="00815949" w:rsidP="00F20CA0">
      <w:pPr>
        <w:spacing w:after="0" w:line="240" w:lineRule="auto"/>
        <w:jc w:val="both"/>
        <w:rPr>
          <w:u w:val="single"/>
        </w:rPr>
      </w:pPr>
      <w:r w:rsidRPr="00815949">
        <w:rPr>
          <w:u w:val="single"/>
        </w:rPr>
        <w:t xml:space="preserve">Price </w:t>
      </w:r>
    </w:p>
    <w:p w:rsidR="00815949" w:rsidRDefault="00815949" w:rsidP="00F20CA0">
      <w:pPr>
        <w:spacing w:after="0" w:line="240" w:lineRule="auto"/>
        <w:jc w:val="both"/>
        <w:rPr>
          <w:u w:val="single"/>
        </w:rPr>
      </w:pPr>
    </w:p>
    <w:p w:rsidR="00815949" w:rsidRDefault="00815949" w:rsidP="00F20CA0">
      <w:pPr>
        <w:spacing w:after="0" w:line="240" w:lineRule="auto"/>
        <w:jc w:val="both"/>
      </w:pPr>
      <w:r w:rsidRPr="00815949">
        <w:t xml:space="preserve">Classes will be set at £4 per session for fitness, £6 per session for yoga and £7 per cookery class which includes ingredients.  </w:t>
      </w:r>
      <w:r>
        <w:t xml:space="preserve">These prices fall in line with other gyms.  </w:t>
      </w:r>
    </w:p>
    <w:p w:rsidR="00815949" w:rsidRDefault="00815949" w:rsidP="00F20CA0">
      <w:pPr>
        <w:spacing w:after="0" w:line="240" w:lineRule="auto"/>
        <w:jc w:val="both"/>
      </w:pPr>
    </w:p>
    <w:p w:rsidR="00815949" w:rsidRPr="00815949" w:rsidRDefault="00815949" w:rsidP="00F20CA0">
      <w:pPr>
        <w:spacing w:after="0" w:line="240" w:lineRule="auto"/>
        <w:jc w:val="both"/>
        <w:rPr>
          <w:u w:val="single"/>
        </w:rPr>
      </w:pPr>
      <w:r w:rsidRPr="00815949">
        <w:rPr>
          <w:u w:val="single"/>
        </w:rPr>
        <w:t xml:space="preserve">Funding </w:t>
      </w:r>
    </w:p>
    <w:p w:rsidR="00815949" w:rsidRDefault="00815949" w:rsidP="00F20CA0">
      <w:pPr>
        <w:spacing w:after="0" w:line="240" w:lineRule="auto"/>
        <w:jc w:val="both"/>
      </w:pPr>
    </w:p>
    <w:p w:rsidR="00815949" w:rsidRDefault="00815949" w:rsidP="00815949">
      <w:pPr>
        <w:spacing w:after="0" w:line="240" w:lineRule="auto"/>
        <w:jc w:val="both"/>
      </w:pPr>
      <w:r>
        <w:t xml:space="preserve">The project requires partners for funding Helping Hands </w:t>
      </w:r>
    </w:p>
    <w:p w:rsidR="00815949" w:rsidRDefault="00815949" w:rsidP="00815949">
      <w:pPr>
        <w:pStyle w:val="ListParagraph"/>
        <w:numPr>
          <w:ilvl w:val="0"/>
          <w:numId w:val="2"/>
        </w:numPr>
        <w:spacing w:after="0" w:line="240" w:lineRule="auto"/>
        <w:jc w:val="both"/>
      </w:pPr>
      <w:r>
        <w:t>Welsh government £10,000</w:t>
      </w:r>
    </w:p>
    <w:p w:rsidR="00815949" w:rsidRDefault="00815949" w:rsidP="00815949">
      <w:pPr>
        <w:pStyle w:val="ListParagraph"/>
        <w:numPr>
          <w:ilvl w:val="0"/>
          <w:numId w:val="2"/>
        </w:numPr>
        <w:spacing w:after="0" w:line="240" w:lineRule="auto"/>
        <w:jc w:val="both"/>
      </w:pPr>
      <w:r>
        <w:t>Local authority £1,500</w:t>
      </w:r>
    </w:p>
    <w:p w:rsidR="00815949" w:rsidRDefault="00815949" w:rsidP="00815949">
      <w:pPr>
        <w:pStyle w:val="ListParagraph"/>
        <w:numPr>
          <w:ilvl w:val="0"/>
          <w:numId w:val="2"/>
        </w:numPr>
        <w:spacing w:after="0" w:line="240" w:lineRule="auto"/>
        <w:jc w:val="both"/>
      </w:pPr>
      <w:r>
        <w:t>Sports Wales £5,000</w:t>
      </w:r>
    </w:p>
    <w:p w:rsidR="00815949" w:rsidRDefault="00815949" w:rsidP="00815949">
      <w:pPr>
        <w:pStyle w:val="ListParagraph"/>
        <w:numPr>
          <w:ilvl w:val="0"/>
          <w:numId w:val="2"/>
        </w:numPr>
        <w:spacing w:after="0" w:line="240" w:lineRule="auto"/>
        <w:jc w:val="both"/>
      </w:pPr>
      <w:r>
        <w:t>NHS £2,000</w:t>
      </w:r>
    </w:p>
    <w:p w:rsidR="00815949" w:rsidRDefault="00815949" w:rsidP="00F20CA0">
      <w:pPr>
        <w:spacing w:after="0" w:line="240" w:lineRule="auto"/>
        <w:jc w:val="both"/>
      </w:pPr>
    </w:p>
    <w:p w:rsidR="00F20CA0" w:rsidRPr="00586432" w:rsidRDefault="00F20CA0" w:rsidP="00586432">
      <w:pPr>
        <w:rPr>
          <w:color w:val="FF0000"/>
        </w:rPr>
      </w:pPr>
    </w:p>
    <w:p w:rsidR="00EF297B" w:rsidRDefault="00EF297B">
      <w:pPr>
        <w:rPr>
          <w:rFonts w:asciiTheme="majorHAnsi" w:eastAsiaTheme="majorEastAsia" w:hAnsiTheme="majorHAnsi" w:cstheme="majorBidi"/>
          <w:color w:val="2E74B5" w:themeColor="accent1" w:themeShade="BF"/>
          <w:sz w:val="32"/>
          <w:szCs w:val="32"/>
        </w:rPr>
      </w:pPr>
      <w:r>
        <w:br w:type="page"/>
      </w:r>
    </w:p>
    <w:p w:rsidR="00586432" w:rsidRDefault="00586432" w:rsidP="00586432">
      <w:pPr>
        <w:pStyle w:val="Heading1"/>
      </w:pPr>
      <w:bookmarkStart w:id="10" w:name="_Toc29996441"/>
      <w:r>
        <w:lastRenderedPageBreak/>
        <w:t>4. Financial Projections</w:t>
      </w:r>
      <w:bookmarkEnd w:id="10"/>
    </w:p>
    <w:p w:rsidR="000411F7" w:rsidRDefault="00326775" w:rsidP="00326775">
      <w:r w:rsidRPr="00326775">
        <w:t xml:space="preserve">The following table shows </w:t>
      </w:r>
      <w:r w:rsidR="00586432" w:rsidRPr="00326775">
        <w:t>a realistic assessment of costs and projected income.</w:t>
      </w:r>
      <w:r w:rsidRPr="00326775">
        <w:t xml:space="preserve"> It considers in-coming</w:t>
      </w:r>
      <w:r>
        <w:t xml:space="preserve">s from the clients, </w:t>
      </w:r>
      <w:r w:rsidRPr="00326775">
        <w:t>and out-goings</w:t>
      </w:r>
      <w:r>
        <w:t xml:space="preserve"> such as venue hire staffing costs and equipment costs.  It shows an estimation of </w:t>
      </w:r>
      <w:r w:rsidRPr="00326775">
        <w:t xml:space="preserve">when the project will break even on costs, and how much profit will be made.  </w:t>
      </w:r>
      <w:r w:rsidR="00586432" w:rsidRPr="00326775">
        <w:t xml:space="preserve"> </w:t>
      </w:r>
    </w:p>
    <w:tbl>
      <w:tblPr>
        <w:tblStyle w:val="TableGrid"/>
        <w:tblW w:w="10065" w:type="dxa"/>
        <w:tblInd w:w="-431" w:type="dxa"/>
        <w:tblLook w:val="04A0" w:firstRow="1" w:lastRow="0" w:firstColumn="1" w:lastColumn="0" w:noHBand="0" w:noVBand="1"/>
      </w:tblPr>
      <w:tblGrid>
        <w:gridCol w:w="1277"/>
        <w:gridCol w:w="831"/>
        <w:gridCol w:w="1627"/>
        <w:gridCol w:w="942"/>
        <w:gridCol w:w="1595"/>
        <w:gridCol w:w="1224"/>
        <w:gridCol w:w="1738"/>
        <w:gridCol w:w="831"/>
      </w:tblGrid>
      <w:tr w:rsidR="00A65AED" w:rsidTr="005C532B">
        <w:tc>
          <w:tcPr>
            <w:tcW w:w="1277" w:type="dxa"/>
          </w:tcPr>
          <w:p w:rsidR="00056E2B" w:rsidRPr="00056E2B" w:rsidRDefault="00056E2B" w:rsidP="00326775">
            <w:pPr>
              <w:rPr>
                <w:b/>
              </w:rPr>
            </w:pPr>
            <w:r w:rsidRPr="00056E2B">
              <w:rPr>
                <w:b/>
              </w:rPr>
              <w:t>Money coming in from start-up funding</w:t>
            </w:r>
          </w:p>
        </w:tc>
        <w:tc>
          <w:tcPr>
            <w:tcW w:w="831" w:type="dxa"/>
          </w:tcPr>
          <w:p w:rsidR="00056E2B" w:rsidRPr="00056E2B" w:rsidRDefault="00056E2B" w:rsidP="00326775">
            <w:pPr>
              <w:rPr>
                <w:b/>
              </w:rPr>
            </w:pPr>
          </w:p>
        </w:tc>
        <w:tc>
          <w:tcPr>
            <w:tcW w:w="1627" w:type="dxa"/>
          </w:tcPr>
          <w:p w:rsidR="00056E2B" w:rsidRPr="00056E2B" w:rsidRDefault="00056E2B" w:rsidP="00326775">
            <w:pPr>
              <w:rPr>
                <w:b/>
              </w:rPr>
            </w:pPr>
            <w:r w:rsidRPr="00056E2B">
              <w:rPr>
                <w:b/>
              </w:rPr>
              <w:t xml:space="preserve">Money coming in from clients  </w:t>
            </w:r>
          </w:p>
        </w:tc>
        <w:tc>
          <w:tcPr>
            <w:tcW w:w="942" w:type="dxa"/>
          </w:tcPr>
          <w:p w:rsidR="00056E2B" w:rsidRPr="00056E2B" w:rsidRDefault="00056E2B" w:rsidP="00326775"/>
        </w:tc>
        <w:tc>
          <w:tcPr>
            <w:tcW w:w="1595" w:type="dxa"/>
          </w:tcPr>
          <w:p w:rsidR="00056E2B" w:rsidRPr="00056E2B" w:rsidRDefault="00056E2B" w:rsidP="00326775">
            <w:pPr>
              <w:rPr>
                <w:b/>
              </w:rPr>
            </w:pPr>
            <w:r w:rsidRPr="00056E2B">
              <w:rPr>
                <w:b/>
              </w:rPr>
              <w:t xml:space="preserve">Money going out regularly </w:t>
            </w:r>
          </w:p>
        </w:tc>
        <w:tc>
          <w:tcPr>
            <w:tcW w:w="1224" w:type="dxa"/>
          </w:tcPr>
          <w:p w:rsidR="00056E2B" w:rsidRPr="00056E2B" w:rsidRDefault="00056E2B" w:rsidP="00326775"/>
        </w:tc>
        <w:tc>
          <w:tcPr>
            <w:tcW w:w="1738" w:type="dxa"/>
          </w:tcPr>
          <w:p w:rsidR="00056E2B" w:rsidRPr="00056E2B" w:rsidRDefault="00056E2B" w:rsidP="00326775">
            <w:pPr>
              <w:rPr>
                <w:b/>
              </w:rPr>
            </w:pPr>
            <w:r w:rsidRPr="00056E2B">
              <w:rPr>
                <w:b/>
              </w:rPr>
              <w:t>Money going out (one-off payments)</w:t>
            </w:r>
          </w:p>
        </w:tc>
        <w:tc>
          <w:tcPr>
            <w:tcW w:w="831" w:type="dxa"/>
          </w:tcPr>
          <w:p w:rsidR="00056E2B" w:rsidRDefault="00056E2B" w:rsidP="00326775"/>
        </w:tc>
      </w:tr>
      <w:tr w:rsidR="00A65AED" w:rsidTr="005C532B">
        <w:tc>
          <w:tcPr>
            <w:tcW w:w="1277" w:type="dxa"/>
          </w:tcPr>
          <w:p w:rsidR="00056E2B" w:rsidRDefault="00EF297B" w:rsidP="00326775">
            <w:r>
              <w:t xml:space="preserve">Start-up Grant – Sport Wales </w:t>
            </w:r>
          </w:p>
        </w:tc>
        <w:tc>
          <w:tcPr>
            <w:tcW w:w="831" w:type="dxa"/>
          </w:tcPr>
          <w:p w:rsidR="00056E2B" w:rsidRDefault="00EF297B" w:rsidP="00326775">
            <w:r>
              <w:t>£5,000</w:t>
            </w:r>
          </w:p>
        </w:tc>
        <w:tc>
          <w:tcPr>
            <w:tcW w:w="1627" w:type="dxa"/>
          </w:tcPr>
          <w:p w:rsidR="00056E2B" w:rsidRDefault="00056E2B" w:rsidP="00326775">
            <w:r>
              <w:t>Fitness classes = £4 per session per person.  Estimated attendance = 10.  (£40 per session)</w:t>
            </w:r>
          </w:p>
          <w:p w:rsidR="00056E2B" w:rsidRDefault="00056E2B" w:rsidP="00326775"/>
          <w:p w:rsidR="00056E2B" w:rsidRDefault="00056E2B" w:rsidP="00326775">
            <w:r>
              <w:t>Fitness classes held per week = 17</w:t>
            </w:r>
          </w:p>
        </w:tc>
        <w:tc>
          <w:tcPr>
            <w:tcW w:w="942" w:type="dxa"/>
          </w:tcPr>
          <w:p w:rsidR="00056E2B" w:rsidRDefault="00056E2B" w:rsidP="00326775">
            <w:r>
              <w:t>£680</w:t>
            </w:r>
          </w:p>
          <w:p w:rsidR="002E3655" w:rsidRDefault="002E3655" w:rsidP="00326775">
            <w:r>
              <w:t xml:space="preserve">Per week </w:t>
            </w:r>
          </w:p>
        </w:tc>
        <w:tc>
          <w:tcPr>
            <w:tcW w:w="1595" w:type="dxa"/>
          </w:tcPr>
          <w:p w:rsidR="00056E2B" w:rsidRDefault="002E3655" w:rsidP="00326775">
            <w:r>
              <w:t>Fitness class instructor (zero costs as these classes will be help by company director)</w:t>
            </w:r>
          </w:p>
        </w:tc>
        <w:tc>
          <w:tcPr>
            <w:tcW w:w="1224" w:type="dxa"/>
          </w:tcPr>
          <w:p w:rsidR="00056E2B" w:rsidRDefault="002E3655" w:rsidP="00326775">
            <w:r>
              <w:t>£0</w:t>
            </w:r>
          </w:p>
          <w:p w:rsidR="002E3655" w:rsidRDefault="002E3655" w:rsidP="00326775">
            <w:r>
              <w:t>Per week</w:t>
            </w:r>
          </w:p>
        </w:tc>
        <w:tc>
          <w:tcPr>
            <w:tcW w:w="1738" w:type="dxa"/>
          </w:tcPr>
          <w:p w:rsidR="00056E2B" w:rsidRDefault="002E3655" w:rsidP="00326775">
            <w:r>
              <w:t xml:space="preserve">Enhanced </w:t>
            </w:r>
            <w:r w:rsidRPr="002E3655">
              <w:t>Disclosure and Barring Service</w:t>
            </w:r>
            <w:r>
              <w:t xml:space="preserve"> (DBS) checks for staff.  2x people </w:t>
            </w:r>
          </w:p>
          <w:p w:rsidR="002E3655" w:rsidRDefault="002E3655" w:rsidP="00326775">
            <w:r>
              <w:t xml:space="preserve">£44 each </w:t>
            </w:r>
          </w:p>
        </w:tc>
        <w:tc>
          <w:tcPr>
            <w:tcW w:w="831" w:type="dxa"/>
          </w:tcPr>
          <w:p w:rsidR="00056E2B" w:rsidRDefault="002E3655" w:rsidP="00326775">
            <w:r>
              <w:t>£88</w:t>
            </w:r>
          </w:p>
        </w:tc>
      </w:tr>
      <w:tr w:rsidR="00A65AED" w:rsidTr="005C532B">
        <w:tc>
          <w:tcPr>
            <w:tcW w:w="1277" w:type="dxa"/>
          </w:tcPr>
          <w:p w:rsidR="00056E2B" w:rsidRDefault="00EF297B" w:rsidP="00326775">
            <w:r>
              <w:t xml:space="preserve">NHS grant </w:t>
            </w:r>
          </w:p>
        </w:tc>
        <w:tc>
          <w:tcPr>
            <w:tcW w:w="831" w:type="dxa"/>
          </w:tcPr>
          <w:p w:rsidR="00056E2B" w:rsidRDefault="00EF297B" w:rsidP="00326775">
            <w:r>
              <w:t>£2,000</w:t>
            </w:r>
          </w:p>
        </w:tc>
        <w:tc>
          <w:tcPr>
            <w:tcW w:w="1627" w:type="dxa"/>
          </w:tcPr>
          <w:p w:rsidR="00056E2B" w:rsidRDefault="00056E2B" w:rsidP="00326775">
            <w:r>
              <w:t xml:space="preserve">Yoga = £6 per session per person.  </w:t>
            </w:r>
          </w:p>
          <w:p w:rsidR="00056E2B" w:rsidRDefault="00056E2B" w:rsidP="00326775"/>
          <w:p w:rsidR="00056E2B" w:rsidRDefault="00056E2B" w:rsidP="00326775">
            <w:r>
              <w:t xml:space="preserve">Estimated attendance = 10 </w:t>
            </w:r>
          </w:p>
          <w:p w:rsidR="00056E2B" w:rsidRDefault="00056E2B" w:rsidP="00326775"/>
          <w:p w:rsidR="00056E2B" w:rsidRDefault="00056E2B" w:rsidP="00326775">
            <w:r>
              <w:t>Yoga classes held per week = 4</w:t>
            </w:r>
          </w:p>
          <w:p w:rsidR="00056E2B" w:rsidRDefault="00056E2B" w:rsidP="00326775"/>
        </w:tc>
        <w:tc>
          <w:tcPr>
            <w:tcW w:w="942" w:type="dxa"/>
          </w:tcPr>
          <w:p w:rsidR="00056E2B" w:rsidRDefault="00056E2B" w:rsidP="00326775">
            <w:r>
              <w:t>£240</w:t>
            </w:r>
          </w:p>
          <w:p w:rsidR="002E3655" w:rsidRDefault="002E3655" w:rsidP="00326775">
            <w:r>
              <w:t xml:space="preserve">Per week </w:t>
            </w:r>
          </w:p>
        </w:tc>
        <w:tc>
          <w:tcPr>
            <w:tcW w:w="1595" w:type="dxa"/>
          </w:tcPr>
          <w:p w:rsidR="00056E2B" w:rsidRDefault="002E3655" w:rsidP="00326775">
            <w:r>
              <w:t xml:space="preserve">Yoga instructor £25 per hour </w:t>
            </w:r>
          </w:p>
          <w:p w:rsidR="002E3655" w:rsidRDefault="002E3655" w:rsidP="00326775"/>
          <w:p w:rsidR="002E3655" w:rsidRDefault="002E3655" w:rsidP="00326775">
            <w:r>
              <w:t xml:space="preserve">4 hours </w:t>
            </w:r>
          </w:p>
        </w:tc>
        <w:tc>
          <w:tcPr>
            <w:tcW w:w="1224" w:type="dxa"/>
          </w:tcPr>
          <w:p w:rsidR="00056E2B" w:rsidRDefault="002E3655" w:rsidP="00326775">
            <w:r>
              <w:t xml:space="preserve">£100 per week </w:t>
            </w:r>
          </w:p>
        </w:tc>
        <w:tc>
          <w:tcPr>
            <w:tcW w:w="1738" w:type="dxa"/>
          </w:tcPr>
          <w:p w:rsidR="00056E2B" w:rsidRDefault="002E3655" w:rsidP="00326775">
            <w:r>
              <w:t xml:space="preserve">Music system </w:t>
            </w:r>
          </w:p>
        </w:tc>
        <w:tc>
          <w:tcPr>
            <w:tcW w:w="831" w:type="dxa"/>
          </w:tcPr>
          <w:p w:rsidR="00056E2B" w:rsidRDefault="002E3655" w:rsidP="00326775">
            <w:r>
              <w:t>£156</w:t>
            </w:r>
          </w:p>
        </w:tc>
      </w:tr>
      <w:tr w:rsidR="00A65AED" w:rsidTr="005C532B">
        <w:tc>
          <w:tcPr>
            <w:tcW w:w="1277" w:type="dxa"/>
          </w:tcPr>
          <w:p w:rsidR="00056E2B" w:rsidRDefault="00056E2B" w:rsidP="00326775"/>
        </w:tc>
        <w:tc>
          <w:tcPr>
            <w:tcW w:w="831" w:type="dxa"/>
          </w:tcPr>
          <w:p w:rsidR="00056E2B" w:rsidRDefault="00056E2B" w:rsidP="00326775"/>
        </w:tc>
        <w:tc>
          <w:tcPr>
            <w:tcW w:w="1627" w:type="dxa"/>
          </w:tcPr>
          <w:p w:rsidR="00056E2B" w:rsidRDefault="002E3655" w:rsidP="00326775">
            <w:r>
              <w:t xml:space="preserve">Cookery classes £7 per person including ingredients.  Estimated 10 people per class.  </w:t>
            </w:r>
          </w:p>
          <w:p w:rsidR="002E3655" w:rsidRDefault="002E3655" w:rsidP="00326775"/>
          <w:p w:rsidR="002E3655" w:rsidRDefault="002E3655" w:rsidP="00326775">
            <w:r>
              <w:t xml:space="preserve">2 x 1 </w:t>
            </w:r>
            <w:proofErr w:type="gramStart"/>
            <w:r>
              <w:t>hours</w:t>
            </w:r>
            <w:proofErr w:type="gramEnd"/>
            <w:r>
              <w:t xml:space="preserve"> classes per week </w:t>
            </w:r>
          </w:p>
        </w:tc>
        <w:tc>
          <w:tcPr>
            <w:tcW w:w="942" w:type="dxa"/>
          </w:tcPr>
          <w:p w:rsidR="00056E2B" w:rsidRDefault="002E3655" w:rsidP="00326775">
            <w:r>
              <w:t xml:space="preserve">£140 per week </w:t>
            </w:r>
          </w:p>
        </w:tc>
        <w:tc>
          <w:tcPr>
            <w:tcW w:w="1595" w:type="dxa"/>
          </w:tcPr>
          <w:p w:rsidR="00056E2B" w:rsidRDefault="002E3655" w:rsidP="00326775">
            <w:r>
              <w:t xml:space="preserve">Cookery instructor </w:t>
            </w:r>
            <w:r w:rsidR="00EF297B">
              <w:t xml:space="preserve">4 hours per week (1 extra hour per session to prepare and clean up.  £20 per hour </w:t>
            </w:r>
          </w:p>
        </w:tc>
        <w:tc>
          <w:tcPr>
            <w:tcW w:w="1224" w:type="dxa"/>
          </w:tcPr>
          <w:p w:rsidR="00056E2B" w:rsidRDefault="00EF297B" w:rsidP="00326775">
            <w:r>
              <w:t xml:space="preserve">£80 per week </w:t>
            </w:r>
          </w:p>
        </w:tc>
        <w:tc>
          <w:tcPr>
            <w:tcW w:w="1738" w:type="dxa"/>
          </w:tcPr>
          <w:p w:rsidR="00056E2B" w:rsidRDefault="00EF297B" w:rsidP="00326775">
            <w:r>
              <w:t>Fitness equipment (hand weights, dumbbells, kettle bells, matts, skipping ropes, weighted bags, medicine balls, aerobic step-up, benches, bars)</w:t>
            </w:r>
          </w:p>
        </w:tc>
        <w:tc>
          <w:tcPr>
            <w:tcW w:w="831" w:type="dxa"/>
          </w:tcPr>
          <w:p w:rsidR="00056E2B" w:rsidRDefault="00EF297B" w:rsidP="00326775">
            <w:r>
              <w:t>£1000</w:t>
            </w:r>
          </w:p>
        </w:tc>
      </w:tr>
      <w:tr w:rsidR="00A65AED" w:rsidTr="005C532B">
        <w:tc>
          <w:tcPr>
            <w:tcW w:w="1277" w:type="dxa"/>
          </w:tcPr>
          <w:p w:rsidR="00056E2B" w:rsidRDefault="00056E2B" w:rsidP="00326775"/>
        </w:tc>
        <w:tc>
          <w:tcPr>
            <w:tcW w:w="831" w:type="dxa"/>
          </w:tcPr>
          <w:p w:rsidR="00056E2B" w:rsidRDefault="00056E2B" w:rsidP="00326775"/>
        </w:tc>
        <w:tc>
          <w:tcPr>
            <w:tcW w:w="1627" w:type="dxa"/>
          </w:tcPr>
          <w:p w:rsidR="00056E2B" w:rsidRDefault="00EF297B" w:rsidP="00326775">
            <w:r>
              <w:t xml:space="preserve">Fuel for work van </w:t>
            </w:r>
          </w:p>
        </w:tc>
        <w:tc>
          <w:tcPr>
            <w:tcW w:w="942" w:type="dxa"/>
          </w:tcPr>
          <w:p w:rsidR="00EF297B" w:rsidRDefault="00EF297B" w:rsidP="00326775">
            <w:r>
              <w:t xml:space="preserve">£20 per week </w:t>
            </w:r>
          </w:p>
          <w:p w:rsidR="00056E2B" w:rsidRPr="00EF297B" w:rsidRDefault="00056E2B" w:rsidP="00EF297B"/>
        </w:tc>
        <w:tc>
          <w:tcPr>
            <w:tcW w:w="1595" w:type="dxa"/>
          </w:tcPr>
          <w:p w:rsidR="00056E2B" w:rsidRDefault="00EF297B" w:rsidP="00326775">
            <w:r>
              <w:t xml:space="preserve">Food for two days cooking for an estimated 10 clients </w:t>
            </w:r>
          </w:p>
        </w:tc>
        <w:tc>
          <w:tcPr>
            <w:tcW w:w="1224" w:type="dxa"/>
          </w:tcPr>
          <w:p w:rsidR="00056E2B" w:rsidRDefault="00EF297B" w:rsidP="00326775">
            <w:r>
              <w:t xml:space="preserve">£70 per week </w:t>
            </w:r>
          </w:p>
        </w:tc>
        <w:tc>
          <w:tcPr>
            <w:tcW w:w="1738" w:type="dxa"/>
          </w:tcPr>
          <w:p w:rsidR="00056E2B" w:rsidRDefault="00EF297B" w:rsidP="00326775">
            <w:r>
              <w:t xml:space="preserve">Vehicle to transport equipment </w:t>
            </w:r>
          </w:p>
        </w:tc>
        <w:tc>
          <w:tcPr>
            <w:tcW w:w="831" w:type="dxa"/>
          </w:tcPr>
          <w:p w:rsidR="00056E2B" w:rsidRDefault="00EF297B" w:rsidP="00326775">
            <w:r>
              <w:t>£3000</w:t>
            </w:r>
          </w:p>
        </w:tc>
      </w:tr>
      <w:tr w:rsidR="00A65AED" w:rsidTr="005C532B">
        <w:tc>
          <w:tcPr>
            <w:tcW w:w="1277" w:type="dxa"/>
          </w:tcPr>
          <w:p w:rsidR="00056E2B" w:rsidRDefault="00056E2B" w:rsidP="00326775"/>
        </w:tc>
        <w:tc>
          <w:tcPr>
            <w:tcW w:w="831" w:type="dxa"/>
          </w:tcPr>
          <w:p w:rsidR="00056E2B" w:rsidRDefault="00056E2B" w:rsidP="00326775"/>
        </w:tc>
        <w:tc>
          <w:tcPr>
            <w:tcW w:w="1627" w:type="dxa"/>
          </w:tcPr>
          <w:p w:rsidR="00056E2B" w:rsidRDefault="00056E2B" w:rsidP="00326775"/>
        </w:tc>
        <w:tc>
          <w:tcPr>
            <w:tcW w:w="942" w:type="dxa"/>
          </w:tcPr>
          <w:p w:rsidR="00056E2B" w:rsidRDefault="00056E2B" w:rsidP="00326775"/>
        </w:tc>
        <w:tc>
          <w:tcPr>
            <w:tcW w:w="1595" w:type="dxa"/>
          </w:tcPr>
          <w:p w:rsidR="00056E2B" w:rsidRDefault="002E3655" w:rsidP="00326775">
            <w:r>
              <w:t>Public Liability Insurance (</w:t>
            </w:r>
            <w:proofErr w:type="spellStart"/>
            <w:r>
              <w:t>Hiscox</w:t>
            </w:r>
            <w:proofErr w:type="spellEnd"/>
            <w:r>
              <w:t>)</w:t>
            </w:r>
          </w:p>
        </w:tc>
        <w:tc>
          <w:tcPr>
            <w:tcW w:w="1224" w:type="dxa"/>
          </w:tcPr>
          <w:p w:rsidR="002E3655" w:rsidRDefault="002E3655" w:rsidP="002E3655">
            <w:r>
              <w:t>£469.54</w:t>
            </w:r>
          </w:p>
          <w:p w:rsidR="00056E2B" w:rsidRDefault="002E3655" w:rsidP="002E3655">
            <w:r>
              <w:t>Per year</w:t>
            </w:r>
          </w:p>
        </w:tc>
        <w:tc>
          <w:tcPr>
            <w:tcW w:w="1738" w:type="dxa"/>
          </w:tcPr>
          <w:p w:rsidR="00056E2B" w:rsidRDefault="00EF297B" w:rsidP="00326775">
            <w:r>
              <w:t xml:space="preserve">Advertising </w:t>
            </w:r>
          </w:p>
        </w:tc>
        <w:tc>
          <w:tcPr>
            <w:tcW w:w="831" w:type="dxa"/>
          </w:tcPr>
          <w:p w:rsidR="00056E2B" w:rsidRDefault="00EF297B" w:rsidP="00326775">
            <w:r>
              <w:t>£100</w:t>
            </w:r>
          </w:p>
        </w:tc>
      </w:tr>
      <w:tr w:rsidR="00A65AED" w:rsidTr="005C532B">
        <w:tc>
          <w:tcPr>
            <w:tcW w:w="1277" w:type="dxa"/>
          </w:tcPr>
          <w:p w:rsidR="00A65AED" w:rsidRDefault="00A65AED" w:rsidP="00326775"/>
        </w:tc>
        <w:tc>
          <w:tcPr>
            <w:tcW w:w="831" w:type="dxa"/>
          </w:tcPr>
          <w:p w:rsidR="00A65AED" w:rsidRDefault="00A65AED" w:rsidP="00326775"/>
        </w:tc>
        <w:tc>
          <w:tcPr>
            <w:tcW w:w="1627" w:type="dxa"/>
          </w:tcPr>
          <w:p w:rsidR="00A65AED" w:rsidRDefault="00A65AED" w:rsidP="00326775"/>
        </w:tc>
        <w:tc>
          <w:tcPr>
            <w:tcW w:w="942" w:type="dxa"/>
          </w:tcPr>
          <w:p w:rsidR="00A65AED" w:rsidRDefault="00A65AED" w:rsidP="00326775"/>
        </w:tc>
        <w:tc>
          <w:tcPr>
            <w:tcW w:w="1595" w:type="dxa"/>
          </w:tcPr>
          <w:p w:rsidR="00A65AED" w:rsidRDefault="00A65AED" w:rsidP="00326775">
            <w:r w:rsidRPr="00D15EA6">
              <w:t xml:space="preserve">Venue hire North </w:t>
            </w:r>
            <w:proofErr w:type="spellStart"/>
            <w:r w:rsidRPr="00D15EA6">
              <w:t>Penlan</w:t>
            </w:r>
            <w:proofErr w:type="spellEnd"/>
            <w:r w:rsidRPr="00D15EA6">
              <w:t xml:space="preserve"> </w:t>
            </w:r>
            <w:r w:rsidR="005C532B">
              <w:t>= £12 per hour</w:t>
            </w:r>
          </w:p>
          <w:p w:rsidR="005C532B" w:rsidRDefault="005C532B" w:rsidP="00326775"/>
          <w:p w:rsidR="005C532B" w:rsidRDefault="005C532B" w:rsidP="00326775">
            <w:r w:rsidRPr="005C532B">
              <w:t xml:space="preserve">Venue Hire </w:t>
            </w:r>
            <w:proofErr w:type="spellStart"/>
            <w:r w:rsidRPr="005C532B">
              <w:t>Gorseinon</w:t>
            </w:r>
            <w:proofErr w:type="spellEnd"/>
            <w:r w:rsidRPr="005C532B">
              <w:t xml:space="preserve"> = £12 per hour</w:t>
            </w:r>
          </w:p>
          <w:p w:rsidR="005C532B" w:rsidRDefault="005C532B" w:rsidP="00326775"/>
          <w:p w:rsidR="005C532B" w:rsidRPr="00A65AED" w:rsidRDefault="005C532B" w:rsidP="00326775">
            <w:pPr>
              <w:rPr>
                <w:highlight w:val="yellow"/>
              </w:rPr>
            </w:pPr>
            <w:r w:rsidRPr="005C532B">
              <w:t>17 hours classes plus 15 minutes before and after to set up and tidy</w:t>
            </w:r>
            <w:r>
              <w:t xml:space="preserve"> (25.5)</w:t>
            </w:r>
            <w:r w:rsidRPr="005C532B">
              <w:t>, 4 hours yoga plus 15 minutes before and after to set up and tidy,</w:t>
            </w:r>
            <w:r>
              <w:t xml:space="preserve"> (6 hours),</w:t>
            </w:r>
            <w:r w:rsidRPr="005C532B">
              <w:t xml:space="preserve"> 2 hours cooking plus 30 minutes before and after to set up and clean/tidy</w:t>
            </w:r>
            <w:r>
              <w:t xml:space="preserve"> (4 hours)</w:t>
            </w:r>
            <w:r w:rsidRPr="005C532B">
              <w:t xml:space="preserve">.  </w:t>
            </w:r>
            <w:r>
              <w:t>Total = 35.5</w:t>
            </w:r>
          </w:p>
        </w:tc>
        <w:tc>
          <w:tcPr>
            <w:tcW w:w="1224" w:type="dxa"/>
            <w:shd w:val="clear" w:color="auto" w:fill="auto"/>
          </w:tcPr>
          <w:p w:rsidR="00A65AED" w:rsidRPr="00A65AED" w:rsidRDefault="005C532B" w:rsidP="002E3655">
            <w:pPr>
              <w:rPr>
                <w:highlight w:val="yellow"/>
              </w:rPr>
            </w:pPr>
            <w:r w:rsidRPr="005C532B">
              <w:t xml:space="preserve">£426 per week for both venues </w:t>
            </w:r>
          </w:p>
        </w:tc>
        <w:tc>
          <w:tcPr>
            <w:tcW w:w="1738" w:type="dxa"/>
          </w:tcPr>
          <w:p w:rsidR="00A65AED" w:rsidRDefault="00A65AED" w:rsidP="00326775"/>
        </w:tc>
        <w:tc>
          <w:tcPr>
            <w:tcW w:w="831" w:type="dxa"/>
          </w:tcPr>
          <w:p w:rsidR="00A65AED" w:rsidRDefault="00A65AED" w:rsidP="00326775"/>
        </w:tc>
      </w:tr>
      <w:tr w:rsidR="00A65AED" w:rsidTr="005C532B">
        <w:tc>
          <w:tcPr>
            <w:tcW w:w="1277" w:type="dxa"/>
          </w:tcPr>
          <w:p w:rsidR="00EF297B" w:rsidRDefault="00EF297B" w:rsidP="00326775">
            <w:pPr>
              <w:rPr>
                <w:b/>
              </w:rPr>
            </w:pPr>
            <w:r>
              <w:rPr>
                <w:b/>
              </w:rPr>
              <w:t xml:space="preserve">Annual </w:t>
            </w:r>
            <w:r w:rsidRPr="00EF297B">
              <w:rPr>
                <w:b/>
              </w:rPr>
              <w:t xml:space="preserve">TOTALS </w:t>
            </w:r>
          </w:p>
          <w:p w:rsidR="00A65AED" w:rsidRPr="00EF297B" w:rsidRDefault="00A65AED" w:rsidP="00326775">
            <w:pPr>
              <w:rPr>
                <w:b/>
              </w:rPr>
            </w:pPr>
            <w:r>
              <w:rPr>
                <w:b/>
              </w:rPr>
              <w:t xml:space="preserve">(50 weeks) </w:t>
            </w:r>
          </w:p>
        </w:tc>
        <w:tc>
          <w:tcPr>
            <w:tcW w:w="831" w:type="dxa"/>
          </w:tcPr>
          <w:p w:rsidR="00EF297B" w:rsidRPr="00EF297B" w:rsidRDefault="00EF297B" w:rsidP="00326775">
            <w:pPr>
              <w:rPr>
                <w:b/>
              </w:rPr>
            </w:pPr>
            <w:r>
              <w:rPr>
                <w:b/>
              </w:rPr>
              <w:t>£7,000 in</w:t>
            </w:r>
          </w:p>
        </w:tc>
        <w:tc>
          <w:tcPr>
            <w:tcW w:w="1627" w:type="dxa"/>
          </w:tcPr>
          <w:p w:rsidR="00EF297B" w:rsidRPr="00EF297B" w:rsidRDefault="00EF297B" w:rsidP="00326775">
            <w:pPr>
              <w:rPr>
                <w:b/>
              </w:rPr>
            </w:pPr>
          </w:p>
        </w:tc>
        <w:tc>
          <w:tcPr>
            <w:tcW w:w="942" w:type="dxa"/>
          </w:tcPr>
          <w:p w:rsidR="00EF297B" w:rsidRPr="00A65AED" w:rsidRDefault="00EF297B" w:rsidP="00326775">
            <w:pPr>
              <w:rPr>
                <w:b/>
              </w:rPr>
            </w:pPr>
            <w:r w:rsidRPr="00A65AED">
              <w:rPr>
                <w:b/>
              </w:rPr>
              <w:t>£</w:t>
            </w:r>
            <w:r w:rsidR="00A65AED" w:rsidRPr="00A65AED">
              <w:rPr>
                <w:b/>
              </w:rPr>
              <w:t>54,000</w:t>
            </w:r>
            <w:r w:rsidRPr="00A65AED">
              <w:rPr>
                <w:b/>
              </w:rPr>
              <w:t xml:space="preserve"> </w:t>
            </w:r>
            <w:r w:rsidR="00A65AED">
              <w:rPr>
                <w:b/>
              </w:rPr>
              <w:t>in</w:t>
            </w:r>
          </w:p>
        </w:tc>
        <w:tc>
          <w:tcPr>
            <w:tcW w:w="1595" w:type="dxa"/>
          </w:tcPr>
          <w:p w:rsidR="00EF297B" w:rsidRPr="00A65AED" w:rsidRDefault="00EF297B" w:rsidP="00326775">
            <w:pPr>
              <w:rPr>
                <w:b/>
              </w:rPr>
            </w:pPr>
          </w:p>
        </w:tc>
        <w:tc>
          <w:tcPr>
            <w:tcW w:w="1224" w:type="dxa"/>
          </w:tcPr>
          <w:p w:rsidR="005C532B" w:rsidRDefault="00EF297B" w:rsidP="002E3655">
            <w:pPr>
              <w:rPr>
                <w:b/>
              </w:rPr>
            </w:pPr>
            <w:r w:rsidRPr="00A65AED">
              <w:rPr>
                <w:b/>
              </w:rPr>
              <w:t>£</w:t>
            </w:r>
            <w:r w:rsidR="00A65AED" w:rsidRPr="00A65AED">
              <w:rPr>
                <w:b/>
              </w:rPr>
              <w:t>1</w:t>
            </w:r>
            <w:r w:rsidR="005C532B">
              <w:rPr>
                <w:b/>
              </w:rPr>
              <w:t>3,395.50</w:t>
            </w:r>
          </w:p>
          <w:p w:rsidR="00EF297B" w:rsidRPr="00A65AED" w:rsidRDefault="00EF297B" w:rsidP="002E3655">
            <w:pPr>
              <w:rPr>
                <w:b/>
              </w:rPr>
            </w:pPr>
            <w:r w:rsidRPr="00A65AED">
              <w:rPr>
                <w:b/>
              </w:rPr>
              <w:t>out</w:t>
            </w:r>
          </w:p>
        </w:tc>
        <w:tc>
          <w:tcPr>
            <w:tcW w:w="1738" w:type="dxa"/>
          </w:tcPr>
          <w:p w:rsidR="00EF297B" w:rsidRPr="00A65AED" w:rsidRDefault="00EF297B" w:rsidP="00326775">
            <w:pPr>
              <w:rPr>
                <w:b/>
              </w:rPr>
            </w:pPr>
          </w:p>
        </w:tc>
        <w:tc>
          <w:tcPr>
            <w:tcW w:w="831" w:type="dxa"/>
          </w:tcPr>
          <w:p w:rsidR="00EF297B" w:rsidRDefault="00A65AED" w:rsidP="00326775">
            <w:pPr>
              <w:rPr>
                <w:b/>
              </w:rPr>
            </w:pPr>
            <w:r w:rsidRPr="00A65AED">
              <w:rPr>
                <w:b/>
              </w:rPr>
              <w:t>£4,344</w:t>
            </w:r>
          </w:p>
          <w:p w:rsidR="00A65AED" w:rsidRPr="00A65AED" w:rsidRDefault="00A65AED" w:rsidP="00326775">
            <w:pPr>
              <w:rPr>
                <w:b/>
              </w:rPr>
            </w:pPr>
            <w:r>
              <w:rPr>
                <w:b/>
              </w:rPr>
              <w:t xml:space="preserve">out </w:t>
            </w:r>
          </w:p>
        </w:tc>
      </w:tr>
    </w:tbl>
    <w:p w:rsidR="00326775" w:rsidRDefault="00326775" w:rsidP="00326775"/>
    <w:p w:rsidR="00A65AED" w:rsidRDefault="00A65AED" w:rsidP="00326775"/>
    <w:p w:rsidR="00A65AED" w:rsidRDefault="00A65AED" w:rsidP="00326775">
      <w:r>
        <w:t xml:space="preserve">Projected profit for the first year based on these figures is </w:t>
      </w:r>
      <w:r w:rsidRPr="00A65AED">
        <w:rPr>
          <w:b/>
        </w:rPr>
        <w:t>£43,</w:t>
      </w:r>
      <w:r w:rsidR="005C532B">
        <w:rPr>
          <w:b/>
        </w:rPr>
        <w:t>260</w:t>
      </w:r>
      <w:r w:rsidRPr="00A65AED">
        <w:rPr>
          <w:b/>
        </w:rPr>
        <w:t>.50</w:t>
      </w:r>
      <w:r>
        <w:rPr>
          <w:b/>
        </w:rPr>
        <w:t xml:space="preserve">.  </w:t>
      </w:r>
      <w:r w:rsidRPr="00A65AED">
        <w:t xml:space="preserve">This is including expected start-up grants. </w:t>
      </w:r>
      <w:r w:rsidR="00C553C2">
        <w:t xml:space="preserve"> Without the grants, the estimated figures will still bring in enough income to profit the company, but an initial loan would be required to purchase the equipment and pay the staff for the first few weeks.  </w:t>
      </w:r>
    </w:p>
    <w:p w:rsidR="00A65AED" w:rsidRDefault="00A65AED" w:rsidP="00326775">
      <w:pPr>
        <w:rPr>
          <w:b/>
        </w:rPr>
      </w:pPr>
      <w:r>
        <w:t xml:space="preserve">The following years will not receive grants, and the initial start-up materials will haver already been bought.  Projected profit for the following years based on the same figures = </w:t>
      </w:r>
      <w:r w:rsidRPr="00A65AED">
        <w:rPr>
          <w:b/>
        </w:rPr>
        <w:t>£</w:t>
      </w:r>
      <w:r w:rsidR="00C553C2">
        <w:rPr>
          <w:b/>
        </w:rPr>
        <w:t>40,604.</w:t>
      </w:r>
      <w:r w:rsidRPr="00A65AED">
        <w:rPr>
          <w:b/>
        </w:rPr>
        <w:t>50</w:t>
      </w:r>
    </w:p>
    <w:p w:rsidR="00C553C2" w:rsidRDefault="00C553C2" w:rsidP="00326775">
      <w:r>
        <w:t>Some of t</w:t>
      </w:r>
      <w:r w:rsidR="00A65AED">
        <w:t xml:space="preserve">he profit will provide a living wage for the managing director.  The rest of the profit will help the company expand. </w:t>
      </w:r>
      <w:r>
        <w:t xml:space="preserve"> More staff may be required if the numbers of attendees grows.  It is anticipated that if the cookery classes are successful, there may be a requirement for a kitchen assistant to help the cookery instructor.  Some of the profit could also pay for staff training and further advertising.  </w:t>
      </w:r>
      <w:r w:rsidR="006338B7">
        <w:t xml:space="preserve">It is also anticipated that a mental well-being professional will be employed at a later stage, depending on the success of the business.  </w:t>
      </w:r>
    </w:p>
    <w:p w:rsidR="00A65AED" w:rsidRDefault="00C553C2" w:rsidP="00326775">
      <w:r>
        <w:lastRenderedPageBreak/>
        <w:t xml:space="preserve">The projected figures indicate an overall profit, but </w:t>
      </w:r>
      <w:r w:rsidR="006338B7">
        <w:t xml:space="preserve">an </w:t>
      </w:r>
      <w:r>
        <w:t xml:space="preserve">estimated 10 people attending each cookery class leaves a weekly £10 loss for that aspect.  The income from 10 people attending twice a week at £7 a session is £140, but the cost of ingredients and a cookery instructor comes to £150.  The cookery classes are still worth doing for two reasons: </w:t>
      </w:r>
    </w:p>
    <w:p w:rsidR="00C553C2" w:rsidRDefault="00C553C2" w:rsidP="00C553C2">
      <w:pPr>
        <w:pStyle w:val="ListParagraph"/>
        <w:numPr>
          <w:ilvl w:val="0"/>
          <w:numId w:val="5"/>
        </w:numPr>
      </w:pPr>
      <w:r>
        <w:t xml:space="preserve">The estimated attendees could be lower than actual attendees.  Whilst extra food and ingredients would have to be purchased to provide for </w:t>
      </w:r>
      <w:r w:rsidR="006338B7">
        <w:t>more than 10 people, the extra custom would allow the company to break even or profit.</w:t>
      </w:r>
    </w:p>
    <w:p w:rsidR="006338B7" w:rsidRDefault="006338B7" w:rsidP="006338B7">
      <w:pPr>
        <w:pStyle w:val="ListParagraph"/>
        <w:numPr>
          <w:ilvl w:val="0"/>
          <w:numId w:val="5"/>
        </w:numPr>
      </w:pPr>
      <w:r>
        <w:t xml:space="preserve">Clients who come in for cookery could then be drawn into the other classes on offer. This could increase revenue in other areas of the business.  </w:t>
      </w:r>
    </w:p>
    <w:p w:rsidR="006338B7" w:rsidRPr="00326775" w:rsidRDefault="006338B7" w:rsidP="006338B7">
      <w:r>
        <w:t xml:space="preserve">If the cookery classes are a success, there is an argument for increasing the price.  Not only are clients developing their knowledge on nutrition and cooking skills, but ingredients are included in the price, so they will take home a meal at the end of the session.   </w:t>
      </w:r>
    </w:p>
    <w:p w:rsidR="00586432" w:rsidRDefault="00586432" w:rsidP="00586432">
      <w:pPr>
        <w:pStyle w:val="Heading1"/>
      </w:pPr>
      <w:bookmarkStart w:id="11" w:name="_Toc29996442"/>
      <w:r>
        <w:t>5. Recommendations &amp; Findings</w:t>
      </w:r>
      <w:bookmarkEnd w:id="11"/>
    </w:p>
    <w:p w:rsidR="002F73D7" w:rsidRDefault="002F73D7" w:rsidP="007F79F7">
      <w:pPr>
        <w:spacing w:line="360" w:lineRule="auto"/>
        <w:rPr>
          <w:color w:val="FF0000"/>
        </w:rPr>
      </w:pPr>
    </w:p>
    <w:p w:rsidR="002F73D7" w:rsidRDefault="00D54D3D" w:rsidP="007F79F7">
      <w:pPr>
        <w:spacing w:line="360" w:lineRule="auto"/>
      </w:pPr>
      <w:r w:rsidRPr="007F79F7">
        <w:t>Studies about how food can affect mental health are limited.  In some studies, people with an unhealthy diet were more likely to show symptoms of depression or other mental health issues.</w:t>
      </w:r>
      <w:r w:rsidR="007F79F7" w:rsidRPr="007F79F7">
        <w:t xml:space="preserve"> Certain </w:t>
      </w:r>
      <w:r w:rsidRPr="007F79F7">
        <w:t>nutrients in food</w:t>
      </w:r>
      <w:r w:rsidR="007F79F7" w:rsidRPr="007F79F7">
        <w:t>s, such as vitamins and omega-3</w:t>
      </w:r>
      <w:r w:rsidRPr="007F79F7">
        <w:t xml:space="preserve"> </w:t>
      </w:r>
      <w:r w:rsidR="007F79F7" w:rsidRPr="007F79F7">
        <w:t xml:space="preserve">fatty acids can contribute to </w:t>
      </w:r>
      <w:r w:rsidRPr="007F79F7">
        <w:t xml:space="preserve">emotional </w:t>
      </w:r>
      <w:r w:rsidR="007F79F7" w:rsidRPr="007F79F7">
        <w:t>wellbeing</w:t>
      </w:r>
      <w:r w:rsidR="007F79F7">
        <w:t xml:space="preserve"> </w:t>
      </w:r>
      <w:sdt>
        <w:sdtPr>
          <w:id w:val="-33732213"/>
          <w:citation/>
        </w:sdtPr>
        <w:sdtEndPr/>
        <w:sdtContent>
          <w:r w:rsidR="007F79F7">
            <w:fldChar w:fldCharType="begin"/>
          </w:r>
          <w:r w:rsidR="007F79F7">
            <w:instrText xml:space="preserve"> CITATION fam17 \l 2057 </w:instrText>
          </w:r>
          <w:r w:rsidR="007F79F7">
            <w:fldChar w:fldCharType="separate"/>
          </w:r>
          <w:r w:rsidR="007F79F7" w:rsidRPr="007F79F7">
            <w:rPr>
              <w:noProof/>
            </w:rPr>
            <w:t>(familydoctor.org, 2017)</w:t>
          </w:r>
          <w:r w:rsidR="007F79F7">
            <w:fldChar w:fldCharType="end"/>
          </w:r>
        </w:sdtContent>
      </w:sdt>
      <w:r w:rsidRPr="007F79F7">
        <w:t xml:space="preserve">. </w:t>
      </w:r>
      <w:r w:rsidR="007F79F7" w:rsidRPr="007F79F7">
        <w:t xml:space="preserve">This shows that on the whole, maintaining a healthy diet can boost mood and lead to improved mental health.  These findings justify going ahead with including healthy eating as part of the ‘Helping Hands’ project.  </w:t>
      </w:r>
    </w:p>
    <w:p w:rsidR="002F73D7" w:rsidRDefault="002F73D7" w:rsidP="007F79F7">
      <w:pPr>
        <w:spacing w:line="360" w:lineRule="auto"/>
      </w:pPr>
      <w:r>
        <w:t xml:space="preserve">The projected income for the project justifies taking the project forward.  The projected finances are based on 10 people attending each class.  It is expected that the actual figure will vary, being lower at the start and hopefully higher as the company gains more awareness.  Some classes will be more highly attended than others depending on the time of day. It is recommended that the classes are monitored for three months to establish attendance.  At the end of this time, low attended classes might be replaced with different classes at different time to cater to demand.  </w:t>
      </w:r>
    </w:p>
    <w:p w:rsidR="00815949" w:rsidRDefault="00815949" w:rsidP="007F79F7">
      <w:pPr>
        <w:spacing w:line="360" w:lineRule="auto"/>
      </w:pPr>
      <w:r>
        <w:t xml:space="preserve">It is recommended that a membership fee is introduced in order to reduce buyer power, but this will have to be reviewed at a later date and the financial implications analysed.  </w:t>
      </w:r>
    </w:p>
    <w:p w:rsidR="00815949" w:rsidRDefault="00815949">
      <w:r>
        <w:br w:type="page"/>
      </w:r>
    </w:p>
    <w:bookmarkStart w:id="12" w:name="_Toc29996443" w:displacedByCustomXml="next"/>
    <w:sdt>
      <w:sdtPr>
        <w:rPr>
          <w:rFonts w:asciiTheme="minorHAnsi" w:eastAsiaTheme="minorHAnsi" w:hAnsiTheme="minorHAnsi" w:cstheme="minorBidi"/>
          <w:color w:val="auto"/>
          <w:sz w:val="22"/>
          <w:szCs w:val="22"/>
        </w:rPr>
        <w:id w:val="698821282"/>
        <w:docPartObj>
          <w:docPartGallery w:val="Bibliographies"/>
          <w:docPartUnique/>
        </w:docPartObj>
      </w:sdtPr>
      <w:sdtEndPr/>
      <w:sdtContent>
        <w:p w:rsidR="00815949" w:rsidRPr="000F755C" w:rsidRDefault="000F755C">
          <w:pPr>
            <w:pStyle w:val="Heading1"/>
          </w:pPr>
          <w:r w:rsidRPr="000F755C">
            <w:t xml:space="preserve">6. </w:t>
          </w:r>
          <w:r w:rsidR="00815949" w:rsidRPr="000F755C">
            <w:t>References</w:t>
          </w:r>
          <w:bookmarkEnd w:id="12"/>
        </w:p>
        <w:sdt>
          <w:sdtPr>
            <w:id w:val="-573587230"/>
            <w:bibliography/>
          </w:sdtPr>
          <w:sdtEndPr/>
          <w:sdtContent>
            <w:p w:rsidR="00815949" w:rsidRDefault="00815949" w:rsidP="00837001">
              <w:pPr>
                <w:pStyle w:val="Bibliography"/>
                <w:ind w:left="360"/>
                <w:rPr>
                  <w:noProof/>
                  <w:sz w:val="24"/>
                  <w:szCs w:val="24"/>
                </w:rPr>
              </w:pPr>
              <w:r>
                <w:fldChar w:fldCharType="begin"/>
              </w:r>
              <w:r>
                <w:instrText xml:space="preserve"> BIBLIOGRAPHY </w:instrText>
              </w:r>
              <w:r>
                <w:fldChar w:fldCharType="separate"/>
              </w:r>
              <w:r>
                <w:rPr>
                  <w:noProof/>
                </w:rPr>
                <w:t xml:space="preserve">Andriotis, K. (2004) Revising Porter’s Five Forces Model for Application in the Travel and Tourism Industry. T. </w:t>
              </w:r>
              <w:r>
                <w:rPr>
                  <w:i/>
                  <w:iCs/>
                  <w:noProof/>
                </w:rPr>
                <w:t xml:space="preserve">Tourism Today, </w:t>
              </w:r>
              <w:r>
                <w:rPr>
                  <w:noProof/>
                </w:rPr>
                <w:t>4(1), pp. 131-145.</w:t>
              </w:r>
            </w:p>
            <w:p w:rsidR="00815949" w:rsidRDefault="00815949" w:rsidP="00837001">
              <w:pPr>
                <w:pStyle w:val="Bibliography"/>
                <w:ind w:left="360"/>
                <w:rPr>
                  <w:noProof/>
                </w:rPr>
              </w:pPr>
              <w:r>
                <w:rPr>
                  <w:noProof/>
                </w:rPr>
                <w:t xml:space="preserve">Biddle, S. (2016) Physical activity and mental health: evidence is growing. </w:t>
              </w:r>
              <w:r>
                <w:rPr>
                  <w:i/>
                  <w:iCs/>
                  <w:noProof/>
                </w:rPr>
                <w:t xml:space="preserve">World Psychiatry, </w:t>
              </w:r>
              <w:r>
                <w:rPr>
                  <w:noProof/>
                </w:rPr>
                <w:t>15(2), p. 176–177.</w:t>
              </w:r>
            </w:p>
            <w:p w:rsidR="00815949" w:rsidRDefault="00815949" w:rsidP="00837001">
              <w:pPr>
                <w:pStyle w:val="Bibliography"/>
                <w:ind w:left="360"/>
                <w:rPr>
                  <w:noProof/>
                </w:rPr>
              </w:pPr>
              <w:r>
                <w:rPr>
                  <w:noProof/>
                </w:rPr>
                <w:t>Brent, M. &amp; Dent, F.</w:t>
              </w:r>
              <w:r w:rsidRPr="00815949">
                <w:rPr>
                  <w:noProof/>
                </w:rPr>
                <w:t xml:space="preserve"> </w:t>
              </w:r>
              <w:r>
                <w:rPr>
                  <w:noProof/>
                </w:rPr>
                <w:t xml:space="preserve">(2013) </w:t>
              </w:r>
              <w:r>
                <w:rPr>
                  <w:i/>
                  <w:iCs/>
                  <w:noProof/>
                </w:rPr>
                <w:t xml:space="preserve">The Leader's Guide to Managing People: How to Use Soft Skills to Get Hard Results. </w:t>
              </w:r>
              <w:r>
                <w:rPr>
                  <w:noProof/>
                </w:rPr>
                <w:t>London: FT Publishing International.</w:t>
              </w:r>
            </w:p>
            <w:p w:rsidR="00815949" w:rsidRDefault="00815949" w:rsidP="00837001">
              <w:pPr>
                <w:pStyle w:val="Bibliography"/>
                <w:ind w:left="360"/>
                <w:rPr>
                  <w:noProof/>
                </w:rPr>
              </w:pPr>
              <w:r>
                <w:rPr>
                  <w:noProof/>
                </w:rPr>
                <w:t xml:space="preserve">Bruijl, G. (2018) </w:t>
              </w:r>
              <w:r>
                <w:rPr>
                  <w:i/>
                  <w:iCs/>
                  <w:noProof/>
                </w:rPr>
                <w:t xml:space="preserve">The Relevance of Porter's Five Forces in Today's Innovative and Changing Business Environment, </w:t>
              </w:r>
              <w:r>
                <w:rPr>
                  <w:noProof/>
                </w:rPr>
                <w:t>Nelson: Nelson Marlborough Institute of Technology .</w:t>
              </w:r>
            </w:p>
            <w:p w:rsidR="00815949" w:rsidRDefault="00815949" w:rsidP="00837001">
              <w:pPr>
                <w:pStyle w:val="Bibliography"/>
                <w:ind w:left="360"/>
                <w:rPr>
                  <w:noProof/>
                </w:rPr>
              </w:pPr>
              <w:r>
                <w:rPr>
                  <w:noProof/>
                </w:rPr>
                <w:t xml:space="preserve">Dälken, F. (2014) </w:t>
              </w:r>
              <w:r>
                <w:rPr>
                  <w:i/>
                  <w:iCs/>
                  <w:noProof/>
                </w:rPr>
                <w:t xml:space="preserve">Are Porter’s Five Competitive Forces still Applicable? A Critical Examination concerning the Relevance for Today’s Business, </w:t>
              </w:r>
              <w:r>
                <w:rPr>
                  <w:noProof/>
                </w:rPr>
                <w:t>Enschede: University of Twent.</w:t>
              </w:r>
            </w:p>
            <w:p w:rsidR="00815949" w:rsidRDefault="00815949" w:rsidP="00837001">
              <w:pPr>
                <w:pStyle w:val="Bibliography"/>
                <w:ind w:left="360"/>
                <w:rPr>
                  <w:noProof/>
                </w:rPr>
              </w:pPr>
              <w:r>
                <w:rPr>
                  <w:noProof/>
                </w:rPr>
                <w:t xml:space="preserve">Downes, L. (1997) Beyond Porter. </w:t>
              </w:r>
              <w:r>
                <w:rPr>
                  <w:i/>
                  <w:iCs/>
                  <w:noProof/>
                </w:rPr>
                <w:t xml:space="preserve">Context Magazine, </w:t>
              </w:r>
              <w:r>
                <w:rPr>
                  <w:noProof/>
                </w:rPr>
                <w:t>1(1), p. 1.</w:t>
              </w:r>
            </w:p>
            <w:p w:rsidR="00815949" w:rsidRDefault="00815949" w:rsidP="00837001">
              <w:pPr>
                <w:pStyle w:val="Bibliography"/>
                <w:ind w:left="360"/>
                <w:rPr>
                  <w:noProof/>
                </w:rPr>
              </w:pPr>
              <w:r>
                <w:rPr>
                  <w:noProof/>
                </w:rPr>
                <w:t xml:space="preserve">familydoctor.org, (2017) </w:t>
              </w:r>
              <w:r>
                <w:rPr>
                  <w:i/>
                  <w:iCs/>
                  <w:noProof/>
                </w:rPr>
                <w:t xml:space="preserve">Nutrition and Mental Health. </w:t>
              </w:r>
              <w:r>
                <w:rPr>
                  <w:noProof/>
                </w:rPr>
                <w:t xml:space="preserve">[Online] </w:t>
              </w:r>
              <w:r>
                <w:rPr>
                  <w:noProof/>
                </w:rPr>
                <w:br/>
                <w:t xml:space="preserve">Available at: </w:t>
              </w:r>
              <w:r>
                <w:rPr>
                  <w:noProof/>
                  <w:u w:val="single"/>
                </w:rPr>
                <w:t>https://familydoctor.org/nutrition-mental-health/</w:t>
              </w:r>
              <w:r>
                <w:rPr>
                  <w:noProof/>
                </w:rPr>
                <w:br/>
                <w:t>[Accessed 8 Janaury 2020].</w:t>
              </w:r>
            </w:p>
            <w:p w:rsidR="00815949" w:rsidRDefault="00815949" w:rsidP="00837001">
              <w:pPr>
                <w:pStyle w:val="Bibliography"/>
                <w:ind w:left="360"/>
                <w:rPr>
                  <w:noProof/>
                </w:rPr>
              </w:pPr>
              <w:r>
                <w:rPr>
                  <w:noProof/>
                </w:rPr>
                <w:t xml:space="preserve">Grundy, T. (2006) Rethinking and reinventing Michael Porter's five forces model.. </w:t>
              </w:r>
              <w:r>
                <w:rPr>
                  <w:i/>
                  <w:iCs/>
                  <w:noProof/>
                </w:rPr>
                <w:t xml:space="preserve">Strategic Change, </w:t>
              </w:r>
              <w:r>
                <w:rPr>
                  <w:noProof/>
                </w:rPr>
                <w:t>15(5), pp. 213-229.</w:t>
              </w:r>
            </w:p>
            <w:p w:rsidR="00815949" w:rsidRDefault="00815949" w:rsidP="00837001">
              <w:pPr>
                <w:pStyle w:val="Bibliography"/>
                <w:ind w:left="360"/>
                <w:rPr>
                  <w:noProof/>
                </w:rPr>
              </w:pPr>
              <w:r>
                <w:rPr>
                  <w:noProof/>
                </w:rPr>
                <w:t xml:space="preserve">Hayek, F. (2016) The Meaning of Competition. </w:t>
              </w:r>
              <w:r>
                <w:rPr>
                  <w:i/>
                  <w:iCs/>
                  <w:noProof/>
                </w:rPr>
                <w:t xml:space="preserve">Econ Journal Watch , </w:t>
              </w:r>
              <w:r>
                <w:rPr>
                  <w:noProof/>
                </w:rPr>
                <w:t>13(2), pp. 359-372.</w:t>
              </w:r>
            </w:p>
            <w:p w:rsidR="00815949" w:rsidRDefault="00815949" w:rsidP="00837001">
              <w:pPr>
                <w:pStyle w:val="Bibliography"/>
                <w:ind w:left="360"/>
                <w:rPr>
                  <w:noProof/>
                </w:rPr>
              </w:pPr>
              <w:r>
                <w:rPr>
                  <w:noProof/>
                </w:rPr>
                <w:t xml:space="preserve">Johnson, G., Scholes, K. &amp; Whittington, R. (2008) </w:t>
              </w:r>
              <w:r>
                <w:rPr>
                  <w:i/>
                  <w:iCs/>
                  <w:noProof/>
                </w:rPr>
                <w:t xml:space="preserve">Exploring Corporate Strategy: Text &amp; Cases. </w:t>
              </w:r>
              <w:r>
                <w:rPr>
                  <w:noProof/>
                </w:rPr>
                <w:t>Upper Saddle River: Prentice Hall .</w:t>
              </w:r>
            </w:p>
            <w:p w:rsidR="00815949" w:rsidRDefault="00815949" w:rsidP="00837001">
              <w:pPr>
                <w:pStyle w:val="Bibliography"/>
                <w:ind w:left="360"/>
                <w:rPr>
                  <w:noProof/>
                </w:rPr>
              </w:pPr>
              <w:r>
                <w:rPr>
                  <w:noProof/>
                </w:rPr>
                <w:t xml:space="preserve">Johnson, M. (2013) </w:t>
              </w:r>
              <w:r>
                <w:rPr>
                  <w:i/>
                  <w:iCs/>
                  <w:noProof/>
                </w:rPr>
                <w:t xml:space="preserve">The 5 Competitive Forces Framework in a technology mediated environment. Do these forces still hold in the industry of the 21st century? , </w:t>
              </w:r>
              <w:r>
                <w:rPr>
                  <w:noProof/>
                </w:rPr>
                <w:t>Twente : University of Twente .</w:t>
              </w:r>
            </w:p>
            <w:p w:rsidR="00815949" w:rsidRDefault="00815949" w:rsidP="00837001">
              <w:pPr>
                <w:pStyle w:val="Bibliography"/>
                <w:ind w:left="360"/>
                <w:rPr>
                  <w:noProof/>
                </w:rPr>
              </w:pPr>
              <w:r>
                <w:rPr>
                  <w:noProof/>
                </w:rPr>
                <w:t xml:space="preserve">Miller, K. (2015) </w:t>
              </w:r>
              <w:r>
                <w:rPr>
                  <w:i/>
                  <w:iCs/>
                  <w:noProof/>
                </w:rPr>
                <w:t xml:space="preserve">Can What You Eat Affect Your Mental Health?. </w:t>
              </w:r>
              <w:r>
                <w:rPr>
                  <w:noProof/>
                </w:rPr>
                <w:t xml:space="preserve">[Online] </w:t>
              </w:r>
              <w:r>
                <w:rPr>
                  <w:noProof/>
                </w:rPr>
                <w:br/>
                <w:t xml:space="preserve">Available at: </w:t>
              </w:r>
              <w:r>
                <w:rPr>
                  <w:noProof/>
                  <w:u w:val="single"/>
                </w:rPr>
                <w:t>https://www.webmd.com/mental-health/news/20150820/food-mental-health#1</w:t>
              </w:r>
              <w:r>
                <w:rPr>
                  <w:noProof/>
                </w:rPr>
                <w:br/>
                <w:t>[Accessed 8 January 2020].</w:t>
              </w:r>
            </w:p>
            <w:p w:rsidR="00815949" w:rsidRDefault="00815949" w:rsidP="00837001">
              <w:pPr>
                <w:pStyle w:val="Bibliography"/>
                <w:ind w:left="360"/>
                <w:rPr>
                  <w:noProof/>
                </w:rPr>
              </w:pPr>
              <w:r>
                <w:rPr>
                  <w:noProof/>
                </w:rPr>
                <w:t xml:space="preserve">Mind, (2011) </w:t>
              </w:r>
              <w:r>
                <w:rPr>
                  <w:i/>
                  <w:iCs/>
                  <w:noProof/>
                </w:rPr>
                <w:t xml:space="preserve">Delivering a sport and physical activity service: A toolkit for mental health providers. </w:t>
              </w:r>
              <w:r>
                <w:rPr>
                  <w:noProof/>
                </w:rPr>
                <w:t xml:space="preserve">[Online] </w:t>
              </w:r>
              <w:r>
                <w:rPr>
                  <w:noProof/>
                </w:rPr>
                <w:br/>
                <w:t xml:space="preserve">Available at: </w:t>
              </w:r>
              <w:r>
                <w:rPr>
                  <w:noProof/>
                  <w:u w:val="single"/>
                </w:rPr>
                <w:t>https://www.mind.org.uk/media/6027126/a-toolkit-for-mental-health-providers.pdf</w:t>
              </w:r>
              <w:r>
                <w:rPr>
                  <w:noProof/>
                </w:rPr>
                <w:br/>
                <w:t>[Accessed 8 January 2020].</w:t>
              </w:r>
            </w:p>
            <w:p w:rsidR="00815949" w:rsidRDefault="00815949" w:rsidP="00837001">
              <w:pPr>
                <w:pStyle w:val="Bibliography"/>
                <w:ind w:left="360"/>
                <w:rPr>
                  <w:noProof/>
                </w:rPr>
              </w:pPr>
              <w:r>
                <w:rPr>
                  <w:noProof/>
                </w:rPr>
                <w:t xml:space="preserve">NHS, (2019) </w:t>
              </w:r>
              <w:r>
                <w:rPr>
                  <w:i/>
                  <w:iCs/>
                  <w:noProof/>
                </w:rPr>
                <w:t xml:space="preserve">Living Life Well Programme. </w:t>
              </w:r>
              <w:r>
                <w:rPr>
                  <w:noProof/>
                </w:rPr>
                <w:t xml:space="preserve">[Online] </w:t>
              </w:r>
              <w:r>
                <w:rPr>
                  <w:noProof/>
                </w:rPr>
                <w:br/>
                <w:t xml:space="preserve">Available at: </w:t>
              </w:r>
              <w:r>
                <w:rPr>
                  <w:noProof/>
                  <w:u w:val="single"/>
                </w:rPr>
                <w:t>http://www.wales.nhs.uk/sitesplus/documents/863/LivingLifeWell%20information%20pack%202019%209%20NEW%20DATES%20ADDED.pdf</w:t>
              </w:r>
              <w:r>
                <w:rPr>
                  <w:noProof/>
                </w:rPr>
                <w:br/>
                <w:t>[Accessed 26 November 2019].</w:t>
              </w:r>
            </w:p>
            <w:p w:rsidR="00815949" w:rsidRDefault="00815949" w:rsidP="00837001">
              <w:pPr>
                <w:pStyle w:val="Bibliography"/>
                <w:ind w:left="360"/>
                <w:rPr>
                  <w:noProof/>
                </w:rPr>
              </w:pPr>
              <w:r>
                <w:rPr>
                  <w:noProof/>
                </w:rPr>
                <w:t xml:space="preserve">O'Shaughnessy, J. (1984) </w:t>
              </w:r>
              <w:r>
                <w:rPr>
                  <w:i/>
                  <w:iCs/>
                  <w:noProof/>
                </w:rPr>
                <w:t xml:space="preserve">Competitive marketing: a strategic approach. </w:t>
              </w:r>
              <w:r>
                <w:rPr>
                  <w:noProof/>
                </w:rPr>
                <w:t>Boston: Allen &amp; Unwin.</w:t>
              </w:r>
            </w:p>
            <w:p w:rsidR="00815949" w:rsidRDefault="00815949" w:rsidP="00837001">
              <w:pPr>
                <w:pStyle w:val="Bibliography"/>
                <w:ind w:left="360"/>
                <w:rPr>
                  <w:noProof/>
                </w:rPr>
              </w:pPr>
              <w:r>
                <w:rPr>
                  <w:noProof/>
                </w:rPr>
                <w:t xml:space="preserve">Porter, M. (1989) How competitive forces shape strategy. In: M. E. Porter, ed. </w:t>
              </w:r>
              <w:r>
                <w:rPr>
                  <w:i/>
                  <w:iCs/>
                  <w:noProof/>
                </w:rPr>
                <w:t xml:space="preserve">Readings in Strategic Management . </w:t>
              </w:r>
              <w:r>
                <w:rPr>
                  <w:noProof/>
                </w:rPr>
                <w:t>London: Palgrave, pp. 133-143.</w:t>
              </w:r>
            </w:p>
            <w:p w:rsidR="00815949" w:rsidRDefault="00815949" w:rsidP="00837001">
              <w:pPr>
                <w:pStyle w:val="Bibliography"/>
                <w:ind w:left="360"/>
                <w:rPr>
                  <w:noProof/>
                </w:rPr>
              </w:pPr>
              <w:r>
                <w:rPr>
                  <w:noProof/>
                </w:rPr>
                <w:lastRenderedPageBreak/>
                <w:t xml:space="preserve">Porter, M.(2008) The five competitive forces that shape strategy. </w:t>
              </w:r>
              <w:r>
                <w:rPr>
                  <w:i/>
                  <w:iCs/>
                  <w:noProof/>
                </w:rPr>
                <w:t xml:space="preserve">Harvard Business Review, </w:t>
              </w:r>
              <w:r>
                <w:rPr>
                  <w:noProof/>
                </w:rPr>
                <w:t>January(1), pp. 25-41.</w:t>
              </w:r>
            </w:p>
            <w:p w:rsidR="00815949" w:rsidRDefault="00815949" w:rsidP="00837001">
              <w:pPr>
                <w:pStyle w:val="Bibliography"/>
                <w:ind w:left="360"/>
                <w:rPr>
                  <w:noProof/>
                </w:rPr>
              </w:pPr>
              <w:r>
                <w:rPr>
                  <w:noProof/>
                </w:rPr>
                <w:t>Rihan, I.</w:t>
              </w:r>
              <w:r w:rsidRPr="00815949">
                <w:rPr>
                  <w:noProof/>
                </w:rPr>
                <w:t xml:space="preserve"> </w:t>
              </w:r>
              <w:r>
                <w:rPr>
                  <w:noProof/>
                </w:rPr>
                <w:t xml:space="preserve">(2014) </w:t>
              </w:r>
              <w:r>
                <w:rPr>
                  <w:i/>
                  <w:iCs/>
                  <w:noProof/>
                </w:rPr>
                <w:t xml:space="preserve">Porter Five Forces Analysis, </w:t>
              </w:r>
              <w:r>
                <w:rPr>
                  <w:noProof/>
                </w:rPr>
                <w:t>Lebanon: Arab Open University.</w:t>
              </w:r>
            </w:p>
            <w:p w:rsidR="00815949" w:rsidRDefault="00815949" w:rsidP="00837001">
              <w:pPr>
                <w:pStyle w:val="Bibliography"/>
                <w:ind w:left="360"/>
                <w:rPr>
                  <w:noProof/>
                </w:rPr>
              </w:pPr>
              <w:r>
                <w:rPr>
                  <w:noProof/>
                </w:rPr>
                <w:t xml:space="preserve">Royal College of Psychiatrists, (2019) </w:t>
              </w:r>
              <w:r>
                <w:rPr>
                  <w:i/>
                  <w:iCs/>
                  <w:noProof/>
                </w:rPr>
                <w:t xml:space="preserve">Eating well and mental health. </w:t>
              </w:r>
              <w:r>
                <w:rPr>
                  <w:noProof/>
                </w:rPr>
                <w:t xml:space="preserve">[Online] </w:t>
              </w:r>
              <w:r>
                <w:rPr>
                  <w:noProof/>
                </w:rPr>
                <w:br/>
                <w:t xml:space="preserve">Available at: </w:t>
              </w:r>
              <w:r>
                <w:rPr>
                  <w:noProof/>
                  <w:u w:val="single"/>
                </w:rPr>
                <w:t>https://www.rcpsych.ac.uk/mental-health/problems-disorders/eating-well-and-mental-health</w:t>
              </w:r>
              <w:r>
                <w:rPr>
                  <w:noProof/>
                </w:rPr>
                <w:br/>
                <w:t>[Accessed 7 January 2020].</w:t>
              </w:r>
            </w:p>
            <w:p w:rsidR="00815949" w:rsidRDefault="00815949" w:rsidP="00837001">
              <w:pPr>
                <w:pStyle w:val="Bibliography"/>
                <w:ind w:left="360"/>
                <w:rPr>
                  <w:noProof/>
                </w:rPr>
              </w:pPr>
              <w:r>
                <w:rPr>
                  <w:noProof/>
                </w:rPr>
                <w:t xml:space="preserve">Sharma, A., Madaan, V. &amp; Petty, D. F. (2006) Exercise for Mental Health. </w:t>
              </w:r>
              <w:r>
                <w:rPr>
                  <w:i/>
                  <w:iCs/>
                  <w:noProof/>
                </w:rPr>
                <w:t xml:space="preserve">Journal of Clinical Psychiatry, </w:t>
              </w:r>
              <w:r>
                <w:rPr>
                  <w:noProof/>
                </w:rPr>
                <w:t>8(2), p. 106.</w:t>
              </w:r>
            </w:p>
            <w:p w:rsidR="00815949" w:rsidRDefault="00815949" w:rsidP="00837001">
              <w:pPr>
                <w:pStyle w:val="Bibliography"/>
                <w:ind w:left="360"/>
                <w:rPr>
                  <w:noProof/>
                </w:rPr>
              </w:pPr>
              <w:r>
                <w:rPr>
                  <w:noProof/>
                </w:rPr>
                <w:t xml:space="preserve">Slater, S. &amp; Olson, E.(2002)A fresh look at industry and market analysis. </w:t>
              </w:r>
              <w:r>
                <w:rPr>
                  <w:i/>
                  <w:iCs/>
                  <w:noProof/>
                </w:rPr>
                <w:t xml:space="preserve">Business Horizons, </w:t>
              </w:r>
              <w:r>
                <w:rPr>
                  <w:noProof/>
                </w:rPr>
                <w:t>45(1), pp. 15-22.</w:t>
              </w:r>
            </w:p>
            <w:p w:rsidR="00815949" w:rsidRDefault="00815949" w:rsidP="00837001">
              <w:pPr>
                <w:pStyle w:val="Bibliography"/>
                <w:ind w:left="360"/>
                <w:rPr>
                  <w:noProof/>
                </w:rPr>
              </w:pPr>
              <w:r>
                <w:rPr>
                  <w:noProof/>
                </w:rPr>
                <w:t xml:space="preserve">Thurlby, B. (1998) Competitive forces are also subject to change. </w:t>
              </w:r>
              <w:r>
                <w:rPr>
                  <w:i/>
                  <w:iCs/>
                  <w:noProof/>
                </w:rPr>
                <w:t xml:space="preserve">Management decision, </w:t>
              </w:r>
              <w:r>
                <w:rPr>
                  <w:noProof/>
                </w:rPr>
                <w:t>36(1), pp. 19-24.</w:t>
              </w:r>
            </w:p>
            <w:p w:rsidR="00815949" w:rsidRDefault="00815949" w:rsidP="00837001">
              <w:r>
                <w:rPr>
                  <w:b/>
                  <w:bCs/>
                  <w:noProof/>
                </w:rPr>
                <w:fldChar w:fldCharType="end"/>
              </w:r>
            </w:p>
          </w:sdtContent>
        </w:sdt>
      </w:sdtContent>
    </w:sdt>
    <w:p w:rsidR="00815949" w:rsidRPr="007F79F7" w:rsidRDefault="00815949" w:rsidP="007F79F7">
      <w:pPr>
        <w:spacing w:line="360" w:lineRule="auto"/>
      </w:pPr>
    </w:p>
    <w:p w:rsidR="00D54D3D" w:rsidRPr="00F20CA0" w:rsidRDefault="00D54D3D" w:rsidP="00586432">
      <w:pPr>
        <w:rPr>
          <w:color w:val="FF0000"/>
        </w:rPr>
      </w:pPr>
    </w:p>
    <w:p w:rsidR="00586432" w:rsidRDefault="00586432" w:rsidP="00586432">
      <w:pPr>
        <w:pStyle w:val="Heading1"/>
      </w:pPr>
    </w:p>
    <w:sectPr w:rsidR="00586432" w:rsidSect="00F20CA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E247C"/>
    <w:multiLevelType w:val="multilevel"/>
    <w:tmpl w:val="C6986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8E0569"/>
    <w:multiLevelType w:val="hybridMultilevel"/>
    <w:tmpl w:val="26946838"/>
    <w:lvl w:ilvl="0" w:tplc="AB22C67C">
      <w:start w:val="1"/>
      <w:numFmt w:val="decimal"/>
      <w:lvlText w:val="%1."/>
      <w:lvlJc w:val="left"/>
      <w:pPr>
        <w:ind w:left="720" w:hanging="360"/>
      </w:pPr>
      <w:rPr>
        <w:rFonts w:eastAsiaTheme="minorHAnsi"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8E61CE"/>
    <w:multiLevelType w:val="hybridMultilevel"/>
    <w:tmpl w:val="B9348B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275316"/>
    <w:multiLevelType w:val="hybridMultilevel"/>
    <w:tmpl w:val="9A426DB4"/>
    <w:lvl w:ilvl="0" w:tplc="6D607C86">
      <w:start w:val="1"/>
      <w:numFmt w:val="decimal"/>
      <w:lvlText w:val="%1."/>
      <w:lvlJc w:val="left"/>
      <w:pPr>
        <w:ind w:left="720" w:hanging="360"/>
      </w:pPr>
      <w:rPr>
        <w:rFonts w:eastAsiaTheme="minorHAnsi"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B92625"/>
    <w:multiLevelType w:val="hybridMultilevel"/>
    <w:tmpl w:val="BBF2C3C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582E5C"/>
    <w:multiLevelType w:val="hybridMultilevel"/>
    <w:tmpl w:val="7682F6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AC39E6"/>
    <w:multiLevelType w:val="hybridMultilevel"/>
    <w:tmpl w:val="240670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73165B7"/>
    <w:multiLevelType w:val="hybridMultilevel"/>
    <w:tmpl w:val="B7AE3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5646DB"/>
    <w:multiLevelType w:val="hybridMultilevel"/>
    <w:tmpl w:val="12E2E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AD31A4"/>
    <w:multiLevelType w:val="hybridMultilevel"/>
    <w:tmpl w:val="1F7E7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3A0751"/>
    <w:multiLevelType w:val="hybridMultilevel"/>
    <w:tmpl w:val="E23E1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10"/>
  </w:num>
  <w:num w:numId="4">
    <w:abstractNumId w:val="0"/>
  </w:num>
  <w:num w:numId="5">
    <w:abstractNumId w:val="9"/>
  </w:num>
  <w:num w:numId="6">
    <w:abstractNumId w:val="6"/>
  </w:num>
  <w:num w:numId="7">
    <w:abstractNumId w:val="7"/>
  </w:num>
  <w:num w:numId="8">
    <w:abstractNumId w:val="2"/>
  </w:num>
  <w:num w:numId="9">
    <w:abstractNumId w:val="5"/>
  </w:num>
  <w:num w:numId="10">
    <w:abstractNumId w:val="3"/>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6432"/>
    <w:rsid w:val="000411F7"/>
    <w:rsid w:val="000416D3"/>
    <w:rsid w:val="00055899"/>
    <w:rsid w:val="00056E2B"/>
    <w:rsid w:val="00076BBB"/>
    <w:rsid w:val="000C61FB"/>
    <w:rsid w:val="000F755C"/>
    <w:rsid w:val="00166C7E"/>
    <w:rsid w:val="00174D78"/>
    <w:rsid w:val="00193E51"/>
    <w:rsid w:val="001C5DAF"/>
    <w:rsid w:val="00227F9D"/>
    <w:rsid w:val="00270CC3"/>
    <w:rsid w:val="002E3655"/>
    <w:rsid w:val="002F73D7"/>
    <w:rsid w:val="00326775"/>
    <w:rsid w:val="00457181"/>
    <w:rsid w:val="00586432"/>
    <w:rsid w:val="005A2652"/>
    <w:rsid w:val="005A51F1"/>
    <w:rsid w:val="005C532B"/>
    <w:rsid w:val="00605CA1"/>
    <w:rsid w:val="006338B7"/>
    <w:rsid w:val="00701A59"/>
    <w:rsid w:val="00710CE8"/>
    <w:rsid w:val="0073400D"/>
    <w:rsid w:val="007B432F"/>
    <w:rsid w:val="007B523D"/>
    <w:rsid w:val="007F48C3"/>
    <w:rsid w:val="007F79F7"/>
    <w:rsid w:val="00815949"/>
    <w:rsid w:val="00837001"/>
    <w:rsid w:val="00840DFE"/>
    <w:rsid w:val="00890EC3"/>
    <w:rsid w:val="00894B61"/>
    <w:rsid w:val="008E15B1"/>
    <w:rsid w:val="00942DE2"/>
    <w:rsid w:val="00945F1B"/>
    <w:rsid w:val="00974A23"/>
    <w:rsid w:val="009C7CB3"/>
    <w:rsid w:val="00A65AED"/>
    <w:rsid w:val="00B345A3"/>
    <w:rsid w:val="00B907CB"/>
    <w:rsid w:val="00BA1783"/>
    <w:rsid w:val="00C26617"/>
    <w:rsid w:val="00C553C2"/>
    <w:rsid w:val="00C73DB7"/>
    <w:rsid w:val="00D15EA6"/>
    <w:rsid w:val="00D212CE"/>
    <w:rsid w:val="00D54D3D"/>
    <w:rsid w:val="00D553DF"/>
    <w:rsid w:val="00D61725"/>
    <w:rsid w:val="00D90A55"/>
    <w:rsid w:val="00D93C03"/>
    <w:rsid w:val="00E02B2B"/>
    <w:rsid w:val="00EE1E88"/>
    <w:rsid w:val="00EF297B"/>
    <w:rsid w:val="00F20CA0"/>
    <w:rsid w:val="00F66D08"/>
    <w:rsid w:val="00FC6A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5E329"/>
  <w15:chartTrackingRefBased/>
  <w15:docId w15:val="{971A5E77-9BE4-478A-8A19-6ED039C03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643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8643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643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86432"/>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F20CA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20CA0"/>
    <w:rPr>
      <w:rFonts w:eastAsiaTheme="minorEastAsia"/>
      <w:lang w:val="en-US"/>
    </w:rPr>
  </w:style>
  <w:style w:type="paragraph" w:styleId="TOCHeading">
    <w:name w:val="TOC Heading"/>
    <w:basedOn w:val="Heading1"/>
    <w:next w:val="Normal"/>
    <w:uiPriority w:val="39"/>
    <w:unhideWhenUsed/>
    <w:qFormat/>
    <w:rsid w:val="00F20CA0"/>
    <w:pPr>
      <w:outlineLvl w:val="9"/>
    </w:pPr>
    <w:rPr>
      <w:lang w:val="en-US"/>
    </w:rPr>
  </w:style>
  <w:style w:type="paragraph" w:styleId="TOC1">
    <w:name w:val="toc 1"/>
    <w:basedOn w:val="Normal"/>
    <w:next w:val="Normal"/>
    <w:autoRedefine/>
    <w:uiPriority w:val="39"/>
    <w:unhideWhenUsed/>
    <w:rsid w:val="000F755C"/>
    <w:pPr>
      <w:tabs>
        <w:tab w:val="right" w:leader="dot" w:pos="9016"/>
      </w:tabs>
      <w:spacing w:after="100"/>
    </w:pPr>
    <w:rPr>
      <w:noProof/>
    </w:rPr>
  </w:style>
  <w:style w:type="character" w:styleId="Hyperlink">
    <w:name w:val="Hyperlink"/>
    <w:basedOn w:val="DefaultParagraphFont"/>
    <w:uiPriority w:val="99"/>
    <w:unhideWhenUsed/>
    <w:rsid w:val="00F20CA0"/>
    <w:rPr>
      <w:color w:val="0563C1" w:themeColor="hyperlink"/>
      <w:u w:val="single"/>
    </w:rPr>
  </w:style>
  <w:style w:type="paragraph" w:styleId="ListParagraph">
    <w:name w:val="List Paragraph"/>
    <w:basedOn w:val="Normal"/>
    <w:uiPriority w:val="99"/>
    <w:qFormat/>
    <w:rsid w:val="00F20CA0"/>
    <w:pPr>
      <w:spacing w:after="200" w:line="276" w:lineRule="auto"/>
      <w:ind w:left="720"/>
      <w:contextualSpacing/>
    </w:pPr>
    <w:rPr>
      <w:rFonts w:ascii="Calibri" w:eastAsia="Times New Roman" w:hAnsi="Calibri" w:cs="Times New Roman"/>
    </w:rPr>
  </w:style>
  <w:style w:type="paragraph" w:styleId="TOC2">
    <w:name w:val="toc 2"/>
    <w:basedOn w:val="Normal"/>
    <w:next w:val="Normal"/>
    <w:autoRedefine/>
    <w:uiPriority w:val="39"/>
    <w:unhideWhenUsed/>
    <w:rsid w:val="00D54D3D"/>
    <w:pPr>
      <w:spacing w:after="100"/>
      <w:ind w:left="220"/>
    </w:pPr>
  </w:style>
  <w:style w:type="character" w:styleId="UnresolvedMention">
    <w:name w:val="Unresolved Mention"/>
    <w:basedOn w:val="DefaultParagraphFont"/>
    <w:uiPriority w:val="99"/>
    <w:semiHidden/>
    <w:unhideWhenUsed/>
    <w:rsid w:val="00D54D3D"/>
    <w:rPr>
      <w:color w:val="605E5C"/>
      <w:shd w:val="clear" w:color="auto" w:fill="E1DFDD"/>
    </w:rPr>
  </w:style>
  <w:style w:type="character" w:styleId="FollowedHyperlink">
    <w:name w:val="FollowedHyperlink"/>
    <w:basedOn w:val="DefaultParagraphFont"/>
    <w:uiPriority w:val="99"/>
    <w:semiHidden/>
    <w:unhideWhenUsed/>
    <w:rsid w:val="00055899"/>
    <w:rPr>
      <w:color w:val="954F72" w:themeColor="followedHyperlink"/>
      <w:u w:val="single"/>
    </w:rPr>
  </w:style>
  <w:style w:type="table" w:styleId="TableGrid">
    <w:name w:val="Table Grid"/>
    <w:basedOn w:val="TableNormal"/>
    <w:uiPriority w:val="39"/>
    <w:rsid w:val="003267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8159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991527">
      <w:bodyDiv w:val="1"/>
      <w:marLeft w:val="0"/>
      <w:marRight w:val="0"/>
      <w:marTop w:val="0"/>
      <w:marBottom w:val="0"/>
      <w:divBdr>
        <w:top w:val="none" w:sz="0" w:space="0" w:color="auto"/>
        <w:left w:val="none" w:sz="0" w:space="0" w:color="auto"/>
        <w:bottom w:val="none" w:sz="0" w:space="0" w:color="auto"/>
        <w:right w:val="none" w:sz="0" w:space="0" w:color="auto"/>
      </w:divBdr>
    </w:div>
    <w:div w:id="46029421">
      <w:bodyDiv w:val="1"/>
      <w:marLeft w:val="0"/>
      <w:marRight w:val="0"/>
      <w:marTop w:val="0"/>
      <w:marBottom w:val="0"/>
      <w:divBdr>
        <w:top w:val="none" w:sz="0" w:space="0" w:color="auto"/>
        <w:left w:val="none" w:sz="0" w:space="0" w:color="auto"/>
        <w:bottom w:val="none" w:sz="0" w:space="0" w:color="auto"/>
        <w:right w:val="none" w:sz="0" w:space="0" w:color="auto"/>
      </w:divBdr>
    </w:div>
    <w:div w:id="85154609">
      <w:bodyDiv w:val="1"/>
      <w:marLeft w:val="0"/>
      <w:marRight w:val="0"/>
      <w:marTop w:val="0"/>
      <w:marBottom w:val="0"/>
      <w:divBdr>
        <w:top w:val="none" w:sz="0" w:space="0" w:color="auto"/>
        <w:left w:val="none" w:sz="0" w:space="0" w:color="auto"/>
        <w:bottom w:val="none" w:sz="0" w:space="0" w:color="auto"/>
        <w:right w:val="none" w:sz="0" w:space="0" w:color="auto"/>
      </w:divBdr>
    </w:div>
    <w:div w:id="100611914">
      <w:bodyDiv w:val="1"/>
      <w:marLeft w:val="0"/>
      <w:marRight w:val="0"/>
      <w:marTop w:val="0"/>
      <w:marBottom w:val="0"/>
      <w:divBdr>
        <w:top w:val="none" w:sz="0" w:space="0" w:color="auto"/>
        <w:left w:val="none" w:sz="0" w:space="0" w:color="auto"/>
        <w:bottom w:val="none" w:sz="0" w:space="0" w:color="auto"/>
        <w:right w:val="none" w:sz="0" w:space="0" w:color="auto"/>
      </w:divBdr>
    </w:div>
    <w:div w:id="228156901">
      <w:bodyDiv w:val="1"/>
      <w:marLeft w:val="0"/>
      <w:marRight w:val="0"/>
      <w:marTop w:val="0"/>
      <w:marBottom w:val="0"/>
      <w:divBdr>
        <w:top w:val="none" w:sz="0" w:space="0" w:color="auto"/>
        <w:left w:val="none" w:sz="0" w:space="0" w:color="auto"/>
        <w:bottom w:val="none" w:sz="0" w:space="0" w:color="auto"/>
        <w:right w:val="none" w:sz="0" w:space="0" w:color="auto"/>
      </w:divBdr>
    </w:div>
    <w:div w:id="359400580">
      <w:bodyDiv w:val="1"/>
      <w:marLeft w:val="0"/>
      <w:marRight w:val="0"/>
      <w:marTop w:val="0"/>
      <w:marBottom w:val="0"/>
      <w:divBdr>
        <w:top w:val="none" w:sz="0" w:space="0" w:color="auto"/>
        <w:left w:val="none" w:sz="0" w:space="0" w:color="auto"/>
        <w:bottom w:val="none" w:sz="0" w:space="0" w:color="auto"/>
        <w:right w:val="none" w:sz="0" w:space="0" w:color="auto"/>
      </w:divBdr>
    </w:div>
    <w:div w:id="365954055">
      <w:bodyDiv w:val="1"/>
      <w:marLeft w:val="0"/>
      <w:marRight w:val="0"/>
      <w:marTop w:val="0"/>
      <w:marBottom w:val="0"/>
      <w:divBdr>
        <w:top w:val="none" w:sz="0" w:space="0" w:color="auto"/>
        <w:left w:val="none" w:sz="0" w:space="0" w:color="auto"/>
        <w:bottom w:val="none" w:sz="0" w:space="0" w:color="auto"/>
        <w:right w:val="none" w:sz="0" w:space="0" w:color="auto"/>
      </w:divBdr>
    </w:div>
    <w:div w:id="439423196">
      <w:bodyDiv w:val="1"/>
      <w:marLeft w:val="0"/>
      <w:marRight w:val="0"/>
      <w:marTop w:val="0"/>
      <w:marBottom w:val="0"/>
      <w:divBdr>
        <w:top w:val="none" w:sz="0" w:space="0" w:color="auto"/>
        <w:left w:val="none" w:sz="0" w:space="0" w:color="auto"/>
        <w:bottom w:val="none" w:sz="0" w:space="0" w:color="auto"/>
        <w:right w:val="none" w:sz="0" w:space="0" w:color="auto"/>
      </w:divBdr>
    </w:div>
    <w:div w:id="516580177">
      <w:bodyDiv w:val="1"/>
      <w:marLeft w:val="0"/>
      <w:marRight w:val="0"/>
      <w:marTop w:val="0"/>
      <w:marBottom w:val="0"/>
      <w:divBdr>
        <w:top w:val="none" w:sz="0" w:space="0" w:color="auto"/>
        <w:left w:val="none" w:sz="0" w:space="0" w:color="auto"/>
        <w:bottom w:val="none" w:sz="0" w:space="0" w:color="auto"/>
        <w:right w:val="none" w:sz="0" w:space="0" w:color="auto"/>
      </w:divBdr>
    </w:div>
    <w:div w:id="675038022">
      <w:bodyDiv w:val="1"/>
      <w:marLeft w:val="0"/>
      <w:marRight w:val="0"/>
      <w:marTop w:val="0"/>
      <w:marBottom w:val="0"/>
      <w:divBdr>
        <w:top w:val="none" w:sz="0" w:space="0" w:color="auto"/>
        <w:left w:val="none" w:sz="0" w:space="0" w:color="auto"/>
        <w:bottom w:val="none" w:sz="0" w:space="0" w:color="auto"/>
        <w:right w:val="none" w:sz="0" w:space="0" w:color="auto"/>
      </w:divBdr>
    </w:div>
    <w:div w:id="679359235">
      <w:bodyDiv w:val="1"/>
      <w:marLeft w:val="0"/>
      <w:marRight w:val="0"/>
      <w:marTop w:val="0"/>
      <w:marBottom w:val="0"/>
      <w:divBdr>
        <w:top w:val="none" w:sz="0" w:space="0" w:color="auto"/>
        <w:left w:val="none" w:sz="0" w:space="0" w:color="auto"/>
        <w:bottom w:val="none" w:sz="0" w:space="0" w:color="auto"/>
        <w:right w:val="none" w:sz="0" w:space="0" w:color="auto"/>
      </w:divBdr>
    </w:div>
    <w:div w:id="698160835">
      <w:bodyDiv w:val="1"/>
      <w:marLeft w:val="0"/>
      <w:marRight w:val="0"/>
      <w:marTop w:val="0"/>
      <w:marBottom w:val="0"/>
      <w:divBdr>
        <w:top w:val="none" w:sz="0" w:space="0" w:color="auto"/>
        <w:left w:val="none" w:sz="0" w:space="0" w:color="auto"/>
        <w:bottom w:val="none" w:sz="0" w:space="0" w:color="auto"/>
        <w:right w:val="none" w:sz="0" w:space="0" w:color="auto"/>
      </w:divBdr>
    </w:div>
    <w:div w:id="710568628">
      <w:bodyDiv w:val="1"/>
      <w:marLeft w:val="0"/>
      <w:marRight w:val="0"/>
      <w:marTop w:val="0"/>
      <w:marBottom w:val="0"/>
      <w:divBdr>
        <w:top w:val="none" w:sz="0" w:space="0" w:color="auto"/>
        <w:left w:val="none" w:sz="0" w:space="0" w:color="auto"/>
        <w:bottom w:val="none" w:sz="0" w:space="0" w:color="auto"/>
        <w:right w:val="none" w:sz="0" w:space="0" w:color="auto"/>
      </w:divBdr>
    </w:div>
    <w:div w:id="738794051">
      <w:bodyDiv w:val="1"/>
      <w:marLeft w:val="0"/>
      <w:marRight w:val="0"/>
      <w:marTop w:val="0"/>
      <w:marBottom w:val="0"/>
      <w:divBdr>
        <w:top w:val="none" w:sz="0" w:space="0" w:color="auto"/>
        <w:left w:val="none" w:sz="0" w:space="0" w:color="auto"/>
        <w:bottom w:val="none" w:sz="0" w:space="0" w:color="auto"/>
        <w:right w:val="none" w:sz="0" w:space="0" w:color="auto"/>
      </w:divBdr>
    </w:div>
    <w:div w:id="749621283">
      <w:bodyDiv w:val="1"/>
      <w:marLeft w:val="0"/>
      <w:marRight w:val="0"/>
      <w:marTop w:val="0"/>
      <w:marBottom w:val="0"/>
      <w:divBdr>
        <w:top w:val="none" w:sz="0" w:space="0" w:color="auto"/>
        <w:left w:val="none" w:sz="0" w:space="0" w:color="auto"/>
        <w:bottom w:val="none" w:sz="0" w:space="0" w:color="auto"/>
        <w:right w:val="none" w:sz="0" w:space="0" w:color="auto"/>
      </w:divBdr>
    </w:div>
    <w:div w:id="777217246">
      <w:bodyDiv w:val="1"/>
      <w:marLeft w:val="0"/>
      <w:marRight w:val="0"/>
      <w:marTop w:val="0"/>
      <w:marBottom w:val="0"/>
      <w:divBdr>
        <w:top w:val="none" w:sz="0" w:space="0" w:color="auto"/>
        <w:left w:val="none" w:sz="0" w:space="0" w:color="auto"/>
        <w:bottom w:val="none" w:sz="0" w:space="0" w:color="auto"/>
        <w:right w:val="none" w:sz="0" w:space="0" w:color="auto"/>
      </w:divBdr>
    </w:div>
    <w:div w:id="780300018">
      <w:bodyDiv w:val="1"/>
      <w:marLeft w:val="0"/>
      <w:marRight w:val="0"/>
      <w:marTop w:val="0"/>
      <w:marBottom w:val="0"/>
      <w:divBdr>
        <w:top w:val="none" w:sz="0" w:space="0" w:color="auto"/>
        <w:left w:val="none" w:sz="0" w:space="0" w:color="auto"/>
        <w:bottom w:val="none" w:sz="0" w:space="0" w:color="auto"/>
        <w:right w:val="none" w:sz="0" w:space="0" w:color="auto"/>
      </w:divBdr>
    </w:div>
    <w:div w:id="794257306">
      <w:bodyDiv w:val="1"/>
      <w:marLeft w:val="0"/>
      <w:marRight w:val="0"/>
      <w:marTop w:val="0"/>
      <w:marBottom w:val="0"/>
      <w:divBdr>
        <w:top w:val="none" w:sz="0" w:space="0" w:color="auto"/>
        <w:left w:val="none" w:sz="0" w:space="0" w:color="auto"/>
        <w:bottom w:val="none" w:sz="0" w:space="0" w:color="auto"/>
        <w:right w:val="none" w:sz="0" w:space="0" w:color="auto"/>
      </w:divBdr>
    </w:div>
    <w:div w:id="839583668">
      <w:bodyDiv w:val="1"/>
      <w:marLeft w:val="0"/>
      <w:marRight w:val="0"/>
      <w:marTop w:val="0"/>
      <w:marBottom w:val="0"/>
      <w:divBdr>
        <w:top w:val="none" w:sz="0" w:space="0" w:color="auto"/>
        <w:left w:val="none" w:sz="0" w:space="0" w:color="auto"/>
        <w:bottom w:val="none" w:sz="0" w:space="0" w:color="auto"/>
        <w:right w:val="none" w:sz="0" w:space="0" w:color="auto"/>
      </w:divBdr>
    </w:div>
    <w:div w:id="887884687">
      <w:bodyDiv w:val="1"/>
      <w:marLeft w:val="0"/>
      <w:marRight w:val="0"/>
      <w:marTop w:val="0"/>
      <w:marBottom w:val="0"/>
      <w:divBdr>
        <w:top w:val="none" w:sz="0" w:space="0" w:color="auto"/>
        <w:left w:val="none" w:sz="0" w:space="0" w:color="auto"/>
        <w:bottom w:val="none" w:sz="0" w:space="0" w:color="auto"/>
        <w:right w:val="none" w:sz="0" w:space="0" w:color="auto"/>
      </w:divBdr>
    </w:div>
    <w:div w:id="912617440">
      <w:bodyDiv w:val="1"/>
      <w:marLeft w:val="0"/>
      <w:marRight w:val="0"/>
      <w:marTop w:val="0"/>
      <w:marBottom w:val="0"/>
      <w:divBdr>
        <w:top w:val="none" w:sz="0" w:space="0" w:color="auto"/>
        <w:left w:val="none" w:sz="0" w:space="0" w:color="auto"/>
        <w:bottom w:val="none" w:sz="0" w:space="0" w:color="auto"/>
        <w:right w:val="none" w:sz="0" w:space="0" w:color="auto"/>
      </w:divBdr>
    </w:div>
    <w:div w:id="917400957">
      <w:bodyDiv w:val="1"/>
      <w:marLeft w:val="0"/>
      <w:marRight w:val="0"/>
      <w:marTop w:val="0"/>
      <w:marBottom w:val="0"/>
      <w:divBdr>
        <w:top w:val="none" w:sz="0" w:space="0" w:color="auto"/>
        <w:left w:val="none" w:sz="0" w:space="0" w:color="auto"/>
        <w:bottom w:val="none" w:sz="0" w:space="0" w:color="auto"/>
        <w:right w:val="none" w:sz="0" w:space="0" w:color="auto"/>
      </w:divBdr>
    </w:div>
    <w:div w:id="935867865">
      <w:bodyDiv w:val="1"/>
      <w:marLeft w:val="0"/>
      <w:marRight w:val="0"/>
      <w:marTop w:val="0"/>
      <w:marBottom w:val="0"/>
      <w:divBdr>
        <w:top w:val="none" w:sz="0" w:space="0" w:color="auto"/>
        <w:left w:val="none" w:sz="0" w:space="0" w:color="auto"/>
        <w:bottom w:val="none" w:sz="0" w:space="0" w:color="auto"/>
        <w:right w:val="none" w:sz="0" w:space="0" w:color="auto"/>
      </w:divBdr>
      <w:divsChild>
        <w:div w:id="997080438">
          <w:marLeft w:val="0"/>
          <w:marRight w:val="0"/>
          <w:marTop w:val="0"/>
          <w:marBottom w:val="0"/>
          <w:divBdr>
            <w:top w:val="none" w:sz="0" w:space="0" w:color="auto"/>
            <w:left w:val="none" w:sz="0" w:space="0" w:color="auto"/>
            <w:bottom w:val="none" w:sz="0" w:space="0" w:color="auto"/>
            <w:right w:val="none" w:sz="0" w:space="0" w:color="auto"/>
          </w:divBdr>
        </w:div>
        <w:div w:id="44792564">
          <w:marLeft w:val="0"/>
          <w:marRight w:val="0"/>
          <w:marTop w:val="0"/>
          <w:marBottom w:val="0"/>
          <w:divBdr>
            <w:top w:val="none" w:sz="0" w:space="0" w:color="auto"/>
            <w:left w:val="none" w:sz="0" w:space="0" w:color="auto"/>
            <w:bottom w:val="none" w:sz="0" w:space="0" w:color="auto"/>
            <w:right w:val="none" w:sz="0" w:space="0" w:color="auto"/>
          </w:divBdr>
        </w:div>
        <w:div w:id="292446425">
          <w:marLeft w:val="0"/>
          <w:marRight w:val="0"/>
          <w:marTop w:val="0"/>
          <w:marBottom w:val="0"/>
          <w:divBdr>
            <w:top w:val="none" w:sz="0" w:space="0" w:color="auto"/>
            <w:left w:val="none" w:sz="0" w:space="0" w:color="auto"/>
            <w:bottom w:val="none" w:sz="0" w:space="0" w:color="auto"/>
            <w:right w:val="none" w:sz="0" w:space="0" w:color="auto"/>
          </w:divBdr>
        </w:div>
        <w:div w:id="47152657">
          <w:marLeft w:val="0"/>
          <w:marRight w:val="0"/>
          <w:marTop w:val="0"/>
          <w:marBottom w:val="0"/>
          <w:divBdr>
            <w:top w:val="none" w:sz="0" w:space="0" w:color="auto"/>
            <w:left w:val="none" w:sz="0" w:space="0" w:color="auto"/>
            <w:bottom w:val="none" w:sz="0" w:space="0" w:color="auto"/>
            <w:right w:val="none" w:sz="0" w:space="0" w:color="auto"/>
          </w:divBdr>
        </w:div>
        <w:div w:id="74979996">
          <w:marLeft w:val="0"/>
          <w:marRight w:val="0"/>
          <w:marTop w:val="0"/>
          <w:marBottom w:val="0"/>
          <w:divBdr>
            <w:top w:val="none" w:sz="0" w:space="0" w:color="auto"/>
            <w:left w:val="none" w:sz="0" w:space="0" w:color="auto"/>
            <w:bottom w:val="none" w:sz="0" w:space="0" w:color="auto"/>
            <w:right w:val="none" w:sz="0" w:space="0" w:color="auto"/>
          </w:divBdr>
        </w:div>
        <w:div w:id="1478914694">
          <w:marLeft w:val="0"/>
          <w:marRight w:val="0"/>
          <w:marTop w:val="0"/>
          <w:marBottom w:val="0"/>
          <w:divBdr>
            <w:top w:val="none" w:sz="0" w:space="0" w:color="auto"/>
            <w:left w:val="none" w:sz="0" w:space="0" w:color="auto"/>
            <w:bottom w:val="none" w:sz="0" w:space="0" w:color="auto"/>
            <w:right w:val="none" w:sz="0" w:space="0" w:color="auto"/>
          </w:divBdr>
        </w:div>
        <w:div w:id="821233372">
          <w:marLeft w:val="0"/>
          <w:marRight w:val="0"/>
          <w:marTop w:val="0"/>
          <w:marBottom w:val="0"/>
          <w:divBdr>
            <w:top w:val="none" w:sz="0" w:space="0" w:color="auto"/>
            <w:left w:val="none" w:sz="0" w:space="0" w:color="auto"/>
            <w:bottom w:val="none" w:sz="0" w:space="0" w:color="auto"/>
            <w:right w:val="none" w:sz="0" w:space="0" w:color="auto"/>
          </w:divBdr>
        </w:div>
        <w:div w:id="854227862">
          <w:marLeft w:val="0"/>
          <w:marRight w:val="0"/>
          <w:marTop w:val="0"/>
          <w:marBottom w:val="0"/>
          <w:divBdr>
            <w:top w:val="none" w:sz="0" w:space="0" w:color="auto"/>
            <w:left w:val="none" w:sz="0" w:space="0" w:color="auto"/>
            <w:bottom w:val="none" w:sz="0" w:space="0" w:color="auto"/>
            <w:right w:val="none" w:sz="0" w:space="0" w:color="auto"/>
          </w:divBdr>
        </w:div>
        <w:div w:id="1411581199">
          <w:marLeft w:val="0"/>
          <w:marRight w:val="0"/>
          <w:marTop w:val="0"/>
          <w:marBottom w:val="0"/>
          <w:divBdr>
            <w:top w:val="none" w:sz="0" w:space="0" w:color="auto"/>
            <w:left w:val="none" w:sz="0" w:space="0" w:color="auto"/>
            <w:bottom w:val="none" w:sz="0" w:space="0" w:color="auto"/>
            <w:right w:val="none" w:sz="0" w:space="0" w:color="auto"/>
          </w:divBdr>
        </w:div>
        <w:div w:id="116342560">
          <w:marLeft w:val="0"/>
          <w:marRight w:val="0"/>
          <w:marTop w:val="0"/>
          <w:marBottom w:val="0"/>
          <w:divBdr>
            <w:top w:val="none" w:sz="0" w:space="0" w:color="auto"/>
            <w:left w:val="none" w:sz="0" w:space="0" w:color="auto"/>
            <w:bottom w:val="none" w:sz="0" w:space="0" w:color="auto"/>
            <w:right w:val="none" w:sz="0" w:space="0" w:color="auto"/>
          </w:divBdr>
        </w:div>
        <w:div w:id="1303005920">
          <w:marLeft w:val="0"/>
          <w:marRight w:val="0"/>
          <w:marTop w:val="0"/>
          <w:marBottom w:val="0"/>
          <w:divBdr>
            <w:top w:val="none" w:sz="0" w:space="0" w:color="auto"/>
            <w:left w:val="none" w:sz="0" w:space="0" w:color="auto"/>
            <w:bottom w:val="none" w:sz="0" w:space="0" w:color="auto"/>
            <w:right w:val="none" w:sz="0" w:space="0" w:color="auto"/>
          </w:divBdr>
        </w:div>
        <w:div w:id="563292590">
          <w:marLeft w:val="0"/>
          <w:marRight w:val="0"/>
          <w:marTop w:val="0"/>
          <w:marBottom w:val="0"/>
          <w:divBdr>
            <w:top w:val="none" w:sz="0" w:space="0" w:color="auto"/>
            <w:left w:val="none" w:sz="0" w:space="0" w:color="auto"/>
            <w:bottom w:val="none" w:sz="0" w:space="0" w:color="auto"/>
            <w:right w:val="none" w:sz="0" w:space="0" w:color="auto"/>
          </w:divBdr>
        </w:div>
        <w:div w:id="290137042">
          <w:marLeft w:val="0"/>
          <w:marRight w:val="0"/>
          <w:marTop w:val="0"/>
          <w:marBottom w:val="0"/>
          <w:divBdr>
            <w:top w:val="none" w:sz="0" w:space="0" w:color="auto"/>
            <w:left w:val="none" w:sz="0" w:space="0" w:color="auto"/>
            <w:bottom w:val="none" w:sz="0" w:space="0" w:color="auto"/>
            <w:right w:val="none" w:sz="0" w:space="0" w:color="auto"/>
          </w:divBdr>
        </w:div>
      </w:divsChild>
    </w:div>
    <w:div w:id="944733128">
      <w:bodyDiv w:val="1"/>
      <w:marLeft w:val="0"/>
      <w:marRight w:val="0"/>
      <w:marTop w:val="0"/>
      <w:marBottom w:val="0"/>
      <w:divBdr>
        <w:top w:val="none" w:sz="0" w:space="0" w:color="auto"/>
        <w:left w:val="none" w:sz="0" w:space="0" w:color="auto"/>
        <w:bottom w:val="none" w:sz="0" w:space="0" w:color="auto"/>
        <w:right w:val="none" w:sz="0" w:space="0" w:color="auto"/>
      </w:divBdr>
    </w:div>
    <w:div w:id="963272827">
      <w:bodyDiv w:val="1"/>
      <w:marLeft w:val="0"/>
      <w:marRight w:val="0"/>
      <w:marTop w:val="0"/>
      <w:marBottom w:val="0"/>
      <w:divBdr>
        <w:top w:val="none" w:sz="0" w:space="0" w:color="auto"/>
        <w:left w:val="none" w:sz="0" w:space="0" w:color="auto"/>
        <w:bottom w:val="none" w:sz="0" w:space="0" w:color="auto"/>
        <w:right w:val="none" w:sz="0" w:space="0" w:color="auto"/>
      </w:divBdr>
    </w:div>
    <w:div w:id="972515951">
      <w:bodyDiv w:val="1"/>
      <w:marLeft w:val="0"/>
      <w:marRight w:val="0"/>
      <w:marTop w:val="0"/>
      <w:marBottom w:val="0"/>
      <w:divBdr>
        <w:top w:val="none" w:sz="0" w:space="0" w:color="auto"/>
        <w:left w:val="none" w:sz="0" w:space="0" w:color="auto"/>
        <w:bottom w:val="none" w:sz="0" w:space="0" w:color="auto"/>
        <w:right w:val="none" w:sz="0" w:space="0" w:color="auto"/>
      </w:divBdr>
    </w:div>
    <w:div w:id="1050305718">
      <w:bodyDiv w:val="1"/>
      <w:marLeft w:val="0"/>
      <w:marRight w:val="0"/>
      <w:marTop w:val="0"/>
      <w:marBottom w:val="0"/>
      <w:divBdr>
        <w:top w:val="none" w:sz="0" w:space="0" w:color="auto"/>
        <w:left w:val="none" w:sz="0" w:space="0" w:color="auto"/>
        <w:bottom w:val="none" w:sz="0" w:space="0" w:color="auto"/>
        <w:right w:val="none" w:sz="0" w:space="0" w:color="auto"/>
      </w:divBdr>
    </w:div>
    <w:div w:id="1134711844">
      <w:bodyDiv w:val="1"/>
      <w:marLeft w:val="0"/>
      <w:marRight w:val="0"/>
      <w:marTop w:val="0"/>
      <w:marBottom w:val="0"/>
      <w:divBdr>
        <w:top w:val="none" w:sz="0" w:space="0" w:color="auto"/>
        <w:left w:val="none" w:sz="0" w:space="0" w:color="auto"/>
        <w:bottom w:val="none" w:sz="0" w:space="0" w:color="auto"/>
        <w:right w:val="none" w:sz="0" w:space="0" w:color="auto"/>
      </w:divBdr>
    </w:div>
    <w:div w:id="1205485249">
      <w:bodyDiv w:val="1"/>
      <w:marLeft w:val="0"/>
      <w:marRight w:val="0"/>
      <w:marTop w:val="0"/>
      <w:marBottom w:val="0"/>
      <w:divBdr>
        <w:top w:val="none" w:sz="0" w:space="0" w:color="auto"/>
        <w:left w:val="none" w:sz="0" w:space="0" w:color="auto"/>
        <w:bottom w:val="none" w:sz="0" w:space="0" w:color="auto"/>
        <w:right w:val="none" w:sz="0" w:space="0" w:color="auto"/>
      </w:divBdr>
      <w:divsChild>
        <w:div w:id="2094159582">
          <w:marLeft w:val="0"/>
          <w:marRight w:val="0"/>
          <w:marTop w:val="0"/>
          <w:marBottom w:val="0"/>
          <w:divBdr>
            <w:top w:val="none" w:sz="0" w:space="0" w:color="auto"/>
            <w:left w:val="none" w:sz="0" w:space="0" w:color="auto"/>
            <w:bottom w:val="none" w:sz="0" w:space="0" w:color="auto"/>
            <w:right w:val="none" w:sz="0" w:space="0" w:color="auto"/>
          </w:divBdr>
        </w:div>
        <w:div w:id="919631424">
          <w:marLeft w:val="0"/>
          <w:marRight w:val="0"/>
          <w:marTop w:val="0"/>
          <w:marBottom w:val="0"/>
          <w:divBdr>
            <w:top w:val="none" w:sz="0" w:space="0" w:color="auto"/>
            <w:left w:val="none" w:sz="0" w:space="0" w:color="auto"/>
            <w:bottom w:val="none" w:sz="0" w:space="0" w:color="auto"/>
            <w:right w:val="none" w:sz="0" w:space="0" w:color="auto"/>
          </w:divBdr>
        </w:div>
        <w:div w:id="849686982">
          <w:marLeft w:val="0"/>
          <w:marRight w:val="0"/>
          <w:marTop w:val="0"/>
          <w:marBottom w:val="0"/>
          <w:divBdr>
            <w:top w:val="none" w:sz="0" w:space="0" w:color="auto"/>
            <w:left w:val="none" w:sz="0" w:space="0" w:color="auto"/>
            <w:bottom w:val="none" w:sz="0" w:space="0" w:color="auto"/>
            <w:right w:val="none" w:sz="0" w:space="0" w:color="auto"/>
          </w:divBdr>
        </w:div>
        <w:div w:id="95633823">
          <w:marLeft w:val="0"/>
          <w:marRight w:val="0"/>
          <w:marTop w:val="0"/>
          <w:marBottom w:val="0"/>
          <w:divBdr>
            <w:top w:val="none" w:sz="0" w:space="0" w:color="auto"/>
            <w:left w:val="none" w:sz="0" w:space="0" w:color="auto"/>
            <w:bottom w:val="none" w:sz="0" w:space="0" w:color="auto"/>
            <w:right w:val="none" w:sz="0" w:space="0" w:color="auto"/>
          </w:divBdr>
        </w:div>
        <w:div w:id="270474156">
          <w:marLeft w:val="0"/>
          <w:marRight w:val="0"/>
          <w:marTop w:val="0"/>
          <w:marBottom w:val="0"/>
          <w:divBdr>
            <w:top w:val="none" w:sz="0" w:space="0" w:color="auto"/>
            <w:left w:val="none" w:sz="0" w:space="0" w:color="auto"/>
            <w:bottom w:val="none" w:sz="0" w:space="0" w:color="auto"/>
            <w:right w:val="none" w:sz="0" w:space="0" w:color="auto"/>
          </w:divBdr>
        </w:div>
        <w:div w:id="462889558">
          <w:marLeft w:val="0"/>
          <w:marRight w:val="0"/>
          <w:marTop w:val="0"/>
          <w:marBottom w:val="0"/>
          <w:divBdr>
            <w:top w:val="none" w:sz="0" w:space="0" w:color="auto"/>
            <w:left w:val="none" w:sz="0" w:space="0" w:color="auto"/>
            <w:bottom w:val="none" w:sz="0" w:space="0" w:color="auto"/>
            <w:right w:val="none" w:sz="0" w:space="0" w:color="auto"/>
          </w:divBdr>
        </w:div>
        <w:div w:id="1623196285">
          <w:marLeft w:val="0"/>
          <w:marRight w:val="0"/>
          <w:marTop w:val="0"/>
          <w:marBottom w:val="0"/>
          <w:divBdr>
            <w:top w:val="none" w:sz="0" w:space="0" w:color="auto"/>
            <w:left w:val="none" w:sz="0" w:space="0" w:color="auto"/>
            <w:bottom w:val="none" w:sz="0" w:space="0" w:color="auto"/>
            <w:right w:val="none" w:sz="0" w:space="0" w:color="auto"/>
          </w:divBdr>
        </w:div>
        <w:div w:id="2103530895">
          <w:marLeft w:val="0"/>
          <w:marRight w:val="0"/>
          <w:marTop w:val="0"/>
          <w:marBottom w:val="0"/>
          <w:divBdr>
            <w:top w:val="none" w:sz="0" w:space="0" w:color="auto"/>
            <w:left w:val="none" w:sz="0" w:space="0" w:color="auto"/>
            <w:bottom w:val="none" w:sz="0" w:space="0" w:color="auto"/>
            <w:right w:val="none" w:sz="0" w:space="0" w:color="auto"/>
          </w:divBdr>
        </w:div>
        <w:div w:id="1922175813">
          <w:marLeft w:val="0"/>
          <w:marRight w:val="0"/>
          <w:marTop w:val="0"/>
          <w:marBottom w:val="0"/>
          <w:divBdr>
            <w:top w:val="none" w:sz="0" w:space="0" w:color="auto"/>
            <w:left w:val="none" w:sz="0" w:space="0" w:color="auto"/>
            <w:bottom w:val="none" w:sz="0" w:space="0" w:color="auto"/>
            <w:right w:val="none" w:sz="0" w:space="0" w:color="auto"/>
          </w:divBdr>
        </w:div>
        <w:div w:id="1171065522">
          <w:marLeft w:val="0"/>
          <w:marRight w:val="0"/>
          <w:marTop w:val="0"/>
          <w:marBottom w:val="0"/>
          <w:divBdr>
            <w:top w:val="none" w:sz="0" w:space="0" w:color="auto"/>
            <w:left w:val="none" w:sz="0" w:space="0" w:color="auto"/>
            <w:bottom w:val="none" w:sz="0" w:space="0" w:color="auto"/>
            <w:right w:val="none" w:sz="0" w:space="0" w:color="auto"/>
          </w:divBdr>
        </w:div>
        <w:div w:id="1414666679">
          <w:marLeft w:val="0"/>
          <w:marRight w:val="0"/>
          <w:marTop w:val="0"/>
          <w:marBottom w:val="0"/>
          <w:divBdr>
            <w:top w:val="none" w:sz="0" w:space="0" w:color="auto"/>
            <w:left w:val="none" w:sz="0" w:space="0" w:color="auto"/>
            <w:bottom w:val="none" w:sz="0" w:space="0" w:color="auto"/>
            <w:right w:val="none" w:sz="0" w:space="0" w:color="auto"/>
          </w:divBdr>
        </w:div>
        <w:div w:id="440227117">
          <w:marLeft w:val="0"/>
          <w:marRight w:val="0"/>
          <w:marTop w:val="0"/>
          <w:marBottom w:val="0"/>
          <w:divBdr>
            <w:top w:val="none" w:sz="0" w:space="0" w:color="auto"/>
            <w:left w:val="none" w:sz="0" w:space="0" w:color="auto"/>
            <w:bottom w:val="none" w:sz="0" w:space="0" w:color="auto"/>
            <w:right w:val="none" w:sz="0" w:space="0" w:color="auto"/>
          </w:divBdr>
        </w:div>
        <w:div w:id="1078863748">
          <w:marLeft w:val="0"/>
          <w:marRight w:val="0"/>
          <w:marTop w:val="0"/>
          <w:marBottom w:val="0"/>
          <w:divBdr>
            <w:top w:val="none" w:sz="0" w:space="0" w:color="auto"/>
            <w:left w:val="none" w:sz="0" w:space="0" w:color="auto"/>
            <w:bottom w:val="none" w:sz="0" w:space="0" w:color="auto"/>
            <w:right w:val="none" w:sz="0" w:space="0" w:color="auto"/>
          </w:divBdr>
        </w:div>
        <w:div w:id="1991397787">
          <w:marLeft w:val="0"/>
          <w:marRight w:val="0"/>
          <w:marTop w:val="0"/>
          <w:marBottom w:val="0"/>
          <w:divBdr>
            <w:top w:val="none" w:sz="0" w:space="0" w:color="auto"/>
            <w:left w:val="none" w:sz="0" w:space="0" w:color="auto"/>
            <w:bottom w:val="none" w:sz="0" w:space="0" w:color="auto"/>
            <w:right w:val="none" w:sz="0" w:space="0" w:color="auto"/>
          </w:divBdr>
        </w:div>
        <w:div w:id="1211264757">
          <w:marLeft w:val="0"/>
          <w:marRight w:val="0"/>
          <w:marTop w:val="0"/>
          <w:marBottom w:val="0"/>
          <w:divBdr>
            <w:top w:val="none" w:sz="0" w:space="0" w:color="auto"/>
            <w:left w:val="none" w:sz="0" w:space="0" w:color="auto"/>
            <w:bottom w:val="none" w:sz="0" w:space="0" w:color="auto"/>
            <w:right w:val="none" w:sz="0" w:space="0" w:color="auto"/>
          </w:divBdr>
        </w:div>
        <w:div w:id="1155994202">
          <w:marLeft w:val="0"/>
          <w:marRight w:val="0"/>
          <w:marTop w:val="0"/>
          <w:marBottom w:val="0"/>
          <w:divBdr>
            <w:top w:val="none" w:sz="0" w:space="0" w:color="auto"/>
            <w:left w:val="none" w:sz="0" w:space="0" w:color="auto"/>
            <w:bottom w:val="none" w:sz="0" w:space="0" w:color="auto"/>
            <w:right w:val="none" w:sz="0" w:space="0" w:color="auto"/>
          </w:divBdr>
        </w:div>
        <w:div w:id="282660969">
          <w:marLeft w:val="0"/>
          <w:marRight w:val="0"/>
          <w:marTop w:val="0"/>
          <w:marBottom w:val="0"/>
          <w:divBdr>
            <w:top w:val="none" w:sz="0" w:space="0" w:color="auto"/>
            <w:left w:val="none" w:sz="0" w:space="0" w:color="auto"/>
            <w:bottom w:val="none" w:sz="0" w:space="0" w:color="auto"/>
            <w:right w:val="none" w:sz="0" w:space="0" w:color="auto"/>
          </w:divBdr>
        </w:div>
        <w:div w:id="451751912">
          <w:marLeft w:val="0"/>
          <w:marRight w:val="0"/>
          <w:marTop w:val="0"/>
          <w:marBottom w:val="0"/>
          <w:divBdr>
            <w:top w:val="none" w:sz="0" w:space="0" w:color="auto"/>
            <w:left w:val="none" w:sz="0" w:space="0" w:color="auto"/>
            <w:bottom w:val="none" w:sz="0" w:space="0" w:color="auto"/>
            <w:right w:val="none" w:sz="0" w:space="0" w:color="auto"/>
          </w:divBdr>
        </w:div>
        <w:div w:id="2050257486">
          <w:marLeft w:val="0"/>
          <w:marRight w:val="0"/>
          <w:marTop w:val="0"/>
          <w:marBottom w:val="0"/>
          <w:divBdr>
            <w:top w:val="none" w:sz="0" w:space="0" w:color="auto"/>
            <w:left w:val="none" w:sz="0" w:space="0" w:color="auto"/>
            <w:bottom w:val="none" w:sz="0" w:space="0" w:color="auto"/>
            <w:right w:val="none" w:sz="0" w:space="0" w:color="auto"/>
          </w:divBdr>
        </w:div>
      </w:divsChild>
    </w:div>
    <w:div w:id="1272930681">
      <w:bodyDiv w:val="1"/>
      <w:marLeft w:val="0"/>
      <w:marRight w:val="0"/>
      <w:marTop w:val="0"/>
      <w:marBottom w:val="0"/>
      <w:divBdr>
        <w:top w:val="none" w:sz="0" w:space="0" w:color="auto"/>
        <w:left w:val="none" w:sz="0" w:space="0" w:color="auto"/>
        <w:bottom w:val="none" w:sz="0" w:space="0" w:color="auto"/>
        <w:right w:val="none" w:sz="0" w:space="0" w:color="auto"/>
      </w:divBdr>
    </w:div>
    <w:div w:id="1323509704">
      <w:bodyDiv w:val="1"/>
      <w:marLeft w:val="0"/>
      <w:marRight w:val="0"/>
      <w:marTop w:val="0"/>
      <w:marBottom w:val="0"/>
      <w:divBdr>
        <w:top w:val="none" w:sz="0" w:space="0" w:color="auto"/>
        <w:left w:val="none" w:sz="0" w:space="0" w:color="auto"/>
        <w:bottom w:val="none" w:sz="0" w:space="0" w:color="auto"/>
        <w:right w:val="none" w:sz="0" w:space="0" w:color="auto"/>
      </w:divBdr>
    </w:div>
    <w:div w:id="1381854763">
      <w:bodyDiv w:val="1"/>
      <w:marLeft w:val="0"/>
      <w:marRight w:val="0"/>
      <w:marTop w:val="0"/>
      <w:marBottom w:val="0"/>
      <w:divBdr>
        <w:top w:val="none" w:sz="0" w:space="0" w:color="auto"/>
        <w:left w:val="none" w:sz="0" w:space="0" w:color="auto"/>
        <w:bottom w:val="none" w:sz="0" w:space="0" w:color="auto"/>
        <w:right w:val="none" w:sz="0" w:space="0" w:color="auto"/>
      </w:divBdr>
      <w:divsChild>
        <w:div w:id="266734305">
          <w:marLeft w:val="0"/>
          <w:marRight w:val="0"/>
          <w:marTop w:val="0"/>
          <w:marBottom w:val="0"/>
          <w:divBdr>
            <w:top w:val="none" w:sz="0" w:space="0" w:color="auto"/>
            <w:left w:val="none" w:sz="0" w:space="0" w:color="auto"/>
            <w:bottom w:val="none" w:sz="0" w:space="0" w:color="auto"/>
            <w:right w:val="none" w:sz="0" w:space="0" w:color="auto"/>
          </w:divBdr>
        </w:div>
        <w:div w:id="1444884270">
          <w:marLeft w:val="0"/>
          <w:marRight w:val="0"/>
          <w:marTop w:val="0"/>
          <w:marBottom w:val="0"/>
          <w:divBdr>
            <w:top w:val="none" w:sz="0" w:space="0" w:color="auto"/>
            <w:left w:val="none" w:sz="0" w:space="0" w:color="auto"/>
            <w:bottom w:val="none" w:sz="0" w:space="0" w:color="auto"/>
            <w:right w:val="none" w:sz="0" w:space="0" w:color="auto"/>
          </w:divBdr>
        </w:div>
        <w:div w:id="123937849">
          <w:marLeft w:val="0"/>
          <w:marRight w:val="0"/>
          <w:marTop w:val="0"/>
          <w:marBottom w:val="0"/>
          <w:divBdr>
            <w:top w:val="none" w:sz="0" w:space="0" w:color="auto"/>
            <w:left w:val="none" w:sz="0" w:space="0" w:color="auto"/>
            <w:bottom w:val="none" w:sz="0" w:space="0" w:color="auto"/>
            <w:right w:val="none" w:sz="0" w:space="0" w:color="auto"/>
          </w:divBdr>
        </w:div>
        <w:div w:id="1066991856">
          <w:marLeft w:val="0"/>
          <w:marRight w:val="0"/>
          <w:marTop w:val="0"/>
          <w:marBottom w:val="0"/>
          <w:divBdr>
            <w:top w:val="none" w:sz="0" w:space="0" w:color="auto"/>
            <w:left w:val="none" w:sz="0" w:space="0" w:color="auto"/>
            <w:bottom w:val="none" w:sz="0" w:space="0" w:color="auto"/>
            <w:right w:val="none" w:sz="0" w:space="0" w:color="auto"/>
          </w:divBdr>
        </w:div>
        <w:div w:id="1997345020">
          <w:marLeft w:val="0"/>
          <w:marRight w:val="0"/>
          <w:marTop w:val="0"/>
          <w:marBottom w:val="0"/>
          <w:divBdr>
            <w:top w:val="none" w:sz="0" w:space="0" w:color="auto"/>
            <w:left w:val="none" w:sz="0" w:space="0" w:color="auto"/>
            <w:bottom w:val="none" w:sz="0" w:space="0" w:color="auto"/>
            <w:right w:val="none" w:sz="0" w:space="0" w:color="auto"/>
          </w:divBdr>
        </w:div>
        <w:div w:id="808404127">
          <w:marLeft w:val="0"/>
          <w:marRight w:val="0"/>
          <w:marTop w:val="0"/>
          <w:marBottom w:val="0"/>
          <w:divBdr>
            <w:top w:val="none" w:sz="0" w:space="0" w:color="auto"/>
            <w:left w:val="none" w:sz="0" w:space="0" w:color="auto"/>
            <w:bottom w:val="none" w:sz="0" w:space="0" w:color="auto"/>
            <w:right w:val="none" w:sz="0" w:space="0" w:color="auto"/>
          </w:divBdr>
        </w:div>
        <w:div w:id="594902651">
          <w:marLeft w:val="0"/>
          <w:marRight w:val="0"/>
          <w:marTop w:val="0"/>
          <w:marBottom w:val="0"/>
          <w:divBdr>
            <w:top w:val="none" w:sz="0" w:space="0" w:color="auto"/>
            <w:left w:val="none" w:sz="0" w:space="0" w:color="auto"/>
            <w:bottom w:val="none" w:sz="0" w:space="0" w:color="auto"/>
            <w:right w:val="none" w:sz="0" w:space="0" w:color="auto"/>
          </w:divBdr>
        </w:div>
        <w:div w:id="1471091251">
          <w:marLeft w:val="0"/>
          <w:marRight w:val="0"/>
          <w:marTop w:val="0"/>
          <w:marBottom w:val="0"/>
          <w:divBdr>
            <w:top w:val="none" w:sz="0" w:space="0" w:color="auto"/>
            <w:left w:val="none" w:sz="0" w:space="0" w:color="auto"/>
            <w:bottom w:val="none" w:sz="0" w:space="0" w:color="auto"/>
            <w:right w:val="none" w:sz="0" w:space="0" w:color="auto"/>
          </w:divBdr>
        </w:div>
        <w:div w:id="852885772">
          <w:marLeft w:val="0"/>
          <w:marRight w:val="0"/>
          <w:marTop w:val="0"/>
          <w:marBottom w:val="0"/>
          <w:divBdr>
            <w:top w:val="none" w:sz="0" w:space="0" w:color="auto"/>
            <w:left w:val="none" w:sz="0" w:space="0" w:color="auto"/>
            <w:bottom w:val="none" w:sz="0" w:space="0" w:color="auto"/>
            <w:right w:val="none" w:sz="0" w:space="0" w:color="auto"/>
          </w:divBdr>
        </w:div>
        <w:div w:id="717585539">
          <w:marLeft w:val="0"/>
          <w:marRight w:val="0"/>
          <w:marTop w:val="0"/>
          <w:marBottom w:val="0"/>
          <w:divBdr>
            <w:top w:val="none" w:sz="0" w:space="0" w:color="auto"/>
            <w:left w:val="none" w:sz="0" w:space="0" w:color="auto"/>
            <w:bottom w:val="none" w:sz="0" w:space="0" w:color="auto"/>
            <w:right w:val="none" w:sz="0" w:space="0" w:color="auto"/>
          </w:divBdr>
        </w:div>
        <w:div w:id="1544363198">
          <w:marLeft w:val="0"/>
          <w:marRight w:val="0"/>
          <w:marTop w:val="0"/>
          <w:marBottom w:val="0"/>
          <w:divBdr>
            <w:top w:val="none" w:sz="0" w:space="0" w:color="auto"/>
            <w:left w:val="none" w:sz="0" w:space="0" w:color="auto"/>
            <w:bottom w:val="none" w:sz="0" w:space="0" w:color="auto"/>
            <w:right w:val="none" w:sz="0" w:space="0" w:color="auto"/>
          </w:divBdr>
        </w:div>
        <w:div w:id="596522952">
          <w:marLeft w:val="0"/>
          <w:marRight w:val="0"/>
          <w:marTop w:val="0"/>
          <w:marBottom w:val="0"/>
          <w:divBdr>
            <w:top w:val="none" w:sz="0" w:space="0" w:color="auto"/>
            <w:left w:val="none" w:sz="0" w:space="0" w:color="auto"/>
            <w:bottom w:val="none" w:sz="0" w:space="0" w:color="auto"/>
            <w:right w:val="none" w:sz="0" w:space="0" w:color="auto"/>
          </w:divBdr>
        </w:div>
        <w:div w:id="487022364">
          <w:marLeft w:val="0"/>
          <w:marRight w:val="0"/>
          <w:marTop w:val="0"/>
          <w:marBottom w:val="0"/>
          <w:divBdr>
            <w:top w:val="none" w:sz="0" w:space="0" w:color="auto"/>
            <w:left w:val="none" w:sz="0" w:space="0" w:color="auto"/>
            <w:bottom w:val="none" w:sz="0" w:space="0" w:color="auto"/>
            <w:right w:val="none" w:sz="0" w:space="0" w:color="auto"/>
          </w:divBdr>
        </w:div>
        <w:div w:id="1600870375">
          <w:marLeft w:val="0"/>
          <w:marRight w:val="0"/>
          <w:marTop w:val="0"/>
          <w:marBottom w:val="0"/>
          <w:divBdr>
            <w:top w:val="none" w:sz="0" w:space="0" w:color="auto"/>
            <w:left w:val="none" w:sz="0" w:space="0" w:color="auto"/>
            <w:bottom w:val="none" w:sz="0" w:space="0" w:color="auto"/>
            <w:right w:val="none" w:sz="0" w:space="0" w:color="auto"/>
          </w:divBdr>
        </w:div>
        <w:div w:id="1674138480">
          <w:marLeft w:val="0"/>
          <w:marRight w:val="0"/>
          <w:marTop w:val="0"/>
          <w:marBottom w:val="0"/>
          <w:divBdr>
            <w:top w:val="none" w:sz="0" w:space="0" w:color="auto"/>
            <w:left w:val="none" w:sz="0" w:space="0" w:color="auto"/>
            <w:bottom w:val="none" w:sz="0" w:space="0" w:color="auto"/>
            <w:right w:val="none" w:sz="0" w:space="0" w:color="auto"/>
          </w:divBdr>
        </w:div>
        <w:div w:id="428933949">
          <w:marLeft w:val="0"/>
          <w:marRight w:val="0"/>
          <w:marTop w:val="0"/>
          <w:marBottom w:val="0"/>
          <w:divBdr>
            <w:top w:val="none" w:sz="0" w:space="0" w:color="auto"/>
            <w:left w:val="none" w:sz="0" w:space="0" w:color="auto"/>
            <w:bottom w:val="none" w:sz="0" w:space="0" w:color="auto"/>
            <w:right w:val="none" w:sz="0" w:space="0" w:color="auto"/>
          </w:divBdr>
        </w:div>
        <w:div w:id="968126656">
          <w:marLeft w:val="0"/>
          <w:marRight w:val="0"/>
          <w:marTop w:val="0"/>
          <w:marBottom w:val="0"/>
          <w:divBdr>
            <w:top w:val="none" w:sz="0" w:space="0" w:color="auto"/>
            <w:left w:val="none" w:sz="0" w:space="0" w:color="auto"/>
            <w:bottom w:val="none" w:sz="0" w:space="0" w:color="auto"/>
            <w:right w:val="none" w:sz="0" w:space="0" w:color="auto"/>
          </w:divBdr>
        </w:div>
        <w:div w:id="624966145">
          <w:marLeft w:val="0"/>
          <w:marRight w:val="0"/>
          <w:marTop w:val="0"/>
          <w:marBottom w:val="0"/>
          <w:divBdr>
            <w:top w:val="none" w:sz="0" w:space="0" w:color="auto"/>
            <w:left w:val="none" w:sz="0" w:space="0" w:color="auto"/>
            <w:bottom w:val="none" w:sz="0" w:space="0" w:color="auto"/>
            <w:right w:val="none" w:sz="0" w:space="0" w:color="auto"/>
          </w:divBdr>
        </w:div>
        <w:div w:id="1242562946">
          <w:marLeft w:val="0"/>
          <w:marRight w:val="0"/>
          <w:marTop w:val="0"/>
          <w:marBottom w:val="0"/>
          <w:divBdr>
            <w:top w:val="none" w:sz="0" w:space="0" w:color="auto"/>
            <w:left w:val="none" w:sz="0" w:space="0" w:color="auto"/>
            <w:bottom w:val="none" w:sz="0" w:space="0" w:color="auto"/>
            <w:right w:val="none" w:sz="0" w:space="0" w:color="auto"/>
          </w:divBdr>
        </w:div>
      </w:divsChild>
    </w:div>
    <w:div w:id="1396275205">
      <w:bodyDiv w:val="1"/>
      <w:marLeft w:val="0"/>
      <w:marRight w:val="0"/>
      <w:marTop w:val="0"/>
      <w:marBottom w:val="0"/>
      <w:divBdr>
        <w:top w:val="none" w:sz="0" w:space="0" w:color="auto"/>
        <w:left w:val="none" w:sz="0" w:space="0" w:color="auto"/>
        <w:bottom w:val="none" w:sz="0" w:space="0" w:color="auto"/>
        <w:right w:val="none" w:sz="0" w:space="0" w:color="auto"/>
      </w:divBdr>
    </w:div>
    <w:div w:id="1431124497">
      <w:bodyDiv w:val="1"/>
      <w:marLeft w:val="0"/>
      <w:marRight w:val="0"/>
      <w:marTop w:val="0"/>
      <w:marBottom w:val="0"/>
      <w:divBdr>
        <w:top w:val="none" w:sz="0" w:space="0" w:color="auto"/>
        <w:left w:val="none" w:sz="0" w:space="0" w:color="auto"/>
        <w:bottom w:val="none" w:sz="0" w:space="0" w:color="auto"/>
        <w:right w:val="none" w:sz="0" w:space="0" w:color="auto"/>
      </w:divBdr>
    </w:div>
    <w:div w:id="1508058812">
      <w:bodyDiv w:val="1"/>
      <w:marLeft w:val="0"/>
      <w:marRight w:val="0"/>
      <w:marTop w:val="0"/>
      <w:marBottom w:val="0"/>
      <w:divBdr>
        <w:top w:val="none" w:sz="0" w:space="0" w:color="auto"/>
        <w:left w:val="none" w:sz="0" w:space="0" w:color="auto"/>
        <w:bottom w:val="none" w:sz="0" w:space="0" w:color="auto"/>
        <w:right w:val="none" w:sz="0" w:space="0" w:color="auto"/>
      </w:divBdr>
    </w:div>
    <w:div w:id="1559321944">
      <w:bodyDiv w:val="1"/>
      <w:marLeft w:val="0"/>
      <w:marRight w:val="0"/>
      <w:marTop w:val="0"/>
      <w:marBottom w:val="0"/>
      <w:divBdr>
        <w:top w:val="none" w:sz="0" w:space="0" w:color="auto"/>
        <w:left w:val="none" w:sz="0" w:space="0" w:color="auto"/>
        <w:bottom w:val="none" w:sz="0" w:space="0" w:color="auto"/>
        <w:right w:val="none" w:sz="0" w:space="0" w:color="auto"/>
      </w:divBdr>
    </w:div>
    <w:div w:id="1742286850">
      <w:bodyDiv w:val="1"/>
      <w:marLeft w:val="0"/>
      <w:marRight w:val="0"/>
      <w:marTop w:val="0"/>
      <w:marBottom w:val="0"/>
      <w:divBdr>
        <w:top w:val="none" w:sz="0" w:space="0" w:color="auto"/>
        <w:left w:val="none" w:sz="0" w:space="0" w:color="auto"/>
        <w:bottom w:val="none" w:sz="0" w:space="0" w:color="auto"/>
        <w:right w:val="none" w:sz="0" w:space="0" w:color="auto"/>
      </w:divBdr>
    </w:div>
    <w:div w:id="1857846148">
      <w:bodyDiv w:val="1"/>
      <w:marLeft w:val="0"/>
      <w:marRight w:val="0"/>
      <w:marTop w:val="0"/>
      <w:marBottom w:val="0"/>
      <w:divBdr>
        <w:top w:val="none" w:sz="0" w:space="0" w:color="auto"/>
        <w:left w:val="none" w:sz="0" w:space="0" w:color="auto"/>
        <w:bottom w:val="none" w:sz="0" w:space="0" w:color="auto"/>
        <w:right w:val="none" w:sz="0" w:space="0" w:color="auto"/>
      </w:divBdr>
    </w:div>
    <w:div w:id="1914777962">
      <w:bodyDiv w:val="1"/>
      <w:marLeft w:val="0"/>
      <w:marRight w:val="0"/>
      <w:marTop w:val="0"/>
      <w:marBottom w:val="0"/>
      <w:divBdr>
        <w:top w:val="none" w:sz="0" w:space="0" w:color="auto"/>
        <w:left w:val="none" w:sz="0" w:space="0" w:color="auto"/>
        <w:bottom w:val="none" w:sz="0" w:space="0" w:color="auto"/>
        <w:right w:val="none" w:sz="0" w:space="0" w:color="auto"/>
      </w:divBdr>
      <w:divsChild>
        <w:div w:id="2086603304">
          <w:marLeft w:val="0"/>
          <w:marRight w:val="0"/>
          <w:marTop w:val="0"/>
          <w:marBottom w:val="0"/>
          <w:divBdr>
            <w:top w:val="none" w:sz="0" w:space="0" w:color="auto"/>
            <w:left w:val="none" w:sz="0" w:space="0" w:color="auto"/>
            <w:bottom w:val="none" w:sz="0" w:space="0" w:color="auto"/>
            <w:right w:val="none" w:sz="0" w:space="0" w:color="auto"/>
          </w:divBdr>
        </w:div>
        <w:div w:id="707802938">
          <w:marLeft w:val="0"/>
          <w:marRight w:val="0"/>
          <w:marTop w:val="0"/>
          <w:marBottom w:val="0"/>
          <w:divBdr>
            <w:top w:val="none" w:sz="0" w:space="0" w:color="auto"/>
            <w:left w:val="none" w:sz="0" w:space="0" w:color="auto"/>
            <w:bottom w:val="none" w:sz="0" w:space="0" w:color="auto"/>
            <w:right w:val="none" w:sz="0" w:space="0" w:color="auto"/>
          </w:divBdr>
        </w:div>
        <w:div w:id="959720587">
          <w:marLeft w:val="0"/>
          <w:marRight w:val="0"/>
          <w:marTop w:val="0"/>
          <w:marBottom w:val="0"/>
          <w:divBdr>
            <w:top w:val="none" w:sz="0" w:space="0" w:color="auto"/>
            <w:left w:val="none" w:sz="0" w:space="0" w:color="auto"/>
            <w:bottom w:val="none" w:sz="0" w:space="0" w:color="auto"/>
            <w:right w:val="none" w:sz="0" w:space="0" w:color="auto"/>
          </w:divBdr>
        </w:div>
        <w:div w:id="1992364347">
          <w:marLeft w:val="0"/>
          <w:marRight w:val="0"/>
          <w:marTop w:val="0"/>
          <w:marBottom w:val="0"/>
          <w:divBdr>
            <w:top w:val="none" w:sz="0" w:space="0" w:color="auto"/>
            <w:left w:val="none" w:sz="0" w:space="0" w:color="auto"/>
            <w:bottom w:val="none" w:sz="0" w:space="0" w:color="auto"/>
            <w:right w:val="none" w:sz="0" w:space="0" w:color="auto"/>
          </w:divBdr>
        </w:div>
        <w:div w:id="45447135">
          <w:marLeft w:val="0"/>
          <w:marRight w:val="0"/>
          <w:marTop w:val="0"/>
          <w:marBottom w:val="0"/>
          <w:divBdr>
            <w:top w:val="none" w:sz="0" w:space="0" w:color="auto"/>
            <w:left w:val="none" w:sz="0" w:space="0" w:color="auto"/>
            <w:bottom w:val="none" w:sz="0" w:space="0" w:color="auto"/>
            <w:right w:val="none" w:sz="0" w:space="0" w:color="auto"/>
          </w:divBdr>
        </w:div>
        <w:div w:id="1659377756">
          <w:marLeft w:val="0"/>
          <w:marRight w:val="0"/>
          <w:marTop w:val="0"/>
          <w:marBottom w:val="0"/>
          <w:divBdr>
            <w:top w:val="none" w:sz="0" w:space="0" w:color="auto"/>
            <w:left w:val="none" w:sz="0" w:space="0" w:color="auto"/>
            <w:bottom w:val="none" w:sz="0" w:space="0" w:color="auto"/>
            <w:right w:val="none" w:sz="0" w:space="0" w:color="auto"/>
          </w:divBdr>
        </w:div>
        <w:div w:id="499126064">
          <w:marLeft w:val="0"/>
          <w:marRight w:val="0"/>
          <w:marTop w:val="0"/>
          <w:marBottom w:val="0"/>
          <w:divBdr>
            <w:top w:val="none" w:sz="0" w:space="0" w:color="auto"/>
            <w:left w:val="none" w:sz="0" w:space="0" w:color="auto"/>
            <w:bottom w:val="none" w:sz="0" w:space="0" w:color="auto"/>
            <w:right w:val="none" w:sz="0" w:space="0" w:color="auto"/>
          </w:divBdr>
        </w:div>
        <w:div w:id="521624744">
          <w:marLeft w:val="0"/>
          <w:marRight w:val="0"/>
          <w:marTop w:val="0"/>
          <w:marBottom w:val="0"/>
          <w:divBdr>
            <w:top w:val="none" w:sz="0" w:space="0" w:color="auto"/>
            <w:left w:val="none" w:sz="0" w:space="0" w:color="auto"/>
            <w:bottom w:val="none" w:sz="0" w:space="0" w:color="auto"/>
            <w:right w:val="none" w:sz="0" w:space="0" w:color="auto"/>
          </w:divBdr>
        </w:div>
        <w:div w:id="772015103">
          <w:marLeft w:val="0"/>
          <w:marRight w:val="0"/>
          <w:marTop w:val="0"/>
          <w:marBottom w:val="0"/>
          <w:divBdr>
            <w:top w:val="none" w:sz="0" w:space="0" w:color="auto"/>
            <w:left w:val="none" w:sz="0" w:space="0" w:color="auto"/>
            <w:bottom w:val="none" w:sz="0" w:space="0" w:color="auto"/>
            <w:right w:val="none" w:sz="0" w:space="0" w:color="auto"/>
          </w:divBdr>
        </w:div>
        <w:div w:id="1152521252">
          <w:marLeft w:val="0"/>
          <w:marRight w:val="0"/>
          <w:marTop w:val="0"/>
          <w:marBottom w:val="0"/>
          <w:divBdr>
            <w:top w:val="none" w:sz="0" w:space="0" w:color="auto"/>
            <w:left w:val="none" w:sz="0" w:space="0" w:color="auto"/>
            <w:bottom w:val="none" w:sz="0" w:space="0" w:color="auto"/>
            <w:right w:val="none" w:sz="0" w:space="0" w:color="auto"/>
          </w:divBdr>
        </w:div>
        <w:div w:id="956251015">
          <w:marLeft w:val="0"/>
          <w:marRight w:val="0"/>
          <w:marTop w:val="0"/>
          <w:marBottom w:val="0"/>
          <w:divBdr>
            <w:top w:val="none" w:sz="0" w:space="0" w:color="auto"/>
            <w:left w:val="none" w:sz="0" w:space="0" w:color="auto"/>
            <w:bottom w:val="none" w:sz="0" w:space="0" w:color="auto"/>
            <w:right w:val="none" w:sz="0" w:space="0" w:color="auto"/>
          </w:divBdr>
        </w:div>
        <w:div w:id="851527406">
          <w:marLeft w:val="0"/>
          <w:marRight w:val="0"/>
          <w:marTop w:val="0"/>
          <w:marBottom w:val="0"/>
          <w:divBdr>
            <w:top w:val="none" w:sz="0" w:space="0" w:color="auto"/>
            <w:left w:val="none" w:sz="0" w:space="0" w:color="auto"/>
            <w:bottom w:val="none" w:sz="0" w:space="0" w:color="auto"/>
            <w:right w:val="none" w:sz="0" w:space="0" w:color="auto"/>
          </w:divBdr>
        </w:div>
        <w:div w:id="578904617">
          <w:marLeft w:val="0"/>
          <w:marRight w:val="0"/>
          <w:marTop w:val="0"/>
          <w:marBottom w:val="0"/>
          <w:divBdr>
            <w:top w:val="none" w:sz="0" w:space="0" w:color="auto"/>
            <w:left w:val="none" w:sz="0" w:space="0" w:color="auto"/>
            <w:bottom w:val="none" w:sz="0" w:space="0" w:color="auto"/>
            <w:right w:val="none" w:sz="0" w:space="0" w:color="auto"/>
          </w:divBdr>
        </w:div>
      </w:divsChild>
    </w:div>
    <w:div w:id="1938782810">
      <w:bodyDiv w:val="1"/>
      <w:marLeft w:val="0"/>
      <w:marRight w:val="0"/>
      <w:marTop w:val="0"/>
      <w:marBottom w:val="0"/>
      <w:divBdr>
        <w:top w:val="none" w:sz="0" w:space="0" w:color="auto"/>
        <w:left w:val="none" w:sz="0" w:space="0" w:color="auto"/>
        <w:bottom w:val="none" w:sz="0" w:space="0" w:color="auto"/>
        <w:right w:val="none" w:sz="0" w:space="0" w:color="auto"/>
      </w:divBdr>
    </w:div>
    <w:div w:id="2054694716">
      <w:bodyDiv w:val="1"/>
      <w:marLeft w:val="0"/>
      <w:marRight w:val="0"/>
      <w:marTop w:val="0"/>
      <w:marBottom w:val="0"/>
      <w:divBdr>
        <w:top w:val="none" w:sz="0" w:space="0" w:color="auto"/>
        <w:left w:val="none" w:sz="0" w:space="0" w:color="auto"/>
        <w:bottom w:val="none" w:sz="0" w:space="0" w:color="auto"/>
        <w:right w:val="none" w:sz="0" w:space="0" w:color="auto"/>
      </w:divBdr>
    </w:div>
    <w:div w:id="2076540764">
      <w:bodyDiv w:val="1"/>
      <w:marLeft w:val="0"/>
      <w:marRight w:val="0"/>
      <w:marTop w:val="0"/>
      <w:marBottom w:val="0"/>
      <w:divBdr>
        <w:top w:val="none" w:sz="0" w:space="0" w:color="auto"/>
        <w:left w:val="none" w:sz="0" w:space="0" w:color="auto"/>
        <w:bottom w:val="none" w:sz="0" w:space="0" w:color="auto"/>
        <w:right w:val="none" w:sz="0" w:space="0" w:color="auto"/>
      </w:divBdr>
    </w:div>
    <w:div w:id="2082210526">
      <w:bodyDiv w:val="1"/>
      <w:marLeft w:val="0"/>
      <w:marRight w:val="0"/>
      <w:marTop w:val="0"/>
      <w:marBottom w:val="0"/>
      <w:divBdr>
        <w:top w:val="none" w:sz="0" w:space="0" w:color="auto"/>
        <w:left w:val="none" w:sz="0" w:space="0" w:color="auto"/>
        <w:bottom w:val="none" w:sz="0" w:space="0" w:color="auto"/>
        <w:right w:val="none" w:sz="0" w:space="0" w:color="auto"/>
      </w:divBdr>
    </w:div>
    <w:div w:id="2093311183">
      <w:bodyDiv w:val="1"/>
      <w:marLeft w:val="0"/>
      <w:marRight w:val="0"/>
      <w:marTop w:val="0"/>
      <w:marBottom w:val="0"/>
      <w:divBdr>
        <w:top w:val="none" w:sz="0" w:space="0" w:color="auto"/>
        <w:left w:val="none" w:sz="0" w:space="0" w:color="auto"/>
        <w:bottom w:val="none" w:sz="0" w:space="0" w:color="auto"/>
        <w:right w:val="none" w:sz="0" w:space="0" w:color="auto"/>
      </w:divBdr>
    </w:div>
    <w:div w:id="2118451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NHS</b:Tag>
    <b:SourceType>InternetSite</b:SourceType>
    <b:Guid>{8667F1E8-C37F-4DC9-941B-6C3D3443EA32}</b:Guid>
    <b:Author>
      <b:Author>
        <b:Corporate>NHS</b:Corporate>
      </b:Author>
    </b:Author>
    <b:Title>Living Life Well Programme</b:Title>
    <b:Year>2019</b:Year>
    <b:YearAccessed>2019</b:YearAccessed>
    <b:MonthAccessed>November</b:MonthAccessed>
    <b:DayAccessed>26</b:DayAccessed>
    <b:URL>http://www.wales.nhs.uk/sitesplus/documents/863/LivingLifeWell%20information%20pack%202019%209%20NEW%20DATES%20ADDED.pdf</b:URL>
    <b:RefOrder>1</b:RefOrder>
  </b:Source>
  <b:Source>
    <b:Tag>Sha</b:Tag>
    <b:SourceType>JournalArticle</b:SourceType>
    <b:Guid>{4CCC4100-6ADE-4E25-9347-6C6344F63C1F}</b:Guid>
    <b:Author>
      <b:Author>
        <b:NameList>
          <b:Person>
            <b:Last>Sharma</b:Last>
            <b:First>A</b:First>
          </b:Person>
          <b:Person>
            <b:Last>Madaan</b:Last>
            <b:First>V</b:First>
          </b:Person>
          <b:Person>
            <b:Last>Petty</b:Last>
            <b:First>D.</b:First>
            <b:Middle>F.</b:Middle>
          </b:Person>
        </b:NameList>
      </b:Author>
    </b:Author>
    <b:Issue>2</b:Issue>
    <b:Title>Exercise for Mental Health</b:Title>
    <b:JournalName>Journal of Clinical Psychiatry</b:JournalName>
    <b:Year>2006</b:Year>
    <b:Pages>106</b:Pages>
    <b:Volume>8</b:Volume>
    <b:RefOrder>21</b:RefOrder>
  </b:Source>
  <b:Source>
    <b:Tag>Min11</b:Tag>
    <b:SourceType>InternetSite</b:SourceType>
    <b:Guid>{23F3B1AA-21F2-4115-8EA0-38F31A372700}</b:Guid>
    <b:Title>Delivering a sport and physical activity service: A toolkit for mental health providers </b:Title>
    <b:Year>2011</b:Year>
    <b:Author>
      <b:Author>
        <b:Corporate>Mind</b:Corporate>
      </b:Author>
    </b:Author>
    <b:YearAccessed>2020</b:YearAccessed>
    <b:MonthAccessed>January </b:MonthAccessed>
    <b:DayAccessed>8</b:DayAccessed>
    <b:URL>https://www.mind.org.uk/media/6027126/a-toolkit-for-mental-health-providers.pdf</b:URL>
    <b:RefOrder>2</b:RefOrder>
  </b:Source>
  <b:Source>
    <b:Tag>Bid16</b:Tag>
    <b:SourceType>JournalArticle</b:SourceType>
    <b:Guid>{FA4F8861-D92C-46BC-B7C4-58D2C3B34B58}</b:Guid>
    <b:Title>Physical activity and mental health: evidence is growing</b:Title>
    <b:Year>2016</b:Year>
    <b:Author>
      <b:Author>
        <b:NameList>
          <b:Person>
            <b:Last>Biddle</b:Last>
            <b:First>S.</b:First>
          </b:Person>
        </b:NameList>
      </b:Author>
    </b:Author>
    <b:JournalName>World Psychiatry</b:JournalName>
    <b:Pages>176–177</b:Pages>
    <b:Volume>15</b:Volume>
    <b:Issue>2</b:Issue>
    <b:RefOrder>3</b:RefOrder>
  </b:Source>
  <b:Source>
    <b:Tag>Bre13</b:Tag>
    <b:SourceType>Book</b:SourceType>
    <b:Guid>{1A4C2143-7DE4-4131-893C-B00D253912D7}</b:Guid>
    <b:Title>The Leader's Guide to Managing People: How to Use Soft Skills to Get Hard Results</b:Title>
    <b:Year>2013</b:Year>
    <b:Author>
      <b:Author>
        <b:NameList>
          <b:Person>
            <b:Last>Brent</b:Last>
            <b:First>M</b:First>
          </b:Person>
          <b:Person>
            <b:Last>Dent</b:Last>
            <b:First>F.</b:First>
          </b:Person>
        </b:NameList>
      </b:Author>
    </b:Author>
    <b:City>London</b:City>
    <b:Publisher>FT Publishing International</b:Publisher>
    <b:RefOrder>19</b:RefOrder>
  </b:Source>
  <b:Source>
    <b:Tag>Mil15</b:Tag>
    <b:SourceType>InternetSite</b:SourceType>
    <b:Guid>{483F1DB9-6D97-4D7A-BE60-FE747C0CA012}</b:Guid>
    <b:Title>Can What You Eat Affect Your Mental Health?</b:Title>
    <b:Year>2015</b:Year>
    <b:Author>
      <b:Author>
        <b:NameList>
          <b:Person>
            <b:Last>Miller</b:Last>
            <b:First>K.</b:First>
          </b:Person>
        </b:NameList>
      </b:Author>
    </b:Author>
    <b:YearAccessed>2020</b:YearAccessed>
    <b:MonthAccessed>January </b:MonthAccessed>
    <b:DayAccessed>8</b:DayAccessed>
    <b:URL>https://www.webmd.com/mental-health/news/20150820/food-mental-health#1</b:URL>
    <b:RefOrder>4</b:RefOrder>
  </b:Source>
  <b:Source>
    <b:Tag>fam17</b:Tag>
    <b:SourceType>InternetSite</b:SourceType>
    <b:Guid>{1BF53C36-B9D2-4280-82C8-30C862F96B4F}</b:Guid>
    <b:Author>
      <b:Author>
        <b:Corporate>familydoctor.org</b:Corporate>
      </b:Author>
    </b:Author>
    <b:Title>Nutrition and Mental Health</b:Title>
    <b:Year>2017</b:Year>
    <b:YearAccessed>2020</b:YearAccessed>
    <b:MonthAccessed>Janaury </b:MonthAccessed>
    <b:DayAccessed>8</b:DayAccessed>
    <b:URL>https://familydoctor.org/nutrition-mental-health/</b:URL>
    <b:RefOrder>20</b:RefOrder>
  </b:Source>
  <b:Source>
    <b:Tag>Por89</b:Tag>
    <b:SourceType>BookSection</b:SourceType>
    <b:Guid>{3E52DB4B-7C14-4AB2-ABE5-ACE3C507A3B9}</b:Guid>
    <b:Title>How competitive forces shape strategy</b:Title>
    <b:Year>1989</b:Year>
    <b:Publisher>Palgrave</b:Publisher>
    <b:City>London</b:City>
    <b:Author>
      <b:Author>
        <b:NameList>
          <b:Person>
            <b:Last>Porter</b:Last>
            <b:First>M.</b:First>
          </b:Person>
        </b:NameList>
      </b:Author>
      <b:Editor>
        <b:NameList>
          <b:Person>
            <b:Last>Porter</b:Last>
            <b:First>Michael</b:First>
            <b:Middle>E.</b:Middle>
          </b:Person>
        </b:NameList>
      </b:Editor>
    </b:Author>
    <b:JournalName>Harvard Business Review</b:JournalName>
    <b:Pages>133-143</b:Pages>
    <b:Volume>March </b:Volume>
    <b:BookTitle>Readings in Strategic Management </b:BookTitle>
    <b:RefOrder>6</b:RefOrder>
  </b:Source>
  <b:Source>
    <b:Tag>Bru18</b:Tag>
    <b:SourceType>Report</b:SourceType>
    <b:Guid>{B6CEDF2C-2A0A-4BD6-A2EB-421C31A60FE8}</b:Guid>
    <b:Title>The Relevance of Porter's Five Forces in Today's Innovative and Changing Business Environment</b:Title>
    <b:Year>2018</b:Year>
    <b:City>Nelson</b:City>
    <b:Publisher>Nelson Marlborough Institute of Technology </b:Publisher>
    <b:Author>
      <b:Author>
        <b:NameList>
          <b:Person>
            <b:Last>Bruijl</b:Last>
            <b:First>G.</b:First>
          </b:Person>
        </b:NameList>
      </b:Author>
    </b:Author>
    <b:RefOrder>5</b:RefOrder>
  </b:Source>
  <b:Source>
    <b:Tag>Joh08</b:Tag>
    <b:SourceType>Book</b:SourceType>
    <b:Guid>{6A63E655-9829-4950-A037-685EE49CF043}</b:Guid>
    <b:Title>Exploring Corporate Strategy: Text &amp; Cases</b:Title>
    <b:Year>2008</b:Year>
    <b:Publisher>Prentice Hall </b:Publisher>
    <b:City>Upper Saddle River</b:City>
    <b:Author>
      <b:Author>
        <b:NameList>
          <b:Person>
            <b:Last>Johnson</b:Last>
            <b:First>G</b:First>
          </b:Person>
          <b:Person>
            <b:Last>Scholes</b:Last>
            <b:First>K</b:First>
          </b:Person>
          <b:Person>
            <b:Last>Whittington</b:Last>
            <b:First>R.</b:First>
          </b:Person>
        </b:NameList>
      </b:Author>
    </b:Author>
    <b:RefOrder>7</b:RefOrder>
  </b:Source>
  <b:Source>
    <b:Tag>Däl14</b:Tag>
    <b:SourceType>Report</b:SourceType>
    <b:Guid>{941B5652-DF27-426C-943E-FCE2E85B42E4}</b:Guid>
    <b:Title>Are Porter’s Five Competitive Forces still Applicable?  A Critical Examination concerning the Relevance for Today’s Business</b:Title>
    <b:Year>2014</b:Year>
    <b:City>Enschede</b:City>
    <b:Publisher>University of Twent</b:Publisher>
    <b:Author>
      <b:Author>
        <b:NameList>
          <b:Person>
            <b:Last>Dälken</b:Last>
            <b:First>F.</b:First>
          </b:Person>
        </b:NameList>
      </b:Author>
    </b:Author>
    <b:RefOrder>8</b:RefOrder>
  </b:Source>
  <b:Source>
    <b:Tag>Sla02</b:Tag>
    <b:SourceType>JournalArticle</b:SourceType>
    <b:Guid>{4F2A0FBE-773C-4109-A781-0487D0A7373A}</b:Guid>
    <b:Title>A fresh look at industry and market analysis</b:Title>
    <b:Year>2002</b:Year>
    <b:PeriodicalTitle>Business Horizons</b:PeriodicalTitle>
    <b:Pages>15-22</b:Pages>
    <b:Author>
      <b:Author>
        <b:NameList>
          <b:Person>
            <b:Last>Slater</b:Last>
            <b:First>S.F</b:First>
          </b:Person>
          <b:Person>
            <b:Last>Olson</b:Last>
            <b:First>E.M.</b:First>
          </b:Person>
        </b:NameList>
      </b:Author>
    </b:Author>
    <b:JournalName>Business Horizons</b:JournalName>
    <b:Volume>45</b:Volume>
    <b:Issue>1</b:Issue>
    <b:RefOrder>9</b:RefOrder>
  </b:Source>
  <b:Source>
    <b:Tag>Dow97</b:Tag>
    <b:SourceType>JournalArticle</b:SourceType>
    <b:Guid>{C69FC8C8-EF1F-4946-9240-E668D4A3ABC0}</b:Guid>
    <b:Author>
      <b:Author>
        <b:NameList>
          <b:Person>
            <b:Last>Downes</b:Last>
            <b:First>L.</b:First>
          </b:Person>
        </b:NameList>
      </b:Author>
    </b:Author>
    <b:Title>Beyond Porter</b:Title>
    <b:JournalName>Context Magazine</b:JournalName>
    <b:Year>1997</b:Year>
    <b:Pages>1</b:Pages>
    <b:Volume>1</b:Volume>
    <b:Issue>1</b:Issue>
    <b:RefOrder>10</b:RefOrder>
  </b:Source>
  <b:Source>
    <b:Tag>And04</b:Tag>
    <b:SourceType>JournalArticle</b:SourceType>
    <b:Guid>{B8E3FC45-4BDD-4D80-810E-820CE5136544}</b:Guid>
    <b:Author>
      <b:Author>
        <b:NameList>
          <b:Person>
            <b:Last>Andriotis</b:Last>
            <b:First>K.</b:First>
          </b:Person>
        </b:NameList>
      </b:Author>
    </b:Author>
    <b:Title>Revising Porter’s Five Forces Model for Application in the Travel and Tourism Industry. T</b:Title>
    <b:JournalName>Tourism Today</b:JournalName>
    <b:Year>2004</b:Year>
    <b:Pages>131-145</b:Pages>
    <b:Volume>4</b:Volume>
    <b:Issue>1</b:Issue>
    <b:RefOrder>11</b:RefOrder>
  </b:Source>
  <b:Source>
    <b:Tag>Hay16</b:Tag>
    <b:SourceType>JournalArticle</b:SourceType>
    <b:Guid>{53FCF7B8-0316-48EF-AEC2-301F9207EAA3}</b:Guid>
    <b:Author>
      <b:Author>
        <b:NameList>
          <b:Person>
            <b:Last>Hayek</b:Last>
            <b:First>F.</b:First>
          </b:Person>
        </b:NameList>
      </b:Author>
    </b:Author>
    <b:Title>The Meaning of Competition </b:Title>
    <b:JournalName>Econ Journal Watch </b:JournalName>
    <b:Year>2016</b:Year>
    <b:Pages>359-372</b:Pages>
    <b:Volume>13</b:Volume>
    <b:Issue>2</b:Issue>
    <b:RefOrder>17</b:RefOrder>
  </b:Source>
  <b:Source>
    <b:Tag>Gru06</b:Tag>
    <b:SourceType>JournalArticle</b:SourceType>
    <b:Guid>{78FFD4C2-54A0-4CEF-BC38-604AD4C80C7A}</b:Guid>
    <b:Author>
      <b:Author>
        <b:NameList>
          <b:Person>
            <b:Last>Grundy</b:Last>
            <b:First>T.</b:First>
          </b:Person>
        </b:NameList>
      </b:Author>
    </b:Author>
    <b:Title>Rethinking and reinventing Michael Porter's five forces model. </b:Title>
    <b:JournalName>Strategic Change</b:JournalName>
    <b:Year>2006</b:Year>
    <b:Pages>213-229</b:Pages>
    <b:Volume>15</b:Volume>
    <b:Issue>5</b:Issue>
    <b:RefOrder>14</b:RefOrder>
  </b:Source>
  <b:Source>
    <b:Tag>Por08</b:Tag>
    <b:SourceType>JournalArticle</b:SourceType>
    <b:Guid>{39A478EB-EF31-4571-A3DD-FE5C623BCB8A}</b:Guid>
    <b:Author>
      <b:Author>
        <b:NameList>
          <b:Person>
            <b:Last>Porter</b:Last>
            <b:First>M.</b:First>
          </b:Person>
        </b:NameList>
      </b:Author>
    </b:Author>
    <b:Title>The five competitive forces that shape strategy</b:Title>
    <b:JournalName>Harvard Business Review</b:JournalName>
    <b:Year>2008</b:Year>
    <b:Pages>25-41</b:Pages>
    <b:Volume>January</b:Volume>
    <b:Issue>1</b:Issue>
    <b:RefOrder>15</b:RefOrder>
  </b:Source>
  <b:Source>
    <b:Tag>Roy19</b:Tag>
    <b:SourceType>InternetSite</b:SourceType>
    <b:Guid>{B6ACD1C2-FD03-4C67-94C7-86DB2151D4F8}</b:Guid>
    <b:Title>Eating well and mental health</b:Title>
    <b:Year>2019</b:Year>
    <b:Author>
      <b:Author>
        <b:Corporate>Royal College of Psychiatrists </b:Corporate>
      </b:Author>
    </b:Author>
    <b:YearAccessed>2020</b:YearAccessed>
    <b:MonthAccessed>January </b:MonthAccessed>
    <b:DayAccessed>7</b:DayAccessed>
    <b:URL>https://www.rcpsych.ac.uk/mental-health/problems-disorders/eating-well-and-mental-health</b:URL>
    <b:RefOrder>22</b:RefOrder>
  </b:Source>
  <b:Source>
    <b:Tag>OSh84</b:Tag>
    <b:SourceType>Book</b:SourceType>
    <b:Guid>{DCE6ECA6-8571-4EA3-8FFE-49172FF11E8B}</b:Guid>
    <b:Title>Competitive marketing: a strategic approach</b:Title>
    <b:Year>1984</b:Year>
    <b:Author>
      <b:Author>
        <b:NameList>
          <b:Person>
            <b:Last>O'Shaughnessy</b:Last>
            <b:First>J.</b:First>
          </b:Person>
        </b:NameList>
      </b:Author>
    </b:Author>
    <b:City>Boston</b:City>
    <b:Publisher>Allen &amp; Unwin</b:Publisher>
    <b:RefOrder>12</b:RefOrder>
  </b:Source>
  <b:Source>
    <b:Tag>Thu98</b:Tag>
    <b:SourceType>JournalArticle</b:SourceType>
    <b:Guid>{3B322452-908C-4B1E-97E8-E36F3BD97E21}</b:Guid>
    <b:Title>Competitive forces are also subject to change</b:Title>
    <b:Year>1998</b:Year>
    <b:Author>
      <b:Author>
        <b:NameList>
          <b:Person>
            <b:Last>Thurlby</b:Last>
            <b:First>B.</b:First>
          </b:Person>
        </b:NameList>
      </b:Author>
    </b:Author>
    <b:JournalName>Management decision</b:JournalName>
    <b:Pages>19-24</b:Pages>
    <b:Volume>36</b:Volume>
    <b:Issue>1</b:Issue>
    <b:RefOrder>13</b:RefOrder>
  </b:Source>
  <b:Source>
    <b:Tag>Joh13</b:Tag>
    <b:SourceType>Report</b:SourceType>
    <b:Guid>{A1573B30-6750-476F-954F-1CF7EA025518}</b:Guid>
    <b:Title>The 5 Competitive Forces Framework in a technology mediated environment. Do these forces still hold in the industry of the 21st century? </b:Title>
    <b:Year>2013</b:Year>
    <b:Author>
      <b:Author>
        <b:NameList>
          <b:Person>
            <b:Last>Johnson</b:Last>
            <b:First>M.</b:First>
          </b:Person>
        </b:NameList>
      </b:Author>
    </b:Author>
    <b:Publisher>University of Twente </b:Publisher>
    <b:City>Twente </b:City>
    <b:RefOrder>16</b:RefOrder>
  </b:Source>
  <b:Source>
    <b:Tag>Rih14</b:Tag>
    <b:SourceType>Report</b:SourceType>
    <b:Guid>{D94ACFC1-50DE-42BB-AC15-28999DC35519}</b:Guid>
    <b:Author>
      <b:Author>
        <b:NameList>
          <b:Person>
            <b:Last>Rihan</b:Last>
            <b:First>I.M.</b:First>
          </b:Person>
        </b:NameList>
      </b:Author>
    </b:Author>
    <b:Title>Porter Five Forces Analysis</b:Title>
    <b:Year>2014</b:Year>
    <b:Publisher>Arab Open University</b:Publisher>
    <b:City>Lebanon</b:City>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1BA135-01C2-4265-A481-4C3D19523B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4241</Words>
  <Characters>24175</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PID Report</vt:lpstr>
    </vt:vector>
  </TitlesOfParts>
  <Company>University of Wales Trinity Saint David</Company>
  <LinksUpToDate>false</LinksUpToDate>
  <CharactersWithSpaces>28360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PID Report</dc:title>
  <dc:subject>‘Helping Hands’</dc:subject>
  <dc:creator>Stacey Brown (P150365)</dc:creator>
  <cp:keywords/>
  <dc:description/>
  <cp:lastModifiedBy>Hannah Meiklejohn</cp:lastModifiedBy>
  <cp:revision>3</cp:revision>
  <dcterms:created xsi:type="dcterms:W3CDTF">2020-01-15T14:00:00Z</dcterms:created>
  <dcterms:modified xsi:type="dcterms:W3CDTF">2020-01-15T16:00:00Z</dcterms:modified>
</cp:coreProperties>
</file>