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36EB" w14:textId="5D09581F" w:rsidR="00945602" w:rsidRPr="002960B3" w:rsidRDefault="00945602" w:rsidP="00945602">
      <w:pPr>
        <w:pStyle w:val="NoSpacing"/>
        <w:rPr>
          <w:rFonts w:cs="Arial"/>
          <w:szCs w:val="24"/>
        </w:rPr>
      </w:pPr>
      <w:r w:rsidRPr="002960B3">
        <w:rPr>
          <w:rFonts w:cs="Arial"/>
          <w:szCs w:val="24"/>
        </w:rPr>
        <w:t xml:space="preserve">Emma THOMAS </w:t>
      </w:r>
    </w:p>
    <w:p w14:paraId="24B6450F" w14:textId="509EB046" w:rsidR="00945602" w:rsidRPr="002960B3" w:rsidRDefault="00945602" w:rsidP="00945602">
      <w:pPr>
        <w:pStyle w:val="NoSpacing"/>
        <w:rPr>
          <w:rFonts w:cs="Arial"/>
          <w:szCs w:val="24"/>
        </w:rPr>
      </w:pPr>
      <w:r w:rsidRPr="002960B3">
        <w:rPr>
          <w:rFonts w:cs="Arial"/>
          <w:szCs w:val="24"/>
        </w:rPr>
        <w:t>2117853</w:t>
      </w:r>
    </w:p>
    <w:p w14:paraId="30D57347" w14:textId="77777777" w:rsidR="00945602" w:rsidRPr="002960B3" w:rsidRDefault="00945602" w:rsidP="00945602">
      <w:pPr>
        <w:pStyle w:val="NoSpacing"/>
        <w:rPr>
          <w:rFonts w:cs="Arial"/>
          <w:szCs w:val="24"/>
        </w:rPr>
      </w:pPr>
    </w:p>
    <w:p w14:paraId="29E20AB7" w14:textId="2FB92F7A" w:rsidR="00945602" w:rsidRPr="002960B3" w:rsidRDefault="00945602" w:rsidP="00945602">
      <w:pPr>
        <w:pStyle w:val="NoSpacing"/>
        <w:rPr>
          <w:rFonts w:cs="Arial"/>
          <w:szCs w:val="24"/>
          <w:u w:val="single"/>
        </w:rPr>
      </w:pPr>
      <w:r w:rsidRPr="002960B3">
        <w:rPr>
          <w:rFonts w:cs="Arial"/>
          <w:szCs w:val="24"/>
          <w:u w:val="single"/>
        </w:rPr>
        <w:t>Essay 1</w:t>
      </w:r>
    </w:p>
    <w:p w14:paraId="07638397" w14:textId="77777777" w:rsidR="00945602" w:rsidRPr="002960B3" w:rsidRDefault="00945602" w:rsidP="00945602">
      <w:pPr>
        <w:pStyle w:val="NoSpacing"/>
        <w:rPr>
          <w:rFonts w:cs="Arial"/>
          <w:szCs w:val="24"/>
        </w:rPr>
      </w:pPr>
    </w:p>
    <w:p w14:paraId="126413CB" w14:textId="6CF7666F" w:rsidR="00945602" w:rsidRPr="002960B3" w:rsidRDefault="00945602" w:rsidP="00945602">
      <w:pPr>
        <w:pStyle w:val="NoSpacing"/>
        <w:rPr>
          <w:rFonts w:cs="Arial"/>
          <w:szCs w:val="24"/>
        </w:rPr>
      </w:pPr>
      <w:r w:rsidRPr="002960B3">
        <w:rPr>
          <w:rFonts w:cs="Arial"/>
          <w:szCs w:val="24"/>
        </w:rPr>
        <w:t>Public trust in police is decreasing and people are losing their positivity towards the service. In 2020, 63% of people surveyed felt positive towards the police however, that declined to 49% by 2021. Recent news stories involving the police are likely to damage public confidence. The murder of Sarah Everard and stories in the press of police misconduct impact public opinion and police accountability (IOPC, 2022). This essay will first examine why certain groups might be reluctant to engage with</w:t>
      </w:r>
      <w:r w:rsidR="00AA3FE8" w:rsidRPr="002960B3">
        <w:rPr>
          <w:rFonts w:cs="Arial"/>
          <w:szCs w:val="24"/>
        </w:rPr>
        <w:t xml:space="preserve"> the</w:t>
      </w:r>
      <w:r w:rsidRPr="002960B3">
        <w:rPr>
          <w:rFonts w:cs="Arial"/>
          <w:szCs w:val="24"/>
        </w:rPr>
        <w:t xml:space="preserve"> police. It will then examine how effective neighbourhood policing strategies are </w:t>
      </w:r>
      <w:r w:rsidR="00AA3FE8" w:rsidRPr="002960B3">
        <w:rPr>
          <w:rFonts w:cs="Arial"/>
          <w:szCs w:val="24"/>
        </w:rPr>
        <w:t>to</w:t>
      </w:r>
      <w:r w:rsidRPr="002960B3">
        <w:rPr>
          <w:rFonts w:cs="Arial"/>
          <w:szCs w:val="24"/>
        </w:rPr>
        <w:t xml:space="preserve"> improve community engagement.</w:t>
      </w:r>
    </w:p>
    <w:p w14:paraId="245807A6" w14:textId="77777777" w:rsidR="00945602" w:rsidRPr="002960B3" w:rsidRDefault="00945602" w:rsidP="00945602">
      <w:pPr>
        <w:pStyle w:val="NoSpacing"/>
        <w:rPr>
          <w:rFonts w:cs="Arial"/>
          <w:szCs w:val="24"/>
        </w:rPr>
      </w:pPr>
    </w:p>
    <w:p w14:paraId="602A27EC" w14:textId="05C5BDD0" w:rsidR="00945602" w:rsidRPr="002960B3" w:rsidRDefault="00945602" w:rsidP="00945602">
      <w:pPr>
        <w:rPr>
          <w:rFonts w:ascii="Arial" w:hAnsi="Arial" w:cs="Arial"/>
        </w:rPr>
      </w:pPr>
      <w:r w:rsidRPr="002960B3">
        <w:rPr>
          <w:rFonts w:ascii="Arial" w:hAnsi="Arial" w:cs="Arial"/>
        </w:rPr>
        <w:t xml:space="preserve">Public perception is integral to policing success and engaging with the community can reassure the public and improve perceptions of police. Different strategies to gain trust with communities are </w:t>
      </w:r>
      <w:r w:rsidR="009F5303">
        <w:rPr>
          <w:rFonts w:ascii="Arial" w:hAnsi="Arial" w:cs="Arial"/>
        </w:rPr>
        <w:t>required</w:t>
      </w:r>
      <w:r w:rsidRPr="002960B3">
        <w:rPr>
          <w:rFonts w:ascii="Arial" w:hAnsi="Arial" w:cs="Arial"/>
        </w:rPr>
        <w:t xml:space="preserve"> because what will be effective with one group, may not always work with another group </w:t>
      </w:r>
      <w:r w:rsidRPr="002960B3">
        <w:rPr>
          <w:rFonts w:ascii="Arial" w:hAnsi="Arial" w:cs="Arial"/>
          <w:shd w:val="clear" w:color="auto" w:fill="FFFFFF"/>
        </w:rPr>
        <w:t>(Schaap, 2020)</w:t>
      </w:r>
      <w:r w:rsidRPr="002960B3">
        <w:rPr>
          <w:rFonts w:ascii="Arial" w:hAnsi="Arial" w:cs="Arial"/>
        </w:rPr>
        <w:t>. It can be challenging for police forces throughout the UK to engage with minorities, especially as recent reports continue to uncover institutional racism, misogyny, and homophobia in independent reviews of the police service (Casey, 2023). Engaging with all groups and communities is more vital than ever. A misunderstanding or negative publicity can lead to negative relationships and will affect the trust of a group, leading to a lack of policing by consent. Misunderstandings can b</w:t>
      </w:r>
      <w:r w:rsidR="00AA3FE8" w:rsidRPr="002960B3">
        <w:rPr>
          <w:rFonts w:ascii="Arial" w:hAnsi="Arial" w:cs="Arial"/>
        </w:rPr>
        <w:t>e due several</w:t>
      </w:r>
      <w:r w:rsidRPr="002960B3">
        <w:rPr>
          <w:rFonts w:ascii="Arial" w:hAnsi="Arial" w:cs="Arial"/>
        </w:rPr>
        <w:t xml:space="preserve"> reasons, including a lack of awareness of cultural differences, unconscious </w:t>
      </w:r>
      <w:r w:rsidR="006D1156" w:rsidRPr="002960B3">
        <w:rPr>
          <w:rFonts w:ascii="Arial" w:hAnsi="Arial" w:cs="Arial"/>
        </w:rPr>
        <w:t>bias,</w:t>
      </w:r>
      <w:r w:rsidRPr="002960B3">
        <w:rPr>
          <w:rFonts w:ascii="Arial" w:hAnsi="Arial" w:cs="Arial"/>
        </w:rPr>
        <w:t xml:space="preserve"> and stereotyping. (Nix and Wolfe, 2015)</w:t>
      </w:r>
    </w:p>
    <w:p w14:paraId="4C4A608D" w14:textId="77777777" w:rsidR="00945602" w:rsidRPr="002960B3" w:rsidRDefault="00945602" w:rsidP="00945602">
      <w:pPr>
        <w:pStyle w:val="NoSpacing"/>
        <w:rPr>
          <w:rFonts w:cs="Arial"/>
          <w:szCs w:val="24"/>
        </w:rPr>
      </w:pPr>
    </w:p>
    <w:p w14:paraId="5C66D691" w14:textId="1A7FAA61" w:rsidR="00945602" w:rsidRPr="002960B3" w:rsidRDefault="00945602" w:rsidP="00945602">
      <w:pPr>
        <w:pStyle w:val="NoSpacing"/>
        <w:rPr>
          <w:rFonts w:cs="Arial"/>
          <w:szCs w:val="24"/>
        </w:rPr>
      </w:pPr>
      <w:r w:rsidRPr="002960B3">
        <w:rPr>
          <w:rFonts w:cs="Arial"/>
          <w:szCs w:val="24"/>
        </w:rPr>
        <w:t>One group reluctant to engage with police is the Gypsy, Roma Travelling (GRT) community. According to Citizen Advice (2023), the travelling community is a term used to describe people with a nomadic lifestyle, known usually as Gypsies and Travellers. The travelling community includes Romany Gypsies, Irish Travellers, British Gypsies and Travellers, and New Age Travellers.</w:t>
      </w:r>
    </w:p>
    <w:p w14:paraId="70424E3E" w14:textId="77777777" w:rsidR="00945602" w:rsidRPr="002960B3" w:rsidRDefault="00945602" w:rsidP="00945602">
      <w:pPr>
        <w:pStyle w:val="NoSpacing"/>
        <w:rPr>
          <w:rFonts w:cs="Arial"/>
          <w:szCs w:val="24"/>
        </w:rPr>
      </w:pPr>
    </w:p>
    <w:p w14:paraId="3AC08AFF" w14:textId="0DEFE546" w:rsidR="00945602" w:rsidRPr="002960B3" w:rsidRDefault="00945602" w:rsidP="00945602">
      <w:pPr>
        <w:pStyle w:val="NoSpacing"/>
        <w:rPr>
          <w:rFonts w:cs="Arial"/>
          <w:szCs w:val="24"/>
        </w:rPr>
      </w:pPr>
      <w:r w:rsidRPr="002960B3">
        <w:rPr>
          <w:rFonts w:cs="Arial"/>
          <w:szCs w:val="24"/>
        </w:rPr>
        <w:t>Based on their experiences throughout history, GRT communities rarely interact with police due to a perception that they are criminals, with perceived inequalities in treatment as a result. According to research (James, 2014), GRT</w:t>
      </w:r>
      <w:r w:rsidR="006D1156">
        <w:rPr>
          <w:rFonts w:cs="Arial"/>
          <w:szCs w:val="24"/>
        </w:rPr>
        <w:t>s</w:t>
      </w:r>
      <w:r w:rsidRPr="002960B3">
        <w:rPr>
          <w:rFonts w:cs="Arial"/>
          <w:szCs w:val="24"/>
        </w:rPr>
        <w:t xml:space="preserve"> are classed as vulnerable communities, which has resulted </w:t>
      </w:r>
      <w:r w:rsidR="00AA3FE8" w:rsidRPr="002960B3">
        <w:rPr>
          <w:rFonts w:cs="Arial"/>
          <w:szCs w:val="24"/>
        </w:rPr>
        <w:t>in</w:t>
      </w:r>
      <w:r w:rsidRPr="002960B3">
        <w:rPr>
          <w:rFonts w:cs="Arial"/>
          <w:szCs w:val="24"/>
        </w:rPr>
        <w:t xml:space="preserve"> their inclusion in hate crime policy. Furthermore, research shows that there </w:t>
      </w:r>
      <w:r w:rsidR="00AA3FE8" w:rsidRPr="002960B3">
        <w:rPr>
          <w:rFonts w:cs="Arial"/>
          <w:szCs w:val="24"/>
        </w:rPr>
        <w:t>are</w:t>
      </w:r>
      <w:r w:rsidRPr="002960B3">
        <w:rPr>
          <w:rFonts w:cs="Arial"/>
          <w:szCs w:val="24"/>
        </w:rPr>
        <w:t xml:space="preserve"> still negative attitudes and discrimination towards GRT with racism and discrimination continuing towards the group, throughout the UK </w:t>
      </w:r>
      <w:r w:rsidRPr="002960B3">
        <w:rPr>
          <w:rFonts w:cs="Arial"/>
          <w:szCs w:val="24"/>
          <w:shd w:val="clear" w:color="auto" w:fill="FFFFFF"/>
        </w:rPr>
        <w:t xml:space="preserve">(Hutchison, Chihade et al. 2018, Lane, Spencer, and Jones, 2014) </w:t>
      </w:r>
      <w:r w:rsidRPr="002960B3">
        <w:rPr>
          <w:rFonts w:cs="Arial"/>
          <w:szCs w:val="24"/>
        </w:rPr>
        <w:t xml:space="preserve">and according to </w:t>
      </w:r>
      <w:r w:rsidRPr="002960B3">
        <w:rPr>
          <w:rFonts w:cs="Arial"/>
          <w:szCs w:val="24"/>
          <w:shd w:val="clear" w:color="auto" w:fill="FFFFFF"/>
        </w:rPr>
        <w:t>Lloyd and McCluskey (2008)</w:t>
      </w:r>
      <w:r w:rsidR="00476637">
        <w:rPr>
          <w:rFonts w:cs="Arial"/>
          <w:szCs w:val="24"/>
          <w:shd w:val="clear" w:color="auto" w:fill="FFFFFF"/>
        </w:rPr>
        <w:t>,</w:t>
      </w:r>
      <w:r w:rsidRPr="002960B3">
        <w:rPr>
          <w:rFonts w:cs="Arial"/>
          <w:szCs w:val="24"/>
        </w:rPr>
        <w:t xml:space="preserve"> has even been described as ‘the last form of respectable racism’. GRT communities have a lot of traditions that are still practi</w:t>
      </w:r>
      <w:r w:rsidR="00AA3FE8" w:rsidRPr="002960B3">
        <w:rPr>
          <w:rFonts w:cs="Arial"/>
          <w:szCs w:val="24"/>
        </w:rPr>
        <w:t>se</w:t>
      </w:r>
      <w:r w:rsidRPr="002960B3">
        <w:rPr>
          <w:rFonts w:cs="Arial"/>
          <w:szCs w:val="24"/>
        </w:rPr>
        <w:t>d today, and the adoption of laws such as the Scrap Metal Dealers Act (2013) and the Control of Horses Act (2015) are opposing o</w:t>
      </w:r>
      <w:r w:rsidR="006D1156">
        <w:rPr>
          <w:rFonts w:cs="Arial"/>
          <w:szCs w:val="24"/>
        </w:rPr>
        <w:t>f</w:t>
      </w:r>
      <w:r w:rsidRPr="002960B3">
        <w:rPr>
          <w:rFonts w:cs="Arial"/>
          <w:szCs w:val="24"/>
        </w:rPr>
        <w:t xml:space="preserve"> these traditions, putting GRT at risk of unknowingly breaking the law (Office for National Statistics, 2022).</w:t>
      </w:r>
    </w:p>
    <w:p w14:paraId="07A136D3" w14:textId="77777777" w:rsidR="00945602" w:rsidRPr="002960B3" w:rsidRDefault="00945602" w:rsidP="00945602">
      <w:pPr>
        <w:pStyle w:val="NoSpacing"/>
        <w:rPr>
          <w:rFonts w:cs="Arial"/>
          <w:szCs w:val="24"/>
        </w:rPr>
      </w:pPr>
    </w:p>
    <w:p w14:paraId="4EC0FC7E" w14:textId="618C02C8" w:rsidR="00945602" w:rsidRPr="002960B3" w:rsidRDefault="00945602" w:rsidP="00945602">
      <w:pPr>
        <w:pStyle w:val="NoSpacing"/>
        <w:rPr>
          <w:rFonts w:cs="Arial"/>
          <w:szCs w:val="24"/>
        </w:rPr>
      </w:pPr>
      <w:r w:rsidRPr="002960B3">
        <w:rPr>
          <w:rFonts w:cs="Arial"/>
          <w:szCs w:val="24"/>
        </w:rPr>
        <w:t xml:space="preserve">In a freedom of information request made by The Traveller Movement (2018), </w:t>
      </w:r>
      <w:r w:rsidR="00476637">
        <w:rPr>
          <w:rFonts w:cs="Arial"/>
          <w:szCs w:val="24"/>
        </w:rPr>
        <w:t xml:space="preserve">only </w:t>
      </w:r>
      <w:r w:rsidRPr="002960B3">
        <w:rPr>
          <w:rFonts w:cs="Arial"/>
          <w:szCs w:val="24"/>
        </w:rPr>
        <w:t xml:space="preserve">two out of forty-three police forces have a targeted strategy for improving relations with </w:t>
      </w:r>
      <w:r w:rsidR="00420341" w:rsidRPr="002960B3">
        <w:rPr>
          <w:rFonts w:cs="Arial"/>
          <w:szCs w:val="24"/>
        </w:rPr>
        <w:t>GRT</w:t>
      </w:r>
      <w:r w:rsidRPr="002960B3">
        <w:rPr>
          <w:rFonts w:cs="Arial"/>
          <w:szCs w:val="24"/>
        </w:rPr>
        <w:t xml:space="preserve"> communit</w:t>
      </w:r>
      <w:r w:rsidR="00420341" w:rsidRPr="002960B3">
        <w:rPr>
          <w:rFonts w:cs="Arial"/>
          <w:szCs w:val="24"/>
        </w:rPr>
        <w:t>ies</w:t>
      </w:r>
      <w:r w:rsidRPr="002960B3">
        <w:rPr>
          <w:rFonts w:cs="Arial"/>
          <w:szCs w:val="24"/>
        </w:rPr>
        <w:t xml:space="preserve">. Furthermore, twenty-two forces have no strategy at all. </w:t>
      </w:r>
      <w:r w:rsidRPr="002960B3">
        <w:rPr>
          <w:rFonts w:cs="Arial"/>
          <w:szCs w:val="24"/>
        </w:rPr>
        <w:lastRenderedPageBreak/>
        <w:t xml:space="preserve">Sussex Police has a targeted strategy of employing traveller Liaison officers who are given specialist training to help improve knowledge and comprehension of </w:t>
      </w:r>
      <w:r w:rsidR="00420341" w:rsidRPr="002960B3">
        <w:rPr>
          <w:rFonts w:cs="Arial"/>
          <w:szCs w:val="24"/>
        </w:rPr>
        <w:t>GRT</w:t>
      </w:r>
      <w:r w:rsidRPr="002960B3">
        <w:rPr>
          <w:rFonts w:cs="Arial"/>
          <w:szCs w:val="24"/>
        </w:rPr>
        <w:t xml:space="preserve"> concerns, as well as increased awareness about their traditions. These officers serve as a point of contact for </w:t>
      </w:r>
      <w:r w:rsidR="00420341" w:rsidRPr="002960B3">
        <w:rPr>
          <w:rFonts w:cs="Arial"/>
          <w:szCs w:val="24"/>
        </w:rPr>
        <w:t>GRT</w:t>
      </w:r>
      <w:r w:rsidRPr="002960B3">
        <w:rPr>
          <w:rFonts w:cs="Arial"/>
          <w:szCs w:val="24"/>
        </w:rPr>
        <w:t xml:space="preserve"> communities, fostering relationships that earn trust and confidence and encourage crime reporting (Sussex Police, 2023). While some forces are attempting to engage with these groups, Martin (2022) argues that forces in England and Wales do not include </w:t>
      </w:r>
      <w:r w:rsidR="00420341" w:rsidRPr="002960B3">
        <w:rPr>
          <w:rFonts w:cs="Arial"/>
          <w:szCs w:val="24"/>
        </w:rPr>
        <w:t>GRT</w:t>
      </w:r>
      <w:r w:rsidRPr="002960B3">
        <w:rPr>
          <w:rFonts w:cs="Arial"/>
          <w:szCs w:val="24"/>
        </w:rPr>
        <w:t xml:space="preserve"> in their ethnic monitoring system, which means they will continue to see policing as a way in which they are a target, rather than an opportunity to improve their safety, security, and sense of social belonging. Because GRT groups are not always aware of hate crime</w:t>
      </w:r>
      <w:r w:rsidR="006D1156">
        <w:rPr>
          <w:rFonts w:cs="Arial"/>
          <w:szCs w:val="24"/>
        </w:rPr>
        <w:t>s</w:t>
      </w:r>
      <w:r w:rsidRPr="002960B3">
        <w:rPr>
          <w:rFonts w:cs="Arial"/>
          <w:szCs w:val="24"/>
        </w:rPr>
        <w:t>, collaboration with representative organisations is necessary to guarantee increased knowledge of issues impacting the community to create connections and earn trust. (GateHerts, 2021)</w:t>
      </w:r>
    </w:p>
    <w:p w14:paraId="5CA33E52" w14:textId="77777777" w:rsidR="00945602" w:rsidRPr="002960B3" w:rsidRDefault="00945602" w:rsidP="00945602">
      <w:pPr>
        <w:pStyle w:val="NoSpacing"/>
        <w:rPr>
          <w:rFonts w:cs="Arial"/>
          <w:szCs w:val="24"/>
        </w:rPr>
      </w:pPr>
    </w:p>
    <w:p w14:paraId="7D9AB3BD" w14:textId="3F8ED34E" w:rsidR="00945602" w:rsidRPr="002960B3" w:rsidRDefault="00945602" w:rsidP="00945602">
      <w:pPr>
        <w:pStyle w:val="NoSpacing"/>
        <w:rPr>
          <w:rFonts w:cs="Arial"/>
          <w:szCs w:val="24"/>
        </w:rPr>
      </w:pPr>
      <w:r w:rsidRPr="002960B3">
        <w:rPr>
          <w:rFonts w:cs="Arial"/>
          <w:szCs w:val="24"/>
        </w:rPr>
        <w:t>Similarly, the LGBTQ+ group ha</w:t>
      </w:r>
      <w:r w:rsidR="006D1156">
        <w:rPr>
          <w:rFonts w:cs="Arial"/>
          <w:szCs w:val="24"/>
        </w:rPr>
        <w:t>s</w:t>
      </w:r>
      <w:r w:rsidRPr="002960B3">
        <w:rPr>
          <w:rFonts w:cs="Arial"/>
          <w:szCs w:val="24"/>
        </w:rPr>
        <w:t xml:space="preserve"> historically mistrusted the police. </w:t>
      </w:r>
      <w:r w:rsidR="00420341" w:rsidRPr="002960B3">
        <w:rPr>
          <w:rFonts w:cs="Arial"/>
          <w:szCs w:val="24"/>
        </w:rPr>
        <w:t>In the 60’s and 70’s, i</w:t>
      </w:r>
      <w:r w:rsidRPr="002960B3">
        <w:rPr>
          <w:rFonts w:cs="Arial"/>
          <w:szCs w:val="24"/>
        </w:rPr>
        <w:t>ndividuals were subject to discrimination and violence, based purely on their sexuality. Stonewall incited activists to demand equality and justice (Lorenzo, 2019). Present studies suggest there have been substantial improvements in the LGBTQ+ community and police nonetheless, they have a lower impression of police legitimacy than their non-LGBT peers, showing that there are still opportunities for developing relationships (Dario et al., 2019). According to research conducted by Galop (Hubbard, 2021), only 46% of LGBTQ+ respondents who reported to the police were satisfied with the response they received</w:t>
      </w:r>
      <w:r w:rsidR="006D1156">
        <w:rPr>
          <w:rFonts w:cs="Arial"/>
          <w:szCs w:val="24"/>
        </w:rPr>
        <w:t>,</w:t>
      </w:r>
      <w:r w:rsidRPr="002960B3">
        <w:rPr>
          <w:rFonts w:cs="Arial"/>
          <w:szCs w:val="24"/>
        </w:rPr>
        <w:t xml:space="preserve"> and 28% had</w:t>
      </w:r>
      <w:r w:rsidR="005C0E3D">
        <w:rPr>
          <w:rFonts w:cs="Arial"/>
          <w:szCs w:val="24"/>
        </w:rPr>
        <w:t xml:space="preserve"> </w:t>
      </w:r>
      <w:r w:rsidRPr="002960B3">
        <w:rPr>
          <w:rFonts w:cs="Arial"/>
          <w:szCs w:val="24"/>
        </w:rPr>
        <w:t>n</w:t>
      </w:r>
      <w:r w:rsidR="005C0E3D">
        <w:rPr>
          <w:rFonts w:cs="Arial"/>
          <w:szCs w:val="24"/>
        </w:rPr>
        <w:t>o</w:t>
      </w:r>
      <w:r w:rsidRPr="002960B3">
        <w:rPr>
          <w:rFonts w:cs="Arial"/>
          <w:szCs w:val="24"/>
        </w:rPr>
        <w:t>t reported their most recent incident of</w:t>
      </w:r>
      <w:r w:rsidR="006D1156">
        <w:rPr>
          <w:rFonts w:cs="Arial"/>
          <w:szCs w:val="24"/>
        </w:rPr>
        <w:t xml:space="preserve"> a</w:t>
      </w:r>
      <w:r w:rsidRPr="002960B3">
        <w:rPr>
          <w:rFonts w:cs="Arial"/>
          <w:szCs w:val="24"/>
        </w:rPr>
        <w:t xml:space="preserve"> hate crime because they disliked or were fearful of the police. In addition, Meyer's (2020) research suggests that there may be generational differences in police mistrust. The sentiments of those over 40 differed from those of their younger peers, and their suspicion of police was based on their experiences during the 1980s when the aids crisis was at its peak</w:t>
      </w:r>
      <w:r w:rsidR="00AA3FE8" w:rsidRPr="002960B3">
        <w:rPr>
          <w:rFonts w:cs="Arial"/>
          <w:szCs w:val="24"/>
        </w:rPr>
        <w:t xml:space="preserve"> </w:t>
      </w:r>
      <w:r w:rsidRPr="002960B3">
        <w:rPr>
          <w:rFonts w:cs="Arial"/>
          <w:szCs w:val="24"/>
        </w:rPr>
        <w:t xml:space="preserve">and over 70s recalled their encounters with police brutality in the 1950s and 1960s.  </w:t>
      </w:r>
    </w:p>
    <w:p w14:paraId="32EE65B4" w14:textId="77777777" w:rsidR="00945602" w:rsidRPr="002960B3" w:rsidRDefault="00945602" w:rsidP="00945602">
      <w:pPr>
        <w:pStyle w:val="NoSpacing"/>
        <w:rPr>
          <w:rFonts w:cs="Arial"/>
          <w:szCs w:val="24"/>
        </w:rPr>
      </w:pPr>
    </w:p>
    <w:p w14:paraId="7EC07098" w14:textId="047285B3" w:rsidR="00945602" w:rsidRPr="002960B3" w:rsidRDefault="00945602" w:rsidP="00945602">
      <w:pPr>
        <w:pStyle w:val="NoSpacing"/>
        <w:rPr>
          <w:rFonts w:cs="Arial"/>
          <w:szCs w:val="24"/>
        </w:rPr>
      </w:pPr>
      <w:r w:rsidRPr="002960B3">
        <w:rPr>
          <w:rFonts w:cs="Arial"/>
          <w:szCs w:val="24"/>
        </w:rPr>
        <w:t xml:space="preserve">Consequently, community engagement is imperative to gaining the trust of these communities (Jackson and Bradford, 2010). </w:t>
      </w:r>
      <w:r w:rsidR="00420341" w:rsidRPr="002960B3">
        <w:rPr>
          <w:rFonts w:cs="Arial"/>
          <w:szCs w:val="24"/>
        </w:rPr>
        <w:t>C</w:t>
      </w:r>
      <w:r w:rsidRPr="002960B3">
        <w:rPr>
          <w:rFonts w:cs="Arial"/>
          <w:szCs w:val="24"/>
        </w:rPr>
        <w:t>ollaboration with organisations and community members</w:t>
      </w:r>
      <w:r w:rsidR="00420341" w:rsidRPr="002960B3">
        <w:rPr>
          <w:rFonts w:cs="Arial"/>
          <w:szCs w:val="24"/>
        </w:rPr>
        <w:t>,</w:t>
      </w:r>
      <w:r w:rsidRPr="002960B3">
        <w:rPr>
          <w:rFonts w:cs="Arial"/>
          <w:szCs w:val="24"/>
        </w:rPr>
        <w:t xml:space="preserve"> to address local issues build</w:t>
      </w:r>
      <w:r w:rsidR="00420341" w:rsidRPr="002960B3">
        <w:rPr>
          <w:rFonts w:cs="Arial"/>
          <w:szCs w:val="24"/>
        </w:rPr>
        <w:t>s</w:t>
      </w:r>
      <w:r w:rsidRPr="002960B3">
        <w:rPr>
          <w:rFonts w:cs="Arial"/>
          <w:szCs w:val="24"/>
        </w:rPr>
        <w:t xml:space="preserve"> relationships. In effect</w:t>
      </w:r>
      <w:r w:rsidR="00AA3FE8" w:rsidRPr="002960B3">
        <w:rPr>
          <w:rFonts w:cs="Arial"/>
          <w:szCs w:val="24"/>
        </w:rPr>
        <w:t>,</w:t>
      </w:r>
      <w:r w:rsidRPr="002960B3">
        <w:rPr>
          <w:rFonts w:cs="Arial"/>
          <w:szCs w:val="24"/>
        </w:rPr>
        <w:t xml:space="preserve"> community engagement gives a voice </w:t>
      </w:r>
      <w:r w:rsidR="00AA3FE8" w:rsidRPr="002960B3">
        <w:rPr>
          <w:rFonts w:cs="Arial"/>
          <w:szCs w:val="24"/>
        </w:rPr>
        <w:t xml:space="preserve">to </w:t>
      </w:r>
      <w:r w:rsidRPr="002960B3">
        <w:rPr>
          <w:rFonts w:cs="Arial"/>
          <w:szCs w:val="24"/>
        </w:rPr>
        <w:t xml:space="preserve">the individuals and allows them to have an input in decisions that affect their lives. The Police Reform Act (2002) introduced the role of the police community support officer (PCSO). PCSOs are an important part of the police force. </w:t>
      </w:r>
      <w:r w:rsidR="00420341" w:rsidRPr="002960B3">
        <w:rPr>
          <w:rFonts w:cs="Arial"/>
          <w:szCs w:val="24"/>
        </w:rPr>
        <w:t>To</w:t>
      </w:r>
      <w:r w:rsidRPr="002960B3">
        <w:rPr>
          <w:rFonts w:cs="Arial"/>
          <w:szCs w:val="24"/>
        </w:rPr>
        <w:t xml:space="preserve"> keep communities safe, they deter anti-social behaviour, provide reassurance, gather intelligence, and collaborate with businesses, schools, and partner agencies. At the peak of recruitment in 2010 there were 16,918 PCSOs</w:t>
      </w:r>
      <w:r w:rsidR="00AA3FE8" w:rsidRPr="002960B3">
        <w:rPr>
          <w:rFonts w:cs="Arial"/>
          <w:szCs w:val="24"/>
        </w:rPr>
        <w:t>,</w:t>
      </w:r>
      <w:r w:rsidRPr="002960B3">
        <w:rPr>
          <w:rFonts w:cs="Arial"/>
          <w:szCs w:val="24"/>
        </w:rPr>
        <w:t xml:space="preserve"> however</w:t>
      </w:r>
      <w:r w:rsidR="007D02A7" w:rsidRPr="002960B3">
        <w:rPr>
          <w:rFonts w:cs="Arial"/>
          <w:szCs w:val="24"/>
        </w:rPr>
        <w:t>,</w:t>
      </w:r>
      <w:r w:rsidRPr="002960B3">
        <w:rPr>
          <w:rFonts w:cs="Arial"/>
          <w:szCs w:val="24"/>
        </w:rPr>
        <w:t xml:space="preserve"> in 2022 that number dropped to 8750 (Statista, 2022). Being in the heart of the community, PCSOs are the ideal resource to put strategies into place to improve community engagement. Effective strategies are important as collaboration is a dynamic, ongoing process and requires ongoing effort to be successful. Community engagement takes time and persistence. </w:t>
      </w:r>
      <w:r w:rsidRPr="002960B3">
        <w:rPr>
          <w:rFonts w:cs="Arial"/>
          <w:szCs w:val="24"/>
          <w:shd w:val="clear" w:color="auto" w:fill="FFFFFF"/>
        </w:rPr>
        <w:t>(Maguire, John 2006)</w:t>
      </w:r>
    </w:p>
    <w:p w14:paraId="37AC7EFD" w14:textId="77777777" w:rsidR="00945602" w:rsidRPr="002960B3" w:rsidRDefault="00945602" w:rsidP="00945602">
      <w:pPr>
        <w:pStyle w:val="NoSpacing"/>
        <w:rPr>
          <w:rFonts w:cs="Arial"/>
          <w:szCs w:val="24"/>
        </w:rPr>
      </w:pPr>
    </w:p>
    <w:p w14:paraId="6F908ED7" w14:textId="5CD9DCB4" w:rsidR="00945602" w:rsidRPr="002960B3" w:rsidRDefault="00E47C2E" w:rsidP="00945602">
      <w:pPr>
        <w:rPr>
          <w:rFonts w:ascii="Arial" w:hAnsi="Arial" w:cs="Arial"/>
        </w:rPr>
      </w:pPr>
      <w:r w:rsidRPr="002960B3">
        <w:rPr>
          <w:rFonts w:ascii="Arial" w:hAnsi="Arial" w:cs="Arial"/>
        </w:rPr>
        <w:t xml:space="preserve">Key Individual Networks (KINs), which are made up of people who care about their neighbourhood and want to help make it safer, are one effective strategy utilised by </w:t>
      </w:r>
      <w:r w:rsidR="007D02A7" w:rsidRPr="002960B3">
        <w:rPr>
          <w:rFonts w:ascii="Arial" w:hAnsi="Arial" w:cs="Arial"/>
        </w:rPr>
        <w:t xml:space="preserve">the </w:t>
      </w:r>
      <w:r w:rsidRPr="002960B3">
        <w:rPr>
          <w:rFonts w:ascii="Arial" w:hAnsi="Arial" w:cs="Arial"/>
        </w:rPr>
        <w:t xml:space="preserve">community police. KINs help keep their community informed of police actions in their region. They also help police officers manage expectations and be the best at understanding and reacting to community needs (West Yorkshire Police, 2023). This </w:t>
      </w:r>
      <w:r w:rsidRPr="002960B3">
        <w:rPr>
          <w:rFonts w:ascii="Arial" w:hAnsi="Arial" w:cs="Arial"/>
        </w:rPr>
        <w:lastRenderedPageBreak/>
        <w:t xml:space="preserve">would be an excellent method for the GRT community because these communities frequently have </w:t>
      </w:r>
      <w:r w:rsidR="007D02A7" w:rsidRPr="002960B3">
        <w:rPr>
          <w:rFonts w:ascii="Arial" w:hAnsi="Arial" w:cs="Arial"/>
        </w:rPr>
        <w:t>a hierarchy</w:t>
      </w:r>
      <w:r w:rsidRPr="002960B3">
        <w:rPr>
          <w:rFonts w:ascii="Arial" w:hAnsi="Arial" w:cs="Arial"/>
        </w:rPr>
        <w:t xml:space="preserve"> and leadership roles can arise, with the patriarch or matriarch making choices for the whole family (Friends, Families, and Travellers, 2023). These leaders are respected by the community and can be counted on to represent their community when dealing with other entities. Similarly, this method would be helpful with the LGBT+ community since it offers victims a voice and bridges the gap between the community and </w:t>
      </w:r>
      <w:r w:rsidR="007D02A7" w:rsidRPr="002960B3">
        <w:rPr>
          <w:rFonts w:ascii="Arial" w:hAnsi="Arial" w:cs="Arial"/>
        </w:rPr>
        <w:t xml:space="preserve">the </w:t>
      </w:r>
      <w:r w:rsidRPr="002960B3">
        <w:rPr>
          <w:rFonts w:ascii="Arial" w:hAnsi="Arial" w:cs="Arial"/>
        </w:rPr>
        <w:t>police. KINs aid officers in managing expectations and understanding and reacting to the community (Watkins, 2022). Nonetheless, James (2007) contends that GRT groups are still determined to live a partially nomadic lifestyle, moving around and avoiding detection by police agencies; thus, unless GRT communities settle down and police know where they are, the communities are likely to experience enforcement rather than engagement. James further contends that while neighbourhood policing tactics can be effective with GRT</w:t>
      </w:r>
      <w:r w:rsidR="007D02A7" w:rsidRPr="002960B3">
        <w:rPr>
          <w:rFonts w:ascii="Arial" w:hAnsi="Arial" w:cs="Arial"/>
        </w:rPr>
        <w:t>s</w:t>
      </w:r>
      <w:r w:rsidRPr="002960B3">
        <w:rPr>
          <w:rFonts w:ascii="Arial" w:hAnsi="Arial" w:cs="Arial"/>
        </w:rPr>
        <w:t xml:space="preserve"> residing </w:t>
      </w:r>
      <w:r w:rsidR="007D02A7" w:rsidRPr="002960B3">
        <w:rPr>
          <w:rFonts w:ascii="Arial" w:hAnsi="Arial" w:cs="Arial"/>
        </w:rPr>
        <w:t>i</w:t>
      </w:r>
      <w:r w:rsidRPr="002960B3">
        <w:rPr>
          <w:rFonts w:ascii="Arial" w:hAnsi="Arial" w:cs="Arial"/>
        </w:rPr>
        <w:t>n permitted locations, this policing method does not deal with movable GRT</w:t>
      </w:r>
      <w:r w:rsidR="007D02A7" w:rsidRPr="002960B3">
        <w:rPr>
          <w:rFonts w:ascii="Arial" w:hAnsi="Arial" w:cs="Arial"/>
        </w:rPr>
        <w:t>s</w:t>
      </w:r>
      <w:r w:rsidRPr="002960B3">
        <w:rPr>
          <w:rFonts w:ascii="Arial" w:hAnsi="Arial" w:cs="Arial"/>
        </w:rPr>
        <w:t xml:space="preserve"> and frequently results in police moving the families on, increasing discontent and distrust.</w:t>
      </w:r>
    </w:p>
    <w:p w14:paraId="17C4D3A1" w14:textId="77777777" w:rsidR="00945602" w:rsidRPr="002960B3" w:rsidRDefault="00945602" w:rsidP="00945602">
      <w:pPr>
        <w:pStyle w:val="NoSpacing"/>
        <w:rPr>
          <w:rFonts w:cs="Arial"/>
          <w:szCs w:val="24"/>
        </w:rPr>
      </w:pPr>
    </w:p>
    <w:p w14:paraId="74F79556" w14:textId="38817B92" w:rsidR="00945602" w:rsidRPr="002960B3" w:rsidRDefault="00945602" w:rsidP="00945602">
      <w:pPr>
        <w:pStyle w:val="NoSpacing"/>
        <w:rPr>
          <w:rFonts w:cs="Arial"/>
          <w:szCs w:val="24"/>
        </w:rPr>
      </w:pPr>
      <w:r w:rsidRPr="002960B3">
        <w:rPr>
          <w:rFonts w:cs="Arial"/>
          <w:szCs w:val="24"/>
        </w:rPr>
        <w:t xml:space="preserve">Likewise, getting involved with communities is another engagement technique. Pride is a celebration of people coming together </w:t>
      </w:r>
      <w:r w:rsidR="007D02A7" w:rsidRPr="002960B3">
        <w:rPr>
          <w:rFonts w:cs="Arial"/>
          <w:szCs w:val="24"/>
        </w:rPr>
        <w:t xml:space="preserve">to </w:t>
      </w:r>
      <w:r w:rsidRPr="002960B3">
        <w:rPr>
          <w:rFonts w:cs="Arial"/>
          <w:szCs w:val="24"/>
        </w:rPr>
        <w:t>ampli</w:t>
      </w:r>
      <w:r w:rsidR="007D02A7" w:rsidRPr="002960B3">
        <w:rPr>
          <w:rFonts w:cs="Arial"/>
          <w:szCs w:val="24"/>
        </w:rPr>
        <w:t>fy</w:t>
      </w:r>
      <w:r w:rsidRPr="002960B3">
        <w:rPr>
          <w:rFonts w:cs="Arial"/>
          <w:szCs w:val="24"/>
        </w:rPr>
        <w:t> diversity and protest against inequality. Pride increases awareness of LGBT+ concerns and campaign</w:t>
      </w:r>
      <w:r w:rsidR="007D02A7" w:rsidRPr="002960B3">
        <w:rPr>
          <w:rFonts w:cs="Arial"/>
          <w:szCs w:val="24"/>
        </w:rPr>
        <w:t>s</w:t>
      </w:r>
      <w:r w:rsidRPr="002960B3">
        <w:rPr>
          <w:rFonts w:cs="Arial"/>
          <w:szCs w:val="24"/>
        </w:rPr>
        <w:t xml:space="preserve"> for the freedoms that will allow everyone to live their lives on an equal footing (Pride in London, n.d.). This is a prime example of community engagement and </w:t>
      </w:r>
      <w:r w:rsidR="007D02A7" w:rsidRPr="002960B3">
        <w:rPr>
          <w:rFonts w:cs="Arial"/>
          <w:szCs w:val="24"/>
        </w:rPr>
        <w:t>a reflection</w:t>
      </w:r>
      <w:r w:rsidRPr="002960B3">
        <w:rPr>
          <w:rFonts w:cs="Arial"/>
          <w:szCs w:val="24"/>
        </w:rPr>
        <w:t xml:space="preserve"> of diverse communities. The police service has LGBT+ networks and promotes inclusiveness and equality of opportunity for all LGBT+ colleagues through </w:t>
      </w:r>
      <w:r w:rsidR="007D02A7" w:rsidRPr="002960B3">
        <w:rPr>
          <w:rFonts w:cs="Arial"/>
          <w:szCs w:val="24"/>
        </w:rPr>
        <w:t xml:space="preserve">a </w:t>
      </w:r>
      <w:r w:rsidRPr="002960B3">
        <w:rPr>
          <w:rFonts w:cs="Arial"/>
          <w:szCs w:val="24"/>
        </w:rPr>
        <w:t xml:space="preserve">representative workforce (The National LGBT+ Police Network, n.d.). The police service is supportive of pride and officers are encouraged to get involved. Police not only participate in the march but also provide a visible presence for support and reassurance. The </w:t>
      </w:r>
      <w:r w:rsidR="007D02A7" w:rsidRPr="002960B3">
        <w:rPr>
          <w:rFonts w:cs="Arial"/>
          <w:szCs w:val="24"/>
        </w:rPr>
        <w:t>C</w:t>
      </w:r>
      <w:r w:rsidRPr="002960B3">
        <w:rPr>
          <w:rFonts w:cs="Arial"/>
          <w:szCs w:val="24"/>
        </w:rPr>
        <w:t xml:space="preserve">hief Constable for Merseyside </w:t>
      </w:r>
      <w:r w:rsidR="007D02A7" w:rsidRPr="002960B3">
        <w:rPr>
          <w:rFonts w:cs="Arial"/>
          <w:szCs w:val="24"/>
        </w:rPr>
        <w:t>P</w:t>
      </w:r>
      <w:r w:rsidRPr="002960B3">
        <w:rPr>
          <w:rFonts w:cs="Arial"/>
          <w:szCs w:val="24"/>
        </w:rPr>
        <w:t>olice, Kennedy (2022) stated</w:t>
      </w:r>
      <w:r w:rsidR="007D02A7" w:rsidRPr="002960B3">
        <w:rPr>
          <w:rFonts w:cs="Arial"/>
          <w:szCs w:val="24"/>
        </w:rPr>
        <w:t>,</w:t>
      </w:r>
      <w:r w:rsidRPr="002960B3">
        <w:rPr>
          <w:rFonts w:cs="Arial"/>
          <w:szCs w:val="24"/>
        </w:rPr>
        <w:t xml:space="preserve"> “</w:t>
      </w:r>
      <w:r w:rsidRPr="002960B3">
        <w:rPr>
          <w:rFonts w:cs="Arial"/>
          <w:szCs w:val="24"/>
          <w:shd w:val="clear" w:color="auto" w:fill="FFFFFF"/>
        </w:rPr>
        <w:t xml:space="preserve">I hope marching in the parade at Pride in Liverpool sends a clear message of support to the people of Merseyside who are LGBT+, as well as to my LGBT+ officers and staff.”  In addition to this community engagement, LGBT+ travellers are also having official representation at these events so this is an even better opportunity for police to engage with groups (LGBT Traveller Pride, 2019). Nevertheless, </w:t>
      </w:r>
      <w:r w:rsidR="007D02A7" w:rsidRPr="002960B3">
        <w:rPr>
          <w:rFonts w:cs="Arial"/>
          <w:szCs w:val="24"/>
          <w:shd w:val="clear" w:color="auto" w:fill="FFFFFF"/>
        </w:rPr>
        <w:t>considering</w:t>
      </w:r>
      <w:r w:rsidRPr="002960B3">
        <w:rPr>
          <w:rFonts w:cs="Arial"/>
          <w:szCs w:val="24"/>
          <w:shd w:val="clear" w:color="auto" w:fill="FFFFFF"/>
        </w:rPr>
        <w:t xml:space="preserve"> the history of LGBTQ criminalization, disproportionate rates of victimisation, and the LGBTQ fight against police brutality, there are now calls for "no cops at pride" (Langness and Velasco, 2020). That being said, </w:t>
      </w:r>
      <w:r w:rsidRPr="002960B3">
        <w:rPr>
          <w:rFonts w:cs="Arial"/>
          <w:szCs w:val="24"/>
          <w:shd w:val="clear" w:color="auto" w:fill="FCFCFC"/>
        </w:rPr>
        <w:t>Gillespie’s (2008) study, shows positive contacts between the police and LGBT communities can lead to more positive perceptions of the police.</w:t>
      </w:r>
    </w:p>
    <w:p w14:paraId="5928F9E1" w14:textId="77777777" w:rsidR="00945602" w:rsidRPr="002960B3" w:rsidRDefault="00945602" w:rsidP="00945602">
      <w:pPr>
        <w:pStyle w:val="NoSpacing"/>
        <w:rPr>
          <w:rFonts w:cs="Arial"/>
          <w:szCs w:val="24"/>
        </w:rPr>
      </w:pPr>
    </w:p>
    <w:p w14:paraId="14070D79" w14:textId="654D300D" w:rsidR="00945602" w:rsidRPr="002960B3" w:rsidRDefault="00945602" w:rsidP="00945602">
      <w:pPr>
        <w:pStyle w:val="NoSpacing"/>
        <w:rPr>
          <w:rFonts w:cs="Arial"/>
          <w:szCs w:val="24"/>
        </w:rPr>
      </w:pPr>
      <w:r w:rsidRPr="002960B3">
        <w:rPr>
          <w:rFonts w:cs="Arial"/>
          <w:szCs w:val="24"/>
        </w:rPr>
        <w:t>In addition to community policing</w:t>
      </w:r>
      <w:r w:rsidR="007D02A7" w:rsidRPr="002960B3">
        <w:rPr>
          <w:rFonts w:cs="Arial"/>
          <w:szCs w:val="24"/>
        </w:rPr>
        <w:t>,</w:t>
      </w:r>
      <w:r w:rsidRPr="002960B3">
        <w:rPr>
          <w:rFonts w:cs="Arial"/>
          <w:szCs w:val="24"/>
        </w:rPr>
        <w:t xml:space="preserve"> </w:t>
      </w:r>
      <w:r w:rsidR="007D02A7" w:rsidRPr="002960B3">
        <w:rPr>
          <w:rFonts w:cs="Arial"/>
          <w:szCs w:val="24"/>
        </w:rPr>
        <w:t>some</w:t>
      </w:r>
      <w:r w:rsidRPr="002960B3">
        <w:rPr>
          <w:rFonts w:cs="Arial"/>
          <w:szCs w:val="24"/>
        </w:rPr>
        <w:t xml:space="preserve"> problem</w:t>
      </w:r>
      <w:r w:rsidR="007D02A7" w:rsidRPr="002960B3">
        <w:rPr>
          <w:rFonts w:cs="Arial"/>
          <w:szCs w:val="24"/>
        </w:rPr>
        <w:t>-</w:t>
      </w:r>
      <w:r w:rsidRPr="002960B3">
        <w:rPr>
          <w:rFonts w:cs="Arial"/>
          <w:szCs w:val="24"/>
        </w:rPr>
        <w:t xml:space="preserve">solving models are used </w:t>
      </w:r>
      <w:r w:rsidR="007D02A7" w:rsidRPr="002960B3">
        <w:rPr>
          <w:rFonts w:cs="Arial"/>
          <w:szCs w:val="24"/>
        </w:rPr>
        <w:t>for</w:t>
      </w:r>
      <w:r w:rsidRPr="002960B3">
        <w:rPr>
          <w:rFonts w:cs="Arial"/>
          <w:szCs w:val="24"/>
        </w:rPr>
        <w:t xml:space="preserve"> community engagement. Problem</w:t>
      </w:r>
      <w:r w:rsidR="007D02A7" w:rsidRPr="002960B3">
        <w:rPr>
          <w:rFonts w:cs="Arial"/>
          <w:szCs w:val="24"/>
        </w:rPr>
        <w:t>-</w:t>
      </w:r>
      <w:r w:rsidRPr="002960B3">
        <w:rPr>
          <w:rFonts w:cs="Arial"/>
          <w:szCs w:val="24"/>
        </w:rPr>
        <w:t>orientated policing (POP), evidence-based policing</w:t>
      </w:r>
      <w:r w:rsidR="006D1156">
        <w:rPr>
          <w:rFonts w:cs="Arial"/>
          <w:szCs w:val="24"/>
        </w:rPr>
        <w:t>,</w:t>
      </w:r>
      <w:r w:rsidRPr="002960B3">
        <w:rPr>
          <w:rFonts w:cs="Arial"/>
          <w:szCs w:val="24"/>
        </w:rPr>
        <w:t xml:space="preserve"> and intelligence</w:t>
      </w:r>
      <w:r w:rsidR="007D02A7" w:rsidRPr="002960B3">
        <w:rPr>
          <w:rFonts w:cs="Arial"/>
          <w:szCs w:val="24"/>
        </w:rPr>
        <w:t>-</w:t>
      </w:r>
      <w:r w:rsidRPr="002960B3">
        <w:rPr>
          <w:rFonts w:cs="Arial"/>
          <w:szCs w:val="24"/>
        </w:rPr>
        <w:t xml:space="preserve">led policing </w:t>
      </w:r>
      <w:r w:rsidRPr="002960B3">
        <w:rPr>
          <w:rFonts w:cs="Arial"/>
          <w:szCs w:val="24"/>
          <w:shd w:val="clear" w:color="auto" w:fill="FFFFFF"/>
        </w:rPr>
        <w:t>(Innes, Roberts et al. 2020 p11-20)</w:t>
      </w:r>
      <w:r w:rsidRPr="002960B3">
        <w:rPr>
          <w:rFonts w:cs="Arial"/>
          <w:szCs w:val="24"/>
        </w:rPr>
        <w:t xml:space="preserve">. These models are used with neighbourhoods and communities to tackle crime and disorder. Firstly, POP involves identification of a problem through analysis and development of a personalised response and can be assessed to measure the effectiveness of the response. POP addresses the underlying problem rather than individual incidents. This would be an effective strategy for the LBGQ+ community as this strategy relies on analysis and data to understand the problem and assess the effectiveness of the police response. POP is a technique </w:t>
      </w:r>
      <w:r w:rsidR="007D02A7" w:rsidRPr="002960B3">
        <w:rPr>
          <w:rFonts w:cs="Arial"/>
          <w:szCs w:val="24"/>
        </w:rPr>
        <w:t>for</w:t>
      </w:r>
      <w:r w:rsidRPr="002960B3">
        <w:rPr>
          <w:rFonts w:cs="Arial"/>
          <w:szCs w:val="24"/>
        </w:rPr>
        <w:t xml:space="preserve"> developing focused interventions and deal</w:t>
      </w:r>
      <w:r w:rsidR="007D02A7" w:rsidRPr="002960B3">
        <w:rPr>
          <w:rFonts w:cs="Arial"/>
          <w:szCs w:val="24"/>
        </w:rPr>
        <w:t>ing</w:t>
      </w:r>
      <w:r w:rsidRPr="002960B3">
        <w:rPr>
          <w:rFonts w:cs="Arial"/>
          <w:szCs w:val="24"/>
        </w:rPr>
        <w:t xml:space="preserve"> with the underlying problem. This approach allows the community to be part </w:t>
      </w:r>
      <w:r w:rsidRPr="002960B3">
        <w:rPr>
          <w:rFonts w:cs="Arial"/>
          <w:szCs w:val="24"/>
        </w:rPr>
        <w:lastRenderedPageBreak/>
        <w:t>of the strategy by holding regular meetings and tackling the problem in partnership. This is likely to be less effective with the touring travelling community as this approach takes time and the travellers move on.</w:t>
      </w:r>
    </w:p>
    <w:p w14:paraId="6D9CA189" w14:textId="77777777" w:rsidR="00945602" w:rsidRPr="002960B3" w:rsidRDefault="00945602" w:rsidP="00945602">
      <w:pPr>
        <w:pStyle w:val="NoSpacing"/>
        <w:rPr>
          <w:rFonts w:cs="Arial"/>
          <w:szCs w:val="24"/>
        </w:rPr>
      </w:pPr>
    </w:p>
    <w:p w14:paraId="2CEE0905" w14:textId="7B691913" w:rsidR="00945602" w:rsidRPr="002960B3" w:rsidRDefault="00945602" w:rsidP="00945602">
      <w:pPr>
        <w:pStyle w:val="NoSpacing"/>
        <w:rPr>
          <w:rFonts w:cs="Arial"/>
          <w:szCs w:val="24"/>
        </w:rPr>
      </w:pPr>
      <w:r w:rsidRPr="002960B3">
        <w:rPr>
          <w:rFonts w:cs="Arial"/>
          <w:szCs w:val="24"/>
        </w:rPr>
        <w:t xml:space="preserve">In contrast, intelligence-led policing relies on information and technology. James and Richardson (2006) noted that proactive, intelligence-led policing resolves problems most effectively however, police tend to engage through enforcement rather than partnership and communication. This leads to mistrust of the police as </w:t>
      </w:r>
      <w:r w:rsidR="002960B3" w:rsidRPr="002960B3">
        <w:rPr>
          <w:rFonts w:cs="Arial"/>
          <w:szCs w:val="24"/>
        </w:rPr>
        <w:t>GRT communities</w:t>
      </w:r>
      <w:r w:rsidRPr="002960B3">
        <w:rPr>
          <w:rFonts w:cs="Arial"/>
          <w:szCs w:val="24"/>
        </w:rPr>
        <w:t xml:space="preserve"> only see them on eviction day </w:t>
      </w:r>
      <w:r w:rsidRPr="002960B3">
        <w:rPr>
          <w:rFonts w:cs="Arial"/>
          <w:szCs w:val="24"/>
          <w:shd w:val="clear" w:color="auto" w:fill="FFFFFF"/>
        </w:rPr>
        <w:t>(James 2007)</w:t>
      </w:r>
      <w:r w:rsidRPr="002960B3">
        <w:rPr>
          <w:rFonts w:cs="Arial"/>
          <w:szCs w:val="24"/>
        </w:rPr>
        <w:t>. Because local policing focuses on specific geographical areas, Gipsies and Travellers who migrate through and beyond those areas are sometimes disregarded or overlooked by authorities. Participants in local forums and discussion groups with police and other agencies are more likely to live on established sites. The distrust of police means GRT communities are unlikely to engage and provide intelligence.</w:t>
      </w:r>
    </w:p>
    <w:p w14:paraId="42DCCF38" w14:textId="77777777" w:rsidR="00945602" w:rsidRPr="002960B3" w:rsidRDefault="00945602" w:rsidP="00945602">
      <w:pPr>
        <w:pStyle w:val="NoSpacing"/>
        <w:rPr>
          <w:rFonts w:cs="Arial"/>
          <w:szCs w:val="24"/>
        </w:rPr>
      </w:pPr>
    </w:p>
    <w:p w14:paraId="1050314F" w14:textId="45AEBDA8" w:rsidR="00945602" w:rsidRPr="002960B3" w:rsidRDefault="005E4666" w:rsidP="00945602">
      <w:pPr>
        <w:rPr>
          <w:rFonts w:ascii="Arial" w:eastAsiaTheme="minorHAnsi" w:hAnsi="Arial" w:cs="Arial"/>
          <w:shd w:val="clear" w:color="auto" w:fill="FFFFFF"/>
          <w:lang w:eastAsia="en-US"/>
        </w:rPr>
      </w:pPr>
      <w:r w:rsidRPr="002960B3">
        <w:rPr>
          <w:rFonts w:ascii="Arial" w:eastAsiaTheme="minorHAnsi" w:hAnsi="Arial" w:cs="Arial"/>
          <w:shd w:val="clear" w:color="auto" w:fill="FFFFFF"/>
          <w:lang w:eastAsia="en-US"/>
        </w:rPr>
        <w:t xml:space="preserve">A Community Impact Assessment (CIA) is a technique that ensures that a policy, project, or service does not discriminate against disadvantaged or vulnerable people or the environment, but rather promotes equality. When there is an impact on a community that undermines public trust, the CIA should be deployed. CIAs assess tension and enable long-term strategies to restore community trust and learn lessons for the future (Innes, 2010). This technique would work well in mobile travelling communities since individuals are involved in crucial choices and it can be prepared for both the sedentary and mobile groups. CIAs can help to reduce negative consequences and increase positive </w:t>
      </w:r>
      <w:r w:rsidR="002960B3" w:rsidRPr="002960B3">
        <w:rPr>
          <w:rFonts w:ascii="Arial" w:eastAsiaTheme="minorHAnsi" w:hAnsi="Arial" w:cs="Arial"/>
          <w:shd w:val="clear" w:color="auto" w:fill="FFFFFF"/>
          <w:lang w:eastAsia="en-US"/>
        </w:rPr>
        <w:t xml:space="preserve">ones </w:t>
      </w:r>
      <w:r w:rsidRPr="002960B3">
        <w:rPr>
          <w:rFonts w:ascii="Arial" w:eastAsiaTheme="minorHAnsi" w:hAnsi="Arial" w:cs="Arial"/>
          <w:shd w:val="clear" w:color="auto" w:fill="FFFFFF"/>
          <w:lang w:eastAsia="en-US"/>
        </w:rPr>
        <w:t>(College of Policing, 2013).</w:t>
      </w:r>
    </w:p>
    <w:p w14:paraId="27A2A0BF" w14:textId="77777777" w:rsidR="005E4666" w:rsidRPr="002960B3" w:rsidRDefault="005E4666" w:rsidP="00945602">
      <w:pPr>
        <w:rPr>
          <w:rFonts w:ascii="Arial" w:hAnsi="Arial" w:cs="Arial"/>
        </w:rPr>
      </w:pPr>
    </w:p>
    <w:p w14:paraId="6F804B1C" w14:textId="5BAA92D2" w:rsidR="00945602" w:rsidRPr="002960B3" w:rsidRDefault="00945602" w:rsidP="00945602">
      <w:pPr>
        <w:pStyle w:val="NoSpacing"/>
        <w:rPr>
          <w:rFonts w:cs="Arial"/>
          <w:szCs w:val="24"/>
        </w:rPr>
      </w:pPr>
      <w:r w:rsidRPr="002960B3">
        <w:rPr>
          <w:rFonts w:cs="Arial"/>
          <w:szCs w:val="24"/>
        </w:rPr>
        <w:t xml:space="preserve">Police presence has a high impact on communities. </w:t>
      </w:r>
      <w:r w:rsidR="002960B3" w:rsidRPr="002960B3">
        <w:rPr>
          <w:rFonts w:cs="Arial"/>
          <w:szCs w:val="24"/>
        </w:rPr>
        <w:t>The v</w:t>
      </w:r>
      <w:r w:rsidRPr="002960B3">
        <w:rPr>
          <w:rFonts w:cs="Arial"/>
          <w:szCs w:val="24"/>
        </w:rPr>
        <w:t xml:space="preserve">isibility of uniformed officers and PCSOs on foot patrol gives reassurance and is an effective engagement tool. According to BMG Research (2018), most individuals feel a visible police presence will act as a deterrent to committing </w:t>
      </w:r>
      <w:r w:rsidR="002960B3" w:rsidRPr="002960B3">
        <w:rPr>
          <w:rFonts w:cs="Arial"/>
          <w:szCs w:val="24"/>
        </w:rPr>
        <w:t xml:space="preserve">a </w:t>
      </w:r>
      <w:r w:rsidRPr="002960B3">
        <w:rPr>
          <w:rFonts w:cs="Arial"/>
          <w:szCs w:val="24"/>
        </w:rPr>
        <w:t xml:space="preserve">crime, 78% say a regular police presence is important however when asked about police presence as a priority against a range of other police activities, such as responding to emergencies, it becomes relatively less important and drops to 3%. Likewise, communication </w:t>
      </w:r>
      <w:r w:rsidR="002960B3" w:rsidRPr="002960B3">
        <w:rPr>
          <w:rFonts w:cs="Arial"/>
          <w:szCs w:val="24"/>
        </w:rPr>
        <w:t>with</w:t>
      </w:r>
      <w:r w:rsidRPr="002960B3">
        <w:rPr>
          <w:rFonts w:cs="Arial"/>
          <w:szCs w:val="24"/>
        </w:rPr>
        <w:t xml:space="preserve"> communities i</w:t>
      </w:r>
      <w:r w:rsidR="002960B3" w:rsidRPr="002960B3">
        <w:rPr>
          <w:rFonts w:cs="Arial"/>
          <w:szCs w:val="24"/>
        </w:rPr>
        <w:t>s</w:t>
      </w:r>
      <w:r w:rsidRPr="002960B3">
        <w:rPr>
          <w:rFonts w:cs="Arial"/>
          <w:szCs w:val="24"/>
        </w:rPr>
        <w:t xml:space="preserve"> paramount to engagement so communities can see the work being undertaken by police. </w:t>
      </w:r>
    </w:p>
    <w:p w14:paraId="27CE5FD8" w14:textId="77777777" w:rsidR="00945602" w:rsidRPr="002960B3" w:rsidRDefault="00945602" w:rsidP="00945602">
      <w:pPr>
        <w:pStyle w:val="NoSpacing"/>
        <w:rPr>
          <w:rFonts w:cs="Arial"/>
          <w:szCs w:val="24"/>
        </w:rPr>
      </w:pPr>
    </w:p>
    <w:p w14:paraId="333F9FE3" w14:textId="0C5F89E5" w:rsidR="00945602" w:rsidRPr="002960B3" w:rsidRDefault="00945602" w:rsidP="00945602">
      <w:pPr>
        <w:pStyle w:val="NoSpacing"/>
        <w:rPr>
          <w:rFonts w:cs="Arial"/>
          <w:szCs w:val="24"/>
        </w:rPr>
      </w:pPr>
      <w:r w:rsidRPr="002960B3">
        <w:rPr>
          <w:rFonts w:cs="Arial"/>
          <w:szCs w:val="24"/>
        </w:rPr>
        <w:t xml:space="preserve">Equally important for engagement is partnership working. Working with partner agencies will almost always result in a more effective pattern of consultation and involvement. (Adamson et al., 2018). It is important to recognise that the police may not have the skills required to deliver effective engagement. Partners will include local councils, housing, schools, and more informal clubs like special interest groups. Engagement strategies need to </w:t>
      </w:r>
      <w:r w:rsidR="002960B3" w:rsidRPr="002960B3">
        <w:rPr>
          <w:rFonts w:cs="Arial"/>
          <w:szCs w:val="24"/>
        </w:rPr>
        <w:t>consider</w:t>
      </w:r>
      <w:r w:rsidRPr="002960B3">
        <w:rPr>
          <w:rFonts w:cs="Arial"/>
          <w:szCs w:val="24"/>
        </w:rPr>
        <w:t xml:space="preserve"> different types of communit</w:t>
      </w:r>
      <w:r w:rsidR="002960B3" w:rsidRPr="002960B3">
        <w:rPr>
          <w:rFonts w:cs="Arial"/>
          <w:szCs w:val="24"/>
        </w:rPr>
        <w:t>ies</w:t>
      </w:r>
      <w:r w:rsidRPr="002960B3">
        <w:rPr>
          <w:rFonts w:cs="Arial"/>
          <w:szCs w:val="24"/>
        </w:rPr>
        <w:t xml:space="preserve"> so the strategies can be adapted to their needs. </w:t>
      </w:r>
      <w:r w:rsidRPr="002960B3">
        <w:rPr>
          <w:rFonts w:cs="Arial"/>
          <w:szCs w:val="24"/>
          <w:shd w:val="clear" w:color="auto" w:fill="FFFFFF"/>
        </w:rPr>
        <w:t xml:space="preserve">Coliandris and Rogers (2008) </w:t>
      </w:r>
      <w:r w:rsidRPr="002960B3">
        <w:rPr>
          <w:rFonts w:cs="Arial"/>
          <w:szCs w:val="24"/>
        </w:rPr>
        <w:t>acknowledge that there can be a disadvantage to partnership working by wa</w:t>
      </w:r>
      <w:r w:rsidR="002960B3" w:rsidRPr="002960B3">
        <w:rPr>
          <w:rFonts w:cs="Arial"/>
          <w:szCs w:val="24"/>
        </w:rPr>
        <w:t>y</w:t>
      </w:r>
      <w:r w:rsidRPr="002960B3">
        <w:rPr>
          <w:rFonts w:cs="Arial"/>
          <w:szCs w:val="24"/>
        </w:rPr>
        <w:t xml:space="preserve"> of a difference </w:t>
      </w:r>
      <w:r w:rsidR="002960B3">
        <w:rPr>
          <w:rFonts w:cs="Arial"/>
          <w:szCs w:val="24"/>
        </w:rPr>
        <w:t>in</w:t>
      </w:r>
      <w:r w:rsidRPr="002960B3">
        <w:rPr>
          <w:rFonts w:cs="Arial"/>
          <w:szCs w:val="24"/>
        </w:rPr>
        <w:t xml:space="preserve"> organisation</w:t>
      </w:r>
      <w:r w:rsidR="007A3B17">
        <w:rPr>
          <w:rFonts w:cs="Arial"/>
          <w:szCs w:val="24"/>
        </w:rPr>
        <w:t>al</w:t>
      </w:r>
      <w:r w:rsidRPr="002960B3">
        <w:rPr>
          <w:rFonts w:cs="Arial"/>
          <w:szCs w:val="24"/>
        </w:rPr>
        <w:t xml:space="preserve"> culture and their priorities and concludes “Continuity and ensuring partnerships objectives are realistic are seen as key requirements for effective partnership working.” </w:t>
      </w:r>
    </w:p>
    <w:p w14:paraId="2AE586B5" w14:textId="77777777" w:rsidR="00945602" w:rsidRPr="002960B3" w:rsidRDefault="00945602" w:rsidP="00945602">
      <w:pPr>
        <w:rPr>
          <w:rFonts w:ascii="Arial" w:hAnsi="Arial" w:cs="Arial"/>
        </w:rPr>
      </w:pPr>
    </w:p>
    <w:p w14:paraId="4BA5F7D2" w14:textId="401E7248" w:rsidR="00457531" w:rsidRPr="002960B3" w:rsidRDefault="005E4666">
      <w:pPr>
        <w:rPr>
          <w:rFonts w:ascii="Arial" w:hAnsi="Arial" w:cs="Arial"/>
        </w:rPr>
      </w:pPr>
      <w:r w:rsidRPr="002960B3">
        <w:rPr>
          <w:rFonts w:ascii="Arial" w:hAnsi="Arial" w:cs="Arial"/>
        </w:rPr>
        <w:t xml:space="preserve">Finally, due to diversity, the police must create strategies for successful and efficient policing in a varied population. In this context, it is critical to examine and meet the needs of the community's different ethnic, racial, religious, and other vulnerable </w:t>
      </w:r>
      <w:r w:rsidRPr="002960B3">
        <w:rPr>
          <w:rFonts w:ascii="Arial" w:hAnsi="Arial" w:cs="Arial"/>
        </w:rPr>
        <w:lastRenderedPageBreak/>
        <w:t>social groups. Ultimately, methods must be customised because what works for one group may not work for another (Stergioulis, 2017). Although there is evidence that certain groups will not engage with police, there are measures that may be employed to promote community engagement and public trust.</w:t>
      </w:r>
    </w:p>
    <w:p w14:paraId="33D62D66" w14:textId="77777777" w:rsidR="005E4666" w:rsidRPr="002960B3" w:rsidRDefault="005E4666">
      <w:pPr>
        <w:rPr>
          <w:rFonts w:ascii="Arial" w:hAnsi="Arial" w:cs="Arial"/>
        </w:rPr>
      </w:pPr>
    </w:p>
    <w:p w14:paraId="55BAF53D" w14:textId="3B9BACEC" w:rsidR="00945602" w:rsidRPr="002960B3" w:rsidRDefault="00945602">
      <w:pPr>
        <w:rPr>
          <w:rFonts w:ascii="Arial" w:hAnsi="Arial" w:cs="Arial"/>
        </w:rPr>
      </w:pPr>
      <w:r w:rsidRPr="002960B3">
        <w:rPr>
          <w:rFonts w:ascii="Arial" w:hAnsi="Arial" w:cs="Arial"/>
        </w:rPr>
        <w:t>2</w:t>
      </w:r>
      <w:r w:rsidR="00420341" w:rsidRPr="002960B3">
        <w:rPr>
          <w:rFonts w:ascii="Arial" w:hAnsi="Arial" w:cs="Arial"/>
        </w:rPr>
        <w:t>1</w:t>
      </w:r>
      <w:r w:rsidR="00DB741C">
        <w:rPr>
          <w:rFonts w:ascii="Arial" w:hAnsi="Arial" w:cs="Arial"/>
        </w:rPr>
        <w:t>7</w:t>
      </w:r>
      <w:r w:rsidR="00514260">
        <w:rPr>
          <w:rFonts w:ascii="Arial" w:hAnsi="Arial" w:cs="Arial"/>
        </w:rPr>
        <w:t>8</w:t>
      </w:r>
      <w:r w:rsidRPr="002960B3">
        <w:rPr>
          <w:rFonts w:ascii="Arial" w:hAnsi="Arial" w:cs="Arial"/>
        </w:rPr>
        <w:t xml:space="preserve"> words</w:t>
      </w:r>
    </w:p>
    <w:p w14:paraId="632D2993" w14:textId="77777777" w:rsidR="00945602" w:rsidRPr="002960B3" w:rsidRDefault="00945602">
      <w:pPr>
        <w:spacing w:after="160" w:line="259" w:lineRule="auto"/>
        <w:rPr>
          <w:rFonts w:ascii="Arial" w:hAnsi="Arial" w:cs="Arial"/>
        </w:rPr>
      </w:pPr>
      <w:r w:rsidRPr="002960B3">
        <w:rPr>
          <w:rFonts w:ascii="Arial" w:hAnsi="Arial" w:cs="Arial"/>
        </w:rPr>
        <w:br w:type="page"/>
      </w:r>
    </w:p>
    <w:p w14:paraId="6620AC28" w14:textId="22CE28E5" w:rsidR="00945602" w:rsidRPr="002960B3" w:rsidRDefault="00945602">
      <w:pPr>
        <w:rPr>
          <w:rFonts w:ascii="Arial" w:hAnsi="Arial" w:cs="Arial"/>
        </w:rPr>
      </w:pPr>
      <w:r w:rsidRPr="002960B3">
        <w:rPr>
          <w:rFonts w:ascii="Arial" w:hAnsi="Arial" w:cs="Arial"/>
        </w:rPr>
        <w:lastRenderedPageBreak/>
        <w:t>Essay 2</w:t>
      </w:r>
    </w:p>
    <w:p w14:paraId="564681A3" w14:textId="77777777" w:rsidR="00945602" w:rsidRPr="002960B3" w:rsidRDefault="00945602">
      <w:pPr>
        <w:rPr>
          <w:rFonts w:ascii="Arial" w:hAnsi="Arial" w:cs="Arial"/>
        </w:rPr>
      </w:pPr>
    </w:p>
    <w:p w14:paraId="6CF5E01A" w14:textId="1FBD7745" w:rsidR="00945602" w:rsidRPr="00514260" w:rsidRDefault="00945602" w:rsidP="00945602">
      <w:pPr>
        <w:rPr>
          <w:rFonts w:ascii="Arial" w:hAnsi="Arial" w:cs="Arial"/>
        </w:rPr>
      </w:pPr>
      <w:r w:rsidRPr="002960B3">
        <w:rPr>
          <w:rFonts w:ascii="Arial" w:hAnsi="Arial" w:cs="Arial"/>
        </w:rPr>
        <w:t>A major incident is an event that will have a serious consequence and requires multiple emergency services to respond beyond a routine incident, such as a train crash or a terrorist attack (Health and Safety Executive, n.d.). There have been several notable major incidents reported in the press and the emergency services come under scrutiny on how they work together. The emergency service response is crucial to the incident and will influence the eventual outcome.</w:t>
      </w:r>
      <w:r w:rsidR="00514260">
        <w:rPr>
          <w:rFonts w:ascii="Arial" w:hAnsi="Arial" w:cs="Arial"/>
        </w:rPr>
        <w:t xml:space="preserve"> This essay will </w:t>
      </w:r>
      <w:r w:rsidR="00514260" w:rsidRPr="00514260">
        <w:rPr>
          <w:rFonts w:ascii="Arial" w:hAnsi="Arial" w:cs="Arial"/>
        </w:rPr>
        <w:t xml:space="preserve">Critically analyse the role of police within joint emergency </w:t>
      </w:r>
      <w:r w:rsidR="00514260" w:rsidRPr="00514260">
        <w:rPr>
          <w:rFonts w:ascii="Arial" w:hAnsi="Arial" w:cs="Arial"/>
        </w:rPr>
        <w:t>services operations and</w:t>
      </w:r>
      <w:r w:rsidR="00514260" w:rsidRPr="00514260">
        <w:rPr>
          <w:rFonts w:ascii="Arial" w:hAnsi="Arial" w:cs="Arial"/>
        </w:rPr>
        <w:t xml:space="preserve"> examine the potential impact of such incidents on officers’ mental wellbeing.</w:t>
      </w:r>
    </w:p>
    <w:p w14:paraId="72F81299" w14:textId="77777777" w:rsidR="00945602" w:rsidRPr="002960B3" w:rsidRDefault="00945602" w:rsidP="00945602">
      <w:pPr>
        <w:rPr>
          <w:rFonts w:ascii="Arial" w:hAnsi="Arial" w:cs="Arial"/>
        </w:rPr>
      </w:pPr>
    </w:p>
    <w:p w14:paraId="2FA32F8C" w14:textId="583DDF8E" w:rsidR="00945602" w:rsidRPr="002960B3" w:rsidRDefault="00945602" w:rsidP="00945602">
      <w:pPr>
        <w:rPr>
          <w:rFonts w:ascii="Arial" w:hAnsi="Arial" w:cs="Arial"/>
        </w:rPr>
      </w:pPr>
      <w:r w:rsidRPr="002960B3">
        <w:rPr>
          <w:rFonts w:ascii="Arial" w:hAnsi="Arial" w:cs="Arial"/>
        </w:rPr>
        <w:t xml:space="preserve">The primary objective of all emergency services is to save lives both in their everyday role and to a greater extent in a major incident. The response to a major incident starts long before the actual incident itself, in the planning stages. According to </w:t>
      </w:r>
      <w:r w:rsidRPr="002960B3">
        <w:rPr>
          <w:rFonts w:ascii="Arial" w:hAnsi="Arial" w:cs="Arial"/>
          <w:shd w:val="clear" w:color="auto" w:fill="FFFFFF"/>
        </w:rPr>
        <w:t xml:space="preserve">Stephenson (2015) the </w:t>
      </w:r>
      <w:r w:rsidRPr="002960B3">
        <w:rPr>
          <w:rFonts w:ascii="Arial" w:hAnsi="Arial" w:cs="Arial"/>
        </w:rPr>
        <w:t xml:space="preserve">police, fire and ambulance services have developed separately as three different organisations and have different agendas and priorities which means they no longer understand each other. However, Charman (2014) argues that each service relies on </w:t>
      </w:r>
      <w:r w:rsidR="007A3B17">
        <w:rPr>
          <w:rFonts w:ascii="Arial" w:hAnsi="Arial" w:cs="Arial"/>
        </w:rPr>
        <w:t>the</w:t>
      </w:r>
      <w:r w:rsidRPr="002960B3">
        <w:rPr>
          <w:rFonts w:ascii="Arial" w:hAnsi="Arial" w:cs="Arial"/>
        </w:rPr>
        <w:t xml:space="preserve"> other’s skills and, whilst there is reoccurring poor communication, the services understand the importance of each other through instinctive and situational learning that has been practised regularly at other scenes.</w:t>
      </w:r>
    </w:p>
    <w:p w14:paraId="22E69DAB" w14:textId="77777777" w:rsidR="00945602" w:rsidRPr="002960B3" w:rsidRDefault="00945602" w:rsidP="00945602">
      <w:pPr>
        <w:rPr>
          <w:rFonts w:ascii="Arial" w:hAnsi="Arial" w:cs="Arial"/>
        </w:rPr>
      </w:pPr>
    </w:p>
    <w:p w14:paraId="2263C921" w14:textId="6BD6037B" w:rsidR="00945602" w:rsidRPr="002960B3" w:rsidRDefault="00945602" w:rsidP="00945602">
      <w:pPr>
        <w:rPr>
          <w:rFonts w:ascii="Arial" w:hAnsi="Arial" w:cs="Arial"/>
        </w:rPr>
      </w:pPr>
      <w:r w:rsidRPr="002960B3">
        <w:rPr>
          <w:rFonts w:ascii="Arial" w:hAnsi="Arial" w:cs="Arial"/>
        </w:rPr>
        <w:t xml:space="preserve">Interoperability refers to </w:t>
      </w:r>
      <w:r w:rsidR="007A3B17">
        <w:rPr>
          <w:rFonts w:ascii="Arial" w:hAnsi="Arial" w:cs="Arial"/>
        </w:rPr>
        <w:t>how</w:t>
      </w:r>
      <w:r w:rsidRPr="002960B3">
        <w:rPr>
          <w:rFonts w:ascii="Arial" w:hAnsi="Arial" w:cs="Arial"/>
        </w:rPr>
        <w:t xml:space="preserve"> emergency responders work together during a multi-agency response. In 2012 the joint emergency services interoperability principles (JESIP) were created to combat the challenges faced by emergency responders and ensure police, fire and ambulance work together on major or complex incidents (JESIP, 2022).  JESIP is designed to give structure and ensures constant review of practices whilst giving a clear understanding o</w:t>
      </w:r>
      <w:r w:rsidR="007A3B17">
        <w:rPr>
          <w:rFonts w:ascii="Arial" w:hAnsi="Arial" w:cs="Arial"/>
        </w:rPr>
        <w:t>f</w:t>
      </w:r>
      <w:r w:rsidRPr="002960B3">
        <w:rPr>
          <w:rFonts w:ascii="Arial" w:hAnsi="Arial" w:cs="Arial"/>
        </w:rPr>
        <w:t xml:space="preserve"> how to work together.  A review by Pollock (2013) evaluated interoperability incidents that had occurred since 1986. The report covers the common failure causes, discovered by those instances. The report also indicated opportunities for strategic improvement. Among these options were clear guidelines; communications; situational awareness; and training and exercises. Further to this, the JESIP Ministerial Board requested an emergency services evaluation of JESIP in January 2015. HMIC (2016) looked at how well the three services have incorporated the concepts of collaborative working into their planning for major incident response. Again, the recommendations were </w:t>
      </w:r>
      <w:r w:rsidR="001D0CA4" w:rsidRPr="002960B3">
        <w:rPr>
          <w:rFonts w:ascii="Arial" w:hAnsi="Arial" w:cs="Arial"/>
        </w:rPr>
        <w:t>cent</w:t>
      </w:r>
      <w:r w:rsidR="001D0CA4">
        <w:rPr>
          <w:rFonts w:ascii="Arial" w:hAnsi="Arial" w:cs="Arial"/>
        </w:rPr>
        <w:t>r</w:t>
      </w:r>
      <w:r w:rsidR="001D0CA4" w:rsidRPr="002960B3">
        <w:rPr>
          <w:rFonts w:ascii="Arial" w:hAnsi="Arial" w:cs="Arial"/>
        </w:rPr>
        <w:t>ed</w:t>
      </w:r>
      <w:r w:rsidRPr="002960B3">
        <w:rPr>
          <w:rFonts w:ascii="Arial" w:hAnsi="Arial" w:cs="Arial"/>
        </w:rPr>
        <w:t xml:space="preserve"> around training and joint exercises. Brennan, Sage et al. (1994) survey</w:t>
      </w:r>
      <w:r w:rsidR="007A3B17">
        <w:rPr>
          <w:rFonts w:ascii="Arial" w:hAnsi="Arial" w:cs="Arial"/>
        </w:rPr>
        <w:t>ed</w:t>
      </w:r>
      <w:r w:rsidRPr="002960B3">
        <w:rPr>
          <w:rFonts w:ascii="Arial" w:hAnsi="Arial" w:cs="Arial"/>
        </w:rPr>
        <w:t xml:space="preserve"> medical staff awareness of a major incident and concluded extensive training was required. Some of the recommendations included full</w:t>
      </w:r>
      <w:r w:rsidR="007A3B17">
        <w:rPr>
          <w:rFonts w:ascii="Arial" w:hAnsi="Arial" w:cs="Arial"/>
        </w:rPr>
        <w:t>-</w:t>
      </w:r>
      <w:r w:rsidRPr="002960B3">
        <w:rPr>
          <w:rFonts w:ascii="Arial" w:hAnsi="Arial" w:cs="Arial"/>
        </w:rPr>
        <w:t>scale exercises involving emergency services and attendance at relevant training courses. This was concurred by Skryabina et al. (2020) whereby after participating in preparation exercises, respondents to an online poll felt more prepared to respond to a major incident.</w:t>
      </w:r>
    </w:p>
    <w:p w14:paraId="79A60E57" w14:textId="77777777" w:rsidR="00945602" w:rsidRPr="002960B3" w:rsidRDefault="00945602" w:rsidP="00945602">
      <w:pPr>
        <w:rPr>
          <w:rFonts w:ascii="Arial" w:hAnsi="Arial" w:cs="Arial"/>
        </w:rPr>
      </w:pPr>
    </w:p>
    <w:p w14:paraId="6927C476" w14:textId="22D73DEF" w:rsidR="00945602" w:rsidRPr="002960B3" w:rsidRDefault="00945602" w:rsidP="00945602">
      <w:pPr>
        <w:pStyle w:val="NoSpacing"/>
        <w:rPr>
          <w:rFonts w:cs="Arial"/>
          <w:szCs w:val="24"/>
          <w:shd w:val="clear" w:color="auto" w:fill="FFFFFF"/>
        </w:rPr>
      </w:pPr>
      <w:r w:rsidRPr="002960B3">
        <w:rPr>
          <w:rFonts w:cs="Arial"/>
          <w:szCs w:val="24"/>
        </w:rPr>
        <w:t xml:space="preserve">According to </w:t>
      </w:r>
      <w:r w:rsidRPr="002960B3">
        <w:rPr>
          <w:rFonts w:cs="Arial"/>
          <w:szCs w:val="24"/>
          <w:shd w:val="clear" w:color="auto" w:fill="FFFFFF"/>
        </w:rPr>
        <w:t xml:space="preserve">Allen, Karanasios et al. </w:t>
      </w:r>
      <w:r w:rsidR="00476637">
        <w:rPr>
          <w:rFonts w:cs="Arial"/>
          <w:szCs w:val="24"/>
          <w:shd w:val="clear" w:color="auto" w:fill="FFFFFF"/>
        </w:rPr>
        <w:t>(</w:t>
      </w:r>
      <w:r w:rsidRPr="002960B3">
        <w:rPr>
          <w:rFonts w:cs="Arial"/>
          <w:szCs w:val="24"/>
          <w:shd w:val="clear" w:color="auto" w:fill="FFFFFF"/>
        </w:rPr>
        <w:t>2014)</w:t>
      </w:r>
      <w:r w:rsidRPr="002960B3">
        <w:rPr>
          <w:rFonts w:cs="Arial"/>
          <w:szCs w:val="24"/>
        </w:rPr>
        <w:t xml:space="preserve"> emergency services often function in isolation. As a result, the shared object looks to be broken up. Services carried out specific procedures or activities, often without the assistance or cooperation of other services. This emphasises the strategic relevance of interoperability while challenging the emphasis on it at the operational or tactical levels. The Manchester Arena bombing </w:t>
      </w:r>
      <w:r w:rsidR="00476637">
        <w:rPr>
          <w:rFonts w:cs="Arial"/>
          <w:szCs w:val="24"/>
        </w:rPr>
        <w:t xml:space="preserve">in 2017 </w:t>
      </w:r>
      <w:r w:rsidRPr="002960B3">
        <w:rPr>
          <w:rFonts w:cs="Arial"/>
          <w:szCs w:val="24"/>
        </w:rPr>
        <w:t xml:space="preserve">is one example of this. According to Power (2022), the fire service </w:t>
      </w:r>
      <w:r w:rsidR="005C0E3D">
        <w:rPr>
          <w:rFonts w:cs="Arial"/>
          <w:szCs w:val="24"/>
        </w:rPr>
        <w:t>sought</w:t>
      </w:r>
      <w:r w:rsidRPr="002960B3">
        <w:rPr>
          <w:rFonts w:cs="Arial"/>
          <w:szCs w:val="24"/>
        </w:rPr>
        <w:t xml:space="preserve"> to ensure that safety standards were in place before conducting high-risk action, while the police service wanted to eliminate the threat</w:t>
      </w:r>
      <w:r w:rsidR="001D0CA4">
        <w:rPr>
          <w:rFonts w:cs="Arial"/>
          <w:szCs w:val="24"/>
        </w:rPr>
        <w:t>,</w:t>
      </w:r>
      <w:r w:rsidRPr="002960B3">
        <w:rPr>
          <w:rFonts w:cs="Arial"/>
          <w:szCs w:val="24"/>
        </w:rPr>
        <w:t xml:space="preserve"> and the </w:t>
      </w:r>
      <w:r w:rsidRPr="002960B3">
        <w:rPr>
          <w:rFonts w:cs="Arial"/>
          <w:szCs w:val="24"/>
        </w:rPr>
        <w:lastRenderedPageBreak/>
        <w:t>paramedics sought to treat casualties. It was difficult to achieve all these objectives at the same time and ineffective communication between emergency services had a fatal outcome. However, Wigget (2018) argues “</w:t>
      </w:r>
      <w:r w:rsidRPr="002960B3">
        <w:rPr>
          <w:rFonts w:cs="Arial"/>
          <w:szCs w:val="24"/>
          <w:shd w:val="clear" w:color="auto" w:fill="FFFFFF"/>
        </w:rPr>
        <w:t>The major emergency plans worked well overall, and the strong team ethos provided the base to work through the pressures of the following weeks and months.”</w:t>
      </w:r>
    </w:p>
    <w:p w14:paraId="35A8DC07" w14:textId="77777777" w:rsidR="00945602" w:rsidRPr="002960B3" w:rsidRDefault="00945602" w:rsidP="00945602">
      <w:pPr>
        <w:pStyle w:val="NoSpacing"/>
        <w:rPr>
          <w:rFonts w:cs="Arial"/>
          <w:szCs w:val="24"/>
        </w:rPr>
      </w:pPr>
    </w:p>
    <w:p w14:paraId="2A0DC75F" w14:textId="4E3F8757" w:rsidR="00945602" w:rsidRPr="002960B3" w:rsidRDefault="00945602" w:rsidP="00945602">
      <w:pPr>
        <w:rPr>
          <w:rFonts w:ascii="Arial" w:hAnsi="Arial" w:cs="Arial"/>
        </w:rPr>
      </w:pPr>
      <w:r w:rsidRPr="002960B3">
        <w:rPr>
          <w:rFonts w:ascii="Arial" w:hAnsi="Arial" w:cs="Arial"/>
        </w:rPr>
        <w:t xml:space="preserve">Effective communication is imperative in a major incident and is core to joint operations. Research shows (Mishra, Allen and Pearman, 2011), trust was identified as a major social factor that affects information sharing particularly with confidential information. </w:t>
      </w:r>
      <w:r w:rsidR="007A3B17">
        <w:rPr>
          <w:rFonts w:ascii="Arial" w:hAnsi="Arial" w:cs="Arial"/>
        </w:rPr>
        <w:t>Before</w:t>
      </w:r>
      <w:r w:rsidRPr="002960B3">
        <w:rPr>
          <w:rFonts w:ascii="Arial" w:hAnsi="Arial" w:cs="Arial"/>
        </w:rPr>
        <w:t xml:space="preserve"> JESIP, each service may define a major incident differently and the actions of the first on scene can determine the response and what resources are to be deployed. According to Dethick (1999), declaring a major incident or communication was a difficult task in many major incidents including Kings Cross Underground fire, where a nurse declared a major incident after several people with burns presented to A&amp;E and </w:t>
      </w:r>
      <w:r w:rsidRPr="002960B3">
        <w:rPr>
          <w:rFonts w:ascii="Arial" w:hAnsi="Arial" w:cs="Arial"/>
          <w:shd w:val="clear" w:color="auto" w:fill="FFFFFF"/>
        </w:rPr>
        <w:t>the Canary Wharf Terrorist Bomb 1996 where a major incident was declared by a hospital after hearing an explosion.</w:t>
      </w:r>
      <w:r w:rsidRPr="002960B3">
        <w:rPr>
          <w:rFonts w:ascii="Arial" w:hAnsi="Arial" w:cs="Arial"/>
        </w:rPr>
        <w:t xml:space="preserve"> Henceforth, what, and how information is passed, will need to be established in the planning stages. If there is criminal activity such as terrorist threats this information will not be for open sharing and may be subject to national security (CIPR and CPNI, 2019). This is something the police service will assess as it may be subject to intelligence and need an evaluation before being disseminated (NPIA, 2009). </w:t>
      </w:r>
    </w:p>
    <w:p w14:paraId="5B302217" w14:textId="77777777" w:rsidR="00945602" w:rsidRPr="002960B3" w:rsidRDefault="00945602" w:rsidP="00945602">
      <w:pPr>
        <w:rPr>
          <w:rFonts w:ascii="Arial" w:hAnsi="Arial" w:cs="Arial"/>
        </w:rPr>
      </w:pPr>
    </w:p>
    <w:p w14:paraId="6DA63E48" w14:textId="1E91260D" w:rsidR="00945602" w:rsidRPr="002960B3" w:rsidRDefault="001D7391" w:rsidP="00945602">
      <w:pPr>
        <w:rPr>
          <w:rFonts w:ascii="Arial" w:hAnsi="Arial" w:cs="Arial"/>
        </w:rPr>
      </w:pPr>
      <w:r w:rsidRPr="002960B3">
        <w:rPr>
          <w:rFonts w:ascii="Arial" w:hAnsi="Arial" w:cs="Arial"/>
        </w:rPr>
        <w:t>For</w:t>
      </w:r>
      <w:r w:rsidR="00945602" w:rsidRPr="002960B3">
        <w:rPr>
          <w:rFonts w:ascii="Arial" w:hAnsi="Arial" w:cs="Arial"/>
        </w:rPr>
        <w:t xml:space="preserve"> operability to be established, JESIP (2021) published a joint doctrine, outlining the responsibilities of responders to the incident to confirm joint working in multiple agencies. The publication is intended for use in </w:t>
      </w:r>
      <w:r>
        <w:rPr>
          <w:rFonts w:ascii="Arial" w:hAnsi="Arial" w:cs="Arial"/>
        </w:rPr>
        <w:t xml:space="preserve">the </w:t>
      </w:r>
      <w:r w:rsidR="00945602" w:rsidRPr="002960B3">
        <w:rPr>
          <w:rFonts w:ascii="Arial" w:hAnsi="Arial" w:cs="Arial"/>
        </w:rPr>
        <w:t xml:space="preserve">development and guidance of a response to a major incident and provides a framework. The publication outlines the principles for joint working and is particularly important at the initial part of an incident as it coordinates the lead organisation and identifies priorities and resources needed. In a critical crisis, the primary function of the police is to maintain public safety, public security, and public order. </w:t>
      </w:r>
      <w:r w:rsidR="00945602" w:rsidRPr="00E274AB">
        <w:rPr>
          <w:rFonts w:ascii="Arial" w:hAnsi="Arial" w:cs="Arial"/>
        </w:rPr>
        <w:t>Command and control structures and likely a Strategic Coordinating Group will be set up</w:t>
      </w:r>
      <w:r w:rsidR="002866A5" w:rsidRPr="00E274AB">
        <w:rPr>
          <w:rFonts w:ascii="Arial" w:hAnsi="Arial" w:cs="Arial"/>
        </w:rPr>
        <w:t xml:space="preserve"> </w:t>
      </w:r>
      <w:r w:rsidR="002866A5" w:rsidRPr="00E274AB">
        <w:rPr>
          <w:rFonts w:ascii="Arial" w:hAnsi="Arial" w:cs="Arial"/>
        </w:rPr>
        <w:t>(House, Power and Alison, 2013)</w:t>
      </w:r>
      <w:r w:rsidR="00945602" w:rsidRPr="00E274AB">
        <w:rPr>
          <w:rFonts w:ascii="Arial" w:hAnsi="Arial" w:cs="Arial"/>
        </w:rPr>
        <w:t xml:space="preserve">. This consists of senior police officers and senior officers from other agencies who come </w:t>
      </w:r>
      <w:r w:rsidR="00945602" w:rsidRPr="002960B3">
        <w:rPr>
          <w:rFonts w:ascii="Arial" w:hAnsi="Arial" w:cs="Arial"/>
        </w:rPr>
        <w:t xml:space="preserve">together, to coordinate and manage the incident and resources. (College of Policing, 2013a) The police will also be considering if the incident is a crime scene, looking at securing, protecting and preserving evidence and providing information that will help with a later investigation. According to Pollock (2012), </w:t>
      </w:r>
      <w:r>
        <w:rPr>
          <w:rFonts w:ascii="Arial" w:hAnsi="Arial" w:cs="Arial"/>
        </w:rPr>
        <w:t xml:space="preserve">the </w:t>
      </w:r>
      <w:r w:rsidR="00945602" w:rsidRPr="002960B3">
        <w:rPr>
          <w:rFonts w:ascii="Arial" w:hAnsi="Arial" w:cs="Arial"/>
        </w:rPr>
        <w:t>current structure of these groups mean</w:t>
      </w:r>
      <w:r>
        <w:rPr>
          <w:rFonts w:ascii="Arial" w:hAnsi="Arial" w:cs="Arial"/>
        </w:rPr>
        <w:t>s</w:t>
      </w:r>
      <w:r w:rsidR="00945602" w:rsidRPr="002960B3">
        <w:rPr>
          <w:rFonts w:ascii="Arial" w:hAnsi="Arial" w:cs="Arial"/>
        </w:rPr>
        <w:t xml:space="preserve"> that they are crisis</w:t>
      </w:r>
      <w:r>
        <w:rPr>
          <w:rFonts w:ascii="Arial" w:hAnsi="Arial" w:cs="Arial"/>
        </w:rPr>
        <w:t>-</w:t>
      </w:r>
      <w:r w:rsidR="00945602" w:rsidRPr="002960B3">
        <w:rPr>
          <w:rFonts w:ascii="Arial" w:hAnsi="Arial" w:cs="Arial"/>
        </w:rPr>
        <w:t>prone and need improvement to become more effective.</w:t>
      </w:r>
    </w:p>
    <w:p w14:paraId="6F0573F0" w14:textId="77777777" w:rsidR="00945602" w:rsidRPr="002960B3" w:rsidRDefault="00945602" w:rsidP="00945602">
      <w:pPr>
        <w:rPr>
          <w:rFonts w:ascii="Arial" w:hAnsi="Arial" w:cs="Arial"/>
        </w:rPr>
      </w:pPr>
    </w:p>
    <w:p w14:paraId="1DB047E5" w14:textId="7B160715" w:rsidR="00945602" w:rsidRPr="002960B3" w:rsidRDefault="00945602" w:rsidP="00945602">
      <w:pPr>
        <w:rPr>
          <w:rFonts w:ascii="Arial" w:hAnsi="Arial" w:cs="Arial"/>
        </w:rPr>
      </w:pPr>
      <w:r w:rsidRPr="002960B3">
        <w:rPr>
          <w:rFonts w:ascii="Arial" w:hAnsi="Arial" w:cs="Arial"/>
        </w:rPr>
        <w:t xml:space="preserve">Whether </w:t>
      </w:r>
      <w:r w:rsidR="001D7391">
        <w:rPr>
          <w:rFonts w:ascii="Arial" w:hAnsi="Arial" w:cs="Arial"/>
        </w:rPr>
        <w:t xml:space="preserve">a </w:t>
      </w:r>
      <w:r w:rsidRPr="002960B3">
        <w:rPr>
          <w:rFonts w:ascii="Arial" w:hAnsi="Arial" w:cs="Arial"/>
        </w:rPr>
        <w:t xml:space="preserve">crime is involved or not, police will be the primary responder to a major incident (Russell 2000). Officers must respond professionally to maintain trust with the public and whilst all emergency services will be aiming to protect and save lives, the police service will be the only organisation thinking about the crime aspect. The effectiveness of the police response can have an impact on confidence. It is the responsibility of the initial responder to act as the incident officer or scene commander until a command structure is implemented and they are relieved. </w:t>
      </w:r>
    </w:p>
    <w:p w14:paraId="5D770374" w14:textId="77777777" w:rsidR="00945602" w:rsidRPr="002960B3" w:rsidRDefault="00945602" w:rsidP="00945602">
      <w:pPr>
        <w:rPr>
          <w:rFonts w:ascii="Arial" w:hAnsi="Arial" w:cs="Arial"/>
        </w:rPr>
      </w:pPr>
    </w:p>
    <w:p w14:paraId="0EC2D9DC" w14:textId="3A824ADE" w:rsidR="00945602" w:rsidRPr="002960B3" w:rsidRDefault="00945602" w:rsidP="00945602">
      <w:pPr>
        <w:pStyle w:val="NoSpacing"/>
        <w:rPr>
          <w:rFonts w:cs="Arial"/>
          <w:szCs w:val="24"/>
        </w:rPr>
      </w:pPr>
      <w:r w:rsidRPr="002960B3">
        <w:rPr>
          <w:rFonts w:cs="Arial"/>
          <w:szCs w:val="24"/>
        </w:rPr>
        <w:t>At the scene</w:t>
      </w:r>
      <w:r w:rsidR="001D7391">
        <w:rPr>
          <w:rFonts w:cs="Arial"/>
          <w:szCs w:val="24"/>
        </w:rPr>
        <w:t>,</w:t>
      </w:r>
      <w:r w:rsidRPr="002960B3">
        <w:rPr>
          <w:rFonts w:cs="Arial"/>
          <w:szCs w:val="24"/>
        </w:rPr>
        <w:t xml:space="preserve"> the police are responsible for the safety of the public and</w:t>
      </w:r>
      <w:r w:rsidR="00E274AB">
        <w:rPr>
          <w:rFonts w:cs="Arial"/>
          <w:szCs w:val="24"/>
        </w:rPr>
        <w:t xml:space="preserve"> other</w:t>
      </w:r>
      <w:r w:rsidRPr="002960B3">
        <w:rPr>
          <w:rFonts w:cs="Arial"/>
          <w:szCs w:val="24"/>
        </w:rPr>
        <w:t xml:space="preserve"> responders deployed to the incident </w:t>
      </w:r>
      <w:r w:rsidR="00E274AB">
        <w:rPr>
          <w:rFonts w:cs="Arial"/>
          <w:szCs w:val="24"/>
        </w:rPr>
        <w:t>whilst</w:t>
      </w:r>
      <w:r w:rsidRPr="002960B3">
        <w:rPr>
          <w:rFonts w:cs="Arial"/>
          <w:szCs w:val="24"/>
        </w:rPr>
        <w:t xml:space="preserve"> preventing escalation </w:t>
      </w:r>
      <w:r w:rsidR="00E274AB">
        <w:rPr>
          <w:rFonts w:cs="Arial"/>
          <w:szCs w:val="24"/>
        </w:rPr>
        <w:t>and</w:t>
      </w:r>
      <w:r w:rsidRPr="002960B3">
        <w:rPr>
          <w:rFonts w:cs="Arial"/>
          <w:szCs w:val="24"/>
        </w:rPr>
        <w:t xml:space="preserve"> still eliminating any further threats. Once the threat and risk are eliminated police will start assessing how others can get access to the scene and manag</w:t>
      </w:r>
      <w:r w:rsidR="00E274AB">
        <w:rPr>
          <w:rFonts w:cs="Arial"/>
          <w:szCs w:val="24"/>
        </w:rPr>
        <w:t>e</w:t>
      </w:r>
      <w:r w:rsidRPr="002960B3">
        <w:rPr>
          <w:rFonts w:cs="Arial"/>
          <w:szCs w:val="24"/>
        </w:rPr>
        <w:t xml:space="preserve"> how to keep the traffic moving, </w:t>
      </w:r>
      <w:r w:rsidRPr="002960B3">
        <w:rPr>
          <w:rFonts w:cs="Arial"/>
          <w:szCs w:val="24"/>
        </w:rPr>
        <w:lastRenderedPageBreak/>
        <w:t>potentially putting in cordons and closing the road. Survivor Reception Centres will also receive support from the police, and casualty bureaus will be established so that people may call and report anyone who may be missing or who has</w:t>
      </w:r>
      <w:r w:rsidR="005C0E3D">
        <w:rPr>
          <w:rFonts w:cs="Arial"/>
          <w:szCs w:val="24"/>
        </w:rPr>
        <w:t xml:space="preserve"> </w:t>
      </w:r>
      <w:r w:rsidRPr="002960B3">
        <w:rPr>
          <w:rFonts w:cs="Arial"/>
          <w:szCs w:val="24"/>
        </w:rPr>
        <w:t>n</w:t>
      </w:r>
      <w:r w:rsidR="005C0E3D">
        <w:rPr>
          <w:rFonts w:cs="Arial"/>
          <w:szCs w:val="24"/>
        </w:rPr>
        <w:t>o</w:t>
      </w:r>
      <w:r w:rsidRPr="002960B3">
        <w:rPr>
          <w:rFonts w:cs="Arial"/>
          <w:szCs w:val="24"/>
        </w:rPr>
        <w:t>t arrived home (Davis, 2013).  The telephone communication system will be spread out across the UK, where other police forces will assist one another to support the host force (Wood-Heath; 1992). This is important as thousands of calls will be made. In the London bombings on July 7</w:t>
      </w:r>
      <w:r w:rsidRPr="002960B3">
        <w:rPr>
          <w:rFonts w:cs="Arial"/>
          <w:szCs w:val="24"/>
          <w:vertAlign w:val="superscript"/>
        </w:rPr>
        <w:t>th</w:t>
      </w:r>
      <w:r w:rsidRPr="002960B3">
        <w:rPr>
          <w:rFonts w:cs="Arial"/>
          <w:szCs w:val="24"/>
        </w:rPr>
        <w:t>, “</w:t>
      </w:r>
      <w:r w:rsidRPr="002960B3">
        <w:rPr>
          <w:rFonts w:cs="Arial"/>
          <w:szCs w:val="24"/>
          <w:shd w:val="clear" w:color="auto" w:fill="FFFFFF"/>
        </w:rPr>
        <w:t xml:space="preserve">A casualty bureau, which operated from July 7 to 26, managed </w:t>
      </w:r>
      <w:r w:rsidR="001D7391">
        <w:rPr>
          <w:rFonts w:cs="Arial"/>
          <w:szCs w:val="24"/>
          <w:shd w:val="clear" w:color="auto" w:fill="FFFFFF"/>
        </w:rPr>
        <w:t>more than</w:t>
      </w:r>
      <w:r w:rsidRPr="002960B3">
        <w:rPr>
          <w:rFonts w:cs="Arial"/>
          <w:szCs w:val="24"/>
          <w:shd w:val="clear" w:color="auto" w:fill="FFFFFF"/>
        </w:rPr>
        <w:t xml:space="preserve"> 121,000 calls” (Russell, 2005).</w:t>
      </w:r>
      <w:r w:rsidR="001D7391">
        <w:rPr>
          <w:rFonts w:cs="Arial"/>
          <w:szCs w:val="24"/>
          <w:shd w:val="clear" w:color="auto" w:fill="FFFFFF"/>
        </w:rPr>
        <w:t xml:space="preserve"> </w:t>
      </w:r>
      <w:r w:rsidRPr="002960B3">
        <w:rPr>
          <w:rFonts w:cs="Arial"/>
          <w:szCs w:val="24"/>
        </w:rPr>
        <w:t>Family Liaison Officers (FLOs) will likely be appointed in this situation, to work with families and, if deemed necessary, Disaster Victim Identification officers deployed to try and identify a person if they have lost their li</w:t>
      </w:r>
      <w:r w:rsidR="001D7391">
        <w:rPr>
          <w:rFonts w:cs="Arial"/>
          <w:szCs w:val="24"/>
        </w:rPr>
        <w:t>ves</w:t>
      </w:r>
      <w:r w:rsidRPr="002960B3">
        <w:rPr>
          <w:rFonts w:cs="Arial"/>
          <w:szCs w:val="24"/>
        </w:rPr>
        <w:t xml:space="preserve"> and to provide evidence to a coroner of exactly what has happened (Brine &amp; Roycroft, 2021).</w:t>
      </w:r>
    </w:p>
    <w:p w14:paraId="642C9334" w14:textId="77777777" w:rsidR="00945602" w:rsidRPr="002960B3" w:rsidRDefault="00945602" w:rsidP="00945602">
      <w:pPr>
        <w:pStyle w:val="NoSpacing"/>
        <w:rPr>
          <w:rFonts w:cs="Arial"/>
          <w:szCs w:val="24"/>
        </w:rPr>
      </w:pPr>
    </w:p>
    <w:p w14:paraId="1D181A45" w14:textId="1DABAAE4" w:rsidR="00945602" w:rsidRPr="002960B3" w:rsidRDefault="00945602" w:rsidP="00945602">
      <w:pPr>
        <w:rPr>
          <w:rFonts w:ascii="Arial" w:hAnsi="Arial" w:cs="Arial"/>
        </w:rPr>
      </w:pPr>
      <w:r w:rsidRPr="002960B3">
        <w:rPr>
          <w:rFonts w:ascii="Arial" w:hAnsi="Arial" w:cs="Arial"/>
        </w:rPr>
        <w:t>Furthermore, community tension or reassuring the public must be considered and the most beneficial way to keep the public informed is via the media</w:t>
      </w:r>
      <w:r w:rsidR="00E274AB">
        <w:rPr>
          <w:rFonts w:ascii="Arial" w:hAnsi="Arial" w:cs="Arial"/>
        </w:rPr>
        <w:t>,</w:t>
      </w:r>
      <w:r w:rsidRPr="002960B3">
        <w:rPr>
          <w:rFonts w:ascii="Arial" w:hAnsi="Arial" w:cs="Arial"/>
        </w:rPr>
        <w:t xml:space="preserve"> this can also keep colleagues up to date. This information can be given via all media channels including social media, televised news reports and the radio.  An organisation will be viewed detrimentally if it is unable to reply quickly with accurate information. (Gillingham, Noizet 2007). Finally, holding a debrief after a major incident is essential for the recovery stage (Healy &amp; Tyrrell, 2013). This will assist in identifying positive practices and where improvements can be made. This also </w:t>
      </w:r>
      <w:r w:rsidR="001D7391">
        <w:rPr>
          <w:rFonts w:ascii="Arial" w:hAnsi="Arial" w:cs="Arial"/>
        </w:rPr>
        <w:t>allows</w:t>
      </w:r>
      <w:r w:rsidRPr="002960B3">
        <w:rPr>
          <w:rFonts w:ascii="Arial" w:hAnsi="Arial" w:cs="Arial"/>
        </w:rPr>
        <w:t xml:space="preserve"> officers to recognise if anyone has been affected by the incident and </w:t>
      </w:r>
      <w:r w:rsidR="001D7391">
        <w:rPr>
          <w:rFonts w:ascii="Arial" w:hAnsi="Arial" w:cs="Arial"/>
        </w:rPr>
        <w:t>permits</w:t>
      </w:r>
      <w:r w:rsidR="001D7391" w:rsidRPr="002960B3">
        <w:rPr>
          <w:rFonts w:ascii="Arial" w:hAnsi="Arial" w:cs="Arial"/>
        </w:rPr>
        <w:t xml:space="preserve"> </w:t>
      </w:r>
      <w:r w:rsidRPr="002960B3">
        <w:rPr>
          <w:rFonts w:ascii="Arial" w:hAnsi="Arial" w:cs="Arial"/>
        </w:rPr>
        <w:t>support to be put in place. Holding a debriefing is one way of intervention for officers who have been trauma-exposed and according to (Pasciak and Kelley (2013) short</w:t>
      </w:r>
      <w:r w:rsidR="001D7391">
        <w:rPr>
          <w:rFonts w:ascii="Arial" w:hAnsi="Arial" w:cs="Arial"/>
        </w:rPr>
        <w:t>-</w:t>
      </w:r>
      <w:r w:rsidRPr="002960B3">
        <w:rPr>
          <w:rFonts w:ascii="Arial" w:hAnsi="Arial" w:cs="Arial"/>
        </w:rPr>
        <w:t>term reactions are almost inevitable however police officers usually tend to be resilient and bounce back and intervention should not be forced on an individual as this could have a negative result. According to Blythe and Slawinski (2004 p. 48), debriefings “</w:t>
      </w:r>
      <w:r w:rsidRPr="002960B3">
        <w:rPr>
          <w:rFonts w:ascii="Arial" w:hAnsi="Arial" w:cs="Arial"/>
          <w:shd w:val="clear" w:color="auto" w:fill="FFFFFF"/>
        </w:rPr>
        <w:t>may very well worsen a person's mental condition, rather than improve it.</w:t>
      </w:r>
      <w:r w:rsidRPr="002960B3">
        <w:rPr>
          <w:rFonts w:ascii="Arial" w:hAnsi="Arial" w:cs="Arial"/>
        </w:rPr>
        <w:t>”.</w:t>
      </w:r>
    </w:p>
    <w:p w14:paraId="3E33DA48" w14:textId="77777777" w:rsidR="00945602" w:rsidRPr="002960B3" w:rsidRDefault="00945602" w:rsidP="00945602">
      <w:pPr>
        <w:rPr>
          <w:rFonts w:ascii="Arial" w:hAnsi="Arial" w:cs="Arial"/>
        </w:rPr>
      </w:pPr>
    </w:p>
    <w:p w14:paraId="40B47D84" w14:textId="73C3D826" w:rsidR="00945602" w:rsidRPr="002960B3" w:rsidRDefault="00945602" w:rsidP="00945602">
      <w:pPr>
        <w:rPr>
          <w:rFonts w:ascii="Arial" w:hAnsi="Arial" w:cs="Arial"/>
        </w:rPr>
      </w:pPr>
      <w:r w:rsidRPr="002960B3">
        <w:rPr>
          <w:rFonts w:ascii="Arial" w:hAnsi="Arial" w:cs="Arial"/>
        </w:rPr>
        <w:t>According to Beckley (2019), the mental health and of officers is still a work in progress however organisations are actively incorporating programmes to improve the situation. Traumatic incidents can have a significant effect on police officers’, both short</w:t>
      </w:r>
      <w:r w:rsidR="001D7391">
        <w:rPr>
          <w:rFonts w:ascii="Arial" w:hAnsi="Arial" w:cs="Arial"/>
        </w:rPr>
        <w:t>-</w:t>
      </w:r>
      <w:r w:rsidRPr="002960B3">
        <w:rPr>
          <w:rFonts w:ascii="Arial" w:hAnsi="Arial" w:cs="Arial"/>
        </w:rPr>
        <w:t>term and long term and it is important to look out for the symptoms. Feeling sad or upset, not wanting to talk to others and not wanting to eat are natural and common responses which will lessen in a few days. However, if these symptoms continue or further symptoms such as elevated stress, post-traumatic stress disorder, compassion fatigue, and burnout appear, this is a sign to ask for help (College of Policing, 2018).  After trauma, police officers will usually be referred for in</w:t>
      </w:r>
      <w:r w:rsidR="001D7391">
        <w:rPr>
          <w:rFonts w:ascii="Arial" w:hAnsi="Arial" w:cs="Arial"/>
        </w:rPr>
        <w:t>-</w:t>
      </w:r>
      <w:r w:rsidRPr="002960B3">
        <w:rPr>
          <w:rFonts w:ascii="Arial" w:hAnsi="Arial" w:cs="Arial"/>
        </w:rPr>
        <w:t xml:space="preserve">house Trauma Risk Management (TRiM). Counselling and trauma assessors will evaluate how the individual is coping and what services can be provided. There is a risk that negative coping strategies will be adopted like alcohol, avoidance, or social isolation and this will </w:t>
      </w:r>
      <w:r w:rsidR="001D7391">
        <w:rPr>
          <w:rFonts w:ascii="Arial" w:hAnsi="Arial" w:cs="Arial"/>
        </w:rPr>
        <w:t>harm</w:t>
      </w:r>
      <w:r w:rsidRPr="002960B3">
        <w:rPr>
          <w:rFonts w:ascii="Arial" w:hAnsi="Arial" w:cs="Arial"/>
        </w:rPr>
        <w:t xml:space="preserve"> the officer’s wellbeing and mental health. </w:t>
      </w:r>
    </w:p>
    <w:p w14:paraId="00C2F372" w14:textId="77777777" w:rsidR="00945602" w:rsidRPr="002960B3" w:rsidRDefault="00945602" w:rsidP="00945602">
      <w:pPr>
        <w:rPr>
          <w:rFonts w:ascii="Arial" w:hAnsi="Arial" w:cs="Arial"/>
        </w:rPr>
      </w:pPr>
    </w:p>
    <w:p w14:paraId="6740107C" w14:textId="73609604" w:rsidR="00945602" w:rsidRPr="002960B3" w:rsidRDefault="00945602" w:rsidP="00945602">
      <w:pPr>
        <w:rPr>
          <w:rFonts w:ascii="Arial" w:hAnsi="Arial" w:cs="Arial"/>
        </w:rPr>
      </w:pPr>
      <w:r w:rsidRPr="002960B3">
        <w:rPr>
          <w:rFonts w:ascii="Arial" w:hAnsi="Arial" w:cs="Arial"/>
        </w:rPr>
        <w:t xml:space="preserve">According to Wagner, White et al. (2020), police officers have a higher rate of suffering </w:t>
      </w:r>
      <w:r w:rsidR="001D7391">
        <w:rPr>
          <w:rFonts w:ascii="Arial" w:hAnsi="Arial" w:cs="Arial"/>
        </w:rPr>
        <w:t>from</w:t>
      </w:r>
      <w:r w:rsidRPr="002960B3">
        <w:rPr>
          <w:rFonts w:ascii="Arial" w:hAnsi="Arial" w:cs="Arial"/>
        </w:rPr>
        <w:t xml:space="preserve"> post-traumatic stress disorder (PTSD), which appears to be significantly tied to exposure in the workplace. Many traumatic exposures endured by police officers are work-related. However, studies show (Langtry, Owczarek et al. 2021) exposure to stressful and traumatic situations, including traumatic events conclude that complex PTSD (CPTSD) is more common than posttraumatic stress disorder (PTSD). Complex post-traumatic stress disorder is typically characterised </w:t>
      </w:r>
      <w:r w:rsidRPr="002960B3">
        <w:rPr>
          <w:rFonts w:ascii="Arial" w:hAnsi="Arial" w:cs="Arial"/>
        </w:rPr>
        <w:lastRenderedPageBreak/>
        <w:t xml:space="preserve">by protracted stressful experiences that include many or recurring traumatic incidents. Research by Brewin et al. (2020) agrees, and the findings show as complex PTSD is a relatively new condition, there are limited clinical trials for treatment however initial findings suggest CPTSD may </w:t>
      </w:r>
      <w:r w:rsidR="001D7391">
        <w:rPr>
          <w:rFonts w:ascii="Arial" w:hAnsi="Arial" w:cs="Arial"/>
        </w:rPr>
        <w:t xml:space="preserve">be </w:t>
      </w:r>
      <w:r w:rsidRPr="002960B3">
        <w:rPr>
          <w:rFonts w:ascii="Arial" w:hAnsi="Arial" w:cs="Arial"/>
        </w:rPr>
        <w:t>more extensive and prolonged therapy than PTSD. In addition to these mental effects, trauma can have a profound effect o</w:t>
      </w:r>
      <w:r w:rsidR="001D7391">
        <w:rPr>
          <w:rFonts w:ascii="Arial" w:hAnsi="Arial" w:cs="Arial"/>
        </w:rPr>
        <w:t xml:space="preserve">n an </w:t>
      </w:r>
      <w:r w:rsidRPr="002960B3">
        <w:rPr>
          <w:rFonts w:ascii="Arial" w:hAnsi="Arial" w:cs="Arial"/>
        </w:rPr>
        <w:t>individual</w:t>
      </w:r>
      <w:r w:rsidR="001D7391">
        <w:rPr>
          <w:rFonts w:ascii="Arial" w:hAnsi="Arial" w:cs="Arial"/>
        </w:rPr>
        <w:t>’</w:t>
      </w:r>
      <w:r w:rsidRPr="002960B3">
        <w:rPr>
          <w:rFonts w:ascii="Arial" w:hAnsi="Arial" w:cs="Arial"/>
        </w:rPr>
        <w:t xml:space="preserve">s self-esteem and self-worth. This can lead to shame and guilt in the form of ‘survivors’ guilt’. Survivor guilt is a legitimate type of suffering that requires adequate treatment (Hutson, Hall and Pack, 2015). </w:t>
      </w:r>
    </w:p>
    <w:p w14:paraId="3B8373B6" w14:textId="77777777" w:rsidR="00945602" w:rsidRPr="002960B3" w:rsidRDefault="00945602" w:rsidP="00945602">
      <w:pPr>
        <w:rPr>
          <w:rFonts w:ascii="Arial" w:hAnsi="Arial" w:cs="Arial"/>
        </w:rPr>
      </w:pPr>
    </w:p>
    <w:p w14:paraId="1FC55597" w14:textId="4F1B5BF5" w:rsidR="00945602" w:rsidRPr="002960B3" w:rsidRDefault="00945602" w:rsidP="00945602">
      <w:pPr>
        <w:rPr>
          <w:rFonts w:ascii="Arial" w:hAnsi="Arial" w:cs="Arial"/>
        </w:rPr>
      </w:pPr>
      <w:r w:rsidRPr="002960B3">
        <w:rPr>
          <w:rFonts w:ascii="Arial" w:hAnsi="Arial" w:cs="Arial"/>
        </w:rPr>
        <w:t xml:space="preserve">No one coping strategy can ensure protection from the negative impacts of trauma. Instead, </w:t>
      </w:r>
      <w:r w:rsidR="001D0CA4">
        <w:rPr>
          <w:rFonts w:ascii="Arial" w:hAnsi="Arial" w:cs="Arial"/>
        </w:rPr>
        <w:t>the likelihood is</w:t>
      </w:r>
      <w:r w:rsidRPr="002960B3">
        <w:rPr>
          <w:rFonts w:ascii="Arial" w:hAnsi="Arial" w:cs="Arial"/>
        </w:rPr>
        <w:t xml:space="preserve"> the person is best served by having an array of techniques that may be employed effectively and flexibly. Research shows (Alexander, Klein 2001) that individuals claim that better training and briefings would have helped the</w:t>
      </w:r>
      <w:r w:rsidR="001D7391">
        <w:rPr>
          <w:rFonts w:ascii="Arial" w:hAnsi="Arial" w:cs="Arial"/>
        </w:rPr>
        <w:t>m</w:t>
      </w:r>
      <w:r w:rsidRPr="002960B3">
        <w:rPr>
          <w:rFonts w:ascii="Arial" w:hAnsi="Arial" w:cs="Arial"/>
        </w:rPr>
        <w:t xml:space="preserve"> cope better, the conclusion is that staff need to be available to support each other and the organisation should allow this. Developing a culture </w:t>
      </w:r>
      <w:r w:rsidR="001D0CA4">
        <w:rPr>
          <w:rFonts w:ascii="Arial" w:hAnsi="Arial" w:cs="Arial"/>
        </w:rPr>
        <w:t>that</w:t>
      </w:r>
      <w:r w:rsidRPr="002960B3">
        <w:rPr>
          <w:rFonts w:ascii="Arial" w:hAnsi="Arial" w:cs="Arial"/>
        </w:rPr>
        <w:t xml:space="preserve"> encourages accepting help with mental health reduces the negative stigma associated (Auth et al., 2022). Furthermore, there</w:t>
      </w:r>
      <w:r w:rsidR="001D7391">
        <w:rPr>
          <w:rFonts w:ascii="Arial" w:hAnsi="Arial" w:cs="Arial"/>
        </w:rPr>
        <w:t xml:space="preserve"> is a</w:t>
      </w:r>
      <w:r w:rsidRPr="002960B3">
        <w:rPr>
          <w:rFonts w:ascii="Arial" w:hAnsi="Arial" w:cs="Arial"/>
        </w:rPr>
        <w:t xml:space="preserve"> necessity of raising awareness of mental health issues and normalising PTSD symptoms in police officers as research suggests (Soomro and Yanos, 2019) officers are reluctant to seek help as stigma levels were higher among police officers in general. The figures are worrying, according to Kyron et al. (2021), “One in twenty employees (5.3%) had seriously considered ending their life in the 12 months prior to the survey, over two times higher than the general population”. There is evidence that police officers report drinking more alcohol after trauma and having poor sleep quality, both of which may be significant risk factors for CPTSD (Steel et al., 2021).</w:t>
      </w:r>
    </w:p>
    <w:p w14:paraId="35E5FB75" w14:textId="77777777" w:rsidR="00945602" w:rsidRPr="002960B3" w:rsidRDefault="00945602" w:rsidP="00945602">
      <w:pPr>
        <w:rPr>
          <w:rFonts w:ascii="Arial" w:hAnsi="Arial" w:cs="Arial"/>
        </w:rPr>
      </w:pPr>
    </w:p>
    <w:p w14:paraId="707154F3" w14:textId="48A93644" w:rsidR="00945602" w:rsidRPr="002960B3" w:rsidRDefault="00945602" w:rsidP="00945602">
      <w:pPr>
        <w:rPr>
          <w:rFonts w:ascii="Arial" w:hAnsi="Arial" w:cs="Arial"/>
        </w:rPr>
      </w:pPr>
      <w:r w:rsidRPr="002960B3">
        <w:rPr>
          <w:rFonts w:ascii="Arial" w:hAnsi="Arial" w:cs="Arial"/>
        </w:rPr>
        <w:t xml:space="preserve">In conclusion, the role of the police </w:t>
      </w:r>
      <w:r w:rsidR="00514260" w:rsidRPr="00514260">
        <w:rPr>
          <w:rFonts w:ascii="Arial" w:hAnsi="Arial" w:cs="Arial"/>
        </w:rPr>
        <w:t xml:space="preserve">within joint emergency services operations </w:t>
      </w:r>
      <w:r w:rsidRPr="002960B3">
        <w:rPr>
          <w:rFonts w:ascii="Arial" w:hAnsi="Arial" w:cs="Arial"/>
        </w:rPr>
        <w:t xml:space="preserve">is to work together in partnership with other services, primarily to save lives. By Co-ordinating and communicating efficiently, there can be some order behind what is likely to be a chaotic situation. The creation of JESIP streamlines processes and allows the services to work together. Police officers have a higher rate of suffering </w:t>
      </w:r>
      <w:r w:rsidR="001524FF">
        <w:rPr>
          <w:rFonts w:ascii="Arial" w:hAnsi="Arial" w:cs="Arial"/>
        </w:rPr>
        <w:t>from</w:t>
      </w:r>
      <w:r w:rsidRPr="002960B3">
        <w:rPr>
          <w:rFonts w:ascii="Arial" w:hAnsi="Arial" w:cs="Arial"/>
        </w:rPr>
        <w:t xml:space="preserve"> post-traumatic stress disorder, which appears to be significantly tied to exposure in the workplace.</w:t>
      </w:r>
      <w:r w:rsidRPr="002960B3">
        <w:rPr>
          <w:rFonts w:ascii="Arial" w:hAnsi="Arial" w:cs="Arial"/>
          <w:shd w:val="clear" w:color="auto" w:fill="FFFFFF"/>
        </w:rPr>
        <w:t> </w:t>
      </w:r>
      <w:r w:rsidRPr="002960B3">
        <w:rPr>
          <w:rFonts w:ascii="Arial" w:hAnsi="Arial" w:cs="Arial"/>
        </w:rPr>
        <w:t>Trauma can have different effects o</w:t>
      </w:r>
      <w:r w:rsidR="001524FF">
        <w:rPr>
          <w:rFonts w:ascii="Arial" w:hAnsi="Arial" w:cs="Arial"/>
        </w:rPr>
        <w:t>n</w:t>
      </w:r>
      <w:r w:rsidRPr="002960B3">
        <w:rPr>
          <w:rFonts w:ascii="Arial" w:hAnsi="Arial" w:cs="Arial"/>
        </w:rPr>
        <w:t xml:space="preserve"> officers’ wellbeing and mental </w:t>
      </w:r>
      <w:r w:rsidR="001D0CA4" w:rsidRPr="002960B3">
        <w:rPr>
          <w:rFonts w:ascii="Arial" w:hAnsi="Arial" w:cs="Arial"/>
        </w:rPr>
        <w:t>health,</w:t>
      </w:r>
      <w:r w:rsidRPr="002960B3">
        <w:rPr>
          <w:rFonts w:ascii="Arial" w:hAnsi="Arial" w:cs="Arial"/>
        </w:rPr>
        <w:t xml:space="preserve"> and they are prone to developing PTSD symptoms, however</w:t>
      </w:r>
      <w:r w:rsidR="001524FF">
        <w:rPr>
          <w:rFonts w:ascii="Arial" w:hAnsi="Arial" w:cs="Arial"/>
        </w:rPr>
        <w:t>,</w:t>
      </w:r>
      <w:r w:rsidRPr="002960B3">
        <w:rPr>
          <w:rFonts w:ascii="Arial" w:hAnsi="Arial" w:cs="Arial"/>
        </w:rPr>
        <w:t xml:space="preserve"> there is help available to build coping strategies and become resilient and organisations recognise this. </w:t>
      </w:r>
    </w:p>
    <w:p w14:paraId="2F53D0B4" w14:textId="21CF8D02" w:rsidR="00514260" w:rsidRPr="002960B3" w:rsidRDefault="00514260">
      <w:pPr>
        <w:rPr>
          <w:rFonts w:ascii="Arial" w:hAnsi="Arial" w:cs="Arial"/>
        </w:rPr>
      </w:pPr>
    </w:p>
    <w:p w14:paraId="567A06B2" w14:textId="25F5250A" w:rsidR="00945602" w:rsidRPr="002960B3" w:rsidRDefault="00945602">
      <w:pPr>
        <w:rPr>
          <w:rFonts w:ascii="Arial" w:hAnsi="Arial" w:cs="Arial"/>
        </w:rPr>
      </w:pPr>
      <w:r w:rsidRPr="002960B3">
        <w:rPr>
          <w:rFonts w:ascii="Arial" w:hAnsi="Arial" w:cs="Arial"/>
        </w:rPr>
        <w:t>21</w:t>
      </w:r>
      <w:r w:rsidR="003800E7">
        <w:rPr>
          <w:rFonts w:ascii="Arial" w:hAnsi="Arial" w:cs="Arial"/>
        </w:rPr>
        <w:t>49</w:t>
      </w:r>
      <w:r w:rsidRPr="002960B3">
        <w:rPr>
          <w:rFonts w:ascii="Arial" w:hAnsi="Arial" w:cs="Arial"/>
        </w:rPr>
        <w:t xml:space="preserve"> words</w:t>
      </w:r>
    </w:p>
    <w:p w14:paraId="648BAC9F" w14:textId="77777777" w:rsidR="00945602" w:rsidRPr="002960B3" w:rsidRDefault="00945602">
      <w:pPr>
        <w:spacing w:after="160" w:line="259" w:lineRule="auto"/>
        <w:rPr>
          <w:rFonts w:ascii="Arial" w:hAnsi="Arial" w:cs="Arial"/>
        </w:rPr>
      </w:pPr>
      <w:r w:rsidRPr="002960B3">
        <w:rPr>
          <w:rFonts w:ascii="Arial" w:hAnsi="Arial" w:cs="Arial"/>
        </w:rPr>
        <w:br w:type="page"/>
      </w:r>
    </w:p>
    <w:p w14:paraId="2FE3881E" w14:textId="77777777" w:rsidR="00945602" w:rsidRPr="002960B3" w:rsidRDefault="00945602" w:rsidP="00945602">
      <w:pPr>
        <w:rPr>
          <w:rFonts w:ascii="Arial" w:hAnsi="Arial" w:cs="Arial"/>
        </w:rPr>
      </w:pPr>
      <w:r w:rsidRPr="002960B3">
        <w:rPr>
          <w:rFonts w:ascii="Arial" w:hAnsi="Arial" w:cs="Arial"/>
        </w:rPr>
        <w:lastRenderedPageBreak/>
        <w:t>Bibliography</w:t>
      </w:r>
    </w:p>
    <w:p w14:paraId="19B31EFE" w14:textId="77777777" w:rsidR="00536B9C" w:rsidRPr="002960B3" w:rsidRDefault="00536B9C" w:rsidP="00945602">
      <w:pPr>
        <w:rPr>
          <w:rFonts w:ascii="Arial" w:hAnsi="Arial" w:cs="Arial"/>
        </w:rPr>
      </w:pPr>
    </w:p>
    <w:p w14:paraId="7B7F3B44" w14:textId="77777777" w:rsidR="00536B9C" w:rsidRPr="002960B3" w:rsidRDefault="00536B9C" w:rsidP="00536B9C">
      <w:pPr>
        <w:pStyle w:val="NoSpacing"/>
        <w:rPr>
          <w:rFonts w:cs="Arial"/>
          <w:szCs w:val="24"/>
        </w:rPr>
      </w:pPr>
      <w:r w:rsidRPr="002960B3">
        <w:rPr>
          <w:rFonts w:cs="Arial"/>
          <w:szCs w:val="24"/>
        </w:rPr>
        <w:t xml:space="preserve">Adamson, D., Bere, J., Bevan, J., Dakin, A., Isherwood, N., Macnamara, H. and Southall, A. (2018). </w:t>
      </w:r>
      <w:r w:rsidRPr="002960B3">
        <w:rPr>
          <w:rFonts w:cs="Arial"/>
          <w:i/>
          <w:iCs/>
          <w:szCs w:val="24"/>
        </w:rPr>
        <w:t>With contributions from A Guide to Effective Community Engagement</w:t>
      </w:r>
      <w:r w:rsidRPr="002960B3">
        <w:rPr>
          <w:rFonts w:cs="Arial"/>
          <w:szCs w:val="24"/>
        </w:rPr>
        <w:t>. (online) Available at: https://growthorientedsustainableentrepreneurship.files.wordpress.com/2018/09/cei-a-guide-to-effective-community-engagement.pdf (Accessed 16 May 2023).</w:t>
      </w:r>
    </w:p>
    <w:p w14:paraId="31AC72AC" w14:textId="77777777" w:rsidR="00536B9C" w:rsidRPr="002960B3" w:rsidRDefault="00536B9C" w:rsidP="00536B9C">
      <w:pPr>
        <w:pStyle w:val="NoSpacing"/>
        <w:rPr>
          <w:rFonts w:cs="Arial"/>
          <w:szCs w:val="24"/>
        </w:rPr>
      </w:pPr>
    </w:p>
    <w:p w14:paraId="5B11A560" w14:textId="77777777" w:rsidR="00536B9C" w:rsidRPr="002960B3" w:rsidRDefault="00536B9C" w:rsidP="00945602">
      <w:pPr>
        <w:rPr>
          <w:rFonts w:ascii="Arial" w:hAnsi="Arial" w:cs="Arial"/>
        </w:rPr>
      </w:pPr>
      <w:r w:rsidRPr="002960B3">
        <w:rPr>
          <w:rFonts w:ascii="Arial" w:hAnsi="Arial" w:cs="Arial"/>
        </w:rPr>
        <w:t>Alexander, D.A. and Klein, S. (2023). Ambulance personnel and critical incidents. (online) Available at: https://www-cambridge-org.ezproxy.uwtsd.ac.uk/core/journals/the-british-journal-of-psychiatry/article/ambulance-personnel-and-critical-incidents/57A147ACC989E93941AB99DA2A69183E (Accessed 26 May 2023).</w:t>
      </w:r>
    </w:p>
    <w:p w14:paraId="6DDCD029" w14:textId="77777777" w:rsidR="00323A6B" w:rsidRPr="002960B3" w:rsidRDefault="00323A6B" w:rsidP="00945602">
      <w:pPr>
        <w:rPr>
          <w:rFonts w:ascii="Arial" w:hAnsi="Arial" w:cs="Arial"/>
        </w:rPr>
      </w:pPr>
    </w:p>
    <w:p w14:paraId="4F022F83" w14:textId="77777777" w:rsidR="00536B9C" w:rsidRPr="002960B3" w:rsidRDefault="00536B9C" w:rsidP="00945602">
      <w:pPr>
        <w:rPr>
          <w:rFonts w:ascii="Arial" w:hAnsi="Arial" w:cs="Arial"/>
        </w:rPr>
      </w:pPr>
      <w:r w:rsidRPr="002960B3">
        <w:rPr>
          <w:rFonts w:ascii="Arial" w:hAnsi="Arial" w:cs="Arial"/>
        </w:rPr>
        <w:t>Allen, D.K., Karanasios, S. And Norman, A., (2014). Information sharing and interoperability: the case of major incident management. Houndmills, Basingstoke, Hampshire, UK) : Stockton Press.</w:t>
      </w:r>
    </w:p>
    <w:p w14:paraId="063B39B1" w14:textId="77777777" w:rsidR="00323A6B" w:rsidRPr="002960B3" w:rsidRDefault="00323A6B" w:rsidP="00945602">
      <w:pPr>
        <w:rPr>
          <w:rFonts w:ascii="Arial" w:hAnsi="Arial" w:cs="Arial"/>
        </w:rPr>
      </w:pPr>
    </w:p>
    <w:p w14:paraId="21E5940D" w14:textId="77777777" w:rsidR="00536B9C" w:rsidRPr="002960B3" w:rsidRDefault="00536B9C" w:rsidP="00945602">
      <w:pPr>
        <w:rPr>
          <w:rFonts w:ascii="Arial" w:hAnsi="Arial" w:cs="Arial"/>
        </w:rPr>
      </w:pPr>
      <w:r w:rsidRPr="002960B3">
        <w:rPr>
          <w:rFonts w:ascii="Arial" w:hAnsi="Arial" w:cs="Arial"/>
        </w:rPr>
        <w:t>Auth, N.M., Booker, M.J., Wild, J. and Riley, R. (2022). Mental health and help seeking among trauma-exposed emergency service staff: a qualitative evidence synthesis. BMJ Open, (online) 12(2), p.e047814. doi:https://doi.org/10.1136/bmjopen-2020-047814.</w:t>
      </w:r>
    </w:p>
    <w:p w14:paraId="6FE534EB" w14:textId="77777777" w:rsidR="00323A6B" w:rsidRPr="002960B3" w:rsidRDefault="00323A6B" w:rsidP="00945602">
      <w:pPr>
        <w:rPr>
          <w:rFonts w:ascii="Arial" w:hAnsi="Arial" w:cs="Arial"/>
        </w:rPr>
      </w:pPr>
    </w:p>
    <w:p w14:paraId="7F6D79EE" w14:textId="2920F1B3" w:rsidR="00536B9C" w:rsidRPr="002960B3" w:rsidRDefault="00536B9C" w:rsidP="00945602">
      <w:pPr>
        <w:rPr>
          <w:rFonts w:ascii="Arial" w:hAnsi="Arial" w:cs="Arial"/>
        </w:rPr>
      </w:pPr>
      <w:r w:rsidRPr="002960B3">
        <w:rPr>
          <w:rFonts w:ascii="Arial" w:hAnsi="Arial" w:cs="Arial"/>
        </w:rPr>
        <w:t>Beckley, A. (2019). Mental health: Are the police the forgotten victims of critical incidents? (online) Policing Insight. Available at: https://policinginsight.com/features/analysis/mental-health-are-the-police-the-forgotten-victims-of-critical-incidents/ (Accessed 3 Jun. 2023).</w:t>
      </w:r>
    </w:p>
    <w:p w14:paraId="01029566" w14:textId="77777777" w:rsidR="00323A6B" w:rsidRPr="002960B3" w:rsidRDefault="00323A6B" w:rsidP="00945602">
      <w:pPr>
        <w:pStyle w:val="NoSpacing"/>
        <w:rPr>
          <w:rFonts w:cs="Arial"/>
          <w:szCs w:val="24"/>
        </w:rPr>
      </w:pPr>
    </w:p>
    <w:p w14:paraId="7A095896" w14:textId="77777777" w:rsidR="00323A6B" w:rsidRPr="002960B3" w:rsidRDefault="00536B9C" w:rsidP="00945602">
      <w:pPr>
        <w:pStyle w:val="NoSpacing"/>
        <w:rPr>
          <w:rFonts w:cs="Arial"/>
          <w:szCs w:val="24"/>
        </w:rPr>
      </w:pPr>
      <w:r w:rsidRPr="002960B3">
        <w:rPr>
          <w:rFonts w:cs="Arial"/>
          <w:szCs w:val="24"/>
        </w:rPr>
        <w:t xml:space="preserve">BMG Research (2018). Public Perceptions of Policing in England and Wales 2018 Public Perceptions of Policing in England and Wales 2018 Prepared for: Her Majesty’s Inspectorate of Constabulary and Fire &amp; Rescue Services Prepared by: </w:t>
      </w:r>
    </w:p>
    <w:p w14:paraId="25EB9D0B" w14:textId="5B2A1F8D" w:rsidR="00536B9C" w:rsidRPr="002960B3" w:rsidRDefault="00536B9C" w:rsidP="00945602">
      <w:pPr>
        <w:pStyle w:val="NoSpacing"/>
        <w:rPr>
          <w:rFonts w:cs="Arial"/>
          <w:szCs w:val="24"/>
        </w:rPr>
      </w:pPr>
      <w:r w:rsidRPr="002960B3">
        <w:rPr>
          <w:rFonts w:cs="Arial"/>
          <w:szCs w:val="24"/>
        </w:rPr>
        <w:t>BMG Research. (online) Available at: https://www.bmgresearch.co.uk/wp-content/uploads/2019/01/1578-HMICFRS-Public-Perceptions-of-Policing-2018_FINAL.pdf (Accessed 16 May 2023).</w:t>
      </w:r>
    </w:p>
    <w:p w14:paraId="16EE5106" w14:textId="77777777" w:rsidR="00323A6B" w:rsidRPr="002960B3" w:rsidRDefault="00323A6B" w:rsidP="00945602">
      <w:pPr>
        <w:rPr>
          <w:rFonts w:ascii="Arial" w:hAnsi="Arial" w:cs="Arial"/>
        </w:rPr>
      </w:pPr>
    </w:p>
    <w:p w14:paraId="5AF472F4" w14:textId="53985B2B" w:rsidR="00536B9C" w:rsidRPr="002960B3" w:rsidRDefault="00536B9C" w:rsidP="00945602">
      <w:pPr>
        <w:rPr>
          <w:rFonts w:ascii="Arial" w:hAnsi="Arial" w:cs="Arial"/>
        </w:rPr>
      </w:pPr>
      <w:r w:rsidRPr="002960B3">
        <w:rPr>
          <w:rFonts w:ascii="Arial" w:hAnsi="Arial" w:cs="Arial"/>
        </w:rPr>
        <w:t>Brennan, L., Sage, F.J. And Simpson, A., (1994). Major incident planning in South East Thames Region: a survey of medical staff awareness and training. Oxford : Blackwell Scientific Publications.</w:t>
      </w:r>
    </w:p>
    <w:p w14:paraId="5524934C" w14:textId="77777777" w:rsidR="00323A6B" w:rsidRPr="002960B3" w:rsidRDefault="00323A6B" w:rsidP="00945602">
      <w:pPr>
        <w:rPr>
          <w:rFonts w:ascii="Arial" w:hAnsi="Arial" w:cs="Arial"/>
        </w:rPr>
      </w:pPr>
    </w:p>
    <w:p w14:paraId="6EEAF12D" w14:textId="4FA702D5" w:rsidR="00536B9C" w:rsidRPr="002960B3" w:rsidRDefault="00536B9C" w:rsidP="00945602">
      <w:pPr>
        <w:rPr>
          <w:rFonts w:ascii="Arial" w:hAnsi="Arial" w:cs="Arial"/>
        </w:rPr>
      </w:pPr>
      <w:r w:rsidRPr="002960B3">
        <w:rPr>
          <w:rFonts w:ascii="Arial" w:hAnsi="Arial" w:cs="Arial"/>
        </w:rPr>
        <w:t>Brewin, C.R., Miller, J.K., Soffia, M., Peart, A. and Burchell, B. (2020). Posttraumatic stress disorder and complex posttraumatic stress disorder in UK police officers. Psychological Medicine, 52(7), pp.1–9. doi:https://doi.org/10.1017/s0033291720003025.</w:t>
      </w:r>
    </w:p>
    <w:p w14:paraId="15E7A28B" w14:textId="77777777" w:rsidR="00323A6B" w:rsidRPr="002960B3" w:rsidRDefault="00323A6B" w:rsidP="00945602">
      <w:pPr>
        <w:rPr>
          <w:rFonts w:ascii="Arial" w:hAnsi="Arial" w:cs="Arial"/>
        </w:rPr>
      </w:pPr>
    </w:p>
    <w:p w14:paraId="463332D3" w14:textId="7733B65A" w:rsidR="00536B9C" w:rsidRPr="002960B3" w:rsidRDefault="00536B9C" w:rsidP="00945602">
      <w:pPr>
        <w:rPr>
          <w:rFonts w:ascii="Arial" w:hAnsi="Arial" w:cs="Arial"/>
        </w:rPr>
      </w:pPr>
      <w:r w:rsidRPr="002960B3">
        <w:rPr>
          <w:rFonts w:ascii="Arial" w:hAnsi="Arial" w:cs="Arial"/>
        </w:rPr>
        <w:t>Brine, L., Roycroft, M. (2021). Crisis and Disaster Management and Disaster Victim Identification (DVI). In: Roycroft, M., Brine, L. (eds) Modern Police Leadership. Palgrave Macmillan, Cham. https://doi.org/10.1007/978-3-030-63930-3_10</w:t>
      </w:r>
    </w:p>
    <w:p w14:paraId="05B40A2F" w14:textId="77777777" w:rsidR="00323A6B" w:rsidRPr="002960B3" w:rsidRDefault="00323A6B" w:rsidP="00945602">
      <w:pPr>
        <w:pStyle w:val="NoSpacing"/>
        <w:rPr>
          <w:rFonts w:cs="Arial"/>
          <w:szCs w:val="24"/>
        </w:rPr>
      </w:pPr>
    </w:p>
    <w:p w14:paraId="35319CA6" w14:textId="72536E1C" w:rsidR="00536B9C" w:rsidRPr="002960B3" w:rsidRDefault="00536B9C" w:rsidP="00945602">
      <w:pPr>
        <w:pStyle w:val="NoSpacing"/>
        <w:rPr>
          <w:rFonts w:cs="Arial"/>
          <w:szCs w:val="24"/>
        </w:rPr>
      </w:pPr>
      <w:r w:rsidRPr="006124E7">
        <w:rPr>
          <w:rFonts w:cs="Arial"/>
          <w:szCs w:val="24"/>
        </w:rPr>
        <w:t>Casey, L. (2023). An independent review into the standards of behaviour and internal culture of the Metropolitan Police Service. (online) Available at:</w:t>
      </w:r>
      <w:r w:rsidRPr="002960B3">
        <w:rPr>
          <w:rFonts w:cs="Arial"/>
          <w:szCs w:val="24"/>
        </w:rPr>
        <w:t xml:space="preserve"> </w:t>
      </w:r>
      <w:r w:rsidRPr="002960B3">
        <w:rPr>
          <w:rFonts w:cs="Arial"/>
          <w:szCs w:val="24"/>
        </w:rPr>
        <w:lastRenderedPageBreak/>
        <w:t>https://www.met.police.uk/SysSiteAssets/media/downloads/met/about-us/baroness-casey-review/update-march-2023/baroness-casey-review-march-2023a.pdf (Accessed 25 May 2023).</w:t>
      </w:r>
    </w:p>
    <w:p w14:paraId="38DE6E50" w14:textId="77777777" w:rsidR="00323A6B" w:rsidRPr="002960B3" w:rsidRDefault="00323A6B" w:rsidP="00945602">
      <w:pPr>
        <w:rPr>
          <w:rFonts w:ascii="Arial" w:hAnsi="Arial" w:cs="Arial"/>
        </w:rPr>
      </w:pPr>
    </w:p>
    <w:p w14:paraId="4B535788" w14:textId="66F750AA" w:rsidR="00536B9C" w:rsidRPr="002960B3" w:rsidRDefault="00536B9C" w:rsidP="00945602">
      <w:pPr>
        <w:rPr>
          <w:rFonts w:ascii="Arial" w:hAnsi="Arial" w:cs="Arial"/>
        </w:rPr>
      </w:pPr>
      <w:r w:rsidRPr="002960B3">
        <w:rPr>
          <w:rFonts w:ascii="Arial" w:hAnsi="Arial" w:cs="Arial"/>
        </w:rPr>
        <w:t>Charman, S., (2014). Blue light communities: cultural interoperability and shared learning between ambulance staff and police officers in emergency response. London, UK : Taylor &amp; Francis.</w:t>
      </w:r>
    </w:p>
    <w:p w14:paraId="1174DB5F" w14:textId="77777777" w:rsidR="00323A6B" w:rsidRPr="002960B3" w:rsidRDefault="00323A6B" w:rsidP="00945602">
      <w:pPr>
        <w:rPr>
          <w:rFonts w:ascii="Arial" w:hAnsi="Arial" w:cs="Arial"/>
        </w:rPr>
      </w:pPr>
    </w:p>
    <w:p w14:paraId="5751E455" w14:textId="483AC3C3" w:rsidR="00536B9C" w:rsidRDefault="00536B9C" w:rsidP="00945602">
      <w:pPr>
        <w:rPr>
          <w:rFonts w:ascii="Arial" w:hAnsi="Arial" w:cs="Arial"/>
        </w:rPr>
      </w:pPr>
      <w:r w:rsidRPr="002960B3">
        <w:rPr>
          <w:rFonts w:ascii="Arial" w:hAnsi="Arial" w:cs="Arial"/>
        </w:rPr>
        <w:t>CIPR and CPNI (2019). Crisis Management for Terrorist Related Events. (online) p.7. Available at: https://www.npsa.gov.uk/crisis-management-terrorist-related-events (Accessed 4 Jun. 2023).</w:t>
      </w:r>
    </w:p>
    <w:p w14:paraId="4C72BA89" w14:textId="77777777" w:rsidR="006124E7" w:rsidRPr="002960B3" w:rsidRDefault="006124E7" w:rsidP="00945602">
      <w:pPr>
        <w:rPr>
          <w:rFonts w:ascii="Arial" w:hAnsi="Arial" w:cs="Arial"/>
        </w:rPr>
      </w:pPr>
    </w:p>
    <w:p w14:paraId="7BB1683E" w14:textId="77777777" w:rsidR="00536B9C" w:rsidRPr="002960B3" w:rsidRDefault="00536B9C" w:rsidP="00945602">
      <w:pPr>
        <w:pStyle w:val="NoSpacing"/>
        <w:rPr>
          <w:rFonts w:cs="Arial"/>
          <w:szCs w:val="24"/>
        </w:rPr>
      </w:pPr>
      <w:r w:rsidRPr="002960B3">
        <w:rPr>
          <w:rFonts w:cs="Arial"/>
          <w:szCs w:val="24"/>
        </w:rPr>
        <w:t xml:space="preserve">Citizen Advice (2023). </w:t>
      </w:r>
      <w:r w:rsidRPr="002960B3">
        <w:rPr>
          <w:rFonts w:cs="Arial"/>
          <w:i/>
          <w:iCs/>
          <w:szCs w:val="24"/>
        </w:rPr>
        <w:t>Gypsies and Travellers - race discrimination</w:t>
      </w:r>
      <w:r w:rsidRPr="002960B3">
        <w:rPr>
          <w:rFonts w:cs="Arial"/>
          <w:szCs w:val="24"/>
        </w:rPr>
        <w:t>. (online) www.citizensadvice.org.uk. Available at: https://www.citizensadvice.org.uk/law-and-courts/discrimination/check-if-youre-protected-from-discrimination/gypsies-and-travellers-race-discrimination/ (Accessed 27 Apr. 2023).</w:t>
      </w:r>
    </w:p>
    <w:p w14:paraId="536E7B60" w14:textId="77777777" w:rsidR="00323A6B" w:rsidRPr="002960B3" w:rsidRDefault="00323A6B" w:rsidP="00945602">
      <w:pPr>
        <w:pStyle w:val="NoSpacing"/>
        <w:rPr>
          <w:rFonts w:cs="Arial"/>
          <w:szCs w:val="24"/>
          <w:shd w:val="clear" w:color="auto" w:fill="FFFFFF"/>
        </w:rPr>
      </w:pPr>
    </w:p>
    <w:p w14:paraId="5FF90AC8" w14:textId="4B108295" w:rsidR="00536B9C" w:rsidRPr="002960B3" w:rsidRDefault="00536B9C" w:rsidP="00945602">
      <w:pPr>
        <w:pStyle w:val="NoSpacing"/>
        <w:rPr>
          <w:rFonts w:cs="Arial"/>
          <w:szCs w:val="24"/>
        </w:rPr>
      </w:pPr>
      <w:r w:rsidRPr="002960B3">
        <w:rPr>
          <w:rFonts w:cs="Arial"/>
          <w:szCs w:val="24"/>
          <w:shd w:val="clear" w:color="auto" w:fill="FFFFFF"/>
        </w:rPr>
        <w:t>Coliandris, G. and Rogers, C., 2008. Linking Police Culture, Leadership and Partnership-Working. </w:t>
      </w:r>
      <w:r w:rsidRPr="002960B3">
        <w:rPr>
          <w:rFonts w:cs="Arial"/>
          <w:i/>
          <w:iCs/>
          <w:szCs w:val="24"/>
          <w:shd w:val="clear" w:color="auto" w:fill="FFFFFF"/>
        </w:rPr>
        <w:t>Police journal (Chichester), </w:t>
      </w:r>
      <w:r w:rsidRPr="002960B3">
        <w:rPr>
          <w:rFonts w:cs="Arial"/>
          <w:b/>
          <w:bCs/>
          <w:szCs w:val="24"/>
          <w:shd w:val="clear" w:color="auto" w:fill="FFFFFF"/>
        </w:rPr>
        <w:t>81</w:t>
      </w:r>
      <w:r w:rsidRPr="002960B3">
        <w:rPr>
          <w:rFonts w:cs="Arial"/>
          <w:szCs w:val="24"/>
          <w:shd w:val="clear" w:color="auto" w:fill="FFFFFF"/>
        </w:rPr>
        <w:t>(2), pp. 111-125.</w:t>
      </w:r>
    </w:p>
    <w:p w14:paraId="2FEB1778" w14:textId="77777777" w:rsidR="00323A6B" w:rsidRPr="002960B3" w:rsidRDefault="00323A6B" w:rsidP="00945602">
      <w:pPr>
        <w:pStyle w:val="NoSpacing"/>
        <w:rPr>
          <w:rFonts w:cs="Arial"/>
          <w:szCs w:val="24"/>
        </w:rPr>
      </w:pPr>
    </w:p>
    <w:p w14:paraId="701F8906" w14:textId="10F2065F" w:rsidR="00536B9C" w:rsidRPr="002960B3" w:rsidRDefault="00536B9C" w:rsidP="00945602">
      <w:pPr>
        <w:pStyle w:val="NoSpacing"/>
        <w:rPr>
          <w:rFonts w:cs="Arial"/>
          <w:szCs w:val="24"/>
        </w:rPr>
      </w:pPr>
      <w:r w:rsidRPr="002960B3">
        <w:rPr>
          <w:rFonts w:cs="Arial"/>
          <w:szCs w:val="24"/>
        </w:rPr>
        <w:t xml:space="preserve">College of Policing (2013). </w:t>
      </w:r>
      <w:r w:rsidRPr="002960B3">
        <w:rPr>
          <w:rFonts w:cs="Arial"/>
          <w:i/>
          <w:iCs/>
          <w:szCs w:val="24"/>
        </w:rPr>
        <w:t>Engagement</w:t>
      </w:r>
      <w:r w:rsidRPr="002960B3">
        <w:rPr>
          <w:rFonts w:cs="Arial"/>
          <w:szCs w:val="24"/>
        </w:rPr>
        <w:t>. (online) College of Policing. Available at: https://www.college.police.uk/app/engagement-and-communication/engagement#community-impact-assessment (Accessed 16 May 2023).</w:t>
      </w:r>
    </w:p>
    <w:p w14:paraId="558B6846" w14:textId="77777777" w:rsidR="00323A6B" w:rsidRPr="002960B3" w:rsidRDefault="00323A6B" w:rsidP="00945602">
      <w:pPr>
        <w:rPr>
          <w:rFonts w:ascii="Arial" w:hAnsi="Arial" w:cs="Arial"/>
        </w:rPr>
      </w:pPr>
    </w:p>
    <w:p w14:paraId="04D89A61" w14:textId="507FE545" w:rsidR="00536B9C" w:rsidRPr="002960B3" w:rsidRDefault="00536B9C" w:rsidP="00945602">
      <w:pPr>
        <w:rPr>
          <w:rFonts w:ascii="Arial" w:hAnsi="Arial" w:cs="Arial"/>
        </w:rPr>
      </w:pPr>
      <w:r w:rsidRPr="002960B3">
        <w:rPr>
          <w:rFonts w:ascii="Arial" w:hAnsi="Arial" w:cs="Arial"/>
        </w:rPr>
        <w:t>College of Policing (2013a). Command, control and coordination. (online) College of Policing. Available at: https://www.college.police.uk/app/civil-emergencies/civil-contingencies/command-control-and-coordination (Accessed 17 May 2023).</w:t>
      </w:r>
    </w:p>
    <w:p w14:paraId="1905DCBD" w14:textId="77777777" w:rsidR="00323A6B" w:rsidRPr="002960B3" w:rsidRDefault="00323A6B" w:rsidP="00945602">
      <w:pPr>
        <w:rPr>
          <w:rFonts w:ascii="Arial" w:hAnsi="Arial" w:cs="Arial"/>
        </w:rPr>
      </w:pPr>
    </w:p>
    <w:p w14:paraId="04A71DA2" w14:textId="602C27F5" w:rsidR="00536B9C" w:rsidRPr="002960B3" w:rsidRDefault="00536B9C" w:rsidP="00945602">
      <w:pPr>
        <w:rPr>
          <w:rFonts w:ascii="Arial" w:hAnsi="Arial" w:cs="Arial"/>
        </w:rPr>
      </w:pPr>
      <w:r w:rsidRPr="002960B3">
        <w:rPr>
          <w:rFonts w:ascii="Arial" w:hAnsi="Arial" w:cs="Arial"/>
        </w:rPr>
        <w:t>College of Policing (2018). Responding to trauma in policing A practical guide BetterProfessionals forBetterPolicing TM. (online) pp.7–12. Available at: https://assets.college.police.uk/s3fs-public/2021-02/responding-to-trauma-in-policing.pdf (Accessed 3 Jun. 2023).</w:t>
      </w:r>
    </w:p>
    <w:p w14:paraId="6167E507" w14:textId="77777777" w:rsidR="00323A6B" w:rsidRPr="002960B3" w:rsidRDefault="00323A6B" w:rsidP="00945602">
      <w:pPr>
        <w:pStyle w:val="NoSpacing"/>
        <w:rPr>
          <w:rFonts w:cs="Arial"/>
          <w:szCs w:val="24"/>
        </w:rPr>
      </w:pPr>
    </w:p>
    <w:p w14:paraId="1A2891A4" w14:textId="68F02FD5" w:rsidR="00536B9C" w:rsidRPr="002960B3" w:rsidRDefault="00536B9C" w:rsidP="00945602">
      <w:pPr>
        <w:pStyle w:val="NoSpacing"/>
        <w:rPr>
          <w:rFonts w:cs="Arial"/>
          <w:szCs w:val="24"/>
        </w:rPr>
      </w:pPr>
      <w:r w:rsidRPr="002960B3">
        <w:rPr>
          <w:rFonts w:cs="Arial"/>
          <w:szCs w:val="24"/>
        </w:rPr>
        <w:t>Control of Horses Act 2015 c. 23. Available at: https://www.legislation.gov.uk/ukpga/2015/23/section/1/enacted (Accessed 27 Apr. 2023).</w:t>
      </w:r>
    </w:p>
    <w:p w14:paraId="0DCF6426" w14:textId="77777777" w:rsidR="00323A6B" w:rsidRPr="002960B3" w:rsidRDefault="00323A6B" w:rsidP="00945602">
      <w:pPr>
        <w:pStyle w:val="NoSpacing"/>
        <w:rPr>
          <w:rFonts w:cs="Arial"/>
          <w:szCs w:val="24"/>
        </w:rPr>
      </w:pPr>
    </w:p>
    <w:p w14:paraId="2168067D" w14:textId="69CA37E6" w:rsidR="00536B9C" w:rsidRPr="002960B3" w:rsidRDefault="00536B9C" w:rsidP="00945602">
      <w:pPr>
        <w:pStyle w:val="NoSpacing"/>
        <w:rPr>
          <w:rFonts w:cs="Arial"/>
          <w:szCs w:val="24"/>
        </w:rPr>
      </w:pPr>
      <w:r w:rsidRPr="002960B3">
        <w:rPr>
          <w:rFonts w:cs="Arial"/>
          <w:szCs w:val="24"/>
        </w:rPr>
        <w:t xml:space="preserve">Dario, L.M., Fradella, H.F., Verhagen, M. and Parry, M.M. (2019). Assessing LGBT People’s Perceptions of Police Legitimacy. </w:t>
      </w:r>
      <w:r w:rsidRPr="002960B3">
        <w:rPr>
          <w:rFonts w:cs="Arial"/>
          <w:i/>
          <w:iCs/>
          <w:szCs w:val="24"/>
        </w:rPr>
        <w:t>Journal of Homosexuality</w:t>
      </w:r>
      <w:r w:rsidRPr="002960B3">
        <w:rPr>
          <w:rFonts w:cs="Arial"/>
          <w:szCs w:val="24"/>
        </w:rPr>
        <w:t>, 67(7), pp.885–915. doi:https://doi.org/10.1080/00918369.2018.1560127.</w:t>
      </w:r>
    </w:p>
    <w:p w14:paraId="3E8A3884" w14:textId="77777777" w:rsidR="00323A6B" w:rsidRPr="002960B3" w:rsidRDefault="00323A6B" w:rsidP="00945602">
      <w:pPr>
        <w:rPr>
          <w:rFonts w:ascii="Arial" w:hAnsi="Arial" w:cs="Arial"/>
        </w:rPr>
      </w:pPr>
    </w:p>
    <w:p w14:paraId="2ECDAEF2" w14:textId="6841C75D" w:rsidR="00536B9C" w:rsidRPr="002960B3" w:rsidRDefault="00536B9C" w:rsidP="00945602">
      <w:pPr>
        <w:rPr>
          <w:rFonts w:ascii="Arial" w:hAnsi="Arial" w:cs="Arial"/>
        </w:rPr>
      </w:pPr>
      <w:r w:rsidRPr="002960B3">
        <w:rPr>
          <w:rFonts w:ascii="Arial" w:hAnsi="Arial" w:cs="Arial"/>
        </w:rPr>
        <w:t xml:space="preserve">Davis, Howard, (2013) Contextual Challenges for Crisis Support in the Immediate Aftermath of Major Incidents in the UK, The British Journal of Social Work, Volume 43, Issue 3, April 2013, Pages 504–521, </w:t>
      </w:r>
      <w:hyperlink r:id="rId6" w:history="1">
        <w:r w:rsidRPr="002960B3">
          <w:rPr>
            <w:rStyle w:val="Hyperlink"/>
            <w:rFonts w:ascii="Arial" w:hAnsi="Arial" w:cs="Arial"/>
            <w:color w:val="auto"/>
          </w:rPr>
          <w:t>https://doi.org/10.1093/bjsw/bcr197</w:t>
        </w:r>
      </w:hyperlink>
    </w:p>
    <w:p w14:paraId="3A990021" w14:textId="77777777" w:rsidR="00323A6B" w:rsidRPr="002960B3" w:rsidRDefault="00323A6B" w:rsidP="00945602">
      <w:pPr>
        <w:rPr>
          <w:rFonts w:ascii="Arial" w:hAnsi="Arial" w:cs="Arial"/>
        </w:rPr>
      </w:pPr>
    </w:p>
    <w:p w14:paraId="23BD42F9" w14:textId="57A6F1D9" w:rsidR="00536B9C" w:rsidRPr="002960B3" w:rsidRDefault="00536B9C" w:rsidP="00945602">
      <w:pPr>
        <w:rPr>
          <w:rFonts w:ascii="Arial" w:hAnsi="Arial" w:cs="Arial"/>
        </w:rPr>
      </w:pPr>
      <w:r w:rsidRPr="002960B3">
        <w:rPr>
          <w:rFonts w:ascii="Arial" w:hAnsi="Arial" w:cs="Arial"/>
        </w:rPr>
        <w:t>Dethick, L., (1999). Declaring a major incident. Emergency Nurse (through 2013), 7(3), pp. 21-5.</w:t>
      </w:r>
    </w:p>
    <w:p w14:paraId="084E7F13" w14:textId="77777777" w:rsidR="00323A6B" w:rsidRPr="002960B3" w:rsidRDefault="00323A6B" w:rsidP="00945602">
      <w:pPr>
        <w:pStyle w:val="NoSpacing"/>
        <w:rPr>
          <w:rFonts w:cs="Arial"/>
          <w:szCs w:val="24"/>
        </w:rPr>
      </w:pPr>
    </w:p>
    <w:p w14:paraId="2EBF01C1" w14:textId="1AA6B3DA" w:rsidR="00536B9C" w:rsidRPr="002960B3" w:rsidRDefault="00536B9C" w:rsidP="00945602">
      <w:pPr>
        <w:pStyle w:val="NoSpacing"/>
        <w:rPr>
          <w:rFonts w:cs="Arial"/>
          <w:szCs w:val="24"/>
        </w:rPr>
      </w:pPr>
      <w:r w:rsidRPr="002960B3">
        <w:rPr>
          <w:rFonts w:cs="Arial"/>
          <w:szCs w:val="24"/>
        </w:rPr>
        <w:lastRenderedPageBreak/>
        <w:t>Friends, Families and Travellers (2023). Frequently Asked Questions. (online) Friends, Families and Travellers. Available at: https://www.gypsy-traveller.org/about-us/frequently-asked-questions/#:~:text=There%20is%20no%20king%20or (Accessed 15 May 2023).</w:t>
      </w:r>
    </w:p>
    <w:p w14:paraId="7B0495DA" w14:textId="77777777" w:rsidR="00323A6B" w:rsidRPr="002960B3" w:rsidRDefault="00323A6B" w:rsidP="00945602">
      <w:pPr>
        <w:pStyle w:val="NoSpacing"/>
        <w:rPr>
          <w:rFonts w:cs="Arial"/>
          <w:szCs w:val="24"/>
        </w:rPr>
      </w:pPr>
    </w:p>
    <w:p w14:paraId="70B324E6" w14:textId="466DBD51" w:rsidR="00536B9C" w:rsidRPr="002960B3" w:rsidRDefault="00536B9C" w:rsidP="00945602">
      <w:pPr>
        <w:pStyle w:val="NoSpacing"/>
        <w:rPr>
          <w:rFonts w:cs="Arial"/>
          <w:szCs w:val="24"/>
        </w:rPr>
      </w:pPr>
      <w:r w:rsidRPr="002960B3">
        <w:rPr>
          <w:rFonts w:cs="Arial"/>
          <w:szCs w:val="24"/>
        </w:rPr>
        <w:t>GATE Herts (2021). A guide for police officers dealing with hate crime directed at Gypsy Roma and Traveller people. (online) Available at: https://gateherts.org.uk/wp-content/uploads/2021/10/Hatecrime-guidlines-Police-review-J-fin2.pdf (Accessed 15 May 2023).</w:t>
      </w:r>
    </w:p>
    <w:p w14:paraId="65BAB648" w14:textId="77777777" w:rsidR="00323A6B" w:rsidRPr="002960B3" w:rsidRDefault="00323A6B" w:rsidP="00945602">
      <w:pPr>
        <w:rPr>
          <w:rFonts w:ascii="Arial" w:hAnsi="Arial" w:cs="Arial"/>
        </w:rPr>
      </w:pPr>
    </w:p>
    <w:p w14:paraId="239B78F4" w14:textId="4652FDFB" w:rsidR="00536B9C" w:rsidRPr="002960B3" w:rsidRDefault="00536B9C" w:rsidP="00945602">
      <w:pPr>
        <w:rPr>
          <w:rFonts w:ascii="Arial" w:hAnsi="Arial" w:cs="Arial"/>
        </w:rPr>
      </w:pPr>
      <w:r w:rsidRPr="002960B3">
        <w:rPr>
          <w:rFonts w:ascii="Arial" w:hAnsi="Arial" w:cs="Arial"/>
        </w:rPr>
        <w:t>Gillingham, &amp; Noizet, J. (2007). A response model for the public relations management of a critical incident. Disaster Prevention and Management., 16(4), 545–550. https://doi.org/10.1108/09653560710817020</w:t>
      </w:r>
    </w:p>
    <w:p w14:paraId="7B367429" w14:textId="77777777" w:rsidR="00323A6B" w:rsidRPr="002960B3" w:rsidRDefault="00323A6B" w:rsidP="00945602">
      <w:pPr>
        <w:rPr>
          <w:rFonts w:ascii="Arial" w:hAnsi="Arial" w:cs="Arial"/>
        </w:rPr>
      </w:pPr>
    </w:p>
    <w:p w14:paraId="1E7BE39D" w14:textId="46EFDE78" w:rsidR="00536B9C" w:rsidRPr="002960B3" w:rsidRDefault="00536B9C" w:rsidP="00945602">
      <w:pPr>
        <w:rPr>
          <w:rFonts w:ascii="Arial" w:hAnsi="Arial" w:cs="Arial"/>
        </w:rPr>
      </w:pPr>
      <w:r w:rsidRPr="002960B3">
        <w:rPr>
          <w:rFonts w:ascii="Arial" w:hAnsi="Arial" w:cs="Arial"/>
        </w:rPr>
        <w:t>Health and Safety Executive (n.d.). Investigation - Stage 1: Receive incident details. (online) www.hse.gov.uk. Available at: https://www.hse.gov.uk/foi/internalops/og/ogprocedures/investigation/majorincident.htm (Accessed 3 Jun. 2023).</w:t>
      </w:r>
    </w:p>
    <w:p w14:paraId="46DF4AB5" w14:textId="77777777" w:rsidR="00323A6B" w:rsidRPr="002960B3" w:rsidRDefault="00323A6B" w:rsidP="00945602">
      <w:pPr>
        <w:rPr>
          <w:rFonts w:ascii="Arial" w:hAnsi="Arial" w:cs="Arial"/>
        </w:rPr>
      </w:pPr>
    </w:p>
    <w:p w14:paraId="11D7AFA4" w14:textId="742A9EAC" w:rsidR="00536B9C" w:rsidRPr="002960B3" w:rsidRDefault="00536B9C" w:rsidP="00945602">
      <w:pPr>
        <w:rPr>
          <w:rFonts w:ascii="Arial" w:hAnsi="Arial" w:cs="Arial"/>
        </w:rPr>
      </w:pPr>
      <w:r w:rsidRPr="002960B3">
        <w:rPr>
          <w:rFonts w:ascii="Arial" w:hAnsi="Arial" w:cs="Arial"/>
        </w:rPr>
        <w:t xml:space="preserve">Healy, &amp; Tyrrell, M. (2013). Importance of debriefing following critical incidents. Emergency Nurse : the Journal of the RCN Accident and Emergency Nursing Association., 20(10), 32–37. https://doi.org/10.7748/en2013.03.20.10.32.s8 </w:t>
      </w:r>
    </w:p>
    <w:p w14:paraId="1C306C4A" w14:textId="77777777" w:rsidR="00323A6B" w:rsidRPr="002960B3" w:rsidRDefault="00323A6B" w:rsidP="00945602">
      <w:pPr>
        <w:rPr>
          <w:rFonts w:ascii="Arial" w:hAnsi="Arial" w:cs="Arial"/>
        </w:rPr>
      </w:pPr>
    </w:p>
    <w:p w14:paraId="1A79E37F" w14:textId="7F41D90B" w:rsidR="00536B9C" w:rsidRDefault="00536B9C" w:rsidP="00945602">
      <w:pPr>
        <w:rPr>
          <w:rFonts w:ascii="Arial" w:hAnsi="Arial" w:cs="Arial"/>
        </w:rPr>
      </w:pPr>
      <w:r w:rsidRPr="002960B3">
        <w:rPr>
          <w:rFonts w:ascii="Arial" w:hAnsi="Arial" w:cs="Arial"/>
        </w:rPr>
        <w:t>HMIC (2016). The tri-service review of the Joint Emergency Services Interoperability Principles (JESIP). (online) Available at: https://www.justiceinspectorates.gov.uk/hmicfrs/wp-content/uploads/joint-emergency-services-interoperability-principles-review.pdf (Accessed 17 May 2023).</w:t>
      </w:r>
    </w:p>
    <w:p w14:paraId="7DA1E69B" w14:textId="77777777" w:rsidR="002866A5" w:rsidRDefault="002866A5" w:rsidP="00945602">
      <w:pPr>
        <w:rPr>
          <w:rFonts w:ascii="Arial" w:hAnsi="Arial" w:cs="Arial"/>
        </w:rPr>
      </w:pPr>
    </w:p>
    <w:p w14:paraId="1FD03189" w14:textId="5136A6F3" w:rsidR="002866A5" w:rsidRPr="002866A5" w:rsidRDefault="002866A5" w:rsidP="002866A5">
      <w:pPr>
        <w:rPr>
          <w:rFonts w:ascii="Arial" w:hAnsi="Arial" w:cs="Arial"/>
        </w:rPr>
      </w:pPr>
      <w:r w:rsidRPr="002866A5">
        <w:rPr>
          <w:rFonts w:ascii="Arial" w:hAnsi="Arial" w:cs="Arial"/>
        </w:rPr>
        <w:t>House, A., Power, N. and Alison, L. (2013). A systematic review of the potential hurdles of interoperability to the emergency services in major incidents: recommendations for solutions and alternatives. Cognition, Technology &amp; Work, [online] 16(3), pp.319–335. doi:https://doi.org/10.1007/s10111-013-0259-6.</w:t>
      </w:r>
    </w:p>
    <w:p w14:paraId="374C8B61" w14:textId="77777777" w:rsidR="00323A6B" w:rsidRPr="002960B3" w:rsidRDefault="00323A6B" w:rsidP="00945602">
      <w:pPr>
        <w:pStyle w:val="NoSpacing"/>
        <w:rPr>
          <w:rFonts w:cs="Arial"/>
          <w:szCs w:val="24"/>
        </w:rPr>
      </w:pPr>
    </w:p>
    <w:p w14:paraId="51194C76" w14:textId="78E654B5" w:rsidR="00536B9C" w:rsidRPr="002960B3" w:rsidRDefault="00536B9C" w:rsidP="00945602">
      <w:pPr>
        <w:pStyle w:val="NoSpacing"/>
        <w:rPr>
          <w:rFonts w:cs="Arial"/>
          <w:szCs w:val="24"/>
        </w:rPr>
      </w:pPr>
      <w:r w:rsidRPr="002960B3">
        <w:rPr>
          <w:rFonts w:cs="Arial"/>
          <w:szCs w:val="24"/>
        </w:rPr>
        <w:t>Hubbard, L. (2021). the LGBT+ anti-abuse charity Hate Crime Report 2021 Supporting LGBT+ victims of hate crime. (online) Available at: https://galop.org.uk/wp-content/uploads/2021/06/Galop-Hate-Crime-Report-2021-1.pdf. (Accessed 15 May 2023).</w:t>
      </w:r>
    </w:p>
    <w:p w14:paraId="28A35CF9" w14:textId="77777777" w:rsidR="00323A6B" w:rsidRPr="002960B3" w:rsidRDefault="00323A6B" w:rsidP="00945602">
      <w:pPr>
        <w:pStyle w:val="NoSpacing"/>
        <w:rPr>
          <w:rFonts w:cs="Arial"/>
          <w:szCs w:val="24"/>
          <w:shd w:val="clear" w:color="auto" w:fill="FFFFFF"/>
        </w:rPr>
      </w:pPr>
    </w:p>
    <w:p w14:paraId="52973617" w14:textId="0E8BEA2C" w:rsidR="00536B9C" w:rsidRPr="002960B3" w:rsidRDefault="00536B9C" w:rsidP="00945602">
      <w:pPr>
        <w:pStyle w:val="NoSpacing"/>
        <w:rPr>
          <w:rFonts w:cs="Arial"/>
          <w:szCs w:val="24"/>
          <w:shd w:val="clear" w:color="auto" w:fill="FFFFFF"/>
        </w:rPr>
      </w:pPr>
      <w:r w:rsidRPr="002960B3">
        <w:rPr>
          <w:rFonts w:cs="Arial"/>
          <w:szCs w:val="24"/>
          <w:shd w:val="clear" w:color="auto" w:fill="FFFFFF"/>
        </w:rPr>
        <w:t>Hutchison, P., Chihade, R. and Puiu, A.A., (2018). Predictors of “the last acceptable racism”: Group threats and public attitudes toward Gypsies and Travellers. Silver Spring, Md. : VH Winston.</w:t>
      </w:r>
    </w:p>
    <w:p w14:paraId="12361BE5" w14:textId="77777777" w:rsidR="00323A6B" w:rsidRPr="002960B3" w:rsidRDefault="00323A6B" w:rsidP="00945602">
      <w:pPr>
        <w:rPr>
          <w:rFonts w:ascii="Arial" w:hAnsi="Arial" w:cs="Arial"/>
        </w:rPr>
      </w:pPr>
    </w:p>
    <w:p w14:paraId="0E02E76D" w14:textId="1E327EC5" w:rsidR="00536B9C" w:rsidRPr="002960B3" w:rsidRDefault="00536B9C" w:rsidP="00945602">
      <w:pPr>
        <w:rPr>
          <w:rFonts w:ascii="Arial" w:hAnsi="Arial" w:cs="Arial"/>
        </w:rPr>
      </w:pPr>
      <w:r w:rsidRPr="002960B3">
        <w:rPr>
          <w:rFonts w:ascii="Arial" w:hAnsi="Arial" w:cs="Arial"/>
        </w:rPr>
        <w:t>Hutson, S.P., Hall, J.M. and Pack, F.L. (2015). Survivor Guilt. Advances in Nursing Science, (online) 38(1), pp.20–33. doi:https://doi.org/10.1097/ans.0000000000000058.</w:t>
      </w:r>
    </w:p>
    <w:p w14:paraId="579F2B6A" w14:textId="77777777" w:rsidR="00323A6B" w:rsidRPr="002960B3" w:rsidRDefault="00323A6B" w:rsidP="00945602">
      <w:pPr>
        <w:pStyle w:val="NoSpacing"/>
      </w:pPr>
    </w:p>
    <w:p w14:paraId="2074F6A0" w14:textId="40D8C8E1" w:rsidR="00536B9C" w:rsidRPr="006124E7" w:rsidRDefault="00536B9C" w:rsidP="00945602">
      <w:pPr>
        <w:pStyle w:val="NoSpacing"/>
        <w:rPr>
          <w:szCs w:val="24"/>
        </w:rPr>
      </w:pPr>
      <w:r w:rsidRPr="006124E7">
        <w:t>Innes, M. (2010). Criminal Legacies: Community Impact Assessments and Defining ‘Success’ and ‘Harm’ in Police Homicide Investigations. Journal of Contemporary Criminal Justice, 26(4), pp.367–381. doi:https://doi.org/10.1177/1043986210377106.</w:t>
      </w:r>
    </w:p>
    <w:p w14:paraId="1ECAD8BE" w14:textId="77777777" w:rsidR="00323A6B" w:rsidRPr="006124E7" w:rsidRDefault="00323A6B" w:rsidP="00945602">
      <w:pPr>
        <w:pStyle w:val="NoSpacing"/>
      </w:pPr>
    </w:p>
    <w:p w14:paraId="42260A2D" w14:textId="10516CE2" w:rsidR="00536B9C" w:rsidRPr="006124E7" w:rsidRDefault="00536B9C" w:rsidP="00945602">
      <w:pPr>
        <w:pStyle w:val="NoSpacing"/>
      </w:pPr>
      <w:r w:rsidRPr="006124E7">
        <w:lastRenderedPageBreak/>
        <w:t>Innes, M., Roberts, C., Lowe, T. and Innes, H.(2020). Neighbourhood policing : the rise and fall of a policing model. Oxford, England: Oxford University Press.</w:t>
      </w:r>
    </w:p>
    <w:p w14:paraId="313DDBC9" w14:textId="77777777" w:rsidR="00323A6B" w:rsidRPr="006124E7" w:rsidRDefault="00323A6B" w:rsidP="00945602">
      <w:pPr>
        <w:pStyle w:val="NoSpacing"/>
        <w:rPr>
          <w:rFonts w:cs="Arial"/>
          <w:szCs w:val="24"/>
        </w:rPr>
      </w:pPr>
    </w:p>
    <w:p w14:paraId="48614713" w14:textId="66E9C52A" w:rsidR="00536B9C" w:rsidRPr="002960B3" w:rsidRDefault="00536B9C" w:rsidP="00945602">
      <w:pPr>
        <w:pStyle w:val="NoSpacing"/>
        <w:rPr>
          <w:rFonts w:cs="Arial"/>
          <w:szCs w:val="24"/>
        </w:rPr>
      </w:pPr>
      <w:r w:rsidRPr="006124E7">
        <w:rPr>
          <w:rFonts w:cs="Arial"/>
          <w:szCs w:val="24"/>
        </w:rPr>
        <w:t>IOPC (2022). IOPC Public Perceptions Tracker Summary Report, Waves 5.1 -5.3. (online) Available at:</w:t>
      </w:r>
      <w:r w:rsidRPr="002960B3">
        <w:rPr>
          <w:rFonts w:cs="Arial"/>
          <w:szCs w:val="24"/>
        </w:rPr>
        <w:t xml:space="preserve"> https://www.policeconduct.gov.uk/sites/default/files/Documents/statistics/IOPC_Yonder_Public_Perceptions_Tracker_Annual_Summary_Report_2021_22_Final.pdf (Accessed 12 Apr. 2023).</w:t>
      </w:r>
    </w:p>
    <w:p w14:paraId="14BA0A82" w14:textId="77777777" w:rsidR="00323A6B" w:rsidRPr="002960B3" w:rsidRDefault="00323A6B" w:rsidP="00945602">
      <w:pPr>
        <w:pStyle w:val="NoSpacing"/>
      </w:pPr>
    </w:p>
    <w:p w14:paraId="56F07EDD" w14:textId="2D258DB4" w:rsidR="00536B9C" w:rsidRPr="002960B3" w:rsidRDefault="00536B9C" w:rsidP="00945602">
      <w:pPr>
        <w:pStyle w:val="NoSpacing"/>
        <w:rPr>
          <w:szCs w:val="24"/>
        </w:rPr>
      </w:pPr>
      <w:r w:rsidRPr="002960B3">
        <w:t xml:space="preserve">Jackson, J. and Bradford, B. (2010). What is Trust and Confidence in the Police? </w:t>
      </w:r>
      <w:r w:rsidRPr="002960B3">
        <w:rPr>
          <w:i/>
          <w:iCs/>
        </w:rPr>
        <w:t>Policing</w:t>
      </w:r>
      <w:r w:rsidRPr="002960B3">
        <w:t>, 4(3), pp.241–248. doi:https://doi.org/10.1093/police/paq020.</w:t>
      </w:r>
    </w:p>
    <w:p w14:paraId="55A132B6" w14:textId="77777777" w:rsidR="00323A6B" w:rsidRPr="002960B3" w:rsidRDefault="00323A6B" w:rsidP="00945602">
      <w:pPr>
        <w:pStyle w:val="NoSpacing"/>
        <w:rPr>
          <w:rFonts w:cs="Arial"/>
          <w:szCs w:val="24"/>
        </w:rPr>
      </w:pPr>
    </w:p>
    <w:p w14:paraId="633FD1C1" w14:textId="4031E815" w:rsidR="00536B9C" w:rsidRPr="002960B3" w:rsidRDefault="00536B9C" w:rsidP="00945602">
      <w:pPr>
        <w:pStyle w:val="NoSpacing"/>
        <w:rPr>
          <w:rStyle w:val="Hyperlink"/>
          <w:rFonts w:cs="Arial"/>
          <w:color w:val="auto"/>
          <w:szCs w:val="24"/>
        </w:rPr>
      </w:pPr>
      <w:r w:rsidRPr="002960B3">
        <w:rPr>
          <w:rFonts w:cs="Arial"/>
          <w:szCs w:val="24"/>
        </w:rPr>
        <w:t>James, Z. (2014). "Fifteen: Policing hate against Gypsies and Travellers: dealing with the dark side". In </w:t>
      </w:r>
      <w:r w:rsidRPr="002960B3">
        <w:rPr>
          <w:rStyle w:val="Emphasis"/>
          <w:rFonts w:cs="Arial"/>
          <w:szCs w:val="24"/>
        </w:rPr>
        <w:t>Responding to Hate Crime</w:t>
      </w:r>
      <w:r w:rsidRPr="002960B3">
        <w:rPr>
          <w:rFonts w:cs="Arial"/>
          <w:szCs w:val="24"/>
        </w:rPr>
        <w:t>. Bristol, UK: Policy Press. P. 215-230 Retrieved Apr 29, 2023, from https://doi.org/10.51952/9781447308782.ch015</w:t>
      </w:r>
    </w:p>
    <w:p w14:paraId="7B90AE60" w14:textId="77777777" w:rsidR="00323A6B" w:rsidRPr="002960B3" w:rsidRDefault="00323A6B" w:rsidP="00945602">
      <w:pPr>
        <w:pStyle w:val="NoSpacing"/>
        <w:rPr>
          <w:rFonts w:cs="Arial"/>
          <w:szCs w:val="24"/>
        </w:rPr>
      </w:pPr>
    </w:p>
    <w:p w14:paraId="225EC16A" w14:textId="24235C17" w:rsidR="00536B9C" w:rsidRPr="002960B3" w:rsidRDefault="00536B9C" w:rsidP="00945602">
      <w:pPr>
        <w:pStyle w:val="NoSpacing"/>
        <w:rPr>
          <w:rFonts w:cs="Arial"/>
          <w:szCs w:val="24"/>
        </w:rPr>
      </w:pPr>
      <w:r w:rsidRPr="002960B3">
        <w:rPr>
          <w:rFonts w:cs="Arial"/>
          <w:szCs w:val="24"/>
        </w:rPr>
        <w:t>James. (2007). Policing marginal spaces. Criminology &amp; Criminal Justice : CCJ., 7(4), 367–389. https://doi.org/10.1177/1748895807082062</w:t>
      </w:r>
    </w:p>
    <w:p w14:paraId="2BB7E688" w14:textId="77777777" w:rsidR="00323A6B" w:rsidRPr="002960B3" w:rsidRDefault="00323A6B" w:rsidP="00945602">
      <w:pPr>
        <w:rPr>
          <w:rFonts w:ascii="Arial" w:hAnsi="Arial" w:cs="Arial"/>
        </w:rPr>
      </w:pPr>
    </w:p>
    <w:p w14:paraId="282ED35B" w14:textId="47F2BE27" w:rsidR="00536B9C" w:rsidRPr="002960B3" w:rsidRDefault="00536B9C" w:rsidP="00945602">
      <w:pPr>
        <w:rPr>
          <w:rFonts w:ascii="Arial" w:hAnsi="Arial" w:cs="Arial"/>
        </w:rPr>
      </w:pPr>
      <w:r w:rsidRPr="002960B3">
        <w:rPr>
          <w:rFonts w:ascii="Arial" w:hAnsi="Arial" w:cs="Arial"/>
        </w:rPr>
        <w:t>JESIP (2021). Download the Joint Doctrine | JESIP Website. (online) www.jesip.org.uk. Available at: https://www.jesip.org.uk/downloads/joint-doctrine-guide/.</w:t>
      </w:r>
    </w:p>
    <w:p w14:paraId="14D1E1F2" w14:textId="77777777" w:rsidR="00323A6B" w:rsidRPr="002960B3" w:rsidRDefault="00323A6B" w:rsidP="00945602">
      <w:pPr>
        <w:rPr>
          <w:rFonts w:ascii="Arial" w:hAnsi="Arial" w:cs="Arial"/>
        </w:rPr>
      </w:pPr>
    </w:p>
    <w:p w14:paraId="276F075A" w14:textId="4913B9F6" w:rsidR="00536B9C" w:rsidRPr="002960B3" w:rsidRDefault="00536B9C" w:rsidP="00945602">
      <w:pPr>
        <w:rPr>
          <w:rFonts w:ascii="Arial" w:hAnsi="Arial" w:cs="Arial"/>
        </w:rPr>
      </w:pPr>
      <w:r w:rsidRPr="002960B3">
        <w:rPr>
          <w:rFonts w:ascii="Arial" w:hAnsi="Arial" w:cs="Arial"/>
        </w:rPr>
        <w:t>JESIP (2022). JESIP - Working together, Saving Lives. (online) www.jesip.org.uk. Available at: https://www.jesip.org.uk/ (Accessed 4 Jun. 2023).</w:t>
      </w:r>
    </w:p>
    <w:p w14:paraId="6AE67877" w14:textId="77777777" w:rsidR="00323A6B" w:rsidRPr="002960B3" w:rsidRDefault="00323A6B" w:rsidP="00945602">
      <w:pPr>
        <w:rPr>
          <w:rFonts w:ascii="Arial" w:hAnsi="Arial" w:cs="Arial"/>
        </w:rPr>
      </w:pPr>
    </w:p>
    <w:p w14:paraId="6979D17F" w14:textId="52D5B0A4" w:rsidR="00536B9C" w:rsidRPr="002960B3" w:rsidRDefault="00536B9C" w:rsidP="00945602">
      <w:pPr>
        <w:rPr>
          <w:rFonts w:ascii="Arial" w:hAnsi="Arial" w:cs="Arial"/>
        </w:rPr>
      </w:pPr>
      <w:r w:rsidRPr="002960B3">
        <w:rPr>
          <w:rFonts w:ascii="Arial" w:hAnsi="Arial" w:cs="Arial"/>
        </w:rPr>
        <w:t>Kyron, M.J., Rikkers, W., Bartlett, J., Renehan, E., Hafekost, K., Baigent, M., Cunneen, R. and Lawrence, D. (2021). Mental health and wellbeing of Australian police and emergency services employees. Archives of Environmental &amp; Occupational Health, 77(4), pp.1–11. doi:https://doi.org/10.1080/19338244.2021.1893631.</w:t>
      </w:r>
    </w:p>
    <w:p w14:paraId="22CC377E" w14:textId="77777777" w:rsidR="00323A6B" w:rsidRPr="002960B3" w:rsidRDefault="00323A6B" w:rsidP="00945602">
      <w:pPr>
        <w:pStyle w:val="NoSpacing"/>
        <w:rPr>
          <w:rFonts w:cs="Arial"/>
          <w:szCs w:val="24"/>
        </w:rPr>
      </w:pPr>
    </w:p>
    <w:p w14:paraId="0166F21F" w14:textId="26A854DC" w:rsidR="00536B9C" w:rsidRPr="00DB741C" w:rsidRDefault="00536B9C" w:rsidP="00945602">
      <w:pPr>
        <w:pStyle w:val="NoSpacing"/>
        <w:rPr>
          <w:rFonts w:cs="Arial"/>
          <w:szCs w:val="24"/>
        </w:rPr>
      </w:pPr>
      <w:r w:rsidRPr="00DB741C">
        <w:rPr>
          <w:rFonts w:cs="Arial"/>
          <w:szCs w:val="24"/>
        </w:rPr>
        <w:t>Lane, P., Spencer, S. and Jones, A. (2014). Gypsy, Traveller and Roma : Experts by Experience. (online) arro.anglia.ac.uk. Available at: https://arro.anglia.ac.uk/id/eprint/704915/ (Accessed 25 May 2023).</w:t>
      </w:r>
    </w:p>
    <w:p w14:paraId="2BB3E6D3" w14:textId="77777777" w:rsidR="00323A6B" w:rsidRPr="002960B3" w:rsidRDefault="00323A6B" w:rsidP="00945602">
      <w:pPr>
        <w:pStyle w:val="NoSpacing"/>
        <w:rPr>
          <w:rFonts w:cs="Arial"/>
          <w:szCs w:val="24"/>
        </w:rPr>
      </w:pPr>
    </w:p>
    <w:p w14:paraId="656341D6" w14:textId="4675AE7E" w:rsidR="00536B9C" w:rsidRPr="00DB741C" w:rsidRDefault="00536B9C" w:rsidP="00945602">
      <w:pPr>
        <w:pStyle w:val="NoSpacing"/>
        <w:rPr>
          <w:rFonts w:cs="Arial"/>
          <w:szCs w:val="24"/>
        </w:rPr>
      </w:pPr>
      <w:r w:rsidRPr="00DB741C">
        <w:rPr>
          <w:rFonts w:cs="Arial"/>
          <w:szCs w:val="24"/>
        </w:rPr>
        <w:t>Langness, M. and Velasco, G. (2020). ‘No Cops at Pride’: How the Criminal Justice System Harms LGBTQ People. (online) Urban Institute. Available at: https://www.urban.org/urban-wire/no-cops-pride-how-criminal-justice-system-harms-lgbtq-people (Accessed 16 May 2023).</w:t>
      </w:r>
    </w:p>
    <w:p w14:paraId="4D0599E3" w14:textId="77777777" w:rsidR="00323A6B" w:rsidRPr="002960B3" w:rsidRDefault="00323A6B" w:rsidP="00945602">
      <w:pPr>
        <w:rPr>
          <w:rFonts w:ascii="Arial" w:hAnsi="Arial" w:cs="Arial"/>
        </w:rPr>
      </w:pPr>
    </w:p>
    <w:p w14:paraId="2BE19FE3" w14:textId="2FAAF855" w:rsidR="00536B9C" w:rsidRPr="002960B3" w:rsidRDefault="00536B9C" w:rsidP="00945602">
      <w:pPr>
        <w:rPr>
          <w:rFonts w:ascii="Arial" w:hAnsi="Arial" w:cs="Arial"/>
        </w:rPr>
      </w:pPr>
      <w:r w:rsidRPr="002960B3">
        <w:rPr>
          <w:rFonts w:ascii="Arial" w:hAnsi="Arial" w:cs="Arial"/>
        </w:rPr>
        <w:t>Langtry, J., Owczarek, M., Mcateer, D., Taggart, L., Gleeson, C., Walshe, C. And Shevlin, M., (2021). Predictors of PTSD and CPTSD in UK firefighters. European journal of psychotraumatology; Eur J Psychotraumatol, 12(1), pp. 1849524.</w:t>
      </w:r>
    </w:p>
    <w:p w14:paraId="341995BD" w14:textId="77777777" w:rsidR="00323A6B" w:rsidRPr="002960B3" w:rsidRDefault="00323A6B" w:rsidP="00945602">
      <w:pPr>
        <w:pStyle w:val="NoSpacing"/>
        <w:rPr>
          <w:rFonts w:cs="Arial"/>
          <w:szCs w:val="24"/>
        </w:rPr>
      </w:pPr>
    </w:p>
    <w:p w14:paraId="09BF910C" w14:textId="6AED7E77" w:rsidR="00536B9C" w:rsidRPr="002960B3" w:rsidRDefault="00536B9C" w:rsidP="00945602">
      <w:pPr>
        <w:pStyle w:val="NoSpacing"/>
        <w:rPr>
          <w:rFonts w:cs="Arial"/>
          <w:szCs w:val="24"/>
        </w:rPr>
      </w:pPr>
      <w:r w:rsidRPr="002960B3">
        <w:rPr>
          <w:rFonts w:cs="Arial"/>
          <w:szCs w:val="24"/>
        </w:rPr>
        <w:t xml:space="preserve">LGBT Traveller Pride (2019). </w:t>
      </w:r>
      <w:r w:rsidRPr="002960B3">
        <w:rPr>
          <w:rFonts w:cs="Arial"/>
          <w:i/>
          <w:iCs/>
          <w:szCs w:val="24"/>
        </w:rPr>
        <w:t>Pride</w:t>
      </w:r>
      <w:r w:rsidRPr="002960B3">
        <w:rPr>
          <w:rFonts w:cs="Arial"/>
          <w:szCs w:val="24"/>
        </w:rPr>
        <w:t>. (online) LGBT Traveller Pride. Available at: https://www.lgbttravellerpride.com/pride (Accessed 16 May 2023).</w:t>
      </w:r>
    </w:p>
    <w:p w14:paraId="0B9CFA36" w14:textId="77777777" w:rsidR="00323A6B" w:rsidRPr="002960B3" w:rsidRDefault="00323A6B" w:rsidP="00945602">
      <w:pPr>
        <w:pStyle w:val="NoSpacing"/>
        <w:rPr>
          <w:rFonts w:cs="Arial"/>
          <w:szCs w:val="24"/>
          <w:shd w:val="clear" w:color="auto" w:fill="FFFFFF"/>
        </w:rPr>
      </w:pPr>
    </w:p>
    <w:p w14:paraId="152C3B13" w14:textId="54924CE6" w:rsidR="00536B9C" w:rsidRPr="00DB741C" w:rsidRDefault="00536B9C" w:rsidP="00945602">
      <w:pPr>
        <w:pStyle w:val="NoSpacing"/>
        <w:rPr>
          <w:rFonts w:cs="Arial"/>
          <w:szCs w:val="24"/>
          <w:shd w:val="clear" w:color="auto" w:fill="FFFFFF"/>
        </w:rPr>
      </w:pPr>
      <w:r w:rsidRPr="00DB741C">
        <w:rPr>
          <w:rFonts w:cs="Arial"/>
          <w:szCs w:val="24"/>
          <w:shd w:val="clear" w:color="auto" w:fill="FFFFFF"/>
        </w:rPr>
        <w:t>Lloyd, G. and Mccluskey, G., (2008). Education and Gypsies/Travellers: ‘contradictions and significant silences’ 1. Basingstoke : Taylor &amp; Francis.</w:t>
      </w:r>
    </w:p>
    <w:p w14:paraId="0FB23D7B" w14:textId="77777777" w:rsidR="00323A6B" w:rsidRPr="002960B3" w:rsidRDefault="00323A6B" w:rsidP="00945602">
      <w:pPr>
        <w:pStyle w:val="NoSpacing"/>
        <w:rPr>
          <w:rFonts w:cs="Arial"/>
          <w:szCs w:val="24"/>
        </w:rPr>
      </w:pPr>
    </w:p>
    <w:p w14:paraId="5CE306D7" w14:textId="20379740" w:rsidR="00536B9C" w:rsidRPr="002960B3" w:rsidRDefault="00536B9C" w:rsidP="00945602">
      <w:pPr>
        <w:pStyle w:val="NoSpacing"/>
        <w:rPr>
          <w:rFonts w:cs="Arial"/>
          <w:szCs w:val="24"/>
        </w:rPr>
      </w:pPr>
      <w:r w:rsidRPr="002960B3">
        <w:rPr>
          <w:rFonts w:cs="Arial"/>
          <w:szCs w:val="24"/>
        </w:rPr>
        <w:t>Lorenzo, I. (2019). The Stonewall uprising: 50 years of LGBT history. (online) Stonewall. Available at: https://www.stonewall.org.uk/about-us/news/stonewall-uprising-50-years-lgbt-history.</w:t>
      </w:r>
    </w:p>
    <w:p w14:paraId="03859D42" w14:textId="77777777" w:rsidR="00323A6B" w:rsidRPr="002960B3" w:rsidRDefault="00323A6B" w:rsidP="00945602">
      <w:pPr>
        <w:pStyle w:val="NoSpacing"/>
        <w:rPr>
          <w:rFonts w:cs="Arial"/>
          <w:szCs w:val="24"/>
          <w:shd w:val="clear" w:color="auto" w:fill="FFFFFF"/>
        </w:rPr>
      </w:pPr>
    </w:p>
    <w:p w14:paraId="0C8A5620" w14:textId="43ED593F" w:rsidR="00536B9C" w:rsidRPr="00DB741C" w:rsidRDefault="00536B9C" w:rsidP="00945602">
      <w:pPr>
        <w:pStyle w:val="NoSpacing"/>
        <w:rPr>
          <w:rFonts w:cs="Arial"/>
          <w:szCs w:val="24"/>
        </w:rPr>
      </w:pPr>
      <w:r w:rsidRPr="00DB741C">
        <w:rPr>
          <w:rFonts w:cs="Arial"/>
          <w:szCs w:val="24"/>
          <w:shd w:val="clear" w:color="auto" w:fill="FFFFFF"/>
        </w:rPr>
        <w:t>Maguire, M. and John, T., (2006). Intelligence Led Policing, Managerialism and Community Engagement: Competing Priorities and the Role of the National Intelligence Model in the UK. Policing &amp; society, </w:t>
      </w:r>
      <w:r w:rsidRPr="00DB741C">
        <w:rPr>
          <w:rFonts w:cs="Arial"/>
          <w:b/>
          <w:bCs/>
          <w:szCs w:val="24"/>
          <w:shd w:val="clear" w:color="auto" w:fill="FFFFFF"/>
        </w:rPr>
        <w:t>16</w:t>
      </w:r>
      <w:r w:rsidRPr="00DB741C">
        <w:rPr>
          <w:rFonts w:cs="Arial"/>
          <w:szCs w:val="24"/>
          <w:shd w:val="clear" w:color="auto" w:fill="FFFFFF"/>
        </w:rPr>
        <w:t>(1), pp. 67-85.</w:t>
      </w:r>
    </w:p>
    <w:p w14:paraId="575DA185" w14:textId="77777777" w:rsidR="00323A6B" w:rsidRPr="00DB741C" w:rsidRDefault="00323A6B" w:rsidP="00945602">
      <w:pPr>
        <w:pStyle w:val="NoSpacing"/>
        <w:rPr>
          <w:rFonts w:cs="Arial"/>
          <w:szCs w:val="24"/>
        </w:rPr>
      </w:pPr>
    </w:p>
    <w:p w14:paraId="3216D24E" w14:textId="37EE9883" w:rsidR="00536B9C" w:rsidRPr="00DB741C" w:rsidRDefault="00536B9C" w:rsidP="00945602">
      <w:pPr>
        <w:pStyle w:val="NoSpacing"/>
        <w:rPr>
          <w:rStyle w:val="Hyperlink"/>
          <w:rFonts w:cs="Arial"/>
          <w:color w:val="auto"/>
          <w:szCs w:val="24"/>
        </w:rPr>
      </w:pPr>
      <w:r w:rsidRPr="00DB741C">
        <w:rPr>
          <w:rFonts w:cs="Arial"/>
          <w:szCs w:val="24"/>
        </w:rPr>
        <w:t>Martin, R. (2022). Lethal Force, Legal Consciousness and the Social Field of Policing. Social &amp; Legal Studies, 0(0). https://doi.org/10.1177/09646639221115699</w:t>
      </w:r>
    </w:p>
    <w:p w14:paraId="2D33C860" w14:textId="77777777" w:rsidR="00323A6B" w:rsidRPr="00DB741C" w:rsidRDefault="00323A6B" w:rsidP="00945602">
      <w:pPr>
        <w:pStyle w:val="NoSpacing"/>
        <w:rPr>
          <w:rFonts w:cs="Arial"/>
          <w:szCs w:val="24"/>
        </w:rPr>
      </w:pPr>
    </w:p>
    <w:p w14:paraId="308EDB85" w14:textId="3E0A538B" w:rsidR="00536B9C" w:rsidRPr="00DB741C" w:rsidRDefault="00536B9C" w:rsidP="00945602">
      <w:pPr>
        <w:pStyle w:val="NoSpacing"/>
        <w:rPr>
          <w:rFonts w:cs="Arial"/>
          <w:szCs w:val="24"/>
        </w:rPr>
      </w:pPr>
      <w:r w:rsidRPr="00DB741C">
        <w:rPr>
          <w:rFonts w:cs="Arial"/>
          <w:szCs w:val="24"/>
        </w:rPr>
        <w:t>Meyer, D. (2020). “So Much for Protect and Serve”: Queer Male Survivors’ Perceptions of Negative Police Experiences. Journal of Contemporary Criminal Justice, 36(2), 228–250. https://doi-org.ezproxy.uwtsd.ac.uk/10.1177/1043986219894430</w:t>
      </w:r>
    </w:p>
    <w:p w14:paraId="6B9BFC4F" w14:textId="77777777" w:rsidR="00323A6B" w:rsidRPr="00DB741C" w:rsidRDefault="00323A6B" w:rsidP="00945602">
      <w:pPr>
        <w:rPr>
          <w:rFonts w:ascii="Arial" w:hAnsi="Arial" w:cs="Arial"/>
        </w:rPr>
      </w:pPr>
    </w:p>
    <w:p w14:paraId="73884758" w14:textId="369ACC4A" w:rsidR="00536B9C" w:rsidRPr="00DB741C" w:rsidRDefault="00536B9C" w:rsidP="00945602">
      <w:pPr>
        <w:rPr>
          <w:rFonts w:ascii="Arial" w:hAnsi="Arial" w:cs="Arial"/>
        </w:rPr>
      </w:pPr>
      <w:r w:rsidRPr="00DB741C">
        <w:rPr>
          <w:rFonts w:ascii="Arial" w:hAnsi="Arial" w:cs="Arial"/>
        </w:rPr>
        <w:t>Mishra, J.L., Allen, D.K. and Pearman, A.D. (2011). Information sharing during multi-agency major incidents. Proceedings of the American Society for Information Science and Technology, 48(1), pp.1–10. doi:https://doi.org/10.1002/meet.2011.14504801039.</w:t>
      </w:r>
    </w:p>
    <w:p w14:paraId="4D898926" w14:textId="77777777" w:rsidR="00323A6B" w:rsidRPr="00DB741C" w:rsidRDefault="00323A6B" w:rsidP="00945602">
      <w:pPr>
        <w:pStyle w:val="NoSpacing"/>
      </w:pPr>
    </w:p>
    <w:p w14:paraId="4E25E67E" w14:textId="5A2B6333" w:rsidR="00536B9C" w:rsidRPr="00DB741C" w:rsidRDefault="00536B9C" w:rsidP="00945602">
      <w:pPr>
        <w:pStyle w:val="NoSpacing"/>
      </w:pPr>
      <w:r w:rsidRPr="00DB741C">
        <w:t>Nix, J. and Wolfe, S.E. (2015). The Impact of Negative Publicity on Police Self-legitimacy. Justice Quarterly, 34(1), pp.84–108. doi:https://doi.org/10.1080/07418825.2015.1102954.</w:t>
      </w:r>
    </w:p>
    <w:p w14:paraId="52274CD0" w14:textId="77777777" w:rsidR="00323A6B" w:rsidRPr="00DB741C" w:rsidRDefault="00323A6B" w:rsidP="00945602">
      <w:pPr>
        <w:rPr>
          <w:rFonts w:ascii="Arial" w:hAnsi="Arial" w:cs="Arial"/>
        </w:rPr>
      </w:pPr>
    </w:p>
    <w:p w14:paraId="1F083C6D" w14:textId="305F46AE" w:rsidR="00536B9C" w:rsidRPr="00DB741C" w:rsidRDefault="00536B9C" w:rsidP="00945602">
      <w:pPr>
        <w:rPr>
          <w:rFonts w:ascii="Arial" w:hAnsi="Arial" w:cs="Arial"/>
        </w:rPr>
      </w:pPr>
      <w:r w:rsidRPr="00DB741C">
        <w:rPr>
          <w:rFonts w:ascii="Arial" w:hAnsi="Arial" w:cs="Arial"/>
        </w:rPr>
        <w:t>NPIA (2009). Guidance on Multi-agency Interoperability. (online) https://library.college.police.uk/. Available at: https://library.college.police.uk/docs/acpo/Multi-agency-Interoperability-130609.pdf (Accessed 17 May 2023).</w:t>
      </w:r>
    </w:p>
    <w:p w14:paraId="3C640BDB" w14:textId="77777777" w:rsidR="00323A6B" w:rsidRPr="00DB741C" w:rsidRDefault="00323A6B" w:rsidP="00945602">
      <w:pPr>
        <w:pStyle w:val="NoSpacing"/>
        <w:rPr>
          <w:rFonts w:cs="Arial"/>
          <w:szCs w:val="24"/>
        </w:rPr>
      </w:pPr>
    </w:p>
    <w:p w14:paraId="1A02F479" w14:textId="48BAABF7" w:rsidR="00536B9C" w:rsidRPr="00DB741C" w:rsidRDefault="00536B9C" w:rsidP="00945602">
      <w:pPr>
        <w:pStyle w:val="NoSpacing"/>
        <w:rPr>
          <w:rFonts w:cs="Arial"/>
          <w:szCs w:val="24"/>
        </w:rPr>
      </w:pPr>
      <w:r w:rsidRPr="00DB741C">
        <w:rPr>
          <w:rFonts w:cs="Arial"/>
          <w:szCs w:val="24"/>
        </w:rPr>
        <w:t>Office for National Statistics (2022). Gypsies’ and Travellers’ lived experiences, overview, England and Wales - Office for National Statistics. (online) www.ons.gov.uk. Available at: https://www.ons.gov.uk/peoplepopulationandcommunity/culturalidentity/ethnicity/articles/gypsiesandtravellerslivedexperiencesoverviewenglandandwales/2022 (Accessed 27 Apr. 2023).</w:t>
      </w:r>
    </w:p>
    <w:p w14:paraId="3CD80734" w14:textId="77777777" w:rsidR="00323A6B" w:rsidRPr="00DB741C" w:rsidRDefault="00323A6B" w:rsidP="00945602">
      <w:pPr>
        <w:rPr>
          <w:rFonts w:ascii="Arial" w:hAnsi="Arial" w:cs="Arial"/>
        </w:rPr>
      </w:pPr>
    </w:p>
    <w:p w14:paraId="7E697562" w14:textId="6527A454" w:rsidR="00536B9C" w:rsidRPr="00DB741C" w:rsidRDefault="00536B9C" w:rsidP="00945602">
      <w:pPr>
        <w:rPr>
          <w:rFonts w:ascii="Arial" w:hAnsi="Arial" w:cs="Arial"/>
        </w:rPr>
      </w:pPr>
      <w:r w:rsidRPr="00DB741C">
        <w:rPr>
          <w:rFonts w:ascii="Arial" w:hAnsi="Arial" w:cs="Arial"/>
        </w:rPr>
        <w:t>Pasciak, A. and Kelley, T. (2013). Conformity to traditional gender norms by male police officers exposed to trauma: implications for critical incident stress debriefing. © Applied Psychology in Criminal Justice, (online) Vol.9(2)(9), pp.137–156. Available at: http://dev.cjcenter.org/_files/apcj/apcjspring%202013pasciak.pdf_1384785868.pdf (Accessed 26 May 2023).</w:t>
      </w:r>
    </w:p>
    <w:p w14:paraId="7BFFDF2A" w14:textId="77777777" w:rsidR="00323A6B" w:rsidRPr="00DB741C" w:rsidRDefault="00323A6B" w:rsidP="00945602">
      <w:pPr>
        <w:pStyle w:val="NoSpacing"/>
        <w:rPr>
          <w:rFonts w:cs="Arial"/>
          <w:szCs w:val="24"/>
        </w:rPr>
      </w:pPr>
    </w:p>
    <w:p w14:paraId="2EC92FFB" w14:textId="469923D1" w:rsidR="00536B9C" w:rsidRPr="00DB741C" w:rsidRDefault="00536B9C" w:rsidP="00945602">
      <w:pPr>
        <w:pStyle w:val="NoSpacing"/>
        <w:rPr>
          <w:rFonts w:cs="Arial"/>
          <w:szCs w:val="24"/>
        </w:rPr>
      </w:pPr>
      <w:r w:rsidRPr="00DB741C">
        <w:rPr>
          <w:rFonts w:cs="Arial"/>
          <w:szCs w:val="24"/>
        </w:rPr>
        <w:t>Police Reform Act 2002, c.30. Available at: https://www.legislation.gov.uk/ukpga/2002/30/contents (Accessed 25 May 2023).</w:t>
      </w:r>
    </w:p>
    <w:p w14:paraId="73307229" w14:textId="77777777" w:rsidR="00323A6B" w:rsidRPr="00DB741C" w:rsidRDefault="00323A6B" w:rsidP="00945602">
      <w:pPr>
        <w:rPr>
          <w:rFonts w:ascii="Arial" w:hAnsi="Arial" w:cs="Arial"/>
        </w:rPr>
      </w:pPr>
    </w:p>
    <w:p w14:paraId="774281ED" w14:textId="22215116" w:rsidR="00536B9C" w:rsidRPr="00DB741C" w:rsidRDefault="00536B9C" w:rsidP="00945602">
      <w:pPr>
        <w:rPr>
          <w:rFonts w:ascii="Arial" w:hAnsi="Arial" w:cs="Arial"/>
        </w:rPr>
      </w:pPr>
      <w:r w:rsidRPr="00DB741C">
        <w:rPr>
          <w:rFonts w:ascii="Arial" w:hAnsi="Arial" w:cs="Arial"/>
        </w:rPr>
        <w:t xml:space="preserve">Pollock, K. (2013). Emergency Planning College Occasional Papers New Series Number 6 Review of Persistent Lessons Identified Relating to Interoperability from </w:t>
      </w:r>
      <w:r w:rsidRPr="00DB741C">
        <w:rPr>
          <w:rFonts w:ascii="Arial" w:hAnsi="Arial" w:cs="Arial"/>
        </w:rPr>
        <w:lastRenderedPageBreak/>
        <w:t>Emergencies and Major Incidents since 1986 A report commissioned by the Cabinet Office Civil Contingencies Secretariat. (online) Available at: https://www.jesip.org.uk/uploads/media/pdf/Pollock_Review_Oct_2013.pdf (Accessed 28 Apr. 2023).</w:t>
      </w:r>
    </w:p>
    <w:p w14:paraId="095DBEF0" w14:textId="77777777" w:rsidR="00323A6B" w:rsidRPr="00DB741C" w:rsidRDefault="00323A6B" w:rsidP="00945602">
      <w:pPr>
        <w:rPr>
          <w:rFonts w:ascii="Arial" w:hAnsi="Arial" w:cs="Arial"/>
        </w:rPr>
      </w:pPr>
    </w:p>
    <w:p w14:paraId="4D7F67D1" w14:textId="24987F70" w:rsidR="00536B9C" w:rsidRPr="00DB741C" w:rsidRDefault="00536B9C" w:rsidP="00945602">
      <w:pPr>
        <w:rPr>
          <w:rFonts w:ascii="Arial" w:hAnsi="Arial" w:cs="Arial"/>
        </w:rPr>
      </w:pPr>
      <w:r w:rsidRPr="00DB741C">
        <w:rPr>
          <w:rFonts w:ascii="Arial" w:hAnsi="Arial" w:cs="Arial"/>
        </w:rPr>
        <w:t>Pollock, K., (2012). An examination of Scotland’s strategic coordinating groups to determine whether they are capable of delivering resilience and enhanced crisis management capabilities (Doctoral dissertation, University of Glasgow).</w:t>
      </w:r>
    </w:p>
    <w:p w14:paraId="05CDE87F" w14:textId="77777777" w:rsidR="00323A6B" w:rsidRPr="00DB741C" w:rsidRDefault="00323A6B" w:rsidP="00945602">
      <w:pPr>
        <w:rPr>
          <w:rFonts w:ascii="Arial" w:hAnsi="Arial" w:cs="Arial"/>
        </w:rPr>
      </w:pPr>
    </w:p>
    <w:p w14:paraId="2BBEAD8B" w14:textId="6C72A918" w:rsidR="00536B9C" w:rsidRPr="00DB741C" w:rsidRDefault="00536B9C" w:rsidP="00945602">
      <w:pPr>
        <w:rPr>
          <w:rFonts w:ascii="Arial" w:hAnsi="Arial" w:cs="Arial"/>
        </w:rPr>
      </w:pPr>
      <w:r w:rsidRPr="00DB741C">
        <w:rPr>
          <w:rFonts w:ascii="Arial" w:hAnsi="Arial" w:cs="Arial"/>
        </w:rPr>
        <w:t xml:space="preserve">Power, N. (2022). What psychology tells us about the failure of the emergency services at the Manchester Arena bombing. (online) Policing Insight. Available at: https://policinginsight.com/features/opinion/what-psychology-tells-us-about-the-failure-of-the-emergency-services-at-the-manchester-arena-bombing/ (Accessed 9 Mar. 2023). </w:t>
      </w:r>
    </w:p>
    <w:p w14:paraId="5574BA50" w14:textId="77777777" w:rsidR="00323A6B" w:rsidRPr="00DB741C" w:rsidRDefault="00323A6B" w:rsidP="00945602">
      <w:pPr>
        <w:pStyle w:val="NoSpacing"/>
        <w:rPr>
          <w:rFonts w:cs="Arial"/>
          <w:szCs w:val="24"/>
        </w:rPr>
      </w:pPr>
    </w:p>
    <w:p w14:paraId="4D14878F" w14:textId="475CFD78" w:rsidR="00536B9C" w:rsidRPr="00DB741C" w:rsidRDefault="00536B9C" w:rsidP="00945602">
      <w:pPr>
        <w:pStyle w:val="NoSpacing"/>
        <w:rPr>
          <w:rFonts w:cs="Arial"/>
          <w:szCs w:val="24"/>
        </w:rPr>
      </w:pPr>
      <w:r w:rsidRPr="00DB741C">
        <w:rPr>
          <w:rFonts w:cs="Arial"/>
          <w:szCs w:val="24"/>
        </w:rPr>
        <w:t>Pride in London (n.d.). Our story. (online) Pride in London. Available at: https://prideinlondon.org/about-us/ (Accessed 16 May 2023).</w:t>
      </w:r>
    </w:p>
    <w:p w14:paraId="2DC6450B" w14:textId="77777777" w:rsidR="00323A6B" w:rsidRPr="00DB741C" w:rsidRDefault="00323A6B" w:rsidP="00945602">
      <w:pPr>
        <w:rPr>
          <w:rFonts w:ascii="Arial" w:hAnsi="Arial" w:cs="Arial"/>
        </w:rPr>
      </w:pPr>
    </w:p>
    <w:p w14:paraId="27A15F87" w14:textId="7A1C611B" w:rsidR="00536B9C" w:rsidRPr="00DB741C" w:rsidRDefault="00536B9C" w:rsidP="00945602">
      <w:pPr>
        <w:rPr>
          <w:rFonts w:ascii="Arial" w:hAnsi="Arial" w:cs="Arial"/>
        </w:rPr>
      </w:pPr>
      <w:r w:rsidRPr="00DB741C">
        <w:rPr>
          <w:rFonts w:ascii="Arial" w:hAnsi="Arial" w:cs="Arial"/>
        </w:rPr>
        <w:t xml:space="preserve">Russell. (2000). The Approach to a Major Incident. Journal of the Royal Army Medical Corps, 146(1), 8–12. </w:t>
      </w:r>
      <w:hyperlink r:id="rId7" w:history="1">
        <w:r w:rsidRPr="00DB741C">
          <w:rPr>
            <w:rStyle w:val="Hyperlink"/>
            <w:rFonts w:ascii="Arial" w:hAnsi="Arial" w:cs="Arial"/>
            <w:color w:val="auto"/>
          </w:rPr>
          <w:t>https://doi.org/10.1136/jramc-146-01-02</w:t>
        </w:r>
      </w:hyperlink>
    </w:p>
    <w:p w14:paraId="5E19EAC4" w14:textId="77777777" w:rsidR="00323A6B" w:rsidRPr="00DB741C" w:rsidRDefault="00323A6B" w:rsidP="00945602">
      <w:pPr>
        <w:rPr>
          <w:rFonts w:ascii="Arial" w:hAnsi="Arial" w:cs="Arial"/>
        </w:rPr>
      </w:pPr>
    </w:p>
    <w:p w14:paraId="74DA8B11" w14:textId="2A5370C4" w:rsidR="00536B9C" w:rsidRPr="00DB741C" w:rsidRDefault="00536B9C" w:rsidP="00945602">
      <w:pPr>
        <w:rPr>
          <w:rFonts w:ascii="Arial" w:hAnsi="Arial" w:cs="Arial"/>
        </w:rPr>
      </w:pPr>
      <w:r w:rsidRPr="00DB741C">
        <w:rPr>
          <w:rFonts w:ascii="Arial" w:hAnsi="Arial" w:cs="Arial"/>
        </w:rPr>
        <w:t>Russell. (2005). London bombs put strain on Met’s finances. Public Finance, 13–.</w:t>
      </w:r>
    </w:p>
    <w:p w14:paraId="57C228FF" w14:textId="77777777" w:rsidR="00323A6B" w:rsidRPr="00DB741C" w:rsidRDefault="00323A6B" w:rsidP="00945602">
      <w:pPr>
        <w:pStyle w:val="NoSpacing"/>
      </w:pPr>
    </w:p>
    <w:p w14:paraId="7F1600E2" w14:textId="235039B2" w:rsidR="00536B9C" w:rsidRPr="00DB741C" w:rsidRDefault="00536B9C" w:rsidP="00945602">
      <w:pPr>
        <w:pStyle w:val="NoSpacing"/>
        <w:rPr>
          <w:szCs w:val="24"/>
        </w:rPr>
      </w:pPr>
      <w:r w:rsidRPr="00DB741C">
        <w:t>Schaap, D. (2020). Police trust-building strategies. A socio-institutional, comparative approach. Policing and Society, (online) 31(3), pp.1–17. doi:https://doi.org/10.1080/10439463.2020.1726345.</w:t>
      </w:r>
    </w:p>
    <w:p w14:paraId="2792572B" w14:textId="77777777" w:rsidR="00323A6B" w:rsidRPr="00DB741C" w:rsidRDefault="00323A6B" w:rsidP="00945602">
      <w:pPr>
        <w:pStyle w:val="NoSpacing"/>
        <w:rPr>
          <w:rFonts w:cs="Arial"/>
          <w:szCs w:val="24"/>
        </w:rPr>
      </w:pPr>
    </w:p>
    <w:p w14:paraId="0A2CEC18" w14:textId="4EAB957A" w:rsidR="00536B9C" w:rsidRPr="00DB741C" w:rsidRDefault="00536B9C" w:rsidP="00945602">
      <w:pPr>
        <w:pStyle w:val="NoSpacing"/>
        <w:rPr>
          <w:rFonts w:cs="Arial"/>
          <w:szCs w:val="24"/>
        </w:rPr>
      </w:pPr>
      <w:r w:rsidRPr="00DB741C">
        <w:rPr>
          <w:rFonts w:cs="Arial"/>
          <w:szCs w:val="24"/>
        </w:rPr>
        <w:t>Scrap Metal Dealers Act 2013. c. 10. Available at: https://www.legislation.gov.uk/ukpga/2013/10/enacted (Accessed 27 Apr. 2023).</w:t>
      </w:r>
    </w:p>
    <w:p w14:paraId="4F47FDDF" w14:textId="77777777" w:rsidR="00323A6B" w:rsidRPr="00DB741C" w:rsidRDefault="00323A6B" w:rsidP="00945602">
      <w:pPr>
        <w:rPr>
          <w:rFonts w:ascii="Arial" w:hAnsi="Arial" w:cs="Arial"/>
        </w:rPr>
      </w:pPr>
    </w:p>
    <w:p w14:paraId="786A1049" w14:textId="3426CB0A" w:rsidR="00536B9C" w:rsidRPr="00DB741C" w:rsidRDefault="00536B9C" w:rsidP="00945602">
      <w:pPr>
        <w:rPr>
          <w:rFonts w:ascii="Arial" w:hAnsi="Arial" w:cs="Arial"/>
        </w:rPr>
      </w:pPr>
      <w:r w:rsidRPr="00DB741C">
        <w:rPr>
          <w:rFonts w:ascii="Arial" w:hAnsi="Arial" w:cs="Arial"/>
        </w:rPr>
        <w:t>Skryabina, E.A., Betts, N., Reedy, G., Riley, P. and Amlôt, R. (2020). The role of emergency preparedness exercises in the response to a mass casualty terrorist incident: A mixed methods study. International Journal of Disaster Risk Reduction, (online) 46, p.101503. doi:https://doi.org/10.1016/j.ijdrr.2020.101503.</w:t>
      </w:r>
    </w:p>
    <w:p w14:paraId="032341B2" w14:textId="77777777" w:rsidR="00323A6B" w:rsidRPr="00DB741C" w:rsidRDefault="00323A6B" w:rsidP="00945602">
      <w:pPr>
        <w:rPr>
          <w:rFonts w:ascii="Arial" w:hAnsi="Arial" w:cs="Arial"/>
        </w:rPr>
      </w:pPr>
    </w:p>
    <w:p w14:paraId="17FFA9DF" w14:textId="17E3398B" w:rsidR="00536B9C" w:rsidRPr="00DB741C" w:rsidRDefault="00536B9C" w:rsidP="00945602">
      <w:pPr>
        <w:rPr>
          <w:rFonts w:ascii="Arial" w:hAnsi="Arial" w:cs="Arial"/>
        </w:rPr>
      </w:pPr>
      <w:r w:rsidRPr="00DB741C">
        <w:rPr>
          <w:rFonts w:ascii="Arial" w:hAnsi="Arial" w:cs="Arial"/>
        </w:rPr>
        <w:t xml:space="preserve">Soomro, &amp; Yanos, P. T. (2019). Predictors of Mental Health Stigma among Police Officers: the Role of Trauma and PTSD. Journal of Police and Criminal Psychology., 34(2), 175–183. </w:t>
      </w:r>
      <w:hyperlink r:id="rId8" w:history="1">
        <w:r w:rsidRPr="00DB741C">
          <w:rPr>
            <w:rStyle w:val="Hyperlink"/>
            <w:rFonts w:ascii="Arial" w:hAnsi="Arial" w:cs="Arial"/>
            <w:color w:val="auto"/>
          </w:rPr>
          <w:t>https://doi.org/10.1007/s11896-018-9285-x</w:t>
        </w:r>
      </w:hyperlink>
    </w:p>
    <w:p w14:paraId="4E9E507E" w14:textId="77777777" w:rsidR="00323A6B" w:rsidRPr="00DB741C" w:rsidRDefault="00323A6B" w:rsidP="00945602">
      <w:pPr>
        <w:pStyle w:val="NoSpacing"/>
        <w:rPr>
          <w:rFonts w:cs="Arial"/>
          <w:szCs w:val="24"/>
        </w:rPr>
      </w:pPr>
    </w:p>
    <w:p w14:paraId="46249279" w14:textId="7A9C05FA" w:rsidR="00536B9C" w:rsidRPr="00DB741C" w:rsidRDefault="00536B9C" w:rsidP="00945602">
      <w:pPr>
        <w:pStyle w:val="NoSpacing"/>
        <w:rPr>
          <w:rFonts w:cs="Arial"/>
          <w:szCs w:val="24"/>
        </w:rPr>
      </w:pPr>
      <w:r w:rsidRPr="00DB741C">
        <w:rPr>
          <w:rFonts w:cs="Arial"/>
          <w:szCs w:val="24"/>
        </w:rPr>
        <w:t>Statista (2022). PCSOs in England and Wales 2003-2017 | Statista. (online) Statista. Available at: https://www.statista.com/statistics/382512/number-of-police-community-support-officers-in-england-and-wales-yearly/ (Accessed 15 Apr. 2023).</w:t>
      </w:r>
    </w:p>
    <w:p w14:paraId="764B9D65" w14:textId="77777777" w:rsidR="00323A6B" w:rsidRPr="00DB741C" w:rsidRDefault="00323A6B" w:rsidP="00945602">
      <w:pPr>
        <w:rPr>
          <w:rFonts w:ascii="Arial" w:hAnsi="Arial" w:cs="Arial"/>
        </w:rPr>
      </w:pPr>
    </w:p>
    <w:p w14:paraId="04140A39" w14:textId="2A82C851" w:rsidR="00536B9C" w:rsidRPr="00DB741C" w:rsidRDefault="00536B9C" w:rsidP="00945602">
      <w:pPr>
        <w:rPr>
          <w:rFonts w:ascii="Arial" w:hAnsi="Arial" w:cs="Arial"/>
        </w:rPr>
      </w:pPr>
      <w:r w:rsidRPr="00DB741C">
        <w:rPr>
          <w:rFonts w:ascii="Arial" w:hAnsi="Arial" w:cs="Arial"/>
        </w:rPr>
        <w:t>Steel, C., Tehrani, N., Lewis, G. and Billings, J. (2021). Risk factors for complex posttraumatic stress disorder in UK police. Occupational Medicine, (online) 71(8). doi:https://doi.org/10.1093/occmed/kqab114.</w:t>
      </w:r>
    </w:p>
    <w:p w14:paraId="0462AB5D" w14:textId="77777777" w:rsidR="00323A6B" w:rsidRPr="00DB741C" w:rsidRDefault="00323A6B" w:rsidP="00945602">
      <w:pPr>
        <w:rPr>
          <w:rFonts w:ascii="Arial" w:hAnsi="Arial" w:cs="Arial"/>
        </w:rPr>
      </w:pPr>
    </w:p>
    <w:p w14:paraId="771714D1" w14:textId="4B869082" w:rsidR="00323A6B" w:rsidRPr="00DB741C" w:rsidRDefault="00536B9C" w:rsidP="00945602">
      <w:pPr>
        <w:rPr>
          <w:rFonts w:ascii="Arial" w:hAnsi="Arial" w:cs="Arial"/>
        </w:rPr>
      </w:pPr>
      <w:r w:rsidRPr="00DB741C">
        <w:rPr>
          <w:rFonts w:ascii="Arial" w:hAnsi="Arial" w:cs="Arial"/>
        </w:rPr>
        <w:t xml:space="preserve">Stephenson, J., 2015. Interoperability and multiagency cooperation. Ambulance </w:t>
      </w:r>
    </w:p>
    <w:p w14:paraId="0FD8CD27" w14:textId="4DE220F4" w:rsidR="00536B9C" w:rsidRPr="00DB741C" w:rsidRDefault="00536B9C" w:rsidP="00945602">
      <w:pPr>
        <w:rPr>
          <w:rFonts w:ascii="Arial" w:hAnsi="Arial" w:cs="Arial"/>
        </w:rPr>
      </w:pPr>
      <w:r w:rsidRPr="00DB741C">
        <w:rPr>
          <w:rFonts w:ascii="Arial" w:hAnsi="Arial" w:cs="Arial"/>
        </w:rPr>
        <w:t>Services: Leadership and Management Perspectives, pp.107-117.</w:t>
      </w:r>
    </w:p>
    <w:p w14:paraId="46EF7309" w14:textId="77777777" w:rsidR="00323A6B" w:rsidRPr="00DB741C" w:rsidRDefault="00323A6B" w:rsidP="00945602">
      <w:pPr>
        <w:pStyle w:val="NoSpacing"/>
        <w:rPr>
          <w:rFonts w:cs="Arial"/>
          <w:szCs w:val="24"/>
        </w:rPr>
      </w:pPr>
    </w:p>
    <w:p w14:paraId="0B431D99" w14:textId="5854C3FC" w:rsidR="00536B9C" w:rsidRPr="00DB741C" w:rsidRDefault="00536B9C" w:rsidP="00945602">
      <w:pPr>
        <w:pStyle w:val="NoSpacing"/>
        <w:rPr>
          <w:rFonts w:cs="Arial"/>
          <w:szCs w:val="24"/>
        </w:rPr>
      </w:pPr>
      <w:r w:rsidRPr="00DB741C">
        <w:rPr>
          <w:rFonts w:cs="Arial"/>
          <w:szCs w:val="24"/>
        </w:rPr>
        <w:lastRenderedPageBreak/>
        <w:t>Stergioulis, E. (2017). Police and Diversity. The Police Journal: Theory, Practice and Principles, 91(3), pp.264–274. doi:https://doi.org/10.1177/0032258x17721136.</w:t>
      </w:r>
    </w:p>
    <w:p w14:paraId="54AD9392" w14:textId="77777777" w:rsidR="00323A6B" w:rsidRPr="00DB741C" w:rsidRDefault="00323A6B" w:rsidP="00945602">
      <w:pPr>
        <w:pStyle w:val="NoSpacing"/>
        <w:rPr>
          <w:rFonts w:cs="Arial"/>
          <w:szCs w:val="24"/>
        </w:rPr>
      </w:pPr>
    </w:p>
    <w:p w14:paraId="28D3348D" w14:textId="6B1D0DF6" w:rsidR="00536B9C" w:rsidRPr="00DB741C" w:rsidRDefault="00536B9C" w:rsidP="00945602">
      <w:pPr>
        <w:pStyle w:val="NoSpacing"/>
        <w:rPr>
          <w:rFonts w:cs="Arial"/>
          <w:szCs w:val="24"/>
        </w:rPr>
      </w:pPr>
      <w:r w:rsidRPr="00DB741C">
        <w:rPr>
          <w:rFonts w:cs="Arial"/>
          <w:szCs w:val="24"/>
        </w:rPr>
        <w:t>Sussex Police (2023). Gypsies and travellers. https://www.sussex.police.uk/police-forces/sussex-police/areas/au/about-us/governance-and-processes/equality-diversity-inclusion/gypsies-and-travellers/.</w:t>
      </w:r>
    </w:p>
    <w:p w14:paraId="7039E3C0" w14:textId="77777777" w:rsidR="00323A6B" w:rsidRPr="00DB741C" w:rsidRDefault="00323A6B" w:rsidP="00945602">
      <w:pPr>
        <w:pStyle w:val="NoSpacing"/>
        <w:rPr>
          <w:rFonts w:cs="Arial"/>
          <w:szCs w:val="24"/>
        </w:rPr>
      </w:pPr>
    </w:p>
    <w:p w14:paraId="4993C104" w14:textId="220335F6" w:rsidR="00536B9C" w:rsidRPr="00DB741C" w:rsidRDefault="00536B9C" w:rsidP="00945602">
      <w:pPr>
        <w:pStyle w:val="NoSpacing"/>
        <w:rPr>
          <w:rFonts w:cs="Arial"/>
          <w:szCs w:val="24"/>
        </w:rPr>
      </w:pPr>
      <w:r w:rsidRPr="00DB741C">
        <w:rPr>
          <w:rFonts w:cs="Arial"/>
          <w:szCs w:val="24"/>
        </w:rPr>
        <w:t>The National LGBT+ Police Network (n.d.). About Us – The National LGBT Police Network. (online) The National LGBT+ Police Network. Available at: https://lgbt.police.uk/about-us/ (Accessed 16 May 2023).</w:t>
      </w:r>
    </w:p>
    <w:p w14:paraId="5F0BA369" w14:textId="77777777" w:rsidR="00323A6B" w:rsidRPr="00DB741C" w:rsidRDefault="00323A6B" w:rsidP="00945602">
      <w:pPr>
        <w:pStyle w:val="NoSpacing"/>
        <w:rPr>
          <w:rFonts w:cs="Arial"/>
          <w:szCs w:val="24"/>
        </w:rPr>
      </w:pPr>
    </w:p>
    <w:p w14:paraId="0868E2FF" w14:textId="77777777" w:rsidR="00323A6B" w:rsidRPr="00DB741C" w:rsidRDefault="00536B9C" w:rsidP="00945602">
      <w:pPr>
        <w:pStyle w:val="NoSpacing"/>
        <w:rPr>
          <w:rFonts w:cs="Arial"/>
          <w:szCs w:val="24"/>
        </w:rPr>
      </w:pPr>
      <w:r w:rsidRPr="00DB741C">
        <w:rPr>
          <w:rFonts w:cs="Arial"/>
          <w:szCs w:val="24"/>
        </w:rPr>
        <w:t xml:space="preserve">The Traveller Movement (2018). Policing by consent: Understanding and improving relations between Gypsies, Roma, Irish Travellers and the police. (online) Available at: Policing by consent: Understanding and improving relations between Gypsies, </w:t>
      </w:r>
    </w:p>
    <w:p w14:paraId="44608E58" w14:textId="5C88D539" w:rsidR="00536B9C" w:rsidRPr="00DB741C" w:rsidRDefault="00536B9C" w:rsidP="00945602">
      <w:pPr>
        <w:pStyle w:val="NoSpacing"/>
        <w:rPr>
          <w:rFonts w:cs="Arial"/>
          <w:szCs w:val="24"/>
        </w:rPr>
      </w:pPr>
      <w:r w:rsidRPr="00DB741C">
        <w:rPr>
          <w:rFonts w:cs="Arial"/>
          <w:szCs w:val="24"/>
        </w:rPr>
        <w:t>Roma, Irish Travellers and the police’ (Accessed 27 Apr. 2023).</w:t>
      </w:r>
    </w:p>
    <w:p w14:paraId="337C92D4" w14:textId="77777777" w:rsidR="00323A6B" w:rsidRPr="00DB741C" w:rsidRDefault="00323A6B" w:rsidP="00945602">
      <w:pPr>
        <w:rPr>
          <w:rFonts w:ascii="Arial" w:hAnsi="Arial" w:cs="Arial"/>
        </w:rPr>
      </w:pPr>
    </w:p>
    <w:p w14:paraId="4741A248" w14:textId="3AD90AB5" w:rsidR="00536B9C" w:rsidRPr="00DB741C" w:rsidRDefault="00536B9C" w:rsidP="00945602">
      <w:pPr>
        <w:rPr>
          <w:rFonts w:ascii="Arial" w:hAnsi="Arial" w:cs="Arial"/>
        </w:rPr>
      </w:pPr>
      <w:r w:rsidRPr="00DB741C">
        <w:rPr>
          <w:rFonts w:ascii="Arial" w:hAnsi="Arial" w:cs="Arial"/>
        </w:rPr>
        <w:t>Wagner, S.L., White, N., Fyfe, T., Matthews, L.R., Randall, C., Regehr, C., White, M., Alden, L.E., Buys, N., Carey, M.G. and Corneil, W., 2020. Systematic review of posttraumatic stress disorder in police officers following routine work</w:t>
      </w:r>
      <w:r w:rsidRPr="00DB741C">
        <w:rPr>
          <w:rFonts w:ascii="Cambria Math" w:hAnsi="Cambria Math" w:cs="Cambria Math"/>
        </w:rPr>
        <w:t>‐</w:t>
      </w:r>
      <w:r w:rsidRPr="00DB741C">
        <w:rPr>
          <w:rFonts w:ascii="Arial" w:hAnsi="Arial" w:cs="Arial"/>
        </w:rPr>
        <w:t>related critical incident exposure. American Journal of Industrial Medicine, 63(7), pp.600-615.</w:t>
      </w:r>
    </w:p>
    <w:p w14:paraId="69C38A02" w14:textId="77777777" w:rsidR="00323A6B" w:rsidRPr="00DB741C" w:rsidRDefault="00323A6B" w:rsidP="00945602">
      <w:pPr>
        <w:pStyle w:val="NoSpacing"/>
        <w:rPr>
          <w:rFonts w:cs="Arial"/>
          <w:szCs w:val="24"/>
        </w:rPr>
      </w:pPr>
    </w:p>
    <w:p w14:paraId="3BFB759B" w14:textId="4D199705" w:rsidR="00536B9C" w:rsidRPr="00DB741C" w:rsidRDefault="00536B9C" w:rsidP="00945602">
      <w:pPr>
        <w:pStyle w:val="NoSpacing"/>
        <w:rPr>
          <w:rFonts w:cs="Arial"/>
          <w:szCs w:val="24"/>
        </w:rPr>
      </w:pPr>
      <w:r w:rsidRPr="00DB741C">
        <w:rPr>
          <w:rFonts w:cs="Arial"/>
          <w:szCs w:val="24"/>
        </w:rPr>
        <w:t>Watkins, R. (2022) City Centre KINS. Internal report – South Wales Police unpublished.</w:t>
      </w:r>
    </w:p>
    <w:p w14:paraId="43270F9F" w14:textId="77777777" w:rsidR="00323A6B" w:rsidRPr="00DB741C" w:rsidRDefault="00323A6B" w:rsidP="00945602">
      <w:pPr>
        <w:pStyle w:val="NoSpacing"/>
        <w:rPr>
          <w:rStyle w:val="authors"/>
          <w:rFonts w:cs="Arial"/>
          <w:szCs w:val="24"/>
        </w:rPr>
      </w:pPr>
    </w:p>
    <w:p w14:paraId="38DB7FCB" w14:textId="0D925DD9" w:rsidR="00536B9C" w:rsidRPr="00DB741C" w:rsidRDefault="00536B9C" w:rsidP="00945602">
      <w:pPr>
        <w:pStyle w:val="NoSpacing"/>
        <w:rPr>
          <w:rStyle w:val="doilink"/>
          <w:szCs w:val="24"/>
        </w:rPr>
      </w:pPr>
      <w:r w:rsidRPr="00DB741C">
        <w:rPr>
          <w:rStyle w:val="authors"/>
          <w:rFonts w:cs="Arial"/>
          <w:szCs w:val="24"/>
        </w:rPr>
        <w:t>Wayne Gillespie PhD</w:t>
      </w:r>
      <w:r w:rsidRPr="00DB741C">
        <w:rPr>
          <w:rFonts w:cs="Arial"/>
          <w:szCs w:val="24"/>
        </w:rPr>
        <w:t> </w:t>
      </w:r>
      <w:r w:rsidRPr="00DB741C">
        <w:rPr>
          <w:rStyle w:val="Date1"/>
          <w:rFonts w:cs="Arial"/>
          <w:szCs w:val="24"/>
        </w:rPr>
        <w:t>(2008)</w:t>
      </w:r>
      <w:r w:rsidRPr="00DB741C">
        <w:rPr>
          <w:rFonts w:cs="Arial"/>
          <w:szCs w:val="24"/>
        </w:rPr>
        <w:t> </w:t>
      </w:r>
      <w:r w:rsidRPr="00DB741C">
        <w:rPr>
          <w:rStyle w:val="arttitle"/>
          <w:rFonts w:cs="Arial"/>
          <w:szCs w:val="24"/>
        </w:rPr>
        <w:t>Thirty-Five Years After Stonewall: An Exploratory Study of Satisfaction with Police Among Gay, Lesbian, and Bisexual Persons at the 34th Annual Atlanta Pride Festival,</w:t>
      </w:r>
      <w:r w:rsidRPr="00DB741C">
        <w:rPr>
          <w:rFonts w:cs="Arial"/>
          <w:szCs w:val="24"/>
        </w:rPr>
        <w:t> </w:t>
      </w:r>
      <w:r w:rsidRPr="00DB741C">
        <w:rPr>
          <w:rStyle w:val="serialtitle"/>
          <w:rFonts w:cs="Arial"/>
          <w:szCs w:val="24"/>
        </w:rPr>
        <w:t>Journal of Homosexuality,</w:t>
      </w:r>
      <w:r w:rsidRPr="00DB741C">
        <w:rPr>
          <w:rFonts w:cs="Arial"/>
          <w:szCs w:val="24"/>
        </w:rPr>
        <w:t> </w:t>
      </w:r>
      <w:r w:rsidRPr="00DB741C">
        <w:rPr>
          <w:rStyle w:val="volumeissue"/>
          <w:szCs w:val="24"/>
        </w:rPr>
        <w:t>55:4,</w:t>
      </w:r>
      <w:r w:rsidRPr="00DB741C">
        <w:rPr>
          <w:rFonts w:cs="Arial"/>
          <w:szCs w:val="24"/>
        </w:rPr>
        <w:t> </w:t>
      </w:r>
      <w:r w:rsidRPr="00DB741C">
        <w:rPr>
          <w:rStyle w:val="pagerange"/>
          <w:rFonts w:cs="Arial"/>
          <w:szCs w:val="24"/>
        </w:rPr>
        <w:t>619-647,</w:t>
      </w:r>
      <w:r w:rsidRPr="00DB741C">
        <w:rPr>
          <w:rFonts w:cs="Arial"/>
          <w:szCs w:val="24"/>
        </w:rPr>
        <w:t> </w:t>
      </w:r>
      <w:r w:rsidRPr="00DB741C">
        <w:rPr>
          <w:rStyle w:val="doilink"/>
          <w:szCs w:val="24"/>
        </w:rPr>
        <w:t>DOI: </w:t>
      </w:r>
      <w:hyperlink r:id="rId9" w:history="1">
        <w:r w:rsidRPr="00DB741C">
          <w:rPr>
            <w:rStyle w:val="Hyperlink"/>
            <w:rFonts w:cs="Arial"/>
            <w:color w:val="auto"/>
            <w:szCs w:val="24"/>
          </w:rPr>
          <w:t>10.1080/00918360802421759</w:t>
        </w:r>
      </w:hyperlink>
    </w:p>
    <w:p w14:paraId="26E5E805" w14:textId="77777777" w:rsidR="00323A6B" w:rsidRPr="00DB741C" w:rsidRDefault="00323A6B" w:rsidP="00945602">
      <w:pPr>
        <w:pStyle w:val="NoSpacing"/>
        <w:rPr>
          <w:rFonts w:cs="Arial"/>
          <w:szCs w:val="24"/>
        </w:rPr>
      </w:pPr>
    </w:p>
    <w:p w14:paraId="57C26955" w14:textId="4C8F0CAB" w:rsidR="00536B9C" w:rsidRPr="00DB741C" w:rsidRDefault="00536B9C" w:rsidP="00945602">
      <w:pPr>
        <w:pStyle w:val="NoSpacing"/>
        <w:rPr>
          <w:rFonts w:cs="Arial"/>
          <w:szCs w:val="24"/>
        </w:rPr>
      </w:pPr>
      <w:r w:rsidRPr="00DB741C">
        <w:rPr>
          <w:rFonts w:cs="Arial"/>
          <w:szCs w:val="24"/>
        </w:rPr>
        <w:t>West Yorkshire Police (2023). Key Individual Network. (online) West Yorkshire Police. Available at: https://www.westyorkshire.police.uk/about-us/diversity-equality-and-inclusion/how-you-can-get-involved-west-yorkshire-police/kin#:~:text=A%20KIN%20is%20a%20network (Accessed 15 May 2023).</w:t>
      </w:r>
    </w:p>
    <w:p w14:paraId="5013D8AC" w14:textId="77777777" w:rsidR="00323A6B" w:rsidRPr="00DB741C" w:rsidRDefault="00323A6B" w:rsidP="00945602">
      <w:pPr>
        <w:rPr>
          <w:rFonts w:ascii="Arial" w:hAnsi="Arial" w:cs="Arial"/>
        </w:rPr>
      </w:pPr>
    </w:p>
    <w:p w14:paraId="584FD2DF" w14:textId="5D02D0DF" w:rsidR="00536B9C" w:rsidRPr="00DB741C" w:rsidRDefault="00536B9C" w:rsidP="00945602">
      <w:pPr>
        <w:rPr>
          <w:rFonts w:ascii="Arial" w:hAnsi="Arial" w:cs="Arial"/>
        </w:rPr>
      </w:pPr>
      <w:r w:rsidRPr="00DB741C">
        <w:rPr>
          <w:rFonts w:ascii="Arial" w:hAnsi="Arial" w:cs="Arial"/>
        </w:rPr>
        <w:t>Wiggett, I. (2018). Manchester Arena attack: The bluelight response and lessons to be learnt. (online) Policing Insight. Available at: https://policinginsight.com/features/opinion/manchester-arena-attack-the-bluelight-response-and-lessons-to-be-learnt/ (Accessed 17 May 2023).</w:t>
      </w:r>
    </w:p>
    <w:p w14:paraId="6238B676" w14:textId="77777777" w:rsidR="00323A6B" w:rsidRPr="00DB741C" w:rsidRDefault="00323A6B" w:rsidP="00945602">
      <w:pPr>
        <w:rPr>
          <w:rFonts w:ascii="Arial" w:hAnsi="Arial" w:cs="Arial"/>
        </w:rPr>
      </w:pPr>
    </w:p>
    <w:p w14:paraId="09598B8F" w14:textId="246C1A46" w:rsidR="00536B9C" w:rsidRPr="00DB741C" w:rsidRDefault="00536B9C" w:rsidP="00945602">
      <w:pPr>
        <w:rPr>
          <w:rFonts w:ascii="Arial" w:hAnsi="Arial" w:cs="Arial"/>
        </w:rPr>
      </w:pPr>
      <w:r w:rsidRPr="00DB741C">
        <w:rPr>
          <w:rFonts w:ascii="Arial" w:hAnsi="Arial" w:cs="Arial"/>
        </w:rPr>
        <w:t>Wood</w:t>
      </w:r>
      <w:r w:rsidRPr="00DB741C">
        <w:rPr>
          <w:rFonts w:ascii="Cambria Math" w:hAnsi="Cambria Math" w:cs="Cambria Math"/>
        </w:rPr>
        <w:t>‐</w:t>
      </w:r>
      <w:r w:rsidRPr="00DB741C">
        <w:rPr>
          <w:rFonts w:ascii="Arial" w:hAnsi="Arial" w:cs="Arial"/>
        </w:rPr>
        <w:t>Heath, M., 1992. The National Casualty Bureau Project. Disaster Prevention and Management: An International Journal, 1(2).</w:t>
      </w:r>
    </w:p>
    <w:sectPr w:rsidR="00536B9C" w:rsidRPr="00DB74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43725" w14:textId="77777777" w:rsidR="002960B3" w:rsidRDefault="002960B3" w:rsidP="002960B3">
      <w:r>
        <w:separator/>
      </w:r>
    </w:p>
  </w:endnote>
  <w:endnote w:type="continuationSeparator" w:id="0">
    <w:p w14:paraId="3952F06B" w14:textId="77777777" w:rsidR="002960B3" w:rsidRDefault="002960B3" w:rsidP="00296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7006D" w14:textId="77777777" w:rsidR="002960B3" w:rsidRDefault="002960B3" w:rsidP="002960B3">
      <w:r>
        <w:separator/>
      </w:r>
    </w:p>
  </w:footnote>
  <w:footnote w:type="continuationSeparator" w:id="0">
    <w:p w14:paraId="32215BE8" w14:textId="77777777" w:rsidR="002960B3" w:rsidRDefault="002960B3" w:rsidP="002960B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602"/>
    <w:rsid w:val="00081B54"/>
    <w:rsid w:val="001058EA"/>
    <w:rsid w:val="001524FF"/>
    <w:rsid w:val="001770FE"/>
    <w:rsid w:val="001D0CA4"/>
    <w:rsid w:val="001D7391"/>
    <w:rsid w:val="001F00E1"/>
    <w:rsid w:val="002866A5"/>
    <w:rsid w:val="002960B3"/>
    <w:rsid w:val="00323A6B"/>
    <w:rsid w:val="003800E7"/>
    <w:rsid w:val="00420341"/>
    <w:rsid w:val="00476637"/>
    <w:rsid w:val="00514260"/>
    <w:rsid w:val="00536B9C"/>
    <w:rsid w:val="005C0E3D"/>
    <w:rsid w:val="005E4666"/>
    <w:rsid w:val="006124E7"/>
    <w:rsid w:val="006D1156"/>
    <w:rsid w:val="00740F7F"/>
    <w:rsid w:val="007A3B17"/>
    <w:rsid w:val="007D02A7"/>
    <w:rsid w:val="00936D17"/>
    <w:rsid w:val="00945602"/>
    <w:rsid w:val="00982411"/>
    <w:rsid w:val="009F5303"/>
    <w:rsid w:val="00A1057A"/>
    <w:rsid w:val="00AA3FE8"/>
    <w:rsid w:val="00D36ADC"/>
    <w:rsid w:val="00D75A05"/>
    <w:rsid w:val="00DB741C"/>
    <w:rsid w:val="00E274AB"/>
    <w:rsid w:val="00E4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B948E0"/>
  <w15:chartTrackingRefBased/>
  <w15:docId w15:val="{C24C8E22-1CF7-42AA-8157-5E6AC95F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602"/>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5602"/>
    <w:pPr>
      <w:spacing w:after="0" w:line="240" w:lineRule="auto"/>
    </w:pPr>
    <w:rPr>
      <w:rFonts w:ascii="Arial" w:hAnsi="Arial"/>
      <w:kern w:val="0"/>
      <w:sz w:val="24"/>
      <w14:ligatures w14:val="none"/>
    </w:rPr>
  </w:style>
  <w:style w:type="character" w:styleId="Hyperlink">
    <w:name w:val="Hyperlink"/>
    <w:basedOn w:val="DefaultParagraphFont"/>
    <w:uiPriority w:val="99"/>
    <w:unhideWhenUsed/>
    <w:rsid w:val="00945602"/>
    <w:rPr>
      <w:color w:val="0000FF"/>
      <w:u w:val="single"/>
    </w:rPr>
  </w:style>
  <w:style w:type="character" w:styleId="Emphasis">
    <w:name w:val="Emphasis"/>
    <w:basedOn w:val="DefaultParagraphFont"/>
    <w:uiPriority w:val="20"/>
    <w:qFormat/>
    <w:rsid w:val="00945602"/>
    <w:rPr>
      <w:i/>
      <w:iCs/>
    </w:rPr>
  </w:style>
  <w:style w:type="character" w:customStyle="1" w:styleId="authors">
    <w:name w:val="authors"/>
    <w:basedOn w:val="DefaultParagraphFont"/>
    <w:rsid w:val="00945602"/>
  </w:style>
  <w:style w:type="character" w:customStyle="1" w:styleId="Date1">
    <w:name w:val="Date1"/>
    <w:basedOn w:val="DefaultParagraphFont"/>
    <w:rsid w:val="00945602"/>
  </w:style>
  <w:style w:type="character" w:customStyle="1" w:styleId="arttitle">
    <w:name w:val="art_title"/>
    <w:basedOn w:val="DefaultParagraphFont"/>
    <w:rsid w:val="00945602"/>
  </w:style>
  <w:style w:type="character" w:customStyle="1" w:styleId="serialtitle">
    <w:name w:val="serial_title"/>
    <w:basedOn w:val="DefaultParagraphFont"/>
    <w:rsid w:val="00945602"/>
  </w:style>
  <w:style w:type="character" w:customStyle="1" w:styleId="volumeissue">
    <w:name w:val="volume_issue"/>
    <w:basedOn w:val="DefaultParagraphFont"/>
    <w:rsid w:val="00945602"/>
  </w:style>
  <w:style w:type="character" w:customStyle="1" w:styleId="pagerange">
    <w:name w:val="page_range"/>
    <w:basedOn w:val="DefaultParagraphFont"/>
    <w:rsid w:val="00945602"/>
  </w:style>
  <w:style w:type="character" w:customStyle="1" w:styleId="doilink">
    <w:name w:val="doi_link"/>
    <w:basedOn w:val="DefaultParagraphFont"/>
    <w:rsid w:val="00945602"/>
  </w:style>
  <w:style w:type="paragraph" w:styleId="z-TopofForm">
    <w:name w:val="HTML Top of Form"/>
    <w:basedOn w:val="Normal"/>
    <w:next w:val="Normal"/>
    <w:link w:val="z-TopofFormChar"/>
    <w:hidden/>
    <w:uiPriority w:val="99"/>
    <w:semiHidden/>
    <w:unhideWhenUsed/>
    <w:rsid w:val="0094560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45602"/>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94560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45602"/>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945602"/>
    <w:rPr>
      <w:color w:val="605E5C"/>
      <w:shd w:val="clear" w:color="auto" w:fill="E1DFDD"/>
    </w:rPr>
  </w:style>
  <w:style w:type="paragraph" w:styleId="NormalWeb">
    <w:name w:val="Normal (Web)"/>
    <w:basedOn w:val="Normal"/>
    <w:uiPriority w:val="99"/>
    <w:unhideWhenUsed/>
    <w:rsid w:val="002866A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217696">
      <w:bodyDiv w:val="1"/>
      <w:marLeft w:val="0"/>
      <w:marRight w:val="0"/>
      <w:marTop w:val="0"/>
      <w:marBottom w:val="0"/>
      <w:divBdr>
        <w:top w:val="none" w:sz="0" w:space="0" w:color="auto"/>
        <w:left w:val="none" w:sz="0" w:space="0" w:color="auto"/>
        <w:bottom w:val="none" w:sz="0" w:space="0" w:color="auto"/>
        <w:right w:val="none" w:sz="0" w:space="0" w:color="auto"/>
      </w:divBdr>
      <w:divsChild>
        <w:div w:id="946352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96-018-9285-x" TargetMode="External"/><Relationship Id="rId3" Type="http://schemas.openxmlformats.org/officeDocument/2006/relationships/webSettings" Target="webSettings.xml"/><Relationship Id="rId7" Type="http://schemas.openxmlformats.org/officeDocument/2006/relationships/hyperlink" Target="https://doi.org/10.1136/jramc-146-01-0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bjsw/bcr19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80/009183608024217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16</Pages>
  <Words>6925</Words>
  <Characters>39477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9</cp:revision>
  <dcterms:created xsi:type="dcterms:W3CDTF">2023-06-04T16:28:00Z</dcterms:created>
  <dcterms:modified xsi:type="dcterms:W3CDTF">2023-06-04T18:18:00Z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2023-06-04T11:29:41Z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580b6361-d8b0-493b-b991-b1b026435c33</vt:lpwstr>
  </property>
  <property fmtid="{D5CDD505-2E9C-101B-9397-08002B2CF9AE}" pid="8" name="MSIP_Label_66cf8fe5-b7b7-4df7-b38d-1c61ac2f6639_ContentBits">
    <vt:lpwstr>0</vt:lpwstr>
  </property>
</Properties>
</file>