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F9252" w14:textId="22A71DB8" w:rsidR="005C1D12" w:rsidRPr="00D42C46" w:rsidRDefault="00570CCB" w:rsidP="00B926FF">
      <w:pPr>
        <w:ind w:left="720" w:firstLine="720"/>
        <w:rPr>
          <w:rFonts w:ascii="Andalus" w:hAnsi="Andalus" w:cs="Andalus"/>
          <w:b/>
          <w:bCs/>
          <w:sz w:val="36"/>
          <w:szCs w:val="36"/>
          <w:u w:val="single"/>
        </w:rPr>
      </w:pPr>
      <w:bookmarkStart w:id="0" w:name="_GoBack"/>
      <w:bookmarkEnd w:id="0"/>
      <w:r w:rsidRPr="00D42C46">
        <w:rPr>
          <w:rFonts w:ascii="Andalus" w:hAnsi="Andalus" w:cs="Andalus"/>
          <w:b/>
          <w:bCs/>
          <w:sz w:val="36"/>
          <w:szCs w:val="36"/>
          <w:u w:val="single"/>
        </w:rPr>
        <w:t xml:space="preserve">Knowledge Acquisition presentation notes </w:t>
      </w:r>
    </w:p>
    <w:p w14:paraId="04E9E6DE" w14:textId="2E4508E4" w:rsidR="005C1D12" w:rsidRDefault="00FF205D" w:rsidP="00DB7269">
      <w:pPr>
        <w:spacing w:before="200" w:after="0" w:line="216" w:lineRule="auto"/>
        <w:rPr>
          <w:rFonts w:eastAsiaTheme="minorEastAsia" w:hAnsi="Calibri"/>
          <w:b/>
          <w:bCs/>
          <w:color w:val="000000" w:themeColor="text1"/>
          <w:kern w:val="24"/>
          <w:sz w:val="24"/>
          <w:szCs w:val="24"/>
          <w:u w:val="single"/>
          <w:lang w:eastAsia="en-GB"/>
        </w:rPr>
      </w:pPr>
      <w:r>
        <w:rPr>
          <w:rFonts w:eastAsiaTheme="minorEastAsia" w:hAnsi="Calibri"/>
          <w:b/>
          <w:bCs/>
          <w:color w:val="000000" w:themeColor="text1"/>
          <w:kern w:val="24"/>
          <w:sz w:val="24"/>
          <w:szCs w:val="24"/>
          <w:u w:val="single"/>
          <w:lang w:eastAsia="en-GB"/>
        </w:rPr>
        <w:t xml:space="preserve">Natalie Sahi 1915519 </w:t>
      </w:r>
    </w:p>
    <w:p w14:paraId="3070150B" w14:textId="1C4A9603" w:rsidR="00626A62" w:rsidRPr="00154907" w:rsidRDefault="00626A62" w:rsidP="00DB7269">
      <w:pPr>
        <w:spacing w:before="200" w:after="0" w:line="216" w:lineRule="auto"/>
        <w:rPr>
          <w:rFonts w:eastAsiaTheme="minorEastAsia" w:hAnsi="Calibri"/>
          <w:b/>
          <w:bCs/>
          <w:color w:val="000000" w:themeColor="text1"/>
          <w:kern w:val="24"/>
          <w:sz w:val="24"/>
          <w:szCs w:val="24"/>
          <w:u w:val="single"/>
          <w:lang w:eastAsia="en-GB"/>
        </w:rPr>
      </w:pPr>
      <w:r w:rsidRPr="00154907">
        <w:rPr>
          <w:rFonts w:eastAsiaTheme="minorEastAsia" w:hAnsi="Calibri"/>
          <w:b/>
          <w:bCs/>
          <w:color w:val="000000" w:themeColor="text1"/>
          <w:kern w:val="24"/>
          <w:sz w:val="24"/>
          <w:szCs w:val="24"/>
          <w:u w:val="single"/>
          <w:lang w:eastAsia="en-GB"/>
        </w:rPr>
        <w:t xml:space="preserve">Vision/Mission </w:t>
      </w:r>
    </w:p>
    <w:p w14:paraId="08B44C9D" w14:textId="06F642DF" w:rsidR="00DB7269" w:rsidRPr="00595070" w:rsidRDefault="00DB7269" w:rsidP="00DB7269">
      <w:pPr>
        <w:spacing w:before="200" w:after="0" w:line="216" w:lineRule="auto"/>
        <w:rPr>
          <w:rFonts w:eastAsiaTheme="minorEastAsia" w:hAnsi="Calibri"/>
          <w:color w:val="000000" w:themeColor="text1"/>
          <w:kern w:val="24"/>
          <w:sz w:val="24"/>
          <w:szCs w:val="24"/>
          <w:lang w:eastAsia="en-GB"/>
        </w:rPr>
      </w:pPr>
      <w:r w:rsidRPr="00595070">
        <w:rPr>
          <w:rFonts w:eastAsiaTheme="minorEastAsia" w:hAnsi="Calibri"/>
          <w:color w:val="000000" w:themeColor="text1"/>
          <w:kern w:val="24"/>
          <w:sz w:val="24"/>
          <w:szCs w:val="24"/>
          <w:lang w:eastAsia="en-GB"/>
        </w:rPr>
        <w:t xml:space="preserve">The Maternity and statistics across wales have aimed to provide better maternity services, </w:t>
      </w:r>
      <w:hyperlink r:id="rId8" w:history="1">
        <w:r w:rsidRPr="00595070">
          <w:rPr>
            <w:rFonts w:eastAsiaTheme="minorEastAsia" w:hAnsi="Calibri"/>
            <w:color w:val="000000" w:themeColor="text1"/>
            <w:kern w:val="24"/>
            <w:sz w:val="24"/>
            <w:szCs w:val="24"/>
            <w:u w:val="single"/>
            <w:lang w:eastAsia="en-GB"/>
          </w:rPr>
          <w:t>www.gov.wales</w:t>
        </w:r>
      </w:hyperlink>
      <w:r w:rsidRPr="00595070">
        <w:rPr>
          <w:rFonts w:eastAsiaTheme="minorEastAsia" w:hAnsi="Calibri"/>
          <w:color w:val="000000" w:themeColor="text1"/>
          <w:kern w:val="24"/>
          <w:sz w:val="24"/>
          <w:szCs w:val="24"/>
          <w:lang w:eastAsia="en-GB"/>
        </w:rPr>
        <w:t xml:space="preserve"> as part of the 5 year plan the hospitals strategy which begun in 2019 to 2024 is to ensures that they are aiming to provide safe and high-quality care for mothers and babies during pregnancy, childbirth and following birth. The vison and mission at hospitals across south wales have demonstrated that they value Knowledge Management within the maternity sector, the hospitals aim to improve patients maternity care are based on five principles.</w:t>
      </w:r>
    </w:p>
    <w:p w14:paraId="3917526C" w14:textId="77777777" w:rsidR="004B000F" w:rsidRPr="00595070" w:rsidRDefault="004B000F" w:rsidP="00DB7269">
      <w:pPr>
        <w:spacing w:before="200" w:after="0" w:line="216" w:lineRule="auto"/>
        <w:rPr>
          <w:rFonts w:ascii="Times New Roman" w:eastAsia="Times New Roman" w:hAnsi="Times New Roman" w:cs="Times New Roman"/>
          <w:sz w:val="24"/>
          <w:szCs w:val="24"/>
          <w:lang w:eastAsia="en-GB"/>
        </w:rPr>
      </w:pPr>
    </w:p>
    <w:p w14:paraId="07EBD697" w14:textId="77777777" w:rsidR="00DB7269" w:rsidRPr="00595070" w:rsidRDefault="00DB7269" w:rsidP="00DB7269">
      <w:pPr>
        <w:numPr>
          <w:ilvl w:val="0"/>
          <w:numId w:val="2"/>
        </w:numPr>
        <w:spacing w:after="0" w:line="216" w:lineRule="auto"/>
        <w:ind w:left="1080"/>
        <w:contextualSpacing/>
        <w:rPr>
          <w:rFonts w:ascii="Times New Roman" w:eastAsia="Times New Roman" w:hAnsi="Times New Roman" w:cs="Times New Roman"/>
          <w:sz w:val="24"/>
          <w:szCs w:val="24"/>
          <w:lang w:eastAsia="en-GB"/>
        </w:rPr>
      </w:pPr>
      <w:r w:rsidRPr="00595070">
        <w:rPr>
          <w:rFonts w:eastAsiaTheme="minorEastAsia" w:hAnsi="Calibri"/>
          <w:color w:val="000000" w:themeColor="text1"/>
          <w:kern w:val="24"/>
          <w:sz w:val="24"/>
          <w:szCs w:val="24"/>
          <w:lang w:eastAsia="en-GB"/>
        </w:rPr>
        <w:t>Family cantered care</w:t>
      </w:r>
    </w:p>
    <w:p w14:paraId="7D941121" w14:textId="77777777" w:rsidR="00DB7269" w:rsidRPr="00595070" w:rsidRDefault="00DB7269" w:rsidP="00DB7269">
      <w:pPr>
        <w:numPr>
          <w:ilvl w:val="0"/>
          <w:numId w:val="2"/>
        </w:numPr>
        <w:spacing w:after="0" w:line="216" w:lineRule="auto"/>
        <w:ind w:left="1080"/>
        <w:contextualSpacing/>
        <w:rPr>
          <w:rFonts w:ascii="Times New Roman" w:eastAsia="Times New Roman" w:hAnsi="Times New Roman" w:cs="Times New Roman"/>
          <w:sz w:val="24"/>
          <w:szCs w:val="24"/>
          <w:lang w:eastAsia="en-GB"/>
        </w:rPr>
      </w:pPr>
      <w:r w:rsidRPr="00595070">
        <w:rPr>
          <w:rFonts w:eastAsiaTheme="minorEastAsia" w:hAnsi="Calibri"/>
          <w:color w:val="000000" w:themeColor="text1"/>
          <w:kern w:val="24"/>
          <w:sz w:val="24"/>
          <w:szCs w:val="24"/>
          <w:lang w:eastAsia="en-GB"/>
        </w:rPr>
        <w:t xml:space="preserve">Safe and effective care </w:t>
      </w:r>
    </w:p>
    <w:p w14:paraId="34621A9F" w14:textId="77777777" w:rsidR="00DB7269" w:rsidRPr="00595070" w:rsidRDefault="00DB7269" w:rsidP="00DB7269">
      <w:pPr>
        <w:numPr>
          <w:ilvl w:val="0"/>
          <w:numId w:val="2"/>
        </w:numPr>
        <w:spacing w:after="0" w:line="216" w:lineRule="auto"/>
        <w:ind w:left="1080"/>
        <w:contextualSpacing/>
        <w:rPr>
          <w:rFonts w:ascii="Times New Roman" w:eastAsia="Times New Roman" w:hAnsi="Times New Roman" w:cs="Times New Roman"/>
          <w:sz w:val="24"/>
          <w:szCs w:val="24"/>
          <w:lang w:eastAsia="en-GB"/>
        </w:rPr>
      </w:pPr>
      <w:r w:rsidRPr="00595070">
        <w:rPr>
          <w:rFonts w:eastAsiaTheme="minorEastAsia" w:hAnsi="Calibri"/>
          <w:color w:val="000000" w:themeColor="text1"/>
          <w:kern w:val="24"/>
          <w:sz w:val="24"/>
          <w:szCs w:val="24"/>
          <w:lang w:eastAsia="en-GB"/>
        </w:rPr>
        <w:t>Continuity of care</w:t>
      </w:r>
    </w:p>
    <w:p w14:paraId="32A41483" w14:textId="77777777" w:rsidR="00DB7269" w:rsidRPr="00595070" w:rsidRDefault="00DB7269" w:rsidP="00DB7269">
      <w:pPr>
        <w:numPr>
          <w:ilvl w:val="0"/>
          <w:numId w:val="2"/>
        </w:numPr>
        <w:spacing w:after="0" w:line="216" w:lineRule="auto"/>
        <w:ind w:left="1080"/>
        <w:contextualSpacing/>
        <w:rPr>
          <w:rFonts w:ascii="Times New Roman" w:eastAsia="Times New Roman" w:hAnsi="Times New Roman" w:cs="Times New Roman"/>
          <w:sz w:val="24"/>
          <w:szCs w:val="24"/>
          <w:lang w:eastAsia="en-GB"/>
        </w:rPr>
      </w:pPr>
      <w:r w:rsidRPr="00595070">
        <w:rPr>
          <w:rFonts w:eastAsiaTheme="minorEastAsia" w:hAnsi="Calibri"/>
          <w:color w:val="000000" w:themeColor="text1"/>
          <w:kern w:val="24"/>
          <w:sz w:val="24"/>
          <w:szCs w:val="24"/>
          <w:lang w:eastAsia="en-GB"/>
        </w:rPr>
        <w:t xml:space="preserve">Skilled multi-professional teams </w:t>
      </w:r>
    </w:p>
    <w:p w14:paraId="5BB3BBC2" w14:textId="2DFBA5DE" w:rsidR="00DB7269" w:rsidRPr="00595070" w:rsidRDefault="00DB7269" w:rsidP="00DB7269">
      <w:pPr>
        <w:numPr>
          <w:ilvl w:val="0"/>
          <w:numId w:val="2"/>
        </w:numPr>
        <w:spacing w:after="0" w:line="216" w:lineRule="auto"/>
        <w:ind w:left="1080"/>
        <w:contextualSpacing/>
        <w:rPr>
          <w:rFonts w:ascii="Times New Roman" w:eastAsia="Times New Roman" w:hAnsi="Times New Roman" w:cs="Times New Roman"/>
          <w:sz w:val="24"/>
          <w:szCs w:val="24"/>
          <w:lang w:eastAsia="en-GB"/>
        </w:rPr>
      </w:pPr>
      <w:r w:rsidRPr="00595070">
        <w:rPr>
          <w:rFonts w:eastAsiaTheme="minorEastAsia" w:hAnsi="Calibri"/>
          <w:color w:val="000000" w:themeColor="text1"/>
          <w:kern w:val="24"/>
          <w:sz w:val="24"/>
          <w:szCs w:val="24"/>
          <w:lang w:eastAsia="en-GB"/>
        </w:rPr>
        <w:t xml:space="preserve">Sustainable quality services </w:t>
      </w:r>
    </w:p>
    <w:p w14:paraId="60491042" w14:textId="77777777" w:rsidR="00626A62" w:rsidRDefault="00626A62" w:rsidP="006809C7">
      <w:pPr>
        <w:spacing w:after="0" w:line="216" w:lineRule="auto"/>
        <w:contextualSpacing/>
        <w:rPr>
          <w:rFonts w:eastAsiaTheme="minorEastAsia" w:hAnsi="Calibri"/>
          <w:color w:val="000000" w:themeColor="text1"/>
          <w:kern w:val="24"/>
          <w:sz w:val="24"/>
          <w:szCs w:val="24"/>
          <w:lang w:eastAsia="en-GB"/>
        </w:rPr>
      </w:pPr>
    </w:p>
    <w:p w14:paraId="5CDB9B75" w14:textId="6DD5F2DD" w:rsidR="00626A62" w:rsidRPr="00154907" w:rsidRDefault="005C1D12" w:rsidP="006809C7">
      <w:pPr>
        <w:spacing w:after="0" w:line="216" w:lineRule="auto"/>
        <w:contextualSpacing/>
        <w:rPr>
          <w:rFonts w:eastAsiaTheme="minorEastAsia" w:hAnsi="Calibri"/>
          <w:b/>
          <w:bCs/>
          <w:color w:val="000000" w:themeColor="text1"/>
          <w:kern w:val="24"/>
          <w:sz w:val="24"/>
          <w:szCs w:val="24"/>
          <w:u w:val="single"/>
          <w:lang w:eastAsia="en-GB"/>
        </w:rPr>
      </w:pPr>
      <w:bookmarkStart w:id="1" w:name="_Hlk104079842"/>
      <w:r>
        <w:rPr>
          <w:rFonts w:eastAsiaTheme="minorEastAsia" w:hAnsi="Calibri"/>
          <w:b/>
          <w:bCs/>
          <w:color w:val="000000" w:themeColor="text1"/>
          <w:kern w:val="24"/>
          <w:sz w:val="24"/>
          <w:szCs w:val="24"/>
          <w:u w:val="single"/>
          <w:lang w:eastAsia="en-GB"/>
        </w:rPr>
        <w:t>5</w:t>
      </w:r>
      <w:r w:rsidR="006737CA">
        <w:rPr>
          <w:rFonts w:eastAsiaTheme="minorEastAsia" w:hAnsi="Calibri"/>
          <w:b/>
          <w:bCs/>
          <w:color w:val="000000" w:themeColor="text1"/>
          <w:kern w:val="24"/>
          <w:sz w:val="24"/>
          <w:szCs w:val="24"/>
          <w:u w:val="single"/>
          <w:lang w:eastAsia="en-GB"/>
        </w:rPr>
        <w:t>C’s</w:t>
      </w:r>
      <w:r w:rsidR="00950223">
        <w:rPr>
          <w:rFonts w:eastAsiaTheme="minorEastAsia" w:hAnsi="Calibri"/>
          <w:b/>
          <w:bCs/>
          <w:color w:val="000000" w:themeColor="text1"/>
          <w:kern w:val="24"/>
          <w:sz w:val="24"/>
          <w:szCs w:val="24"/>
          <w:u w:val="single"/>
          <w:lang w:eastAsia="en-GB"/>
        </w:rPr>
        <w:t xml:space="preserve"> Contextualised </w:t>
      </w:r>
      <w:r w:rsidR="006737CA">
        <w:rPr>
          <w:rFonts w:eastAsiaTheme="minorEastAsia" w:hAnsi="Calibri"/>
          <w:b/>
          <w:bCs/>
          <w:color w:val="000000" w:themeColor="text1"/>
          <w:kern w:val="24"/>
          <w:sz w:val="24"/>
          <w:szCs w:val="24"/>
          <w:u w:val="single"/>
          <w:lang w:eastAsia="en-GB"/>
        </w:rPr>
        <w:t>/4C’S</w:t>
      </w:r>
      <w:r w:rsidR="00950223">
        <w:rPr>
          <w:rFonts w:eastAsiaTheme="minorEastAsia" w:hAnsi="Calibri"/>
          <w:b/>
          <w:bCs/>
          <w:color w:val="000000" w:themeColor="text1"/>
          <w:kern w:val="24"/>
          <w:sz w:val="24"/>
          <w:szCs w:val="24"/>
          <w:u w:val="single"/>
          <w:lang w:eastAsia="en-GB"/>
        </w:rPr>
        <w:t xml:space="preserve"> </w:t>
      </w:r>
      <w:r w:rsidR="00F3549F">
        <w:rPr>
          <w:rFonts w:eastAsiaTheme="minorEastAsia" w:hAnsi="Calibri"/>
          <w:b/>
          <w:bCs/>
          <w:color w:val="000000" w:themeColor="text1"/>
          <w:kern w:val="24"/>
          <w:sz w:val="24"/>
          <w:szCs w:val="24"/>
          <w:u w:val="single"/>
          <w:lang w:eastAsia="en-GB"/>
        </w:rPr>
        <w:t xml:space="preserve">Connects </w:t>
      </w:r>
    </w:p>
    <w:bookmarkEnd w:id="1"/>
    <w:p w14:paraId="1261ED6D" w14:textId="0F8E041B" w:rsidR="002D6C60" w:rsidRPr="00595070" w:rsidRDefault="00645DA7" w:rsidP="006809C7">
      <w:pPr>
        <w:spacing w:after="0" w:line="216"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 xml:space="preserve">Carroll (2021) </w:t>
      </w:r>
      <w:r w:rsidR="00095682">
        <w:rPr>
          <w:rFonts w:eastAsiaTheme="minorEastAsia" w:hAnsi="Calibri"/>
          <w:color w:val="000000" w:themeColor="text1"/>
          <w:kern w:val="24"/>
          <w:sz w:val="24"/>
          <w:szCs w:val="24"/>
          <w:lang w:eastAsia="en-GB"/>
        </w:rPr>
        <w:t xml:space="preserve">The Maternity </w:t>
      </w:r>
      <w:r w:rsidR="00753928">
        <w:rPr>
          <w:rFonts w:eastAsiaTheme="minorEastAsia" w:hAnsi="Calibri"/>
          <w:color w:val="000000" w:themeColor="text1"/>
          <w:kern w:val="24"/>
          <w:sz w:val="24"/>
          <w:szCs w:val="24"/>
          <w:lang w:eastAsia="en-GB"/>
        </w:rPr>
        <w:t xml:space="preserve">and birth </w:t>
      </w:r>
      <w:r w:rsidR="00744012">
        <w:rPr>
          <w:rFonts w:eastAsiaTheme="minorEastAsia" w:hAnsi="Calibri"/>
          <w:color w:val="000000" w:themeColor="text1"/>
          <w:kern w:val="24"/>
          <w:sz w:val="24"/>
          <w:szCs w:val="24"/>
          <w:lang w:eastAsia="en-GB"/>
        </w:rPr>
        <w:t xml:space="preserve">services collect two sources of data which </w:t>
      </w:r>
      <w:r w:rsidR="00A6103C">
        <w:rPr>
          <w:rFonts w:eastAsiaTheme="minorEastAsia" w:hAnsi="Calibri"/>
          <w:color w:val="000000" w:themeColor="text1"/>
          <w:kern w:val="24"/>
          <w:sz w:val="24"/>
          <w:szCs w:val="24"/>
          <w:lang w:eastAsia="en-GB"/>
        </w:rPr>
        <w:t>have adopted the 5C’s,</w:t>
      </w:r>
      <w:r w:rsidR="00FB3970">
        <w:rPr>
          <w:rFonts w:eastAsiaTheme="minorEastAsia" w:hAnsi="Calibri"/>
          <w:color w:val="000000" w:themeColor="text1"/>
          <w:kern w:val="24"/>
          <w:sz w:val="24"/>
          <w:szCs w:val="24"/>
          <w:lang w:eastAsia="en-GB"/>
        </w:rPr>
        <w:t xml:space="preserve"> the</w:t>
      </w:r>
      <w:r w:rsidR="009B3254">
        <w:rPr>
          <w:rFonts w:eastAsiaTheme="minorEastAsia" w:hAnsi="Calibri"/>
          <w:color w:val="000000" w:themeColor="text1"/>
          <w:kern w:val="24"/>
          <w:sz w:val="24"/>
          <w:szCs w:val="24"/>
          <w:lang w:eastAsia="en-GB"/>
        </w:rPr>
        <w:t xml:space="preserve"> </w:t>
      </w:r>
      <w:r w:rsidR="007370FA">
        <w:rPr>
          <w:rFonts w:eastAsiaTheme="minorEastAsia" w:hAnsi="Calibri"/>
          <w:color w:val="000000" w:themeColor="text1"/>
          <w:kern w:val="24"/>
          <w:sz w:val="24"/>
          <w:szCs w:val="24"/>
          <w:lang w:eastAsia="en-GB"/>
        </w:rPr>
        <w:t xml:space="preserve">Maternity Indicators dataset (MI ds) </w:t>
      </w:r>
      <w:r w:rsidR="009D4461">
        <w:rPr>
          <w:rFonts w:eastAsiaTheme="minorEastAsia" w:hAnsi="Calibri"/>
          <w:color w:val="000000" w:themeColor="text1"/>
          <w:kern w:val="24"/>
          <w:sz w:val="24"/>
          <w:szCs w:val="24"/>
          <w:lang w:eastAsia="en-GB"/>
        </w:rPr>
        <w:t>and th</w:t>
      </w:r>
      <w:r w:rsidR="008A7C84">
        <w:rPr>
          <w:rFonts w:eastAsiaTheme="minorEastAsia" w:hAnsi="Calibri"/>
          <w:color w:val="000000" w:themeColor="text1"/>
          <w:kern w:val="24"/>
          <w:sz w:val="24"/>
          <w:szCs w:val="24"/>
          <w:lang w:eastAsia="en-GB"/>
        </w:rPr>
        <w:t>e</w:t>
      </w:r>
      <w:r w:rsidR="009D4461">
        <w:rPr>
          <w:rFonts w:eastAsiaTheme="minorEastAsia" w:hAnsi="Calibri"/>
          <w:color w:val="000000" w:themeColor="text1"/>
          <w:kern w:val="24"/>
          <w:sz w:val="24"/>
          <w:szCs w:val="24"/>
          <w:lang w:eastAsia="en-GB"/>
        </w:rPr>
        <w:t xml:space="preserve"> National Community Child Health Data (NCCHD) </w:t>
      </w:r>
      <w:r w:rsidR="00A6103C">
        <w:rPr>
          <w:rFonts w:eastAsiaTheme="minorEastAsia" w:hAnsi="Calibri"/>
          <w:color w:val="000000" w:themeColor="text1"/>
          <w:kern w:val="24"/>
          <w:sz w:val="24"/>
          <w:szCs w:val="24"/>
          <w:lang w:eastAsia="en-GB"/>
        </w:rPr>
        <w:t>is</w:t>
      </w:r>
      <w:r w:rsidR="00532A33">
        <w:rPr>
          <w:rFonts w:eastAsiaTheme="minorEastAsia" w:hAnsi="Calibri"/>
          <w:color w:val="000000" w:themeColor="text1"/>
          <w:kern w:val="24"/>
          <w:sz w:val="24"/>
          <w:szCs w:val="24"/>
          <w:lang w:eastAsia="en-GB"/>
        </w:rPr>
        <w:t xml:space="preserve"> </w:t>
      </w:r>
      <w:r w:rsidR="00FD1DE3">
        <w:rPr>
          <w:rFonts w:eastAsiaTheme="minorEastAsia" w:hAnsi="Calibri"/>
          <w:color w:val="000000" w:themeColor="text1"/>
          <w:kern w:val="24"/>
          <w:sz w:val="24"/>
          <w:szCs w:val="24"/>
          <w:lang w:eastAsia="en-GB"/>
        </w:rPr>
        <w:t>collected</w:t>
      </w:r>
      <w:r w:rsidR="00143A21">
        <w:rPr>
          <w:rFonts w:eastAsiaTheme="minorEastAsia" w:hAnsi="Calibri"/>
          <w:color w:val="000000" w:themeColor="text1"/>
          <w:kern w:val="24"/>
          <w:sz w:val="24"/>
          <w:szCs w:val="24"/>
          <w:lang w:eastAsia="en-GB"/>
        </w:rPr>
        <w:t xml:space="preserve"> </w:t>
      </w:r>
      <w:r w:rsidR="00A6103C">
        <w:rPr>
          <w:rFonts w:eastAsiaTheme="minorEastAsia" w:hAnsi="Calibri"/>
          <w:color w:val="000000" w:themeColor="text1"/>
          <w:kern w:val="24"/>
          <w:sz w:val="24"/>
          <w:szCs w:val="24"/>
          <w:lang w:eastAsia="en-GB"/>
        </w:rPr>
        <w:t xml:space="preserve">to </w:t>
      </w:r>
      <w:r w:rsidR="00D248E4">
        <w:rPr>
          <w:rFonts w:eastAsiaTheme="minorEastAsia" w:hAnsi="Calibri"/>
          <w:color w:val="000000" w:themeColor="text1"/>
          <w:kern w:val="24"/>
          <w:sz w:val="24"/>
          <w:szCs w:val="24"/>
          <w:lang w:eastAsia="en-GB"/>
        </w:rPr>
        <w:t xml:space="preserve">electronically enhance the </w:t>
      </w:r>
      <w:r w:rsidR="00F91B9C">
        <w:rPr>
          <w:rFonts w:eastAsiaTheme="minorEastAsia" w:hAnsi="Calibri"/>
          <w:color w:val="000000" w:themeColor="text1"/>
          <w:kern w:val="24"/>
          <w:sz w:val="24"/>
          <w:szCs w:val="24"/>
          <w:lang w:eastAsia="en-GB"/>
        </w:rPr>
        <w:t>effective communication between the health care professionals</w:t>
      </w:r>
      <w:r w:rsidR="00757D7D">
        <w:rPr>
          <w:rFonts w:eastAsiaTheme="minorEastAsia" w:hAnsi="Calibri"/>
          <w:color w:val="000000" w:themeColor="text1"/>
          <w:kern w:val="24"/>
          <w:sz w:val="24"/>
          <w:szCs w:val="24"/>
          <w:lang w:eastAsia="en-GB"/>
        </w:rPr>
        <w:t xml:space="preserve">. </w:t>
      </w:r>
      <w:r w:rsidR="005E714F">
        <w:rPr>
          <w:rFonts w:eastAsiaTheme="minorEastAsia" w:hAnsi="Calibri"/>
          <w:color w:val="000000" w:themeColor="text1"/>
          <w:kern w:val="24"/>
          <w:sz w:val="24"/>
          <w:szCs w:val="24"/>
          <w:lang w:eastAsia="en-GB"/>
        </w:rPr>
        <w:t xml:space="preserve">Managing and filing </w:t>
      </w:r>
      <w:r w:rsidR="00E02271">
        <w:rPr>
          <w:rFonts w:eastAsiaTheme="minorEastAsia" w:hAnsi="Calibri"/>
          <w:color w:val="000000" w:themeColor="text1"/>
          <w:kern w:val="24"/>
          <w:sz w:val="24"/>
          <w:szCs w:val="24"/>
          <w:lang w:eastAsia="en-GB"/>
        </w:rPr>
        <w:t>patient’s</w:t>
      </w:r>
      <w:r w:rsidR="005E714F">
        <w:rPr>
          <w:rFonts w:eastAsiaTheme="minorEastAsia" w:hAnsi="Calibri"/>
          <w:color w:val="000000" w:themeColor="text1"/>
          <w:kern w:val="24"/>
          <w:sz w:val="24"/>
          <w:szCs w:val="24"/>
          <w:lang w:eastAsia="en-GB"/>
        </w:rPr>
        <w:t xml:space="preserve"> records applies to the 4C’s, maternity health professionals have the responsibility to ensure all patients records are accordingly filed and organised, policies within the Health board request </w:t>
      </w:r>
      <w:r w:rsidR="00A23E28">
        <w:rPr>
          <w:rFonts w:eastAsiaTheme="minorEastAsia" w:hAnsi="Calibri"/>
          <w:color w:val="000000" w:themeColor="text1"/>
          <w:kern w:val="24"/>
          <w:sz w:val="24"/>
          <w:szCs w:val="24"/>
          <w:lang w:eastAsia="en-GB"/>
        </w:rPr>
        <w:t>all records must be up to date with the relevant information.</w:t>
      </w:r>
    </w:p>
    <w:p w14:paraId="55E8BD69" w14:textId="77777777" w:rsidR="001C5DEE" w:rsidRDefault="001C5DEE" w:rsidP="00C01D53">
      <w:pPr>
        <w:spacing w:after="0" w:line="216" w:lineRule="auto"/>
        <w:contextualSpacing/>
        <w:rPr>
          <w:rFonts w:asciiTheme="majorHAnsi" w:hAnsiTheme="majorHAnsi" w:cs="Andalus"/>
          <w:sz w:val="28"/>
          <w:szCs w:val="28"/>
        </w:rPr>
      </w:pPr>
    </w:p>
    <w:p w14:paraId="1989C235" w14:textId="5A7DC492" w:rsidR="00C01D53" w:rsidRPr="00154907" w:rsidRDefault="00262C45" w:rsidP="00C01D53">
      <w:pPr>
        <w:spacing w:after="0" w:line="216" w:lineRule="auto"/>
        <w:contextualSpacing/>
        <w:rPr>
          <w:rFonts w:eastAsiaTheme="minorEastAsia" w:hAnsi="Calibri"/>
          <w:b/>
          <w:bCs/>
          <w:color w:val="000000" w:themeColor="text1"/>
          <w:kern w:val="24"/>
          <w:sz w:val="24"/>
          <w:szCs w:val="24"/>
          <w:u w:val="single"/>
          <w:lang w:eastAsia="en-GB"/>
        </w:rPr>
      </w:pPr>
      <w:r>
        <w:rPr>
          <w:rFonts w:eastAsiaTheme="minorEastAsia" w:hAnsi="Calibri"/>
          <w:b/>
          <w:bCs/>
          <w:color w:val="000000" w:themeColor="text1"/>
          <w:kern w:val="24"/>
          <w:sz w:val="24"/>
          <w:szCs w:val="24"/>
          <w:u w:val="single"/>
          <w:lang w:eastAsia="en-GB"/>
        </w:rPr>
        <w:t>Explicit Knowledge</w:t>
      </w:r>
    </w:p>
    <w:p w14:paraId="7B5EB539" w14:textId="33879165" w:rsidR="00632913" w:rsidRDefault="00632913" w:rsidP="00632913">
      <w:pPr>
        <w:spacing w:after="0" w:line="216"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Explicit Knowledge occurs when data is structured, examples of this form of data transfer is demonstrated between Midwifes and patients, from the beginning of patients assessments up until the due date</w:t>
      </w:r>
      <w:r w:rsidR="00585F8F">
        <w:rPr>
          <w:rFonts w:eastAsiaTheme="minorEastAsia" w:hAnsi="Calibri"/>
          <w:color w:val="000000" w:themeColor="text1"/>
          <w:kern w:val="24"/>
          <w:sz w:val="24"/>
          <w:szCs w:val="24"/>
          <w:lang w:eastAsia="en-GB"/>
        </w:rPr>
        <w:t xml:space="preserve"> they</w:t>
      </w:r>
      <w:r>
        <w:rPr>
          <w:rFonts w:eastAsiaTheme="minorEastAsia" w:hAnsi="Calibri"/>
          <w:color w:val="000000" w:themeColor="text1"/>
          <w:kern w:val="24"/>
          <w:sz w:val="24"/>
          <w:szCs w:val="24"/>
          <w:lang w:eastAsia="en-GB"/>
        </w:rPr>
        <w:t xml:space="preserve"> rely on</w:t>
      </w:r>
      <w:r w:rsidR="003F7E5A">
        <w:rPr>
          <w:rFonts w:eastAsiaTheme="minorEastAsia" w:hAnsi="Calibri"/>
          <w:color w:val="000000" w:themeColor="text1"/>
          <w:kern w:val="24"/>
          <w:sz w:val="24"/>
          <w:szCs w:val="24"/>
          <w:lang w:eastAsia="en-GB"/>
        </w:rPr>
        <w:t xml:space="preserve"> </w:t>
      </w:r>
      <w:r w:rsidR="00233157">
        <w:rPr>
          <w:rFonts w:eastAsiaTheme="minorEastAsia" w:hAnsi="Calibri"/>
          <w:color w:val="000000" w:themeColor="text1"/>
          <w:kern w:val="24"/>
          <w:sz w:val="24"/>
          <w:szCs w:val="24"/>
          <w:lang w:eastAsia="en-GB"/>
        </w:rPr>
        <w:t>Antenatal records</w:t>
      </w:r>
      <w:r w:rsidR="00B12155">
        <w:rPr>
          <w:rFonts w:eastAsiaTheme="minorEastAsia" w:hAnsi="Calibri"/>
          <w:color w:val="000000" w:themeColor="text1"/>
          <w:kern w:val="24"/>
          <w:sz w:val="24"/>
          <w:szCs w:val="24"/>
          <w:lang w:eastAsia="en-GB"/>
        </w:rPr>
        <w:t xml:space="preserve"> to </w:t>
      </w:r>
      <w:r w:rsidR="003F7E5A">
        <w:rPr>
          <w:rFonts w:eastAsiaTheme="minorEastAsia" w:hAnsi="Calibri"/>
          <w:color w:val="000000" w:themeColor="text1"/>
          <w:kern w:val="24"/>
          <w:sz w:val="24"/>
          <w:szCs w:val="24"/>
          <w:lang w:eastAsia="en-GB"/>
        </w:rPr>
        <w:t>be completed in ink</w:t>
      </w:r>
      <w:r w:rsidR="000F43FC">
        <w:rPr>
          <w:rFonts w:eastAsiaTheme="minorEastAsia" w:hAnsi="Calibri"/>
          <w:color w:val="000000" w:themeColor="text1"/>
          <w:kern w:val="24"/>
          <w:sz w:val="24"/>
          <w:szCs w:val="24"/>
          <w:lang w:eastAsia="en-GB"/>
        </w:rPr>
        <w:t xml:space="preserve"> and</w:t>
      </w:r>
      <w:r w:rsidR="00585F8F">
        <w:rPr>
          <w:rFonts w:eastAsiaTheme="minorEastAsia" w:hAnsi="Calibri"/>
          <w:color w:val="000000" w:themeColor="text1"/>
          <w:kern w:val="24"/>
          <w:sz w:val="24"/>
          <w:szCs w:val="24"/>
          <w:lang w:eastAsia="en-GB"/>
        </w:rPr>
        <w:t xml:space="preserve"> handbooks with written notes based on the regular routine assessments</w:t>
      </w:r>
      <w:r w:rsidR="000F43FC">
        <w:rPr>
          <w:rFonts w:eastAsiaTheme="minorEastAsia" w:hAnsi="Calibri"/>
          <w:color w:val="000000" w:themeColor="text1"/>
          <w:kern w:val="24"/>
          <w:sz w:val="24"/>
          <w:szCs w:val="24"/>
          <w:lang w:eastAsia="en-GB"/>
        </w:rPr>
        <w:t xml:space="preserve">, this allows them to be </w:t>
      </w:r>
      <w:r w:rsidR="00B3368A">
        <w:rPr>
          <w:rFonts w:eastAsiaTheme="minorEastAsia" w:hAnsi="Calibri"/>
          <w:color w:val="000000" w:themeColor="text1"/>
          <w:kern w:val="24"/>
          <w:sz w:val="24"/>
          <w:szCs w:val="24"/>
          <w:lang w:eastAsia="en-GB"/>
        </w:rPr>
        <w:t xml:space="preserve">easily </w:t>
      </w:r>
      <w:r>
        <w:rPr>
          <w:rFonts w:eastAsiaTheme="minorEastAsia" w:hAnsi="Calibri"/>
          <w:color w:val="000000" w:themeColor="text1"/>
          <w:kern w:val="24"/>
          <w:sz w:val="24"/>
          <w:szCs w:val="24"/>
          <w:lang w:eastAsia="en-GB"/>
        </w:rPr>
        <w:t>transferred into Datasheets</w:t>
      </w:r>
      <w:bookmarkStart w:id="2" w:name="_Hlk104076822"/>
      <w:r w:rsidR="00E950E0">
        <w:rPr>
          <w:rFonts w:eastAsiaTheme="minorEastAsia" w:hAnsi="Calibri"/>
          <w:color w:val="000000" w:themeColor="text1"/>
          <w:kern w:val="24"/>
          <w:sz w:val="24"/>
          <w:szCs w:val="24"/>
          <w:lang w:eastAsia="en-GB"/>
        </w:rPr>
        <w:t xml:space="preserve"> based on </w:t>
      </w:r>
      <w:r w:rsidR="00AF0B56">
        <w:rPr>
          <w:rFonts w:eastAsiaTheme="minorEastAsia" w:hAnsi="Calibri"/>
          <w:color w:val="000000" w:themeColor="text1"/>
          <w:kern w:val="24"/>
          <w:sz w:val="24"/>
          <w:szCs w:val="24"/>
          <w:lang w:eastAsia="en-GB"/>
        </w:rPr>
        <w:t xml:space="preserve">their health education.  </w:t>
      </w:r>
      <w:r w:rsidR="00E950E0">
        <w:rPr>
          <w:rFonts w:eastAsiaTheme="minorEastAsia" w:hAnsi="Calibri"/>
          <w:color w:val="000000" w:themeColor="text1"/>
          <w:kern w:val="24"/>
          <w:sz w:val="24"/>
          <w:szCs w:val="24"/>
          <w:lang w:eastAsia="en-GB"/>
        </w:rPr>
        <w:t xml:space="preserve"> </w:t>
      </w:r>
    </w:p>
    <w:bookmarkEnd w:id="2"/>
    <w:p w14:paraId="7B5B51E6" w14:textId="77777777" w:rsidR="00632913" w:rsidRDefault="00632913" w:rsidP="00632913">
      <w:pPr>
        <w:spacing w:after="0" w:line="216" w:lineRule="auto"/>
        <w:contextualSpacing/>
        <w:rPr>
          <w:rFonts w:eastAsiaTheme="minorEastAsia" w:hAnsi="Calibri"/>
          <w:color w:val="000000" w:themeColor="text1"/>
          <w:kern w:val="24"/>
          <w:sz w:val="24"/>
          <w:szCs w:val="24"/>
          <w:lang w:eastAsia="en-GB"/>
        </w:rPr>
      </w:pPr>
    </w:p>
    <w:p w14:paraId="4786BAFD" w14:textId="56AD32B7" w:rsidR="00632913" w:rsidRPr="006C1C49" w:rsidRDefault="00262C45" w:rsidP="00C01D53">
      <w:pPr>
        <w:spacing w:after="0" w:line="216" w:lineRule="auto"/>
        <w:contextualSpacing/>
        <w:rPr>
          <w:rFonts w:eastAsiaTheme="minorEastAsia" w:hAnsi="Calibri"/>
          <w:color w:val="000000" w:themeColor="text1"/>
          <w:kern w:val="24"/>
          <w:sz w:val="24"/>
          <w:szCs w:val="24"/>
          <w:lang w:eastAsia="en-GB"/>
        </w:rPr>
      </w:pPr>
      <w:r w:rsidRPr="00B64A4F">
        <w:rPr>
          <w:rFonts w:eastAsiaTheme="minorEastAsia" w:hAnsi="Calibri"/>
          <w:b/>
          <w:bCs/>
          <w:color w:val="000000" w:themeColor="text1"/>
          <w:kern w:val="24"/>
          <w:sz w:val="24"/>
          <w:szCs w:val="24"/>
          <w:u w:val="single"/>
          <w:lang w:eastAsia="en-GB"/>
        </w:rPr>
        <w:t xml:space="preserve">Tacit </w:t>
      </w:r>
      <w:r w:rsidR="00B64A4F" w:rsidRPr="00B64A4F">
        <w:rPr>
          <w:rFonts w:eastAsiaTheme="minorEastAsia" w:hAnsi="Calibri"/>
          <w:b/>
          <w:bCs/>
          <w:color w:val="000000" w:themeColor="text1"/>
          <w:kern w:val="24"/>
          <w:sz w:val="24"/>
          <w:szCs w:val="24"/>
          <w:u w:val="single"/>
          <w:lang w:eastAsia="en-GB"/>
        </w:rPr>
        <w:t xml:space="preserve">Knowledge </w:t>
      </w:r>
    </w:p>
    <w:p w14:paraId="04325D47" w14:textId="0FC1F6B5" w:rsidR="00C01D53" w:rsidRDefault="00C01D53" w:rsidP="00C01D53">
      <w:pPr>
        <w:spacing w:after="0" w:line="216" w:lineRule="auto"/>
        <w:contextualSpacing/>
        <w:rPr>
          <w:rFonts w:eastAsiaTheme="minorEastAsia" w:hAnsi="Calibri"/>
          <w:color w:val="000000" w:themeColor="text1"/>
          <w:kern w:val="24"/>
          <w:sz w:val="24"/>
          <w:szCs w:val="24"/>
          <w:lang w:eastAsia="en-GB"/>
        </w:rPr>
      </w:pPr>
      <w:r w:rsidRPr="00595070">
        <w:rPr>
          <w:rFonts w:eastAsiaTheme="minorEastAsia" w:hAnsi="Calibri"/>
          <w:color w:val="000000" w:themeColor="text1"/>
          <w:kern w:val="24"/>
          <w:sz w:val="24"/>
          <w:szCs w:val="24"/>
          <w:lang w:eastAsia="en-GB"/>
        </w:rPr>
        <w:t xml:space="preserve">Sanford (2020) The Maternity Services Data Set ( MSDS) has demonstrated </w:t>
      </w:r>
      <w:proofErr w:type="spellStart"/>
      <w:r w:rsidRPr="00595070">
        <w:rPr>
          <w:rFonts w:eastAsiaTheme="minorEastAsia" w:hAnsi="Calibri"/>
          <w:color w:val="000000" w:themeColor="text1"/>
          <w:kern w:val="24"/>
          <w:sz w:val="24"/>
          <w:szCs w:val="24"/>
          <w:lang w:eastAsia="en-GB"/>
        </w:rPr>
        <w:t>Tasit</w:t>
      </w:r>
      <w:proofErr w:type="spellEnd"/>
      <w:r w:rsidRPr="00595070">
        <w:rPr>
          <w:rFonts w:eastAsiaTheme="minorEastAsia" w:hAnsi="Calibri"/>
          <w:color w:val="000000" w:themeColor="text1"/>
          <w:kern w:val="24"/>
          <w:sz w:val="24"/>
          <w:szCs w:val="24"/>
          <w:lang w:eastAsia="en-GB"/>
        </w:rPr>
        <w:t xml:space="preserve"> knowledge and how it is used to guide everyday practise, maternity sectors across Wales collects patients data that captures information about activity carried out by maternity services relating a mother and a baby, th</w:t>
      </w:r>
      <w:r w:rsidR="004A3D22">
        <w:rPr>
          <w:rFonts w:eastAsiaTheme="minorEastAsia" w:hAnsi="Calibri"/>
          <w:color w:val="000000" w:themeColor="text1"/>
          <w:kern w:val="24"/>
          <w:sz w:val="24"/>
          <w:szCs w:val="24"/>
          <w:lang w:eastAsia="en-GB"/>
        </w:rPr>
        <w:t>is form of</w:t>
      </w:r>
      <w:r w:rsidRPr="00595070">
        <w:rPr>
          <w:rFonts w:eastAsiaTheme="minorEastAsia" w:hAnsi="Calibri"/>
          <w:color w:val="000000" w:themeColor="text1"/>
          <w:kern w:val="24"/>
          <w:sz w:val="24"/>
          <w:szCs w:val="24"/>
          <w:lang w:eastAsia="en-GB"/>
        </w:rPr>
        <w:t xml:space="preserve"> data is able to systematically track patients first booking appointments up until mother and baby are discharged from the maternity services. </w:t>
      </w:r>
    </w:p>
    <w:p w14:paraId="604BE956" w14:textId="4D7F8B5E" w:rsidR="00632913" w:rsidRDefault="00632913" w:rsidP="00C01D53">
      <w:pPr>
        <w:spacing w:after="0" w:line="216" w:lineRule="auto"/>
        <w:contextualSpacing/>
        <w:rPr>
          <w:rFonts w:eastAsiaTheme="minorEastAsia" w:hAnsi="Calibri"/>
          <w:color w:val="000000" w:themeColor="text1"/>
          <w:kern w:val="24"/>
          <w:sz w:val="24"/>
          <w:szCs w:val="24"/>
          <w:lang w:eastAsia="en-GB"/>
        </w:rPr>
      </w:pPr>
    </w:p>
    <w:p w14:paraId="31127CC7" w14:textId="0B649804" w:rsidR="00C7490E" w:rsidRPr="00C7490E" w:rsidRDefault="00C7490E" w:rsidP="00C01D53">
      <w:pPr>
        <w:spacing w:after="0" w:line="216" w:lineRule="auto"/>
        <w:contextualSpacing/>
        <w:rPr>
          <w:rFonts w:eastAsiaTheme="minorEastAsia" w:hAnsi="Calibri"/>
          <w:b/>
          <w:bCs/>
          <w:color w:val="000000" w:themeColor="text1"/>
          <w:kern w:val="24"/>
          <w:sz w:val="24"/>
          <w:szCs w:val="24"/>
          <w:u w:val="single"/>
          <w:lang w:eastAsia="en-GB"/>
        </w:rPr>
      </w:pPr>
      <w:r w:rsidRPr="00C7490E">
        <w:rPr>
          <w:rFonts w:eastAsiaTheme="minorEastAsia" w:hAnsi="Calibri"/>
          <w:b/>
          <w:bCs/>
          <w:color w:val="000000" w:themeColor="text1"/>
          <w:kern w:val="24"/>
          <w:sz w:val="24"/>
          <w:szCs w:val="24"/>
          <w:u w:val="single"/>
          <w:lang w:eastAsia="en-GB"/>
        </w:rPr>
        <w:t>Quinn</w:t>
      </w:r>
    </w:p>
    <w:p w14:paraId="11E49EC5" w14:textId="0492BAC0" w:rsidR="0024386E" w:rsidRPr="00D17129" w:rsidRDefault="00ED1868" w:rsidP="00C01D53">
      <w:pPr>
        <w:spacing w:after="0" w:line="216" w:lineRule="auto"/>
        <w:contextualSpacing/>
        <w:rPr>
          <w:rFonts w:eastAsiaTheme="minorEastAsia" w:hAnsi="Calibri"/>
          <w:b/>
          <w:bCs/>
          <w:color w:val="000000" w:themeColor="text1"/>
          <w:kern w:val="24"/>
          <w:sz w:val="24"/>
          <w:szCs w:val="24"/>
          <w:u w:val="single"/>
          <w:lang w:eastAsia="en-GB"/>
        </w:rPr>
      </w:pPr>
      <w:bookmarkStart w:id="3" w:name="_Hlk104076323"/>
      <w:r w:rsidRPr="00D17129">
        <w:rPr>
          <w:rFonts w:eastAsiaTheme="minorEastAsia" w:hAnsi="Calibri"/>
          <w:b/>
          <w:bCs/>
          <w:color w:val="000000" w:themeColor="text1"/>
          <w:kern w:val="24"/>
          <w:sz w:val="24"/>
          <w:szCs w:val="24"/>
          <w:u w:val="single"/>
          <w:lang w:eastAsia="en-GB"/>
        </w:rPr>
        <w:t xml:space="preserve">Self-Motivated Creativity </w:t>
      </w:r>
      <w:r w:rsidR="00690E2B" w:rsidRPr="00D17129">
        <w:rPr>
          <w:rFonts w:eastAsiaTheme="minorEastAsia" w:hAnsi="Calibri"/>
          <w:b/>
          <w:bCs/>
          <w:color w:val="000000" w:themeColor="text1"/>
          <w:kern w:val="24"/>
          <w:sz w:val="24"/>
          <w:szCs w:val="24"/>
          <w:u w:val="single"/>
          <w:lang w:eastAsia="en-GB"/>
        </w:rPr>
        <w:t>Care Why.</w:t>
      </w:r>
    </w:p>
    <w:p w14:paraId="0C12FAF8" w14:textId="7D007F91" w:rsidR="00690E2B" w:rsidRDefault="006F7B4D" w:rsidP="00C01D53">
      <w:pPr>
        <w:spacing w:after="0" w:line="216"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 xml:space="preserve">Record keeping </w:t>
      </w:r>
      <w:r w:rsidR="0024395D">
        <w:rPr>
          <w:rFonts w:eastAsiaTheme="minorEastAsia" w:hAnsi="Calibri"/>
          <w:color w:val="000000" w:themeColor="text1"/>
          <w:kern w:val="24"/>
          <w:sz w:val="24"/>
          <w:szCs w:val="24"/>
          <w:lang w:eastAsia="en-GB"/>
        </w:rPr>
        <w:t xml:space="preserve">is an </w:t>
      </w:r>
      <w:r w:rsidR="00D64CA7">
        <w:rPr>
          <w:rFonts w:eastAsiaTheme="minorEastAsia" w:hAnsi="Calibri"/>
          <w:color w:val="000000" w:themeColor="text1"/>
          <w:kern w:val="24"/>
          <w:sz w:val="24"/>
          <w:szCs w:val="24"/>
          <w:lang w:eastAsia="en-GB"/>
        </w:rPr>
        <w:t>integral</w:t>
      </w:r>
      <w:r w:rsidR="0024395D">
        <w:rPr>
          <w:rFonts w:eastAsiaTheme="minorEastAsia" w:hAnsi="Calibri"/>
          <w:color w:val="000000" w:themeColor="text1"/>
          <w:kern w:val="24"/>
          <w:sz w:val="24"/>
          <w:szCs w:val="24"/>
          <w:lang w:eastAsia="en-GB"/>
        </w:rPr>
        <w:t xml:space="preserve"> part </w:t>
      </w:r>
      <w:r w:rsidR="00D64CA7">
        <w:rPr>
          <w:rFonts w:eastAsiaTheme="minorEastAsia" w:hAnsi="Calibri"/>
          <w:color w:val="000000" w:themeColor="text1"/>
          <w:kern w:val="24"/>
          <w:sz w:val="24"/>
          <w:szCs w:val="24"/>
          <w:lang w:eastAsia="en-GB"/>
        </w:rPr>
        <w:t>of a midwifes career and education</w:t>
      </w:r>
      <w:r w:rsidR="00B502D9">
        <w:rPr>
          <w:rFonts w:eastAsiaTheme="minorEastAsia" w:hAnsi="Calibri"/>
          <w:color w:val="000000" w:themeColor="text1"/>
          <w:kern w:val="24"/>
          <w:sz w:val="24"/>
          <w:szCs w:val="24"/>
          <w:lang w:eastAsia="en-GB"/>
        </w:rPr>
        <w:t xml:space="preserve">, there are requirements </w:t>
      </w:r>
      <w:r w:rsidR="00D17129">
        <w:rPr>
          <w:rFonts w:eastAsiaTheme="minorEastAsia" w:hAnsi="Calibri"/>
          <w:color w:val="000000" w:themeColor="text1"/>
          <w:kern w:val="24"/>
          <w:sz w:val="24"/>
          <w:szCs w:val="24"/>
          <w:lang w:eastAsia="en-GB"/>
        </w:rPr>
        <w:t xml:space="preserve">for all staff to access both internal and external </w:t>
      </w:r>
      <w:r w:rsidR="00AF6682">
        <w:rPr>
          <w:rFonts w:eastAsiaTheme="minorEastAsia" w:hAnsi="Calibri"/>
          <w:color w:val="000000" w:themeColor="text1"/>
          <w:kern w:val="24"/>
          <w:sz w:val="24"/>
          <w:szCs w:val="24"/>
          <w:lang w:eastAsia="en-GB"/>
        </w:rPr>
        <w:t>training opportunities</w:t>
      </w:r>
      <w:r w:rsidR="0003583E">
        <w:rPr>
          <w:rFonts w:eastAsiaTheme="minorEastAsia" w:hAnsi="Calibri"/>
          <w:color w:val="000000" w:themeColor="text1"/>
          <w:kern w:val="24"/>
          <w:sz w:val="24"/>
          <w:szCs w:val="24"/>
          <w:lang w:eastAsia="en-GB"/>
        </w:rPr>
        <w:t xml:space="preserve"> to ensure </w:t>
      </w:r>
      <w:r w:rsidR="00D25757">
        <w:rPr>
          <w:rFonts w:eastAsiaTheme="minorEastAsia" w:hAnsi="Calibri"/>
          <w:color w:val="000000" w:themeColor="text1"/>
          <w:kern w:val="24"/>
          <w:sz w:val="24"/>
          <w:szCs w:val="24"/>
          <w:lang w:eastAsia="en-GB"/>
        </w:rPr>
        <w:t xml:space="preserve">staff within the maternity services </w:t>
      </w:r>
      <w:r w:rsidR="00D61687">
        <w:rPr>
          <w:rFonts w:eastAsiaTheme="minorEastAsia" w:hAnsi="Calibri"/>
          <w:color w:val="000000" w:themeColor="text1"/>
          <w:kern w:val="24"/>
          <w:sz w:val="24"/>
          <w:szCs w:val="24"/>
          <w:lang w:eastAsia="en-GB"/>
        </w:rPr>
        <w:t>can</w:t>
      </w:r>
      <w:r w:rsidR="0043016D">
        <w:rPr>
          <w:rFonts w:eastAsiaTheme="minorEastAsia" w:hAnsi="Calibri"/>
          <w:color w:val="000000" w:themeColor="text1"/>
          <w:kern w:val="24"/>
          <w:sz w:val="24"/>
          <w:szCs w:val="24"/>
          <w:lang w:eastAsia="en-GB"/>
        </w:rPr>
        <w:t xml:space="preserve"> </w:t>
      </w:r>
      <w:r w:rsidR="00D25757">
        <w:rPr>
          <w:rFonts w:eastAsiaTheme="minorEastAsia" w:hAnsi="Calibri"/>
          <w:color w:val="000000" w:themeColor="text1"/>
          <w:kern w:val="24"/>
          <w:sz w:val="24"/>
          <w:szCs w:val="24"/>
          <w:lang w:eastAsia="en-GB"/>
        </w:rPr>
        <w:t xml:space="preserve">progress their </w:t>
      </w:r>
      <w:r w:rsidR="000B10AA">
        <w:rPr>
          <w:rFonts w:eastAsiaTheme="minorEastAsia" w:hAnsi="Calibri"/>
          <w:color w:val="000000" w:themeColor="text1"/>
          <w:kern w:val="24"/>
          <w:sz w:val="24"/>
          <w:szCs w:val="24"/>
          <w:lang w:eastAsia="en-GB"/>
        </w:rPr>
        <w:t>learning development</w:t>
      </w:r>
      <w:r w:rsidR="006F0045">
        <w:rPr>
          <w:rFonts w:eastAsiaTheme="minorEastAsia" w:hAnsi="Calibri"/>
          <w:color w:val="000000" w:themeColor="text1"/>
          <w:kern w:val="24"/>
          <w:sz w:val="24"/>
          <w:szCs w:val="24"/>
          <w:lang w:eastAsia="en-GB"/>
        </w:rPr>
        <w:t xml:space="preserve">. </w:t>
      </w:r>
    </w:p>
    <w:p w14:paraId="319D637A" w14:textId="77777777" w:rsidR="00147F0F" w:rsidRDefault="00147F0F" w:rsidP="00C01D53">
      <w:pPr>
        <w:spacing w:after="0" w:line="216" w:lineRule="auto"/>
        <w:contextualSpacing/>
        <w:rPr>
          <w:rFonts w:eastAsiaTheme="minorEastAsia" w:hAnsi="Calibri"/>
          <w:color w:val="000000" w:themeColor="text1"/>
          <w:kern w:val="24"/>
          <w:sz w:val="24"/>
          <w:szCs w:val="24"/>
          <w:lang w:eastAsia="en-GB"/>
        </w:rPr>
      </w:pPr>
    </w:p>
    <w:p w14:paraId="22EDFE68" w14:textId="4FADA5ED" w:rsidR="0027179C" w:rsidRDefault="00D46871" w:rsidP="00C01D53">
      <w:pPr>
        <w:spacing w:after="0" w:line="216"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 xml:space="preserve"> </w:t>
      </w:r>
    </w:p>
    <w:bookmarkEnd w:id="3"/>
    <w:p w14:paraId="5FA5D2D9" w14:textId="77777777" w:rsidR="00CD6F92" w:rsidRDefault="00CD6F92" w:rsidP="00E52984">
      <w:pPr>
        <w:rPr>
          <w:rFonts w:eastAsiaTheme="minorEastAsia" w:hAnsi="Calibri"/>
          <w:color w:val="000000" w:themeColor="text1"/>
          <w:kern w:val="24"/>
          <w:sz w:val="24"/>
          <w:szCs w:val="24"/>
          <w:lang w:eastAsia="en-GB"/>
        </w:rPr>
      </w:pPr>
    </w:p>
    <w:p w14:paraId="059F964D" w14:textId="5EB4F848" w:rsidR="004F3AD3" w:rsidRPr="00CD6F92" w:rsidRDefault="004F3AD3" w:rsidP="00E52984">
      <w:pPr>
        <w:rPr>
          <w:rFonts w:asciiTheme="majorHAnsi" w:hAnsiTheme="majorHAnsi" w:cs="Andalus"/>
          <w:b/>
          <w:bCs/>
          <w:sz w:val="24"/>
          <w:szCs w:val="24"/>
          <w:u w:val="single"/>
        </w:rPr>
      </w:pPr>
      <w:r w:rsidRPr="00CD6F92">
        <w:rPr>
          <w:rFonts w:asciiTheme="majorHAnsi" w:hAnsiTheme="majorHAnsi" w:cs="Andalus"/>
          <w:b/>
          <w:bCs/>
          <w:sz w:val="24"/>
          <w:szCs w:val="24"/>
          <w:u w:val="single"/>
        </w:rPr>
        <w:lastRenderedPageBreak/>
        <w:t>Re</w:t>
      </w:r>
      <w:r w:rsidR="00E52984" w:rsidRPr="00CD6F92">
        <w:rPr>
          <w:rFonts w:asciiTheme="majorHAnsi" w:hAnsiTheme="majorHAnsi" w:cs="Andalus"/>
          <w:b/>
          <w:bCs/>
          <w:sz w:val="24"/>
          <w:szCs w:val="24"/>
          <w:u w:val="single"/>
        </w:rPr>
        <w:t>ferences</w:t>
      </w:r>
    </w:p>
    <w:p w14:paraId="2E2C0940" w14:textId="6E918E0C" w:rsidR="00605FBE" w:rsidRDefault="00605FBE" w:rsidP="00605FBE">
      <w:pPr>
        <w:rPr>
          <w:rFonts w:asciiTheme="majorHAnsi" w:hAnsiTheme="majorHAnsi" w:cs="Andalus"/>
          <w:sz w:val="24"/>
          <w:szCs w:val="24"/>
        </w:rPr>
      </w:pPr>
      <w:r w:rsidRPr="00605FBE">
        <w:rPr>
          <w:rFonts w:asciiTheme="majorHAnsi" w:hAnsiTheme="majorHAnsi" w:cs="Andalus"/>
          <w:sz w:val="24"/>
          <w:szCs w:val="24"/>
        </w:rPr>
        <w:t xml:space="preserve">Audrey Lyndon, </w:t>
      </w:r>
      <w:proofErr w:type="spellStart"/>
      <w:r w:rsidRPr="00605FBE">
        <w:rPr>
          <w:rFonts w:asciiTheme="majorHAnsi" w:hAnsiTheme="majorHAnsi" w:cs="Andalus"/>
          <w:sz w:val="24"/>
          <w:szCs w:val="24"/>
        </w:rPr>
        <w:t>Marya</w:t>
      </w:r>
      <w:proofErr w:type="spellEnd"/>
      <w:r w:rsidRPr="00605FBE">
        <w:rPr>
          <w:rFonts w:asciiTheme="majorHAnsi" w:hAnsiTheme="majorHAnsi" w:cs="Andalus"/>
          <w:sz w:val="24"/>
          <w:szCs w:val="24"/>
        </w:rPr>
        <w:t xml:space="preserve"> G. </w:t>
      </w:r>
      <w:proofErr w:type="spellStart"/>
      <w:r w:rsidRPr="00605FBE">
        <w:rPr>
          <w:rFonts w:asciiTheme="majorHAnsi" w:hAnsiTheme="majorHAnsi" w:cs="Andalus"/>
          <w:sz w:val="24"/>
          <w:szCs w:val="24"/>
        </w:rPr>
        <w:t>Zlatnik</w:t>
      </w:r>
      <w:proofErr w:type="spellEnd"/>
      <w:r w:rsidRPr="00605FBE">
        <w:rPr>
          <w:rFonts w:asciiTheme="majorHAnsi" w:hAnsiTheme="majorHAnsi" w:cs="Andalus"/>
          <w:sz w:val="24"/>
          <w:szCs w:val="24"/>
        </w:rPr>
        <w:t>, Robert M. Wachter,</w:t>
      </w:r>
      <w:r>
        <w:rPr>
          <w:rFonts w:asciiTheme="majorHAnsi" w:hAnsiTheme="majorHAnsi" w:cs="Andalus"/>
          <w:sz w:val="24"/>
          <w:szCs w:val="24"/>
        </w:rPr>
        <w:t xml:space="preserve"> </w:t>
      </w:r>
      <w:r w:rsidRPr="00605FBE">
        <w:rPr>
          <w:rFonts w:asciiTheme="majorHAnsi" w:hAnsiTheme="majorHAnsi" w:cs="Andalus"/>
          <w:sz w:val="24"/>
          <w:szCs w:val="24"/>
        </w:rPr>
        <w:t>Effective physician-nurse</w:t>
      </w:r>
      <w:r>
        <w:rPr>
          <w:rFonts w:asciiTheme="majorHAnsi" w:hAnsiTheme="majorHAnsi" w:cs="Andalus"/>
          <w:sz w:val="24"/>
          <w:szCs w:val="24"/>
        </w:rPr>
        <w:t xml:space="preserve"> </w:t>
      </w:r>
      <w:r w:rsidRPr="00605FBE">
        <w:rPr>
          <w:rFonts w:asciiTheme="majorHAnsi" w:hAnsiTheme="majorHAnsi" w:cs="Andalus"/>
          <w:sz w:val="24"/>
          <w:szCs w:val="24"/>
        </w:rPr>
        <w:t xml:space="preserve">communication: a patient safety essential for </w:t>
      </w:r>
      <w:proofErr w:type="spellStart"/>
      <w:r w:rsidRPr="00605FBE">
        <w:rPr>
          <w:rFonts w:asciiTheme="majorHAnsi" w:hAnsiTheme="majorHAnsi" w:cs="Andalus"/>
          <w:sz w:val="24"/>
          <w:szCs w:val="24"/>
        </w:rPr>
        <w:t>labor</w:t>
      </w:r>
      <w:proofErr w:type="spellEnd"/>
      <w:r w:rsidRPr="00605FBE">
        <w:rPr>
          <w:rFonts w:asciiTheme="majorHAnsi" w:hAnsiTheme="majorHAnsi" w:cs="Andalus"/>
          <w:sz w:val="24"/>
          <w:szCs w:val="24"/>
        </w:rPr>
        <w:t xml:space="preserve"> and delivery,</w:t>
      </w:r>
      <w:r>
        <w:rPr>
          <w:rFonts w:asciiTheme="majorHAnsi" w:hAnsiTheme="majorHAnsi" w:cs="Andalus"/>
          <w:sz w:val="24"/>
          <w:szCs w:val="24"/>
        </w:rPr>
        <w:t xml:space="preserve"> </w:t>
      </w:r>
      <w:r w:rsidRPr="00605FBE">
        <w:rPr>
          <w:rFonts w:asciiTheme="majorHAnsi" w:hAnsiTheme="majorHAnsi" w:cs="Andalus"/>
          <w:sz w:val="24"/>
          <w:szCs w:val="24"/>
        </w:rPr>
        <w:t xml:space="preserve">American Journal of Obstetrics and </w:t>
      </w:r>
      <w:proofErr w:type="spellStart"/>
      <w:r w:rsidRPr="00605FBE">
        <w:rPr>
          <w:rFonts w:asciiTheme="majorHAnsi" w:hAnsiTheme="majorHAnsi" w:cs="Andalus"/>
          <w:sz w:val="24"/>
          <w:szCs w:val="24"/>
        </w:rPr>
        <w:t>Gynecology</w:t>
      </w:r>
      <w:proofErr w:type="spellEnd"/>
      <w:r w:rsidRPr="00605FBE">
        <w:rPr>
          <w:rFonts w:asciiTheme="majorHAnsi" w:hAnsiTheme="majorHAnsi" w:cs="Andalus"/>
          <w:sz w:val="24"/>
          <w:szCs w:val="24"/>
        </w:rPr>
        <w:t>,</w:t>
      </w:r>
      <w:r>
        <w:rPr>
          <w:rFonts w:asciiTheme="majorHAnsi" w:hAnsiTheme="majorHAnsi" w:cs="Andalus"/>
          <w:sz w:val="24"/>
          <w:szCs w:val="24"/>
        </w:rPr>
        <w:t xml:space="preserve"> </w:t>
      </w:r>
      <w:r w:rsidRPr="00605FBE">
        <w:rPr>
          <w:rFonts w:asciiTheme="majorHAnsi" w:hAnsiTheme="majorHAnsi" w:cs="Andalus"/>
          <w:sz w:val="24"/>
          <w:szCs w:val="24"/>
        </w:rPr>
        <w:t>Volume 205, Issue 2,</w:t>
      </w:r>
      <w:r>
        <w:rPr>
          <w:rFonts w:asciiTheme="majorHAnsi" w:hAnsiTheme="majorHAnsi" w:cs="Andalus"/>
          <w:sz w:val="24"/>
          <w:szCs w:val="24"/>
        </w:rPr>
        <w:t xml:space="preserve"> </w:t>
      </w:r>
      <w:r w:rsidRPr="00605FBE">
        <w:rPr>
          <w:rFonts w:asciiTheme="majorHAnsi" w:hAnsiTheme="majorHAnsi" w:cs="Andalus"/>
          <w:sz w:val="24"/>
          <w:szCs w:val="24"/>
        </w:rPr>
        <w:t>2011,Pages 91-96,</w:t>
      </w:r>
      <w:r w:rsidR="00235C46">
        <w:rPr>
          <w:rFonts w:asciiTheme="majorHAnsi" w:hAnsiTheme="majorHAnsi" w:cs="Andalus"/>
          <w:sz w:val="24"/>
          <w:szCs w:val="24"/>
        </w:rPr>
        <w:t xml:space="preserve"> </w:t>
      </w:r>
      <w:r w:rsidRPr="00605FBE">
        <w:rPr>
          <w:rFonts w:asciiTheme="majorHAnsi" w:hAnsiTheme="majorHAnsi" w:cs="Andalus"/>
          <w:sz w:val="24"/>
          <w:szCs w:val="24"/>
        </w:rPr>
        <w:t>ISSN 0002-9378,</w:t>
      </w:r>
      <w:r w:rsidR="00235C46">
        <w:rPr>
          <w:rFonts w:asciiTheme="majorHAnsi" w:hAnsiTheme="majorHAnsi" w:cs="Andalus"/>
          <w:sz w:val="24"/>
          <w:szCs w:val="24"/>
        </w:rPr>
        <w:t xml:space="preserve"> </w:t>
      </w:r>
      <w:hyperlink r:id="rId9" w:history="1">
        <w:r w:rsidR="00235C46" w:rsidRPr="008C5B08">
          <w:rPr>
            <w:rStyle w:val="Hyperlink"/>
            <w:rFonts w:asciiTheme="majorHAnsi" w:hAnsiTheme="majorHAnsi" w:cs="Andalus"/>
            <w:sz w:val="24"/>
            <w:szCs w:val="24"/>
          </w:rPr>
          <w:t>https://doi.org/10.1016/j.ajog.2011.04.021</w:t>
        </w:r>
      </w:hyperlink>
      <w:r w:rsidRPr="00605FBE">
        <w:rPr>
          <w:rFonts w:asciiTheme="majorHAnsi" w:hAnsiTheme="majorHAnsi" w:cs="Andalus"/>
          <w:sz w:val="24"/>
          <w:szCs w:val="24"/>
        </w:rPr>
        <w:t>.</w:t>
      </w:r>
      <w:r w:rsidR="00235C46">
        <w:rPr>
          <w:rFonts w:asciiTheme="majorHAnsi" w:hAnsiTheme="majorHAnsi" w:cs="Andalus"/>
          <w:sz w:val="24"/>
          <w:szCs w:val="24"/>
        </w:rPr>
        <w:t xml:space="preserve"> </w:t>
      </w:r>
    </w:p>
    <w:p w14:paraId="214E172D" w14:textId="3541F35F" w:rsidR="00E4681B" w:rsidRPr="00595070" w:rsidRDefault="00E4681B" w:rsidP="00E52984">
      <w:pPr>
        <w:rPr>
          <w:rFonts w:asciiTheme="majorHAnsi" w:hAnsiTheme="majorHAnsi" w:cs="Andalus"/>
          <w:sz w:val="24"/>
          <w:szCs w:val="24"/>
        </w:rPr>
      </w:pPr>
      <w:r>
        <w:rPr>
          <w:rFonts w:ascii="Arial" w:hAnsi="Arial" w:cs="Arial"/>
          <w:color w:val="222222"/>
          <w:sz w:val="20"/>
          <w:szCs w:val="20"/>
          <w:shd w:val="clear" w:color="auto" w:fill="FFFFFF"/>
        </w:rPr>
        <w:t>Carroll, F., et al. </w:t>
      </w:r>
      <w:r>
        <w:rPr>
          <w:rFonts w:ascii="Arial" w:hAnsi="Arial" w:cs="Arial"/>
          <w:i/>
          <w:iCs/>
          <w:color w:val="222222"/>
          <w:sz w:val="20"/>
          <w:szCs w:val="20"/>
          <w:shd w:val="clear" w:color="auto" w:fill="FFFFFF"/>
        </w:rPr>
        <w:t>Clinical Report 2021: Based on births in NHS maternity services in England, Scotland and Wales between 1 April 2017 and 31 March 2018</w:t>
      </w:r>
      <w:r>
        <w:rPr>
          <w:rFonts w:ascii="Arial" w:hAnsi="Arial" w:cs="Arial"/>
          <w:color w:val="222222"/>
          <w:sz w:val="20"/>
          <w:szCs w:val="20"/>
          <w:shd w:val="clear" w:color="auto" w:fill="FFFFFF"/>
        </w:rPr>
        <w:t>. Royal College of Obstetrics and Gynaecology, 2021.</w:t>
      </w:r>
    </w:p>
    <w:p w14:paraId="5DCE6CF0" w14:textId="55B03E8E" w:rsidR="005047A3" w:rsidRPr="00D505A5" w:rsidRDefault="00A34289" w:rsidP="00D505A5">
      <w:pPr>
        <w:rPr>
          <w:rFonts w:asciiTheme="majorHAnsi" w:hAnsiTheme="majorHAnsi" w:cs="Andalus"/>
        </w:rPr>
      </w:pPr>
      <w:r w:rsidRPr="00595070">
        <w:rPr>
          <w:rFonts w:asciiTheme="majorHAnsi" w:hAnsiTheme="majorHAnsi" w:cs="Andalus"/>
          <w:sz w:val="24"/>
          <w:szCs w:val="24"/>
        </w:rPr>
        <w:t>S. Sanford, B. Schwartz, Y. Khan, The role of tacit knowledge in communication and decision-making during emerging public health incidents, International Journal of Disaster Risk Reduction,</w:t>
      </w:r>
      <w:r w:rsidR="006B3592" w:rsidRPr="00595070">
        <w:rPr>
          <w:rFonts w:asciiTheme="majorHAnsi" w:hAnsiTheme="majorHAnsi" w:cs="Andalus"/>
          <w:sz w:val="24"/>
          <w:szCs w:val="24"/>
        </w:rPr>
        <w:t xml:space="preserve"> </w:t>
      </w:r>
      <w:r w:rsidRPr="00595070">
        <w:rPr>
          <w:rFonts w:asciiTheme="majorHAnsi" w:hAnsiTheme="majorHAnsi" w:cs="Andalus"/>
          <w:sz w:val="24"/>
          <w:szCs w:val="24"/>
        </w:rPr>
        <w:t>Volume 50,2020,</w:t>
      </w:r>
      <w:r w:rsidR="006B3592" w:rsidRPr="00595070">
        <w:rPr>
          <w:rFonts w:asciiTheme="majorHAnsi" w:hAnsiTheme="majorHAnsi" w:cs="Andalus"/>
          <w:sz w:val="24"/>
          <w:szCs w:val="24"/>
        </w:rPr>
        <w:t xml:space="preserve"> </w:t>
      </w:r>
      <w:r w:rsidRPr="00595070">
        <w:rPr>
          <w:rFonts w:asciiTheme="majorHAnsi" w:hAnsiTheme="majorHAnsi" w:cs="Andalus"/>
          <w:sz w:val="24"/>
          <w:szCs w:val="24"/>
        </w:rPr>
        <w:t>101681,</w:t>
      </w:r>
      <w:r w:rsidR="006B3592" w:rsidRPr="00595070">
        <w:rPr>
          <w:rFonts w:asciiTheme="majorHAnsi" w:hAnsiTheme="majorHAnsi" w:cs="Andalus"/>
          <w:sz w:val="24"/>
          <w:szCs w:val="24"/>
        </w:rPr>
        <w:t xml:space="preserve"> </w:t>
      </w:r>
      <w:r w:rsidRPr="00595070">
        <w:rPr>
          <w:rFonts w:asciiTheme="majorHAnsi" w:hAnsiTheme="majorHAnsi" w:cs="Andalus"/>
          <w:sz w:val="24"/>
          <w:szCs w:val="24"/>
        </w:rPr>
        <w:t>ISSN 2212-4209,</w:t>
      </w:r>
      <w:r w:rsidR="00342CA6" w:rsidRPr="00595070">
        <w:rPr>
          <w:rFonts w:asciiTheme="majorHAnsi" w:hAnsiTheme="majorHAnsi" w:cs="Andalus"/>
          <w:sz w:val="24"/>
          <w:szCs w:val="24"/>
        </w:rPr>
        <w:t xml:space="preserve"> </w:t>
      </w:r>
      <w:hyperlink r:id="rId10" w:history="1">
        <w:r w:rsidR="00342CA6" w:rsidRPr="00595070">
          <w:rPr>
            <w:rStyle w:val="Hyperlink"/>
            <w:rFonts w:asciiTheme="majorHAnsi" w:hAnsiTheme="majorHAnsi" w:cs="Andalus"/>
            <w:sz w:val="24"/>
            <w:szCs w:val="24"/>
          </w:rPr>
          <w:t>https://doi.org/10.1016/j.ijdrr.2020.101681</w:t>
        </w:r>
      </w:hyperlink>
      <w:r w:rsidR="00342CA6">
        <w:rPr>
          <w:rFonts w:asciiTheme="majorHAnsi" w:hAnsiTheme="majorHAnsi" w:cs="Andalus"/>
        </w:rPr>
        <w:t xml:space="preserve"> </w:t>
      </w:r>
    </w:p>
    <w:p w14:paraId="24352B4F" w14:textId="26E1C288" w:rsidR="003B253E" w:rsidRPr="003B253E" w:rsidRDefault="00D505A5" w:rsidP="003B253E">
      <w:pPr>
        <w:spacing w:before="200" w:after="0" w:line="216" w:lineRule="auto"/>
        <w:rPr>
          <w:rFonts w:ascii="Times New Roman" w:eastAsia="Times New Roman" w:hAnsi="Times New Roman" w:cs="Times New Roman"/>
          <w:sz w:val="24"/>
          <w:szCs w:val="24"/>
          <w:lang w:eastAsia="en-GB"/>
        </w:rPr>
      </w:pPr>
      <w:r w:rsidRPr="00D505A5">
        <w:rPr>
          <w:rFonts w:eastAsiaTheme="minorEastAsia" w:hAnsi="Calibri"/>
          <w:color w:val="000000" w:themeColor="text1"/>
          <w:kern w:val="24"/>
          <w:sz w:val="24"/>
          <w:szCs w:val="24"/>
          <w:lang w:eastAsia="en-GB"/>
        </w:rPr>
        <w:t>Rowley, J. (1999), “what is Knowledge Management?” Library Management, Vol.20 No.8.pp.416-</w:t>
      </w:r>
      <w:hyperlink r:id="rId11" w:history="1">
        <w:r w:rsidR="00CD6F92" w:rsidRPr="008C5B08">
          <w:rPr>
            <w:rStyle w:val="Hyperlink"/>
            <w:rFonts w:eastAsiaTheme="minorEastAsia" w:hAnsi="Calibri"/>
            <w:kern w:val="24"/>
            <w:sz w:val="24"/>
            <w:szCs w:val="24"/>
            <w:lang w:eastAsia="en-GB"/>
          </w:rPr>
          <w:t>Https://gov.wales/maternity-services-strategy-2019-2024</w:t>
        </w:r>
      </w:hyperlink>
      <w:r w:rsidR="003B253E" w:rsidRPr="003B253E">
        <w:rPr>
          <w:rFonts w:eastAsiaTheme="minorEastAsia" w:hAnsi="Calibri"/>
          <w:color w:val="000000" w:themeColor="text1"/>
          <w:kern w:val="24"/>
          <w:sz w:val="24"/>
          <w:szCs w:val="24"/>
          <w:lang w:eastAsia="en-GB"/>
        </w:rPr>
        <w:t xml:space="preserve"> </w:t>
      </w:r>
    </w:p>
    <w:p w14:paraId="686C7DC0" w14:textId="77777777" w:rsidR="0006509D" w:rsidRPr="003B253E" w:rsidRDefault="0006509D" w:rsidP="0006509D">
      <w:pPr>
        <w:rPr>
          <w:rFonts w:asciiTheme="majorHAnsi" w:hAnsiTheme="majorHAnsi" w:cs="Andalus"/>
          <w:sz w:val="24"/>
          <w:szCs w:val="24"/>
        </w:rPr>
      </w:pPr>
    </w:p>
    <w:p w14:paraId="27D5651E" w14:textId="77777777" w:rsidR="00F15EE7" w:rsidRPr="00F15EE7" w:rsidRDefault="00F15EE7" w:rsidP="00F15EE7">
      <w:pPr>
        <w:rPr>
          <w:rFonts w:asciiTheme="majorHAnsi" w:hAnsiTheme="majorHAnsi" w:cs="Andalus"/>
          <w:sz w:val="28"/>
          <w:szCs w:val="28"/>
        </w:rPr>
      </w:pPr>
    </w:p>
    <w:p w14:paraId="093C9AA5" w14:textId="3AD139C9" w:rsidR="00570CCB" w:rsidRPr="005B25FF" w:rsidRDefault="008E2B6F" w:rsidP="00570CCB">
      <w:pPr>
        <w:rPr>
          <w:rFonts w:asciiTheme="majorHAnsi" w:hAnsiTheme="majorHAnsi" w:cs="Andalus"/>
          <w:sz w:val="28"/>
          <w:szCs w:val="28"/>
        </w:rPr>
      </w:pPr>
      <w:r>
        <w:rPr>
          <w:rFonts w:asciiTheme="majorHAnsi" w:hAnsiTheme="majorHAnsi" w:cs="Andalus"/>
          <w:sz w:val="28"/>
          <w:szCs w:val="28"/>
        </w:rPr>
        <w:t xml:space="preserve"> </w:t>
      </w:r>
      <w:r w:rsidR="00FF5517">
        <w:rPr>
          <w:rFonts w:asciiTheme="majorHAnsi" w:hAnsiTheme="majorHAnsi" w:cs="Andalus"/>
          <w:sz w:val="28"/>
          <w:szCs w:val="28"/>
        </w:rPr>
        <w:t xml:space="preserve"> </w:t>
      </w:r>
    </w:p>
    <w:sectPr w:rsidR="00570CCB" w:rsidRPr="005B25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ndalus">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72EE1"/>
    <w:multiLevelType w:val="hybridMultilevel"/>
    <w:tmpl w:val="5D1E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30EFE"/>
    <w:multiLevelType w:val="hybridMultilevel"/>
    <w:tmpl w:val="B13CECD0"/>
    <w:lvl w:ilvl="0" w:tplc="79BC86D6">
      <w:start w:val="1"/>
      <w:numFmt w:val="bullet"/>
      <w:lvlText w:val="•"/>
      <w:lvlJc w:val="left"/>
      <w:pPr>
        <w:tabs>
          <w:tab w:val="num" w:pos="720"/>
        </w:tabs>
        <w:ind w:left="720" w:hanging="360"/>
      </w:pPr>
      <w:rPr>
        <w:rFonts w:ascii="Arial" w:hAnsi="Arial" w:hint="default"/>
      </w:rPr>
    </w:lvl>
    <w:lvl w:ilvl="1" w:tplc="21423532" w:tentative="1">
      <w:start w:val="1"/>
      <w:numFmt w:val="bullet"/>
      <w:lvlText w:val="•"/>
      <w:lvlJc w:val="left"/>
      <w:pPr>
        <w:tabs>
          <w:tab w:val="num" w:pos="1440"/>
        </w:tabs>
        <w:ind w:left="1440" w:hanging="360"/>
      </w:pPr>
      <w:rPr>
        <w:rFonts w:ascii="Arial" w:hAnsi="Arial" w:hint="default"/>
      </w:rPr>
    </w:lvl>
    <w:lvl w:ilvl="2" w:tplc="51A8FC0C" w:tentative="1">
      <w:start w:val="1"/>
      <w:numFmt w:val="bullet"/>
      <w:lvlText w:val="•"/>
      <w:lvlJc w:val="left"/>
      <w:pPr>
        <w:tabs>
          <w:tab w:val="num" w:pos="2160"/>
        </w:tabs>
        <w:ind w:left="2160" w:hanging="360"/>
      </w:pPr>
      <w:rPr>
        <w:rFonts w:ascii="Arial" w:hAnsi="Arial" w:hint="default"/>
      </w:rPr>
    </w:lvl>
    <w:lvl w:ilvl="3" w:tplc="F8441190" w:tentative="1">
      <w:start w:val="1"/>
      <w:numFmt w:val="bullet"/>
      <w:lvlText w:val="•"/>
      <w:lvlJc w:val="left"/>
      <w:pPr>
        <w:tabs>
          <w:tab w:val="num" w:pos="2880"/>
        </w:tabs>
        <w:ind w:left="2880" w:hanging="360"/>
      </w:pPr>
      <w:rPr>
        <w:rFonts w:ascii="Arial" w:hAnsi="Arial" w:hint="default"/>
      </w:rPr>
    </w:lvl>
    <w:lvl w:ilvl="4" w:tplc="0D165262" w:tentative="1">
      <w:start w:val="1"/>
      <w:numFmt w:val="bullet"/>
      <w:lvlText w:val="•"/>
      <w:lvlJc w:val="left"/>
      <w:pPr>
        <w:tabs>
          <w:tab w:val="num" w:pos="3600"/>
        </w:tabs>
        <w:ind w:left="3600" w:hanging="360"/>
      </w:pPr>
      <w:rPr>
        <w:rFonts w:ascii="Arial" w:hAnsi="Arial" w:hint="default"/>
      </w:rPr>
    </w:lvl>
    <w:lvl w:ilvl="5" w:tplc="E3B4100E" w:tentative="1">
      <w:start w:val="1"/>
      <w:numFmt w:val="bullet"/>
      <w:lvlText w:val="•"/>
      <w:lvlJc w:val="left"/>
      <w:pPr>
        <w:tabs>
          <w:tab w:val="num" w:pos="4320"/>
        </w:tabs>
        <w:ind w:left="4320" w:hanging="360"/>
      </w:pPr>
      <w:rPr>
        <w:rFonts w:ascii="Arial" w:hAnsi="Arial" w:hint="default"/>
      </w:rPr>
    </w:lvl>
    <w:lvl w:ilvl="6" w:tplc="3364D6EE" w:tentative="1">
      <w:start w:val="1"/>
      <w:numFmt w:val="bullet"/>
      <w:lvlText w:val="•"/>
      <w:lvlJc w:val="left"/>
      <w:pPr>
        <w:tabs>
          <w:tab w:val="num" w:pos="5040"/>
        </w:tabs>
        <w:ind w:left="5040" w:hanging="360"/>
      </w:pPr>
      <w:rPr>
        <w:rFonts w:ascii="Arial" w:hAnsi="Arial" w:hint="default"/>
      </w:rPr>
    </w:lvl>
    <w:lvl w:ilvl="7" w:tplc="13945DD4" w:tentative="1">
      <w:start w:val="1"/>
      <w:numFmt w:val="bullet"/>
      <w:lvlText w:val="•"/>
      <w:lvlJc w:val="left"/>
      <w:pPr>
        <w:tabs>
          <w:tab w:val="num" w:pos="5760"/>
        </w:tabs>
        <w:ind w:left="5760" w:hanging="360"/>
      </w:pPr>
      <w:rPr>
        <w:rFonts w:ascii="Arial" w:hAnsi="Arial" w:hint="default"/>
      </w:rPr>
    </w:lvl>
    <w:lvl w:ilvl="8" w:tplc="0F34820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CCB"/>
    <w:rsid w:val="00003106"/>
    <w:rsid w:val="00023EAC"/>
    <w:rsid w:val="00024D3B"/>
    <w:rsid w:val="0003583E"/>
    <w:rsid w:val="00055BD9"/>
    <w:rsid w:val="000560DF"/>
    <w:rsid w:val="0006509D"/>
    <w:rsid w:val="00095682"/>
    <w:rsid w:val="000A7EB1"/>
    <w:rsid w:val="000B10AA"/>
    <w:rsid w:val="000E6D27"/>
    <w:rsid w:val="000F43FC"/>
    <w:rsid w:val="00104905"/>
    <w:rsid w:val="00143A21"/>
    <w:rsid w:val="001444B8"/>
    <w:rsid w:val="00147F0F"/>
    <w:rsid w:val="00154907"/>
    <w:rsid w:val="001639EC"/>
    <w:rsid w:val="0016645C"/>
    <w:rsid w:val="0019043B"/>
    <w:rsid w:val="001C5DEE"/>
    <w:rsid w:val="001E0905"/>
    <w:rsid w:val="001E5126"/>
    <w:rsid w:val="001F21BF"/>
    <w:rsid w:val="001F3625"/>
    <w:rsid w:val="0022039E"/>
    <w:rsid w:val="00230596"/>
    <w:rsid w:val="00233157"/>
    <w:rsid w:val="00235C46"/>
    <w:rsid w:val="0024386E"/>
    <w:rsid w:val="0024395D"/>
    <w:rsid w:val="00262C45"/>
    <w:rsid w:val="00267FE5"/>
    <w:rsid w:val="0027179C"/>
    <w:rsid w:val="00287B93"/>
    <w:rsid w:val="0029136D"/>
    <w:rsid w:val="002C4BC6"/>
    <w:rsid w:val="002C4C95"/>
    <w:rsid w:val="002D6C60"/>
    <w:rsid w:val="0030717F"/>
    <w:rsid w:val="003077B2"/>
    <w:rsid w:val="00342CA6"/>
    <w:rsid w:val="00376D41"/>
    <w:rsid w:val="0038290C"/>
    <w:rsid w:val="00397613"/>
    <w:rsid w:val="003B135E"/>
    <w:rsid w:val="003B253E"/>
    <w:rsid w:val="003E5719"/>
    <w:rsid w:val="003E6BFB"/>
    <w:rsid w:val="003F7E5A"/>
    <w:rsid w:val="00400D46"/>
    <w:rsid w:val="0041268F"/>
    <w:rsid w:val="0041358F"/>
    <w:rsid w:val="00414944"/>
    <w:rsid w:val="00424907"/>
    <w:rsid w:val="00425308"/>
    <w:rsid w:val="0043016D"/>
    <w:rsid w:val="00437417"/>
    <w:rsid w:val="00471E1B"/>
    <w:rsid w:val="004724CE"/>
    <w:rsid w:val="004961C2"/>
    <w:rsid w:val="004A3D22"/>
    <w:rsid w:val="004B000F"/>
    <w:rsid w:val="004B3271"/>
    <w:rsid w:val="004B4CB4"/>
    <w:rsid w:val="004C4491"/>
    <w:rsid w:val="004E6146"/>
    <w:rsid w:val="004F3AD3"/>
    <w:rsid w:val="005047A3"/>
    <w:rsid w:val="005154BC"/>
    <w:rsid w:val="0052123F"/>
    <w:rsid w:val="005231A0"/>
    <w:rsid w:val="00532A33"/>
    <w:rsid w:val="00533C78"/>
    <w:rsid w:val="00570CCB"/>
    <w:rsid w:val="00582D86"/>
    <w:rsid w:val="00585F8F"/>
    <w:rsid w:val="00595070"/>
    <w:rsid w:val="00595924"/>
    <w:rsid w:val="005B25FF"/>
    <w:rsid w:val="005C1C3E"/>
    <w:rsid w:val="005C1D12"/>
    <w:rsid w:val="005E714F"/>
    <w:rsid w:val="00605FBE"/>
    <w:rsid w:val="00624864"/>
    <w:rsid w:val="00626A62"/>
    <w:rsid w:val="00632913"/>
    <w:rsid w:val="00645DA7"/>
    <w:rsid w:val="006505ED"/>
    <w:rsid w:val="006666A2"/>
    <w:rsid w:val="00667C38"/>
    <w:rsid w:val="006737CA"/>
    <w:rsid w:val="006809C7"/>
    <w:rsid w:val="00690E2B"/>
    <w:rsid w:val="006B3592"/>
    <w:rsid w:val="006C1C49"/>
    <w:rsid w:val="006C2DB5"/>
    <w:rsid w:val="006F0045"/>
    <w:rsid w:val="006F7B4D"/>
    <w:rsid w:val="0073596F"/>
    <w:rsid w:val="007370FA"/>
    <w:rsid w:val="00744012"/>
    <w:rsid w:val="00753928"/>
    <w:rsid w:val="00757D7D"/>
    <w:rsid w:val="00770AB7"/>
    <w:rsid w:val="00776496"/>
    <w:rsid w:val="00795526"/>
    <w:rsid w:val="007A767B"/>
    <w:rsid w:val="007B0107"/>
    <w:rsid w:val="007B61E2"/>
    <w:rsid w:val="007C11EE"/>
    <w:rsid w:val="00801D84"/>
    <w:rsid w:val="0080607E"/>
    <w:rsid w:val="008253FE"/>
    <w:rsid w:val="00853C94"/>
    <w:rsid w:val="00862D42"/>
    <w:rsid w:val="00873C69"/>
    <w:rsid w:val="00893E02"/>
    <w:rsid w:val="008A438F"/>
    <w:rsid w:val="008A7C84"/>
    <w:rsid w:val="008D322D"/>
    <w:rsid w:val="008E2B6F"/>
    <w:rsid w:val="008F0ED5"/>
    <w:rsid w:val="008F1814"/>
    <w:rsid w:val="008F182B"/>
    <w:rsid w:val="009207CD"/>
    <w:rsid w:val="009232FA"/>
    <w:rsid w:val="00924FEE"/>
    <w:rsid w:val="00944BDD"/>
    <w:rsid w:val="00950223"/>
    <w:rsid w:val="009740ED"/>
    <w:rsid w:val="00986CE3"/>
    <w:rsid w:val="009B3254"/>
    <w:rsid w:val="009D05B4"/>
    <w:rsid w:val="009D4461"/>
    <w:rsid w:val="009D586B"/>
    <w:rsid w:val="009E3F04"/>
    <w:rsid w:val="009E69F4"/>
    <w:rsid w:val="009F3C4D"/>
    <w:rsid w:val="00A03EBC"/>
    <w:rsid w:val="00A23E28"/>
    <w:rsid w:val="00A34289"/>
    <w:rsid w:val="00A37297"/>
    <w:rsid w:val="00A57B83"/>
    <w:rsid w:val="00A6103C"/>
    <w:rsid w:val="00AB11CA"/>
    <w:rsid w:val="00AE6599"/>
    <w:rsid w:val="00AE66CC"/>
    <w:rsid w:val="00AF0B56"/>
    <w:rsid w:val="00AF6682"/>
    <w:rsid w:val="00B04081"/>
    <w:rsid w:val="00B12155"/>
    <w:rsid w:val="00B3368A"/>
    <w:rsid w:val="00B502D9"/>
    <w:rsid w:val="00B64A4F"/>
    <w:rsid w:val="00B926FF"/>
    <w:rsid w:val="00BA0A66"/>
    <w:rsid w:val="00BA5EA6"/>
    <w:rsid w:val="00BB0A87"/>
    <w:rsid w:val="00C01D53"/>
    <w:rsid w:val="00C5531C"/>
    <w:rsid w:val="00C61AB3"/>
    <w:rsid w:val="00C7490E"/>
    <w:rsid w:val="00C85848"/>
    <w:rsid w:val="00C91549"/>
    <w:rsid w:val="00C950AA"/>
    <w:rsid w:val="00CB34C1"/>
    <w:rsid w:val="00CC5205"/>
    <w:rsid w:val="00CD6F92"/>
    <w:rsid w:val="00CF1878"/>
    <w:rsid w:val="00D17129"/>
    <w:rsid w:val="00D248E4"/>
    <w:rsid w:val="00D251B8"/>
    <w:rsid w:val="00D25757"/>
    <w:rsid w:val="00D34405"/>
    <w:rsid w:val="00D42C46"/>
    <w:rsid w:val="00D46871"/>
    <w:rsid w:val="00D505A5"/>
    <w:rsid w:val="00D61687"/>
    <w:rsid w:val="00D64CA7"/>
    <w:rsid w:val="00D77146"/>
    <w:rsid w:val="00D854AF"/>
    <w:rsid w:val="00DB7269"/>
    <w:rsid w:val="00DF28DB"/>
    <w:rsid w:val="00DF3613"/>
    <w:rsid w:val="00E02271"/>
    <w:rsid w:val="00E03F4F"/>
    <w:rsid w:val="00E20522"/>
    <w:rsid w:val="00E20EEA"/>
    <w:rsid w:val="00E26814"/>
    <w:rsid w:val="00E30FD7"/>
    <w:rsid w:val="00E33D84"/>
    <w:rsid w:val="00E4681B"/>
    <w:rsid w:val="00E52984"/>
    <w:rsid w:val="00E77B7C"/>
    <w:rsid w:val="00E950E0"/>
    <w:rsid w:val="00EA0229"/>
    <w:rsid w:val="00EA7F97"/>
    <w:rsid w:val="00EB072B"/>
    <w:rsid w:val="00ED1868"/>
    <w:rsid w:val="00F13F01"/>
    <w:rsid w:val="00F15EE7"/>
    <w:rsid w:val="00F20A83"/>
    <w:rsid w:val="00F30AFA"/>
    <w:rsid w:val="00F3549F"/>
    <w:rsid w:val="00F3774B"/>
    <w:rsid w:val="00F55918"/>
    <w:rsid w:val="00F628B3"/>
    <w:rsid w:val="00F91B9C"/>
    <w:rsid w:val="00F97B2C"/>
    <w:rsid w:val="00FB3970"/>
    <w:rsid w:val="00FD1DE3"/>
    <w:rsid w:val="00FF205D"/>
    <w:rsid w:val="00FF48DF"/>
    <w:rsid w:val="00FF5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95D3D"/>
  <w15:chartTrackingRefBased/>
  <w15:docId w15:val="{625E9057-2028-4F82-977C-569319D84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EE7"/>
    <w:pPr>
      <w:ind w:left="720"/>
      <w:contextualSpacing/>
    </w:pPr>
  </w:style>
  <w:style w:type="paragraph" w:styleId="NormalWeb">
    <w:name w:val="Normal (Web)"/>
    <w:basedOn w:val="Normal"/>
    <w:uiPriority w:val="99"/>
    <w:semiHidden/>
    <w:unhideWhenUsed/>
    <w:rsid w:val="00504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047A3"/>
    <w:rPr>
      <w:color w:val="0000FF"/>
      <w:u w:val="single"/>
    </w:rPr>
  </w:style>
  <w:style w:type="character" w:styleId="UnresolvedMention">
    <w:name w:val="Unresolved Mention"/>
    <w:basedOn w:val="DefaultParagraphFont"/>
    <w:uiPriority w:val="99"/>
    <w:semiHidden/>
    <w:unhideWhenUsed/>
    <w:rsid w:val="00B04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09722">
      <w:bodyDiv w:val="1"/>
      <w:marLeft w:val="0"/>
      <w:marRight w:val="0"/>
      <w:marTop w:val="0"/>
      <w:marBottom w:val="0"/>
      <w:divBdr>
        <w:top w:val="none" w:sz="0" w:space="0" w:color="auto"/>
        <w:left w:val="none" w:sz="0" w:space="0" w:color="auto"/>
        <w:bottom w:val="none" w:sz="0" w:space="0" w:color="auto"/>
        <w:right w:val="none" w:sz="0" w:space="0" w:color="auto"/>
      </w:divBdr>
    </w:div>
    <w:div w:id="257295630">
      <w:bodyDiv w:val="1"/>
      <w:marLeft w:val="0"/>
      <w:marRight w:val="0"/>
      <w:marTop w:val="0"/>
      <w:marBottom w:val="0"/>
      <w:divBdr>
        <w:top w:val="none" w:sz="0" w:space="0" w:color="auto"/>
        <w:left w:val="none" w:sz="0" w:space="0" w:color="auto"/>
        <w:bottom w:val="none" w:sz="0" w:space="0" w:color="auto"/>
        <w:right w:val="none" w:sz="0" w:space="0" w:color="auto"/>
      </w:divBdr>
      <w:divsChild>
        <w:div w:id="65079746">
          <w:marLeft w:val="360"/>
          <w:marRight w:val="0"/>
          <w:marTop w:val="200"/>
          <w:marBottom w:val="0"/>
          <w:divBdr>
            <w:top w:val="none" w:sz="0" w:space="0" w:color="auto"/>
            <w:left w:val="none" w:sz="0" w:space="0" w:color="auto"/>
            <w:bottom w:val="none" w:sz="0" w:space="0" w:color="auto"/>
            <w:right w:val="none" w:sz="0" w:space="0" w:color="auto"/>
          </w:divBdr>
        </w:div>
        <w:div w:id="1557862225">
          <w:marLeft w:val="360"/>
          <w:marRight w:val="0"/>
          <w:marTop w:val="200"/>
          <w:marBottom w:val="0"/>
          <w:divBdr>
            <w:top w:val="none" w:sz="0" w:space="0" w:color="auto"/>
            <w:left w:val="none" w:sz="0" w:space="0" w:color="auto"/>
            <w:bottom w:val="none" w:sz="0" w:space="0" w:color="auto"/>
            <w:right w:val="none" w:sz="0" w:space="0" w:color="auto"/>
          </w:divBdr>
        </w:div>
        <w:div w:id="289362497">
          <w:marLeft w:val="360"/>
          <w:marRight w:val="0"/>
          <w:marTop w:val="200"/>
          <w:marBottom w:val="0"/>
          <w:divBdr>
            <w:top w:val="none" w:sz="0" w:space="0" w:color="auto"/>
            <w:left w:val="none" w:sz="0" w:space="0" w:color="auto"/>
            <w:bottom w:val="none" w:sz="0" w:space="0" w:color="auto"/>
            <w:right w:val="none" w:sz="0" w:space="0" w:color="auto"/>
          </w:divBdr>
        </w:div>
        <w:div w:id="305206256">
          <w:marLeft w:val="360"/>
          <w:marRight w:val="0"/>
          <w:marTop w:val="200"/>
          <w:marBottom w:val="0"/>
          <w:divBdr>
            <w:top w:val="none" w:sz="0" w:space="0" w:color="auto"/>
            <w:left w:val="none" w:sz="0" w:space="0" w:color="auto"/>
            <w:bottom w:val="none" w:sz="0" w:space="0" w:color="auto"/>
            <w:right w:val="none" w:sz="0" w:space="0" w:color="auto"/>
          </w:divBdr>
        </w:div>
        <w:div w:id="2076508424">
          <w:marLeft w:val="360"/>
          <w:marRight w:val="0"/>
          <w:marTop w:val="200"/>
          <w:marBottom w:val="0"/>
          <w:divBdr>
            <w:top w:val="none" w:sz="0" w:space="0" w:color="auto"/>
            <w:left w:val="none" w:sz="0" w:space="0" w:color="auto"/>
            <w:bottom w:val="none" w:sz="0" w:space="0" w:color="auto"/>
            <w:right w:val="none" w:sz="0" w:space="0" w:color="auto"/>
          </w:divBdr>
        </w:div>
      </w:divsChild>
    </w:div>
    <w:div w:id="1087963599">
      <w:bodyDiv w:val="1"/>
      <w:marLeft w:val="0"/>
      <w:marRight w:val="0"/>
      <w:marTop w:val="0"/>
      <w:marBottom w:val="0"/>
      <w:divBdr>
        <w:top w:val="none" w:sz="0" w:space="0" w:color="auto"/>
        <w:left w:val="none" w:sz="0" w:space="0" w:color="auto"/>
        <w:bottom w:val="none" w:sz="0" w:space="0" w:color="auto"/>
        <w:right w:val="none" w:sz="0" w:space="0" w:color="auto"/>
      </w:divBdr>
    </w:div>
    <w:div w:id="1148128028">
      <w:bodyDiv w:val="1"/>
      <w:marLeft w:val="0"/>
      <w:marRight w:val="0"/>
      <w:marTop w:val="0"/>
      <w:marBottom w:val="0"/>
      <w:divBdr>
        <w:top w:val="none" w:sz="0" w:space="0" w:color="auto"/>
        <w:left w:val="none" w:sz="0" w:space="0" w:color="auto"/>
        <w:bottom w:val="none" w:sz="0" w:space="0" w:color="auto"/>
        <w:right w:val="none" w:sz="0" w:space="0" w:color="auto"/>
      </w:divBdr>
    </w:div>
    <w:div w:id="154390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wal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maternity-services-strategy-2019-2024" TargetMode="External"/><Relationship Id="rId5" Type="http://schemas.openxmlformats.org/officeDocument/2006/relationships/styles" Target="styles.xml"/><Relationship Id="rId10" Type="http://schemas.openxmlformats.org/officeDocument/2006/relationships/hyperlink" Target="https://doi.org/10.1016/j.ijdrr.2020.101681" TargetMode="External"/><Relationship Id="rId4" Type="http://schemas.openxmlformats.org/officeDocument/2006/relationships/numbering" Target="numbering.xml"/><Relationship Id="rId9" Type="http://schemas.openxmlformats.org/officeDocument/2006/relationships/hyperlink" Target="https://doi.org/10.1016/j.ajog.2011.04.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C7A627-8B73-406C-B0F5-ED4D4E334D0C}">
  <ds:schemaRefs>
    <ds:schemaRef ds:uri="http://schemas.microsoft.com/sharepoint/v3/contenttype/forms"/>
  </ds:schemaRefs>
</ds:datastoreItem>
</file>

<file path=customXml/itemProps2.xml><?xml version="1.0" encoding="utf-8"?>
<ds:datastoreItem xmlns:ds="http://schemas.openxmlformats.org/officeDocument/2006/customXml" ds:itemID="{D4F50BD8-2EDB-4BC9-884D-ECA69A391A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7CACF0-5F69-4D19-956D-F689E5628F10}">
  <ds:schemaRefs>
    <ds:schemaRef ds:uri="http://schemas.microsoft.com/office/infopath/2007/PartnerControls"/>
    <ds:schemaRef ds:uri="http://purl.org/dc/elements/1.1/"/>
    <ds:schemaRef ds:uri="5fa7c6fb-f4dc-42b8-b650-783ea9de0442"/>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717b0226-a333-4c25-acd7-534bd000737f"/>
    <ds:schemaRef ds:uri="http://purl.org/dc/term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Sahi (1915519)</dc:creator>
  <cp:keywords/>
  <dc:description/>
  <cp:lastModifiedBy>Natalie Sahi (1915519)</cp:lastModifiedBy>
  <cp:revision>2</cp:revision>
  <dcterms:created xsi:type="dcterms:W3CDTF">2022-05-24T00:54:00Z</dcterms:created>
  <dcterms:modified xsi:type="dcterms:W3CDTF">2022-05-24T00:54:00Z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