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3AACB" w14:textId="77777777" w:rsidR="00232CC3" w:rsidRDefault="00232CC3" w:rsidP="00232CC3">
      <w:pPr>
        <w:rPr>
          <w:color w:val="000000" w:themeColor="text1"/>
          <w:sz w:val="24"/>
          <w:szCs w:val="24"/>
        </w:rPr>
      </w:pPr>
    </w:p>
    <w:p w14:paraId="4A989B7D" w14:textId="77777777" w:rsidR="00095FCB" w:rsidRDefault="00095FCB" w:rsidP="00095FCB">
      <w:pPr>
        <w:spacing w:line="360" w:lineRule="auto"/>
        <w:jc w:val="center"/>
      </w:pPr>
      <w:r>
        <w:rPr>
          <w:noProof/>
        </w:rPr>
        <w:drawing>
          <wp:inline distT="0" distB="0" distL="0" distR="0" wp14:anchorId="1EFBBA21" wp14:editId="3A203E8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5B91E84B" w14:textId="77777777" w:rsidR="00095FCB" w:rsidRDefault="00095FCB" w:rsidP="00095FCB">
      <w:pPr>
        <w:spacing w:line="360" w:lineRule="auto"/>
        <w:jc w:val="center"/>
      </w:pPr>
    </w:p>
    <w:p w14:paraId="3F7E5938" w14:textId="77777777" w:rsidR="00095FCB" w:rsidRDefault="00095FCB" w:rsidP="00811456">
      <w:pPr>
        <w:ind w:left="2880" w:firstLine="720"/>
        <w:rPr>
          <w:rFonts w:ascii="Arial" w:eastAsia="Aptos" w:hAnsi="Arial"/>
          <w:b/>
          <w:bCs/>
          <w:sz w:val="28"/>
          <w:szCs w:val="28"/>
        </w:rPr>
      </w:pPr>
      <w:r>
        <w:rPr>
          <w:rFonts w:ascii="Arial" w:eastAsia="Aptos" w:hAnsi="Arial"/>
          <w:b/>
          <w:bCs/>
          <w:sz w:val="28"/>
          <w:szCs w:val="28"/>
        </w:rPr>
        <w:t>Student Name:</w:t>
      </w:r>
    </w:p>
    <w:p w14:paraId="6D319BCC" w14:textId="77777777" w:rsidR="00095FCB" w:rsidRDefault="00095FCB" w:rsidP="00095FCB">
      <w:pPr>
        <w:jc w:val="center"/>
        <w:rPr>
          <w:rFonts w:ascii="Arial" w:eastAsia="Aptos" w:hAnsi="Arial"/>
          <w:b/>
          <w:bCs/>
          <w:sz w:val="28"/>
          <w:szCs w:val="28"/>
        </w:rPr>
      </w:pPr>
      <w:r>
        <w:rPr>
          <w:rFonts w:ascii="Arial" w:eastAsia="Aptos" w:hAnsi="Arial"/>
          <w:b/>
          <w:bCs/>
          <w:sz w:val="28"/>
          <w:szCs w:val="28"/>
        </w:rPr>
        <w:t>Beladiya Harshil Ghanshyambhai</w:t>
      </w:r>
    </w:p>
    <w:p w14:paraId="701D6146" w14:textId="0ACA5D4A" w:rsidR="00095FCB" w:rsidRDefault="00095FCB" w:rsidP="00095FCB">
      <w:pPr>
        <w:rPr>
          <w:rFonts w:ascii="Arial" w:eastAsia="Aptos" w:hAnsi="Arial"/>
          <w:b/>
          <w:bCs/>
          <w:sz w:val="28"/>
          <w:szCs w:val="28"/>
        </w:rPr>
      </w:pPr>
    </w:p>
    <w:p w14:paraId="3229BAB5" w14:textId="77777777" w:rsidR="00095FCB" w:rsidRDefault="00095FCB" w:rsidP="00095FCB">
      <w:pPr>
        <w:tabs>
          <w:tab w:val="left" w:pos="3108"/>
          <w:tab w:val="center" w:pos="4333"/>
        </w:tabs>
        <w:rPr>
          <w:rFonts w:ascii="Arial" w:eastAsia="Aptos" w:hAnsi="Arial"/>
          <w:b/>
          <w:bCs/>
          <w:sz w:val="28"/>
          <w:szCs w:val="28"/>
        </w:rPr>
      </w:pPr>
      <w:r>
        <w:rPr>
          <w:rFonts w:ascii="Arial" w:eastAsia="Aptos" w:hAnsi="Arial"/>
          <w:b/>
          <w:bCs/>
          <w:sz w:val="28"/>
          <w:szCs w:val="28"/>
        </w:rPr>
        <w:tab/>
      </w:r>
      <w:r>
        <w:rPr>
          <w:rFonts w:ascii="Arial" w:eastAsia="Aptos" w:hAnsi="Arial"/>
          <w:b/>
          <w:bCs/>
          <w:sz w:val="28"/>
          <w:szCs w:val="28"/>
        </w:rPr>
        <w:tab/>
        <w:t>Student ID:</w:t>
      </w:r>
    </w:p>
    <w:p w14:paraId="5E8619F5" w14:textId="28FCF186" w:rsidR="00095FCB" w:rsidRPr="00095FCB" w:rsidRDefault="00095FCB" w:rsidP="00095FCB">
      <w:pPr>
        <w:jc w:val="center"/>
        <w:rPr>
          <w:rFonts w:ascii="Arial" w:eastAsia="Aptos" w:hAnsi="Arial"/>
          <w:b/>
          <w:bCs/>
          <w:sz w:val="28"/>
          <w:szCs w:val="28"/>
        </w:rPr>
      </w:pPr>
      <w:r>
        <w:rPr>
          <w:rFonts w:ascii="Arial" w:eastAsia="Aptos" w:hAnsi="Arial"/>
          <w:b/>
          <w:bCs/>
          <w:sz w:val="28"/>
          <w:szCs w:val="28"/>
        </w:rPr>
        <w:t>2543506</w:t>
      </w:r>
      <w:r>
        <w:rPr>
          <w:rFonts w:ascii="Arial" w:eastAsia="Aptos" w:hAnsi="Arial"/>
          <w:sz w:val="28"/>
          <w:szCs w:val="28"/>
        </w:rPr>
        <w:t xml:space="preserve"> </w:t>
      </w:r>
    </w:p>
    <w:p w14:paraId="599EC0F7" w14:textId="77777777" w:rsidR="00095FCB" w:rsidRDefault="00095FCB" w:rsidP="00095FCB">
      <w:pPr>
        <w:jc w:val="center"/>
        <w:rPr>
          <w:rFonts w:ascii="Arial" w:eastAsia="Aptos" w:hAnsi="Arial"/>
          <w:sz w:val="28"/>
          <w:szCs w:val="28"/>
        </w:rPr>
      </w:pPr>
      <w:r>
        <w:rPr>
          <w:rFonts w:ascii="Arial" w:eastAsia="Aptos" w:hAnsi="Arial"/>
          <w:sz w:val="28"/>
          <w:szCs w:val="28"/>
        </w:rPr>
        <w:t xml:space="preserve"> </w:t>
      </w:r>
    </w:p>
    <w:p w14:paraId="3A5DB253"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Module Name: </w:t>
      </w:r>
    </w:p>
    <w:p w14:paraId="02C8A239" w14:textId="1FA21B45" w:rsidR="00095FCB" w:rsidRDefault="00095FCB" w:rsidP="00095FCB">
      <w:pPr>
        <w:jc w:val="center"/>
        <w:rPr>
          <w:rFonts w:ascii="Arial" w:eastAsia="Aptos" w:hAnsi="Arial"/>
          <w:b/>
          <w:bCs/>
          <w:sz w:val="28"/>
          <w:szCs w:val="28"/>
        </w:rPr>
      </w:pPr>
      <w:r w:rsidRPr="00095FCB">
        <w:rPr>
          <w:rFonts w:ascii="Arial" w:eastAsia="Aptos" w:hAnsi="Arial"/>
          <w:b/>
          <w:bCs/>
          <w:sz w:val="28"/>
          <w:szCs w:val="28"/>
        </w:rPr>
        <w:t xml:space="preserve">Financial Management </w:t>
      </w:r>
    </w:p>
    <w:p w14:paraId="6604279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4870BA1B"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Module Code: </w:t>
      </w:r>
    </w:p>
    <w:p w14:paraId="54BE6E96" w14:textId="016876CC" w:rsidR="00095FCB" w:rsidRDefault="00095FCB" w:rsidP="00095FCB">
      <w:pPr>
        <w:jc w:val="center"/>
        <w:rPr>
          <w:rFonts w:ascii="Arial" w:eastAsia="Aptos" w:hAnsi="Arial"/>
          <w:b/>
          <w:bCs/>
          <w:sz w:val="28"/>
          <w:szCs w:val="28"/>
        </w:rPr>
      </w:pPr>
      <w:r w:rsidRPr="00095FCB">
        <w:rPr>
          <w:rFonts w:ascii="Arial" w:eastAsia="Aptos" w:hAnsi="Arial"/>
          <w:b/>
          <w:bCs/>
          <w:sz w:val="28"/>
          <w:szCs w:val="28"/>
        </w:rPr>
        <w:t>LCMB7002_LON</w:t>
      </w:r>
      <w:r>
        <w:rPr>
          <w:rFonts w:ascii="Arial" w:eastAsia="Aptos" w:hAnsi="Arial"/>
          <w:b/>
          <w:bCs/>
          <w:sz w:val="28"/>
          <w:szCs w:val="28"/>
        </w:rPr>
        <w:t xml:space="preserve"> </w:t>
      </w:r>
    </w:p>
    <w:p w14:paraId="28A54084"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66A8E17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Lecturer’s Name:</w:t>
      </w:r>
    </w:p>
    <w:p w14:paraId="58FFFBD4" w14:textId="00BB0416" w:rsidR="00095FCB" w:rsidRDefault="00095FCB" w:rsidP="00811456">
      <w:pPr>
        <w:jc w:val="center"/>
        <w:rPr>
          <w:rFonts w:ascii="Arial" w:eastAsia="Aptos" w:hAnsi="Arial"/>
          <w:b/>
          <w:bCs/>
          <w:sz w:val="28"/>
          <w:szCs w:val="28"/>
        </w:rPr>
      </w:pPr>
      <w:proofErr w:type="spellStart"/>
      <w:r w:rsidRPr="00FF719B">
        <w:rPr>
          <w:rFonts w:ascii="Arial" w:eastAsia="Aptos" w:hAnsi="Arial"/>
          <w:b/>
          <w:bCs/>
          <w:sz w:val="28"/>
          <w:szCs w:val="28"/>
        </w:rPr>
        <w:t>S</w:t>
      </w:r>
      <w:r w:rsidR="00811456">
        <w:rPr>
          <w:rFonts w:ascii="Arial" w:eastAsia="Aptos" w:hAnsi="Arial"/>
          <w:b/>
          <w:bCs/>
          <w:sz w:val="28"/>
          <w:szCs w:val="28"/>
        </w:rPr>
        <w:t>hengfeng</w:t>
      </w:r>
      <w:proofErr w:type="spellEnd"/>
      <w:r w:rsidR="00811456">
        <w:rPr>
          <w:rFonts w:ascii="Arial" w:eastAsia="Aptos" w:hAnsi="Arial"/>
          <w:b/>
          <w:bCs/>
          <w:sz w:val="28"/>
          <w:szCs w:val="28"/>
        </w:rPr>
        <w:t xml:space="preserve"> Mei</w:t>
      </w:r>
    </w:p>
    <w:p w14:paraId="6F6CD4D2" w14:textId="77777777" w:rsidR="00095FCB" w:rsidRDefault="00095FCB" w:rsidP="00095FCB">
      <w:pPr>
        <w:rPr>
          <w:rFonts w:ascii="Arial" w:eastAsia="Aptos" w:hAnsi="Arial"/>
          <w:b/>
          <w:bCs/>
          <w:sz w:val="28"/>
          <w:szCs w:val="28"/>
        </w:rPr>
      </w:pPr>
      <w:r>
        <w:rPr>
          <w:rFonts w:ascii="Arial" w:eastAsia="Aptos" w:hAnsi="Arial"/>
          <w:b/>
          <w:bCs/>
          <w:sz w:val="28"/>
          <w:szCs w:val="28"/>
        </w:rPr>
        <w:t xml:space="preserve"> </w:t>
      </w:r>
    </w:p>
    <w:p w14:paraId="3D2D7034" w14:textId="77777777" w:rsidR="00095FCB" w:rsidRDefault="00095FCB" w:rsidP="00095FCB">
      <w:pPr>
        <w:jc w:val="center"/>
        <w:rPr>
          <w:rFonts w:ascii="Arial" w:eastAsia="Aptos" w:hAnsi="Arial"/>
          <w:b/>
          <w:bCs/>
          <w:sz w:val="28"/>
          <w:szCs w:val="28"/>
        </w:rPr>
      </w:pPr>
      <w:r>
        <w:rPr>
          <w:rFonts w:ascii="Arial" w:eastAsia="Aptos" w:hAnsi="Arial"/>
          <w:b/>
          <w:bCs/>
          <w:sz w:val="28"/>
          <w:szCs w:val="28"/>
        </w:rPr>
        <w:t>Word Count:</w:t>
      </w:r>
    </w:p>
    <w:p w14:paraId="669022B2" w14:textId="54F6C07A" w:rsidR="00095FCB" w:rsidRDefault="00095FCB" w:rsidP="00811456">
      <w:pPr>
        <w:jc w:val="center"/>
        <w:rPr>
          <w:rFonts w:ascii="Arial" w:eastAsia="Aptos" w:hAnsi="Arial"/>
          <w:b/>
          <w:bCs/>
          <w:sz w:val="28"/>
          <w:szCs w:val="28"/>
        </w:rPr>
      </w:pPr>
      <w:r>
        <w:rPr>
          <w:rFonts w:ascii="Arial" w:eastAsia="Aptos" w:hAnsi="Arial"/>
          <w:b/>
          <w:bCs/>
          <w:sz w:val="28"/>
          <w:szCs w:val="28"/>
        </w:rPr>
        <w:t xml:space="preserve"> </w:t>
      </w:r>
      <w:r w:rsidR="00811456">
        <w:rPr>
          <w:rFonts w:ascii="Arial" w:eastAsia="Aptos" w:hAnsi="Arial"/>
          <w:b/>
          <w:bCs/>
          <w:sz w:val="28"/>
          <w:szCs w:val="28"/>
        </w:rPr>
        <w:t>5000</w:t>
      </w:r>
    </w:p>
    <w:p w14:paraId="428FFB41" w14:textId="77777777" w:rsidR="00095FCB" w:rsidRDefault="00095FCB" w:rsidP="00095FCB">
      <w:pPr>
        <w:jc w:val="center"/>
        <w:rPr>
          <w:rFonts w:ascii="Arial" w:eastAsia="Aptos" w:hAnsi="Arial"/>
          <w:b/>
          <w:bCs/>
          <w:sz w:val="28"/>
          <w:szCs w:val="28"/>
        </w:rPr>
      </w:pPr>
      <w:r>
        <w:rPr>
          <w:rFonts w:ascii="Arial" w:eastAsia="Aptos" w:hAnsi="Arial"/>
          <w:b/>
          <w:bCs/>
          <w:sz w:val="28"/>
          <w:szCs w:val="28"/>
        </w:rPr>
        <w:t xml:space="preserve"> </w:t>
      </w:r>
    </w:p>
    <w:p w14:paraId="28A6B85E" w14:textId="77777777" w:rsidR="00095FCB" w:rsidRDefault="00095FCB" w:rsidP="00095FCB">
      <w:pPr>
        <w:jc w:val="center"/>
        <w:rPr>
          <w:rFonts w:ascii="Arial" w:eastAsia="Aptos" w:hAnsi="Arial"/>
          <w:b/>
          <w:bCs/>
          <w:sz w:val="28"/>
          <w:szCs w:val="28"/>
        </w:rPr>
      </w:pPr>
      <w:r>
        <w:rPr>
          <w:rFonts w:ascii="Arial" w:eastAsia="Aptos" w:hAnsi="Arial"/>
          <w:b/>
          <w:bCs/>
          <w:sz w:val="28"/>
          <w:szCs w:val="28"/>
        </w:rPr>
        <w:t>Term 1</w:t>
      </w:r>
    </w:p>
    <w:p w14:paraId="4B7F6599" w14:textId="77777777" w:rsidR="00095FCB" w:rsidRPr="00AD5635" w:rsidRDefault="00095FCB" w:rsidP="00232CC3">
      <w:pPr>
        <w:rPr>
          <w:color w:val="000000" w:themeColor="text1"/>
          <w:sz w:val="24"/>
          <w:szCs w:val="24"/>
        </w:rPr>
        <w:sectPr w:rsidR="00095FCB" w:rsidRPr="00AD5635" w:rsidSect="00AA660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08"/>
          <w:docGrid w:linePitch="360"/>
        </w:sectPr>
      </w:pPr>
    </w:p>
    <w:p w14:paraId="0FF0B6C2" w14:textId="44FD7F61" w:rsidR="00232CC3" w:rsidRPr="00AD5635" w:rsidRDefault="00AD5635" w:rsidP="00232CC3">
      <w:pPr>
        <w:rPr>
          <w:b/>
          <w:bCs/>
          <w:color w:val="000000" w:themeColor="text1"/>
          <w:sz w:val="24"/>
          <w:szCs w:val="24"/>
        </w:rPr>
      </w:pPr>
      <w:r w:rsidRPr="00AD5635">
        <w:rPr>
          <w:b/>
          <w:bCs/>
          <w:color w:val="000000" w:themeColor="text1"/>
          <w:sz w:val="24"/>
          <w:szCs w:val="24"/>
        </w:rPr>
        <w:lastRenderedPageBreak/>
        <w:t>T</w:t>
      </w:r>
      <w:r w:rsidR="00232CC3" w:rsidRPr="00AD5635">
        <w:rPr>
          <w:b/>
          <w:bCs/>
          <w:color w:val="000000" w:themeColor="text1"/>
          <w:sz w:val="24"/>
          <w:szCs w:val="24"/>
        </w:rPr>
        <w:t>able of Contents</w:t>
      </w:r>
    </w:p>
    <w:p w14:paraId="209FE048" w14:textId="684AC99A" w:rsidR="00232CC3" w:rsidRPr="00AD5635" w:rsidRDefault="00232CC3">
      <w:pPr>
        <w:numPr>
          <w:ilvl w:val="0"/>
          <w:numId w:val="1"/>
        </w:numPr>
        <w:rPr>
          <w:color w:val="000000" w:themeColor="text1"/>
          <w:sz w:val="24"/>
          <w:szCs w:val="24"/>
        </w:rPr>
      </w:pPr>
      <w:r w:rsidRPr="00AD5635">
        <w:rPr>
          <w:b/>
          <w:bCs/>
          <w:color w:val="000000" w:themeColor="text1"/>
          <w:sz w:val="24"/>
          <w:szCs w:val="24"/>
        </w:rPr>
        <w:t>Introduction</w:t>
      </w:r>
      <w:r w:rsidR="00AD5635">
        <w:rPr>
          <w:b/>
          <w:bCs/>
          <w:color w:val="000000" w:themeColor="text1"/>
          <w:sz w:val="24"/>
          <w:szCs w:val="24"/>
        </w:rPr>
        <w:t xml:space="preserve">      </w:t>
      </w:r>
    </w:p>
    <w:p w14:paraId="306BFFA7"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1. Financial Health Check</w:t>
      </w:r>
    </w:p>
    <w:p w14:paraId="3A3B66CF"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1.1 Revenue and Profitability Analysis</w:t>
      </w:r>
    </w:p>
    <w:p w14:paraId="13E3F56F"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1.2 Comprehensive Ratio Analysis</w:t>
      </w:r>
    </w:p>
    <w:p w14:paraId="2B4B5BD2"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1.3 Trends, Strengths, and Potential Threats</w:t>
      </w:r>
    </w:p>
    <w:p w14:paraId="050E5F7C"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1.4 Liquidity Ratio Benchmarking</w:t>
      </w:r>
    </w:p>
    <w:p w14:paraId="1371C38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2. Working Capital Management Analysis</w:t>
      </w:r>
    </w:p>
    <w:p w14:paraId="0E661331"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2.1 Assessment of the Cash Operating Cycle</w:t>
      </w:r>
    </w:p>
    <w:p w14:paraId="7CFB04C8"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2.2 Strategies to Improve Liquidity</w:t>
      </w:r>
    </w:p>
    <w:p w14:paraId="44F35F85"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2.3 Comparison of Short-term vs. Long-term Financing Options</w:t>
      </w:r>
    </w:p>
    <w:p w14:paraId="47A45CB0"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3. Strategic Financial Restructuring Plan</w:t>
      </w:r>
    </w:p>
    <w:p w14:paraId="0784B0F2"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3.1 Recommended Financial Restructuring Options</w:t>
      </w:r>
    </w:p>
    <w:p w14:paraId="0884E1B3"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3.2 Evaluation of Impact on Shareholder Value, Debt Structure, and Operational Flexibility</w:t>
      </w:r>
    </w:p>
    <w:p w14:paraId="6CD342D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3.3 International and Ethical Considerations</w:t>
      </w:r>
    </w:p>
    <w:p w14:paraId="7FB79EB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4. Investment Appraisal and Capital Budgeting</w:t>
      </w:r>
    </w:p>
    <w:p w14:paraId="42501138"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4.1 Calculation of Investment Appraisal Techniques</w:t>
      </w:r>
    </w:p>
    <w:p w14:paraId="14B1633E"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4.2 Recommended Project and Justification</w:t>
      </w:r>
    </w:p>
    <w:p w14:paraId="7439097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4.3 Capital Rationing and Project Combinations</w:t>
      </w:r>
    </w:p>
    <w:p w14:paraId="4B2C8F5E"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5. Critical Reflection on AI Usage</w:t>
      </w:r>
    </w:p>
    <w:p w14:paraId="0784D61B"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5.1 Tool Disclosure</w:t>
      </w:r>
    </w:p>
    <w:p w14:paraId="0E166BD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5.2 Critical Evaluation of AI Output</w:t>
      </w:r>
    </w:p>
    <w:p w14:paraId="0D336954"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5.3 Contribution Analysis</w:t>
      </w:r>
    </w:p>
    <w:p w14:paraId="085C6FAB" w14:textId="77777777" w:rsidR="00232CC3" w:rsidRPr="00AD5635" w:rsidRDefault="00232CC3">
      <w:pPr>
        <w:numPr>
          <w:ilvl w:val="1"/>
          <w:numId w:val="1"/>
        </w:numPr>
        <w:rPr>
          <w:color w:val="000000" w:themeColor="text1"/>
          <w:sz w:val="24"/>
          <w:szCs w:val="24"/>
        </w:rPr>
      </w:pPr>
      <w:r w:rsidRPr="00AD5635">
        <w:rPr>
          <w:color w:val="000000" w:themeColor="text1"/>
          <w:sz w:val="24"/>
          <w:szCs w:val="24"/>
        </w:rPr>
        <w:t>5.4 Ethical &amp; Professional Reflection</w:t>
      </w:r>
    </w:p>
    <w:p w14:paraId="5D34B6C8"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Conclusion</w:t>
      </w:r>
    </w:p>
    <w:p w14:paraId="4A54F152"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References</w:t>
      </w:r>
    </w:p>
    <w:p w14:paraId="37BAA863" w14:textId="77777777" w:rsidR="00232CC3" w:rsidRPr="00AD5635" w:rsidRDefault="00232CC3">
      <w:pPr>
        <w:numPr>
          <w:ilvl w:val="0"/>
          <w:numId w:val="1"/>
        </w:numPr>
        <w:rPr>
          <w:color w:val="000000" w:themeColor="text1"/>
          <w:sz w:val="24"/>
          <w:szCs w:val="24"/>
        </w:rPr>
      </w:pPr>
      <w:r w:rsidRPr="00AD5635">
        <w:rPr>
          <w:b/>
          <w:bCs/>
          <w:color w:val="000000" w:themeColor="text1"/>
          <w:sz w:val="24"/>
          <w:szCs w:val="24"/>
        </w:rPr>
        <w:t>Appendices</w:t>
      </w:r>
    </w:p>
    <w:p w14:paraId="2C62B963" w14:textId="0F312ACA" w:rsidR="00232CC3" w:rsidRDefault="00232CC3" w:rsidP="00232CC3">
      <w:pPr>
        <w:rPr>
          <w:color w:val="000000" w:themeColor="text1"/>
          <w:sz w:val="24"/>
          <w:szCs w:val="24"/>
        </w:rPr>
      </w:pPr>
    </w:p>
    <w:p w14:paraId="6869F049" w14:textId="77777777" w:rsidR="001119F9" w:rsidRPr="00AD5635" w:rsidRDefault="001119F9" w:rsidP="00232CC3">
      <w:pPr>
        <w:rPr>
          <w:color w:val="000000" w:themeColor="text1"/>
          <w:sz w:val="24"/>
          <w:szCs w:val="24"/>
        </w:rPr>
      </w:pPr>
    </w:p>
    <w:p w14:paraId="626EC987"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Introduction</w:t>
      </w:r>
    </w:p>
    <w:p w14:paraId="4F363395" w14:textId="77777777" w:rsidR="00232CC3" w:rsidRPr="00AD5635" w:rsidRDefault="00232CC3" w:rsidP="00232CC3">
      <w:pPr>
        <w:rPr>
          <w:color w:val="000000" w:themeColor="text1"/>
          <w:sz w:val="24"/>
          <w:szCs w:val="24"/>
        </w:rPr>
      </w:pPr>
      <w:r w:rsidRPr="00AD5635">
        <w:rPr>
          <w:color w:val="000000" w:themeColor="text1"/>
          <w:sz w:val="24"/>
          <w:szCs w:val="24"/>
        </w:rPr>
        <w:t>This report has been prepared in the capacity of the newly appointed Chief Financial Officer (CFO) of Whitbread PLC, the leading UK hospitality group and owner of Premier Inn. The Board has requested a comprehensive financial analysis and strategic review to navigate the post-pandemic recovery landscape and capitalise on identified growth opportunities. This report serves to fulfil that mandate by delivering a thorough assessment of Whitbread's financial health, working capital management, restructuring options, and investment appraisal.</w:t>
      </w:r>
    </w:p>
    <w:p w14:paraId="6D65B86A" w14:textId="77777777" w:rsidR="00232CC3" w:rsidRPr="00AD5635" w:rsidRDefault="00232CC3" w:rsidP="00232CC3">
      <w:pPr>
        <w:rPr>
          <w:color w:val="000000" w:themeColor="text1"/>
          <w:sz w:val="24"/>
          <w:szCs w:val="24"/>
        </w:rPr>
      </w:pPr>
      <w:r w:rsidRPr="00AD5635">
        <w:rPr>
          <w:color w:val="000000" w:themeColor="text1"/>
          <w:sz w:val="24"/>
          <w:szCs w:val="24"/>
        </w:rPr>
        <w:t xml:space="preserve">Whitbread PLC is a unique </w:t>
      </w:r>
      <w:proofErr w:type="gramStart"/>
      <w:r w:rsidRPr="00AD5635">
        <w:rPr>
          <w:color w:val="000000" w:themeColor="text1"/>
          <w:sz w:val="24"/>
          <w:szCs w:val="24"/>
        </w:rPr>
        <w:t>vertically-integrated</w:t>
      </w:r>
      <w:proofErr w:type="gramEnd"/>
      <w:r w:rsidRPr="00AD5635">
        <w:rPr>
          <w:color w:val="000000" w:themeColor="text1"/>
          <w:sz w:val="24"/>
          <w:szCs w:val="24"/>
        </w:rPr>
        <w:t xml:space="preserve"> hotel operator, owning and managing a vast estate of over 840 hotels in the UK and an expanding portfolio in Germany (Whitbread PLC, 2024). The COVID-19 pandemic had a devastating impact on the hospitality sector, but Whitbread's robust balance sheet and operational model allowed it to emerge in a competitively advantaged position (Whitbread PLC, 2021). This report will analyse the last five years of financial performance, identify core challenges, and propose a financially viable and ethically sound strategy for sustainable, long-term growth.</w:t>
      </w:r>
    </w:p>
    <w:p w14:paraId="726099D0" w14:textId="77777777" w:rsidR="00232CC3" w:rsidRPr="00AD5635" w:rsidRDefault="00000000" w:rsidP="00232CC3">
      <w:pPr>
        <w:rPr>
          <w:color w:val="000000" w:themeColor="text1"/>
          <w:sz w:val="24"/>
          <w:szCs w:val="24"/>
        </w:rPr>
      </w:pPr>
      <w:r>
        <w:rPr>
          <w:color w:val="000000" w:themeColor="text1"/>
          <w:sz w:val="24"/>
          <w:szCs w:val="24"/>
        </w:rPr>
        <w:pict w14:anchorId="5FA08A2B">
          <v:rect id="_x0000_i1025" style="width:0;height:.75pt" o:hralign="center" o:hrstd="t" o:hr="t" fillcolor="#a0a0a0" stroked="f"/>
        </w:pict>
      </w:r>
    </w:p>
    <w:p w14:paraId="7EF9C28F" w14:textId="2FDA1A39" w:rsidR="00232CC3" w:rsidRPr="00AD5635" w:rsidRDefault="00232CC3" w:rsidP="00232CC3">
      <w:pPr>
        <w:rPr>
          <w:b/>
          <w:bCs/>
          <w:color w:val="000000" w:themeColor="text1"/>
          <w:sz w:val="24"/>
          <w:szCs w:val="24"/>
        </w:rPr>
      </w:pPr>
      <w:r w:rsidRPr="00AD5635">
        <w:rPr>
          <w:b/>
          <w:bCs/>
          <w:color w:val="000000" w:themeColor="text1"/>
          <w:sz w:val="24"/>
          <w:szCs w:val="24"/>
        </w:rPr>
        <w:t xml:space="preserve">1. Financial Health Check </w:t>
      </w:r>
    </w:p>
    <w:p w14:paraId="4EA9EDD8" w14:textId="77777777" w:rsidR="00232CC3" w:rsidRPr="00AD5635" w:rsidRDefault="00232CC3" w:rsidP="00232CC3">
      <w:pPr>
        <w:rPr>
          <w:color w:val="000000" w:themeColor="text1"/>
          <w:sz w:val="24"/>
          <w:szCs w:val="24"/>
        </w:rPr>
      </w:pPr>
      <w:r w:rsidRPr="00AD5635">
        <w:rPr>
          <w:color w:val="000000" w:themeColor="text1"/>
          <w:sz w:val="24"/>
          <w:szCs w:val="24"/>
        </w:rPr>
        <w:t>This section provides a detailed analysis of Whitbread's financial statements from FY2020 to FY2024. The analysis utilises a comprehensive ratio analysis covering profitability, liquidity, efficiency, gearing, and cash flow to identify trends, strengths, and areas of concern.</w:t>
      </w:r>
    </w:p>
    <w:p w14:paraId="68166815" w14:textId="77777777" w:rsidR="00232CC3" w:rsidRPr="00AD5635" w:rsidRDefault="00232CC3" w:rsidP="00232CC3">
      <w:pPr>
        <w:rPr>
          <w:b/>
          <w:bCs/>
          <w:color w:val="000000" w:themeColor="text1"/>
          <w:sz w:val="24"/>
          <w:szCs w:val="24"/>
        </w:rPr>
      </w:pPr>
      <w:r w:rsidRPr="00AD5635">
        <w:rPr>
          <w:b/>
          <w:bCs/>
          <w:color w:val="000000" w:themeColor="text1"/>
          <w:sz w:val="24"/>
          <w:szCs w:val="24"/>
        </w:rPr>
        <w:t>1.1 Revenue and Profitability Analysis</w:t>
      </w:r>
    </w:p>
    <w:p w14:paraId="3EA3EE0E" w14:textId="77777777" w:rsidR="00232CC3" w:rsidRPr="00AD5635" w:rsidRDefault="00232CC3" w:rsidP="00232CC3">
      <w:pPr>
        <w:rPr>
          <w:color w:val="000000" w:themeColor="text1"/>
          <w:sz w:val="24"/>
          <w:szCs w:val="24"/>
        </w:rPr>
      </w:pPr>
      <w:r w:rsidRPr="00AD5635">
        <w:rPr>
          <w:color w:val="000000" w:themeColor="text1"/>
          <w:sz w:val="24"/>
          <w:szCs w:val="24"/>
        </w:rPr>
        <w:t>The financial performance of Whitbread from FY2020 to FY2024 tells a clear story of a business that was profoundly impacted by the COVID-19 pandemic but has demonstrated a robust and resilient recovery.</w:t>
      </w:r>
    </w:p>
    <w:p w14:paraId="5DE6AE24" w14:textId="77777777" w:rsidR="00232CC3" w:rsidRPr="00AD5635" w:rsidRDefault="00232CC3" w:rsidP="00232CC3">
      <w:pPr>
        <w:rPr>
          <w:color w:val="000000" w:themeColor="text1"/>
          <w:sz w:val="24"/>
          <w:szCs w:val="24"/>
        </w:rPr>
      </w:pPr>
      <w:r w:rsidRPr="00AD5635">
        <w:rPr>
          <w:color w:val="000000" w:themeColor="text1"/>
          <w:sz w:val="24"/>
          <w:szCs w:val="24"/>
        </w:rPr>
        <w:t>The most striking feature of the data is the dramatic revenue decline of 71.5% in FY2021, falling from £2,071.5m to £589.4m. This was a direct consequence of widespread government-imposed lockdowns and travel restrictions. As the Chairman noted, "Whitbread is in one of the worst hit sectors" (Whitbread PLC, 2021, p.6). Consequently, the company reported an unprecedented statutory loss before tax of £1,007.4m.</w:t>
      </w:r>
    </w:p>
    <w:p w14:paraId="75B39150" w14:textId="77777777" w:rsidR="00232CC3" w:rsidRPr="00AD5635" w:rsidRDefault="00232CC3" w:rsidP="00232CC3">
      <w:pPr>
        <w:rPr>
          <w:color w:val="000000" w:themeColor="text1"/>
          <w:sz w:val="24"/>
          <w:szCs w:val="24"/>
        </w:rPr>
      </w:pPr>
      <w:r w:rsidRPr="00AD5635">
        <w:rPr>
          <w:color w:val="000000" w:themeColor="text1"/>
          <w:sz w:val="24"/>
          <w:szCs w:val="24"/>
        </w:rPr>
        <w:t>The recovery that followed was equally remarkable. Revenue rebounded to £1,703.4m in FY2022 and surpassed pre-pandemic levels by FY2024, reaching £2,959.9m. This represents a 43% increase on the FY2020 figure and demonstrates the strength of the underlying business. Adjusted profit before tax (PBT) followed a similar V-shaped trajectory, returning to profitability in FY2022 and reaching a record £561.1m in FY2024.</w:t>
      </w:r>
    </w:p>
    <w:p w14:paraId="04DA9C08" w14:textId="77777777" w:rsidR="00232CC3" w:rsidRPr="00AD5635" w:rsidRDefault="00232CC3" w:rsidP="00232CC3">
      <w:pPr>
        <w:rPr>
          <w:color w:val="000000" w:themeColor="text1"/>
          <w:sz w:val="24"/>
          <w:szCs w:val="24"/>
        </w:rPr>
      </w:pPr>
      <w:r w:rsidRPr="00AD5635">
        <w:rPr>
          <w:color w:val="000000" w:themeColor="text1"/>
          <w:sz w:val="24"/>
          <w:szCs w:val="24"/>
        </w:rPr>
        <w:t xml:space="preserve">This recovery was driven by several factors: the successful execution of a comprehensive rights issue that strengthened the balance sheet, the preservation of a </w:t>
      </w:r>
      <w:r w:rsidRPr="00AD5635">
        <w:rPr>
          <w:color w:val="000000" w:themeColor="text1"/>
          <w:sz w:val="24"/>
          <w:szCs w:val="24"/>
        </w:rPr>
        <w:lastRenderedPageBreak/>
        <w:t>substantial freehold asset base that provided financial flexibility, and the strategic positioning of the Premier Inn brand as the market leader. The company's ability to gain market share during the crisis, with UK market share increasing from 7% in FY2020 to 11% in FY2021, was a significant achievement that laid the foundation for future profitability.</w:t>
      </w:r>
    </w:p>
    <w:p w14:paraId="51A09D05" w14:textId="77777777" w:rsidR="00232CC3" w:rsidRPr="00AD5635" w:rsidRDefault="00232CC3" w:rsidP="00232CC3">
      <w:pPr>
        <w:rPr>
          <w:b/>
          <w:bCs/>
          <w:color w:val="000000" w:themeColor="text1"/>
          <w:sz w:val="24"/>
          <w:szCs w:val="24"/>
        </w:rPr>
      </w:pPr>
      <w:r w:rsidRPr="00AD5635">
        <w:rPr>
          <w:b/>
          <w:bCs/>
          <w:color w:val="000000" w:themeColor="text1"/>
          <w:sz w:val="24"/>
          <w:szCs w:val="24"/>
        </w:rPr>
        <w:t>1.2 Comprehensive Ratio Analysis</w:t>
      </w:r>
    </w:p>
    <w:p w14:paraId="19B4B8E9" w14:textId="77777777" w:rsidR="00232CC3" w:rsidRPr="00AD5635" w:rsidRDefault="00232CC3" w:rsidP="00232CC3">
      <w:pPr>
        <w:rPr>
          <w:color w:val="000000" w:themeColor="text1"/>
          <w:sz w:val="24"/>
          <w:szCs w:val="24"/>
        </w:rPr>
      </w:pPr>
      <w:r w:rsidRPr="00AD5635">
        <w:rPr>
          <w:color w:val="000000" w:themeColor="text1"/>
          <w:sz w:val="24"/>
          <w:szCs w:val="24"/>
        </w:rPr>
        <w:t>A comprehensive ratio analysis provides deeper insights into Whitbread's operational, financial, and liquidity performance.</w:t>
      </w:r>
    </w:p>
    <w:p w14:paraId="4526924B" w14:textId="77777777" w:rsidR="00232CC3" w:rsidRPr="00AD5635" w:rsidRDefault="00232CC3" w:rsidP="00232CC3">
      <w:pPr>
        <w:rPr>
          <w:b/>
          <w:bCs/>
          <w:color w:val="000000" w:themeColor="text1"/>
          <w:sz w:val="24"/>
          <w:szCs w:val="24"/>
        </w:rPr>
      </w:pPr>
      <w:r w:rsidRPr="00AD5635">
        <w:rPr>
          <w:b/>
          <w:bCs/>
          <w:color w:val="000000" w:themeColor="text1"/>
          <w:sz w:val="24"/>
          <w:szCs w:val="24"/>
        </w:rPr>
        <w:t>Profitability Ratios</w:t>
      </w:r>
    </w:p>
    <w:p w14:paraId="3FDF5D40" w14:textId="3AD05707" w:rsidR="00232CC3" w:rsidRPr="00AD5635" w:rsidRDefault="00232CC3" w:rsidP="00232CC3">
      <w:pPr>
        <w:rPr>
          <w:color w:val="000000" w:themeColor="text1"/>
          <w:sz w:val="24"/>
          <w:szCs w:val="24"/>
        </w:rPr>
      </w:pPr>
      <w:r w:rsidRPr="00AD5635">
        <w:rPr>
          <w:b/>
          <w:bCs/>
          <w:color w:val="000000" w:themeColor="text1"/>
          <w:sz w:val="24"/>
          <w:szCs w:val="24"/>
        </w:rPr>
        <w:t xml:space="preserve">Whitbread PLC Profitability Ratios </w:t>
      </w:r>
    </w:p>
    <w:p w14:paraId="77093451" w14:textId="77777777" w:rsidR="00232CC3" w:rsidRPr="00AD5635" w:rsidRDefault="00232CC3" w:rsidP="00232CC3">
      <w:pPr>
        <w:rPr>
          <w:color w:val="000000" w:themeColor="text1"/>
          <w:sz w:val="24"/>
          <w:szCs w:val="24"/>
        </w:rPr>
      </w:pPr>
      <w:r w:rsidRPr="00AD5635">
        <w:rPr>
          <w:color w:val="000000" w:themeColor="text1"/>
          <w:sz w:val="24"/>
          <w:szCs w:val="24"/>
        </w:rPr>
        <w:t>The gross margin remained healthy throughout the period, reflecting the relatively low variable cost nature of the hotel business. However, the operating and net margins in FY2021 were severely negative due to the collapse in revenue. The recovery in these margins is a testament to the company's cost discipline and the high operating leverage inherent in its business model. The net margin increased from 15.7% in FY2023 to 19.0% in FY2024, indicating that a larger proportion of revenue is converting into profit as the business scales.</w:t>
      </w:r>
    </w:p>
    <w:p w14:paraId="25C50A21" w14:textId="77777777" w:rsidR="0074471B" w:rsidRPr="00AD5635" w:rsidRDefault="0074471B" w:rsidP="00232CC3">
      <w:pPr>
        <w:rPr>
          <w:b/>
          <w:bCs/>
          <w:color w:val="000000" w:themeColor="text1"/>
          <w:sz w:val="24"/>
          <w:szCs w:val="24"/>
        </w:rPr>
      </w:pPr>
    </w:p>
    <w:p w14:paraId="69FB1189" w14:textId="73FF574D" w:rsidR="00232CC3" w:rsidRPr="00AD5635" w:rsidRDefault="00232CC3" w:rsidP="00232CC3">
      <w:pPr>
        <w:rPr>
          <w:color w:val="000000" w:themeColor="text1"/>
          <w:sz w:val="24"/>
          <w:szCs w:val="24"/>
        </w:rPr>
      </w:pPr>
      <w:r w:rsidRPr="00AD5635">
        <w:rPr>
          <w:b/>
          <w:bCs/>
          <w:color w:val="000000" w:themeColor="text1"/>
          <w:sz w:val="24"/>
          <w:szCs w:val="24"/>
        </w:rPr>
        <w:t xml:space="preserve">Whitbread PLC Liquidity Ratios </w:t>
      </w:r>
    </w:p>
    <w:p w14:paraId="5FDCAB61" w14:textId="77777777" w:rsidR="00232CC3" w:rsidRPr="00AD5635" w:rsidRDefault="00232CC3" w:rsidP="00232CC3">
      <w:pPr>
        <w:rPr>
          <w:color w:val="000000" w:themeColor="text1"/>
          <w:sz w:val="24"/>
          <w:szCs w:val="24"/>
        </w:rPr>
      </w:pPr>
      <w:r w:rsidRPr="00AD5635">
        <w:rPr>
          <w:color w:val="000000" w:themeColor="text1"/>
          <w:sz w:val="24"/>
          <w:szCs w:val="24"/>
        </w:rPr>
        <w:t>Liquidity was exceptionally strong during the pandemic. In FY2021, the current ratio was 1.7x, driven by a large cash balance of £1,256m following a £1bn rights issue and £550m Green Bond issuance. This provided a significant "cash buffer" to navigate the crisis. However, as the company has returned to profitability and resumed investment in growth, its cash position has normalised. The current ratio in FY2024 fell to 1.0x, with the quick ratio dipping below 1.0x to 0.9x. While still adequate, this trend indicates that reliance on short-term liquidity is increasing, which warrants close monitoring.</w:t>
      </w:r>
    </w:p>
    <w:p w14:paraId="3D17F351" w14:textId="3A6B82DF" w:rsidR="00232CC3" w:rsidRPr="00AD5635" w:rsidRDefault="00232CC3" w:rsidP="00232CC3">
      <w:pPr>
        <w:rPr>
          <w:color w:val="000000" w:themeColor="text1"/>
          <w:sz w:val="24"/>
          <w:szCs w:val="24"/>
        </w:rPr>
      </w:pPr>
      <w:r w:rsidRPr="00AD5635">
        <w:rPr>
          <w:b/>
          <w:bCs/>
          <w:color w:val="000000" w:themeColor="text1"/>
          <w:sz w:val="24"/>
          <w:szCs w:val="24"/>
        </w:rPr>
        <w:t xml:space="preserve">Whitbread PLC Efficiency </w:t>
      </w:r>
    </w:p>
    <w:p w14:paraId="5ADE2F6F" w14:textId="77777777" w:rsidR="00232CC3" w:rsidRPr="00AD5635" w:rsidRDefault="00232CC3" w:rsidP="00232CC3">
      <w:pPr>
        <w:rPr>
          <w:color w:val="000000" w:themeColor="text1"/>
          <w:sz w:val="24"/>
          <w:szCs w:val="24"/>
        </w:rPr>
      </w:pPr>
      <w:r w:rsidRPr="00AD5635">
        <w:rPr>
          <w:color w:val="000000" w:themeColor="text1"/>
          <w:sz w:val="24"/>
          <w:szCs w:val="24"/>
        </w:rPr>
        <w:t>Asset turnover fell to a low of 0.07x in FY2021 as revenue collapsed while the asset base remained high. The recovery to 0.31x in FY2024 shows that Whitbread is becoming much more efficient at generating revenue from its significant asset base, which includes a substantial freehold estate worth over £4bn.</w:t>
      </w:r>
    </w:p>
    <w:p w14:paraId="17B77363" w14:textId="369C6F57" w:rsidR="00232CC3" w:rsidRPr="00AD5635" w:rsidRDefault="00232CC3" w:rsidP="00232CC3">
      <w:pPr>
        <w:rPr>
          <w:color w:val="000000" w:themeColor="text1"/>
          <w:sz w:val="24"/>
          <w:szCs w:val="24"/>
        </w:rPr>
      </w:pPr>
      <w:r w:rsidRPr="00AD5635">
        <w:rPr>
          <w:b/>
          <w:bCs/>
          <w:color w:val="000000" w:themeColor="text1"/>
          <w:sz w:val="24"/>
          <w:szCs w:val="24"/>
        </w:rPr>
        <w:t xml:space="preserve">Whitbread PLC Leverage Ratios </w:t>
      </w:r>
    </w:p>
    <w:p w14:paraId="73D24B4E" w14:textId="77777777" w:rsidR="00232CC3" w:rsidRPr="00AD5635" w:rsidRDefault="00232CC3" w:rsidP="00232CC3">
      <w:pPr>
        <w:rPr>
          <w:color w:val="000000" w:themeColor="text1"/>
          <w:sz w:val="24"/>
          <w:szCs w:val="24"/>
        </w:rPr>
      </w:pPr>
      <w:r w:rsidRPr="00AD5635">
        <w:rPr>
          <w:color w:val="000000" w:themeColor="text1"/>
          <w:sz w:val="24"/>
          <w:szCs w:val="24"/>
        </w:rPr>
        <w:t>Interest coverage improved significantly from a negative position in FY2021 to a comfortable 5.0x in FY2024. This indicates the company can easily service its debt obligations from its operating profits. The debt/equity ratio remains low at 0.28x, reflecting the group's conservative capital structure and preference for a strong, asset-backed balance sheet.</w:t>
      </w:r>
    </w:p>
    <w:p w14:paraId="659FE994"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1.3 Trends, Strengths, and Potential Threats</w:t>
      </w:r>
    </w:p>
    <w:p w14:paraId="42D0CD20" w14:textId="77777777" w:rsidR="00232CC3" w:rsidRPr="00AD5635" w:rsidRDefault="00232CC3" w:rsidP="00232CC3">
      <w:pPr>
        <w:rPr>
          <w:color w:val="000000" w:themeColor="text1"/>
          <w:sz w:val="24"/>
          <w:szCs w:val="24"/>
        </w:rPr>
      </w:pPr>
      <w:r w:rsidRPr="00AD5635">
        <w:rPr>
          <w:b/>
          <w:bCs/>
          <w:color w:val="000000" w:themeColor="text1"/>
          <w:sz w:val="24"/>
          <w:szCs w:val="24"/>
        </w:rPr>
        <w:t>Trends:</w:t>
      </w:r>
    </w:p>
    <w:p w14:paraId="5F5A0FDA"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V-Shaped Recovery:</w:t>
      </w:r>
      <w:r w:rsidRPr="00AD5635">
        <w:rPr>
          <w:color w:val="000000" w:themeColor="text1"/>
          <w:sz w:val="24"/>
          <w:szCs w:val="24"/>
        </w:rPr>
        <w:t> The data shows a clear and robust V-shaped recovery across all major financial metrics, demonstrating the resilience and strength of the business model.</w:t>
      </w:r>
    </w:p>
    <w:p w14:paraId="1D1F0620"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Market Share Gains:</w:t>
      </w:r>
      <w:r w:rsidRPr="00AD5635">
        <w:rPr>
          <w:color w:val="000000" w:themeColor="text1"/>
          <w:sz w:val="24"/>
          <w:szCs w:val="24"/>
        </w:rPr>
        <w:t> Whitbread emerged from the pandemic with increased market share in the UK, a trend it has sustained into FY2024, driven by the decline of independent competitors.</w:t>
      </w:r>
    </w:p>
    <w:p w14:paraId="4A3AAAA1" w14:textId="77777777" w:rsidR="00232CC3" w:rsidRPr="00AD5635" w:rsidRDefault="00232CC3">
      <w:pPr>
        <w:numPr>
          <w:ilvl w:val="0"/>
          <w:numId w:val="2"/>
        </w:numPr>
        <w:rPr>
          <w:color w:val="000000" w:themeColor="text1"/>
          <w:sz w:val="24"/>
          <w:szCs w:val="24"/>
        </w:rPr>
      </w:pPr>
      <w:r w:rsidRPr="00AD5635">
        <w:rPr>
          <w:b/>
          <w:bCs/>
          <w:color w:val="000000" w:themeColor="text1"/>
          <w:sz w:val="24"/>
          <w:szCs w:val="24"/>
        </w:rPr>
        <w:t>Balance Sheet Normalisation:</w:t>
      </w:r>
      <w:r w:rsidRPr="00AD5635">
        <w:rPr>
          <w:color w:val="000000" w:themeColor="text1"/>
          <w:sz w:val="24"/>
          <w:szCs w:val="24"/>
        </w:rPr>
        <w:t> The company has transitioned from a defensive "cash hoarding" strategy to an offensive "investing to win" strategy as the external environment has stabilised.</w:t>
      </w:r>
    </w:p>
    <w:p w14:paraId="47B0B462" w14:textId="77777777" w:rsidR="00232CC3" w:rsidRPr="00AD5635" w:rsidRDefault="00232CC3" w:rsidP="00232CC3">
      <w:pPr>
        <w:rPr>
          <w:color w:val="000000" w:themeColor="text1"/>
          <w:sz w:val="24"/>
          <w:szCs w:val="24"/>
        </w:rPr>
      </w:pPr>
      <w:r w:rsidRPr="00AD5635">
        <w:rPr>
          <w:b/>
          <w:bCs/>
          <w:color w:val="000000" w:themeColor="text1"/>
          <w:sz w:val="24"/>
          <w:szCs w:val="24"/>
        </w:rPr>
        <w:t>Strengths:</w:t>
      </w:r>
    </w:p>
    <w:p w14:paraId="610501E5"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Strong Asset Base:</w:t>
      </w:r>
      <w:r w:rsidRPr="00AD5635">
        <w:rPr>
          <w:color w:val="000000" w:themeColor="text1"/>
          <w:sz w:val="24"/>
          <w:szCs w:val="24"/>
        </w:rPr>
        <w:t> Over £4bn in freehold property provides a solid foundation, operational flexibility, and access to low-cost capital.</w:t>
      </w:r>
    </w:p>
    <w:p w14:paraId="1826966B"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Market Leadership:</w:t>
      </w:r>
      <w:r w:rsidRPr="00AD5635">
        <w:rPr>
          <w:color w:val="000000" w:themeColor="text1"/>
          <w:sz w:val="24"/>
          <w:szCs w:val="24"/>
        </w:rPr>
        <w:t> Premier Inn's market-leading position in the budget sector allows for pricing power and efficient customer acquisition.</w:t>
      </w:r>
    </w:p>
    <w:p w14:paraId="1B6553C0"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Direct Distribution Model:</w:t>
      </w:r>
      <w:r w:rsidRPr="00AD5635">
        <w:rPr>
          <w:color w:val="000000" w:themeColor="text1"/>
          <w:sz w:val="24"/>
          <w:szCs w:val="24"/>
        </w:rPr>
        <w:t> Over 99% of bookings are made directly, significantly lowering customer acquisition costs and protecting margins.</w:t>
      </w:r>
    </w:p>
    <w:p w14:paraId="194AAE2A" w14:textId="77777777" w:rsidR="00232CC3" w:rsidRPr="00AD5635" w:rsidRDefault="00232CC3">
      <w:pPr>
        <w:numPr>
          <w:ilvl w:val="0"/>
          <w:numId w:val="3"/>
        </w:numPr>
        <w:rPr>
          <w:color w:val="000000" w:themeColor="text1"/>
          <w:sz w:val="24"/>
          <w:szCs w:val="24"/>
        </w:rPr>
      </w:pPr>
      <w:r w:rsidRPr="00AD5635">
        <w:rPr>
          <w:b/>
          <w:bCs/>
          <w:color w:val="000000" w:themeColor="text1"/>
          <w:sz w:val="24"/>
          <w:szCs w:val="24"/>
        </w:rPr>
        <w:t>Investment-Grade Balance Sheet:</w:t>
      </w:r>
      <w:r w:rsidRPr="00AD5635">
        <w:rPr>
          <w:color w:val="000000" w:themeColor="text1"/>
          <w:sz w:val="24"/>
          <w:szCs w:val="24"/>
        </w:rPr>
        <w:t> The company maintains an investment-grade credit rating (BBB), ensuring access to affordable debt financing.</w:t>
      </w:r>
    </w:p>
    <w:p w14:paraId="61084AB0" w14:textId="77777777" w:rsidR="00232CC3" w:rsidRPr="00AD5635" w:rsidRDefault="00232CC3" w:rsidP="00232CC3">
      <w:pPr>
        <w:rPr>
          <w:color w:val="000000" w:themeColor="text1"/>
          <w:sz w:val="24"/>
          <w:szCs w:val="24"/>
        </w:rPr>
      </w:pPr>
      <w:r w:rsidRPr="00AD5635">
        <w:rPr>
          <w:b/>
          <w:bCs/>
          <w:color w:val="000000" w:themeColor="text1"/>
          <w:sz w:val="24"/>
          <w:szCs w:val="24"/>
        </w:rPr>
        <w:t>Potential Threats:</w:t>
      </w:r>
    </w:p>
    <w:p w14:paraId="16261C14"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Inflationary Pressures:</w:t>
      </w:r>
      <w:r w:rsidRPr="00AD5635">
        <w:rPr>
          <w:color w:val="000000" w:themeColor="text1"/>
          <w:sz w:val="24"/>
          <w:szCs w:val="24"/>
        </w:rPr>
        <w:t> The report acknowledges significant input cost inflation, including energy, labour, and food costs, which could erode margins.</w:t>
      </w:r>
    </w:p>
    <w:p w14:paraId="4F0FF272"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UK Economic Uncertainty:</w:t>
      </w:r>
      <w:r w:rsidRPr="00AD5635">
        <w:rPr>
          <w:color w:val="000000" w:themeColor="text1"/>
          <w:sz w:val="24"/>
          <w:szCs w:val="24"/>
        </w:rPr>
        <w:t> A potential recession or changes in consumer spending patterns could impact travel demand.</w:t>
      </w:r>
    </w:p>
    <w:p w14:paraId="31D4EEAF"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Slowing Growth in Germany:</w:t>
      </w:r>
      <w:r w:rsidRPr="00AD5635">
        <w:rPr>
          <w:color w:val="000000" w:themeColor="text1"/>
          <w:sz w:val="24"/>
          <w:szCs w:val="24"/>
        </w:rPr>
        <w:t> The German expansion is loss-making and could take longer than anticipated to become profitable.</w:t>
      </w:r>
    </w:p>
    <w:p w14:paraId="50D57F4C" w14:textId="77777777" w:rsidR="00232CC3" w:rsidRPr="00AD5635" w:rsidRDefault="00232CC3">
      <w:pPr>
        <w:numPr>
          <w:ilvl w:val="0"/>
          <w:numId w:val="4"/>
        </w:numPr>
        <w:rPr>
          <w:color w:val="000000" w:themeColor="text1"/>
          <w:sz w:val="24"/>
          <w:szCs w:val="24"/>
        </w:rPr>
      </w:pPr>
      <w:r w:rsidRPr="00AD5635">
        <w:rPr>
          <w:b/>
          <w:bCs/>
          <w:color w:val="000000" w:themeColor="text1"/>
          <w:sz w:val="24"/>
          <w:szCs w:val="24"/>
        </w:rPr>
        <w:t>Capital Intensity:</w:t>
      </w:r>
      <w:r w:rsidRPr="00AD5635">
        <w:rPr>
          <w:color w:val="000000" w:themeColor="text1"/>
          <w:sz w:val="24"/>
          <w:szCs w:val="24"/>
        </w:rPr>
        <w:t> The "investing to win" strategy requires significant ongoing capital expenditure, which could pressure cash flow if returns are not realised.</w:t>
      </w:r>
    </w:p>
    <w:p w14:paraId="7AC127CC" w14:textId="77777777" w:rsidR="0074471B" w:rsidRPr="00AD5635" w:rsidRDefault="0074471B" w:rsidP="0074471B">
      <w:pPr>
        <w:rPr>
          <w:color w:val="000000" w:themeColor="text1"/>
          <w:sz w:val="24"/>
          <w:szCs w:val="24"/>
        </w:rPr>
      </w:pPr>
    </w:p>
    <w:p w14:paraId="0772C793" w14:textId="77777777" w:rsidR="0074471B" w:rsidRPr="00AD5635" w:rsidRDefault="0074471B" w:rsidP="0074471B">
      <w:pPr>
        <w:rPr>
          <w:color w:val="000000" w:themeColor="text1"/>
          <w:sz w:val="24"/>
          <w:szCs w:val="24"/>
        </w:rPr>
      </w:pPr>
    </w:p>
    <w:p w14:paraId="2AEA9783" w14:textId="77777777" w:rsidR="0074471B" w:rsidRPr="00AD5635" w:rsidRDefault="0074471B" w:rsidP="0074471B">
      <w:pPr>
        <w:rPr>
          <w:color w:val="000000" w:themeColor="text1"/>
          <w:sz w:val="24"/>
          <w:szCs w:val="24"/>
        </w:rPr>
      </w:pPr>
    </w:p>
    <w:p w14:paraId="29816AA4" w14:textId="77777777" w:rsidR="00232CC3" w:rsidRPr="00AD5635" w:rsidRDefault="00232CC3" w:rsidP="00232CC3">
      <w:pPr>
        <w:rPr>
          <w:b/>
          <w:bCs/>
          <w:color w:val="000000" w:themeColor="text1"/>
          <w:sz w:val="24"/>
          <w:szCs w:val="24"/>
        </w:rPr>
      </w:pPr>
      <w:r w:rsidRPr="00AD5635">
        <w:rPr>
          <w:b/>
          <w:bCs/>
          <w:color w:val="000000" w:themeColor="text1"/>
          <w:sz w:val="24"/>
          <w:szCs w:val="24"/>
        </w:rPr>
        <w:t>1.4 Liquidity Ratio Benchmarking</w:t>
      </w:r>
    </w:p>
    <w:p w14:paraId="64E4DBDC" w14:textId="77777777" w:rsidR="00232CC3" w:rsidRPr="00AD5635" w:rsidRDefault="00232CC3" w:rsidP="00232CC3">
      <w:pPr>
        <w:rPr>
          <w:color w:val="000000" w:themeColor="text1"/>
          <w:sz w:val="24"/>
          <w:szCs w:val="24"/>
        </w:rPr>
      </w:pPr>
      <w:r w:rsidRPr="00AD5635">
        <w:rPr>
          <w:color w:val="000000" w:themeColor="text1"/>
          <w:sz w:val="24"/>
          <w:szCs w:val="24"/>
        </w:rPr>
        <w:lastRenderedPageBreak/>
        <w:t>To assess Whitbread's liquidity position relative to its peers, its current and quick ratios have been benchmarked against the mid-scale and economy European hotel industry average.</w:t>
      </w:r>
    </w:p>
    <w:tbl>
      <w:tblPr>
        <w:tblW w:w="0" w:type="auto"/>
        <w:tblCellMar>
          <w:top w:w="15" w:type="dxa"/>
          <w:left w:w="15" w:type="dxa"/>
          <w:bottom w:w="15" w:type="dxa"/>
          <w:right w:w="15" w:type="dxa"/>
        </w:tblCellMar>
        <w:tblLook w:val="04A0" w:firstRow="1" w:lastRow="0" w:firstColumn="1" w:lastColumn="0" w:noHBand="0" w:noVBand="1"/>
      </w:tblPr>
      <w:tblGrid>
        <w:gridCol w:w="1623"/>
        <w:gridCol w:w="2519"/>
        <w:gridCol w:w="2191"/>
        <w:gridCol w:w="1385"/>
      </w:tblGrid>
      <w:tr w:rsidR="00232CC3" w:rsidRPr="00AD5635" w14:paraId="7A97F87B" w14:textId="77777777">
        <w:trPr>
          <w:tblHeader/>
        </w:trPr>
        <w:tc>
          <w:tcPr>
            <w:tcW w:w="0" w:type="auto"/>
            <w:tcBorders>
              <w:top w:val="nil"/>
            </w:tcBorders>
            <w:tcMar>
              <w:top w:w="150" w:type="dxa"/>
              <w:left w:w="0" w:type="dxa"/>
              <w:bottom w:w="150" w:type="dxa"/>
              <w:right w:w="240" w:type="dxa"/>
            </w:tcMar>
            <w:vAlign w:val="center"/>
            <w:hideMark/>
          </w:tcPr>
          <w:p w14:paraId="3AD36F4C" w14:textId="77777777" w:rsidR="00232CC3" w:rsidRPr="00AD5635" w:rsidRDefault="00232CC3" w:rsidP="00232CC3">
            <w:pPr>
              <w:rPr>
                <w:color w:val="000000" w:themeColor="text1"/>
                <w:sz w:val="24"/>
                <w:szCs w:val="24"/>
              </w:rPr>
            </w:pPr>
            <w:r w:rsidRPr="00AD5635">
              <w:rPr>
                <w:color w:val="000000" w:themeColor="text1"/>
                <w:sz w:val="24"/>
                <w:szCs w:val="24"/>
              </w:rPr>
              <w:t>Metric</w:t>
            </w:r>
          </w:p>
        </w:tc>
        <w:tc>
          <w:tcPr>
            <w:tcW w:w="0" w:type="auto"/>
            <w:tcBorders>
              <w:top w:val="nil"/>
            </w:tcBorders>
            <w:tcMar>
              <w:top w:w="150" w:type="dxa"/>
              <w:left w:w="240" w:type="dxa"/>
              <w:bottom w:w="150" w:type="dxa"/>
              <w:right w:w="240" w:type="dxa"/>
            </w:tcMar>
            <w:vAlign w:val="center"/>
            <w:hideMark/>
          </w:tcPr>
          <w:p w14:paraId="5C61916C" w14:textId="77777777" w:rsidR="00232CC3" w:rsidRPr="00AD5635" w:rsidRDefault="00232CC3" w:rsidP="00232CC3">
            <w:pPr>
              <w:rPr>
                <w:color w:val="000000" w:themeColor="text1"/>
                <w:sz w:val="24"/>
                <w:szCs w:val="24"/>
              </w:rPr>
            </w:pPr>
            <w:r w:rsidRPr="00AD5635">
              <w:rPr>
                <w:color w:val="000000" w:themeColor="text1"/>
                <w:sz w:val="24"/>
                <w:szCs w:val="24"/>
              </w:rPr>
              <w:t>Whitbread (FY2024)</w:t>
            </w:r>
          </w:p>
        </w:tc>
        <w:tc>
          <w:tcPr>
            <w:tcW w:w="0" w:type="auto"/>
            <w:tcBorders>
              <w:top w:val="nil"/>
            </w:tcBorders>
            <w:tcMar>
              <w:top w:w="150" w:type="dxa"/>
              <w:left w:w="240" w:type="dxa"/>
              <w:bottom w:w="150" w:type="dxa"/>
              <w:right w:w="240" w:type="dxa"/>
            </w:tcMar>
            <w:vAlign w:val="center"/>
            <w:hideMark/>
          </w:tcPr>
          <w:p w14:paraId="2614BBC5" w14:textId="77777777" w:rsidR="00232CC3" w:rsidRPr="00AD5635" w:rsidRDefault="00232CC3" w:rsidP="00232CC3">
            <w:pPr>
              <w:rPr>
                <w:color w:val="000000" w:themeColor="text1"/>
                <w:sz w:val="24"/>
                <w:szCs w:val="24"/>
              </w:rPr>
            </w:pPr>
            <w:r w:rsidRPr="00AD5635">
              <w:rPr>
                <w:color w:val="000000" w:themeColor="text1"/>
                <w:sz w:val="24"/>
                <w:szCs w:val="24"/>
              </w:rPr>
              <w:t>Industry Average</w:t>
            </w:r>
          </w:p>
        </w:tc>
        <w:tc>
          <w:tcPr>
            <w:tcW w:w="0" w:type="auto"/>
            <w:tcBorders>
              <w:top w:val="nil"/>
            </w:tcBorders>
            <w:tcMar>
              <w:top w:w="150" w:type="dxa"/>
              <w:left w:w="240" w:type="dxa"/>
              <w:bottom w:w="150" w:type="dxa"/>
              <w:right w:w="240" w:type="dxa"/>
            </w:tcMar>
            <w:vAlign w:val="center"/>
            <w:hideMark/>
          </w:tcPr>
          <w:p w14:paraId="04743EC0" w14:textId="77777777" w:rsidR="00232CC3" w:rsidRPr="00AD5635" w:rsidRDefault="00232CC3" w:rsidP="00232CC3">
            <w:pPr>
              <w:rPr>
                <w:color w:val="000000" w:themeColor="text1"/>
                <w:sz w:val="24"/>
                <w:szCs w:val="24"/>
              </w:rPr>
            </w:pPr>
            <w:r w:rsidRPr="00AD5635">
              <w:rPr>
                <w:color w:val="000000" w:themeColor="text1"/>
                <w:sz w:val="24"/>
                <w:szCs w:val="24"/>
              </w:rPr>
              <w:t>Variance</w:t>
            </w:r>
          </w:p>
        </w:tc>
      </w:tr>
      <w:tr w:rsidR="00232CC3" w:rsidRPr="00AD5635" w14:paraId="3AFA501F" w14:textId="77777777">
        <w:tc>
          <w:tcPr>
            <w:tcW w:w="0" w:type="auto"/>
            <w:tcMar>
              <w:top w:w="150" w:type="dxa"/>
              <w:left w:w="0" w:type="dxa"/>
              <w:bottom w:w="150" w:type="dxa"/>
              <w:right w:w="240" w:type="dxa"/>
            </w:tcMar>
            <w:vAlign w:val="center"/>
            <w:hideMark/>
          </w:tcPr>
          <w:p w14:paraId="33247162" w14:textId="77777777" w:rsidR="00232CC3" w:rsidRPr="00AD5635" w:rsidRDefault="00232CC3" w:rsidP="00232CC3">
            <w:pPr>
              <w:rPr>
                <w:color w:val="000000" w:themeColor="text1"/>
                <w:sz w:val="24"/>
                <w:szCs w:val="24"/>
              </w:rPr>
            </w:pPr>
            <w:r w:rsidRPr="00AD5635">
              <w:rPr>
                <w:color w:val="000000" w:themeColor="text1"/>
                <w:sz w:val="24"/>
                <w:szCs w:val="24"/>
              </w:rPr>
              <w:t>Current Ratio</w:t>
            </w:r>
          </w:p>
        </w:tc>
        <w:tc>
          <w:tcPr>
            <w:tcW w:w="0" w:type="auto"/>
            <w:tcMar>
              <w:top w:w="150" w:type="dxa"/>
              <w:left w:w="240" w:type="dxa"/>
              <w:bottom w:w="150" w:type="dxa"/>
              <w:right w:w="240" w:type="dxa"/>
            </w:tcMar>
            <w:vAlign w:val="center"/>
            <w:hideMark/>
          </w:tcPr>
          <w:p w14:paraId="181E8942" w14:textId="77777777" w:rsidR="00232CC3" w:rsidRPr="00AD5635" w:rsidRDefault="00232CC3" w:rsidP="00232CC3">
            <w:pPr>
              <w:rPr>
                <w:color w:val="000000" w:themeColor="text1"/>
                <w:sz w:val="24"/>
                <w:szCs w:val="24"/>
              </w:rPr>
            </w:pPr>
            <w:r w:rsidRPr="00AD5635">
              <w:rPr>
                <w:color w:val="000000" w:themeColor="text1"/>
                <w:sz w:val="24"/>
                <w:szCs w:val="24"/>
              </w:rPr>
              <w:t>1.0x</w:t>
            </w:r>
          </w:p>
        </w:tc>
        <w:tc>
          <w:tcPr>
            <w:tcW w:w="0" w:type="auto"/>
            <w:tcMar>
              <w:top w:w="150" w:type="dxa"/>
              <w:left w:w="240" w:type="dxa"/>
              <w:bottom w:w="150" w:type="dxa"/>
              <w:right w:w="240" w:type="dxa"/>
            </w:tcMar>
            <w:vAlign w:val="center"/>
            <w:hideMark/>
          </w:tcPr>
          <w:p w14:paraId="6684557B" w14:textId="77777777" w:rsidR="00232CC3" w:rsidRPr="00AD5635" w:rsidRDefault="00232CC3" w:rsidP="00232CC3">
            <w:pPr>
              <w:rPr>
                <w:color w:val="000000" w:themeColor="text1"/>
                <w:sz w:val="24"/>
                <w:szCs w:val="24"/>
              </w:rPr>
            </w:pPr>
            <w:r w:rsidRPr="00AD5635">
              <w:rPr>
                <w:color w:val="000000" w:themeColor="text1"/>
                <w:sz w:val="24"/>
                <w:szCs w:val="24"/>
              </w:rPr>
              <w:t>1.1x</w:t>
            </w:r>
          </w:p>
        </w:tc>
        <w:tc>
          <w:tcPr>
            <w:tcW w:w="0" w:type="auto"/>
            <w:tcMar>
              <w:top w:w="150" w:type="dxa"/>
              <w:left w:w="240" w:type="dxa"/>
              <w:bottom w:w="150" w:type="dxa"/>
              <w:right w:w="0" w:type="dxa"/>
            </w:tcMar>
            <w:vAlign w:val="center"/>
            <w:hideMark/>
          </w:tcPr>
          <w:p w14:paraId="7DD04BD6" w14:textId="77777777" w:rsidR="00232CC3" w:rsidRPr="00AD5635" w:rsidRDefault="00232CC3" w:rsidP="00232CC3">
            <w:pPr>
              <w:rPr>
                <w:color w:val="000000" w:themeColor="text1"/>
                <w:sz w:val="24"/>
                <w:szCs w:val="24"/>
              </w:rPr>
            </w:pPr>
            <w:r w:rsidRPr="00AD5635">
              <w:rPr>
                <w:color w:val="000000" w:themeColor="text1"/>
                <w:sz w:val="24"/>
                <w:szCs w:val="24"/>
              </w:rPr>
              <w:t>-0.1x</w:t>
            </w:r>
          </w:p>
        </w:tc>
      </w:tr>
      <w:tr w:rsidR="00232CC3" w:rsidRPr="00AD5635" w14:paraId="24A1BD13" w14:textId="77777777">
        <w:tc>
          <w:tcPr>
            <w:tcW w:w="0" w:type="auto"/>
            <w:tcMar>
              <w:top w:w="150" w:type="dxa"/>
              <w:left w:w="0" w:type="dxa"/>
              <w:bottom w:w="150" w:type="dxa"/>
              <w:right w:w="240" w:type="dxa"/>
            </w:tcMar>
            <w:vAlign w:val="center"/>
            <w:hideMark/>
          </w:tcPr>
          <w:p w14:paraId="2FE08703" w14:textId="77777777" w:rsidR="00232CC3" w:rsidRPr="00AD5635" w:rsidRDefault="00232CC3" w:rsidP="00232CC3">
            <w:pPr>
              <w:rPr>
                <w:color w:val="000000" w:themeColor="text1"/>
                <w:sz w:val="24"/>
                <w:szCs w:val="24"/>
              </w:rPr>
            </w:pPr>
            <w:r w:rsidRPr="00AD5635">
              <w:rPr>
                <w:color w:val="000000" w:themeColor="text1"/>
                <w:sz w:val="24"/>
                <w:szCs w:val="24"/>
              </w:rPr>
              <w:t>Quick Ratio</w:t>
            </w:r>
          </w:p>
        </w:tc>
        <w:tc>
          <w:tcPr>
            <w:tcW w:w="0" w:type="auto"/>
            <w:tcMar>
              <w:top w:w="150" w:type="dxa"/>
              <w:left w:w="240" w:type="dxa"/>
              <w:bottom w:w="150" w:type="dxa"/>
              <w:right w:w="240" w:type="dxa"/>
            </w:tcMar>
            <w:vAlign w:val="center"/>
            <w:hideMark/>
          </w:tcPr>
          <w:p w14:paraId="53A83815" w14:textId="77777777" w:rsidR="00232CC3" w:rsidRPr="00AD5635" w:rsidRDefault="00232CC3" w:rsidP="00232CC3">
            <w:pPr>
              <w:rPr>
                <w:color w:val="000000" w:themeColor="text1"/>
                <w:sz w:val="24"/>
                <w:szCs w:val="24"/>
              </w:rPr>
            </w:pPr>
            <w:r w:rsidRPr="00AD5635">
              <w:rPr>
                <w:color w:val="000000" w:themeColor="text1"/>
                <w:sz w:val="24"/>
                <w:szCs w:val="24"/>
              </w:rPr>
              <w:t>0.9x</w:t>
            </w:r>
          </w:p>
        </w:tc>
        <w:tc>
          <w:tcPr>
            <w:tcW w:w="0" w:type="auto"/>
            <w:tcMar>
              <w:top w:w="150" w:type="dxa"/>
              <w:left w:w="240" w:type="dxa"/>
              <w:bottom w:w="150" w:type="dxa"/>
              <w:right w:w="240" w:type="dxa"/>
            </w:tcMar>
            <w:vAlign w:val="center"/>
            <w:hideMark/>
          </w:tcPr>
          <w:p w14:paraId="777C6E18" w14:textId="77777777" w:rsidR="00232CC3" w:rsidRPr="00AD5635" w:rsidRDefault="00232CC3" w:rsidP="00232CC3">
            <w:pPr>
              <w:rPr>
                <w:color w:val="000000" w:themeColor="text1"/>
                <w:sz w:val="24"/>
                <w:szCs w:val="24"/>
              </w:rPr>
            </w:pPr>
            <w:r w:rsidRPr="00AD5635">
              <w:rPr>
                <w:color w:val="000000" w:themeColor="text1"/>
                <w:sz w:val="24"/>
                <w:szCs w:val="24"/>
              </w:rPr>
              <w:t>0.9x</w:t>
            </w:r>
          </w:p>
        </w:tc>
        <w:tc>
          <w:tcPr>
            <w:tcW w:w="0" w:type="auto"/>
            <w:tcMar>
              <w:top w:w="150" w:type="dxa"/>
              <w:left w:w="240" w:type="dxa"/>
              <w:bottom w:w="150" w:type="dxa"/>
              <w:right w:w="0" w:type="dxa"/>
            </w:tcMar>
            <w:vAlign w:val="center"/>
            <w:hideMark/>
          </w:tcPr>
          <w:p w14:paraId="7B988135" w14:textId="77777777" w:rsidR="00232CC3" w:rsidRPr="00AD5635" w:rsidRDefault="00232CC3" w:rsidP="00232CC3">
            <w:pPr>
              <w:rPr>
                <w:color w:val="000000" w:themeColor="text1"/>
                <w:sz w:val="24"/>
                <w:szCs w:val="24"/>
              </w:rPr>
            </w:pPr>
            <w:r w:rsidRPr="00AD5635">
              <w:rPr>
                <w:color w:val="000000" w:themeColor="text1"/>
                <w:sz w:val="24"/>
                <w:szCs w:val="24"/>
              </w:rPr>
              <w:t>—</w:t>
            </w:r>
          </w:p>
        </w:tc>
      </w:tr>
    </w:tbl>
    <w:p w14:paraId="70C9F0F9" w14:textId="77777777" w:rsidR="00232CC3" w:rsidRPr="00AD5635" w:rsidRDefault="00232CC3" w:rsidP="00232CC3">
      <w:pPr>
        <w:rPr>
          <w:color w:val="000000" w:themeColor="text1"/>
          <w:sz w:val="24"/>
          <w:szCs w:val="24"/>
        </w:rPr>
      </w:pPr>
      <w:r w:rsidRPr="00AD5635">
        <w:rPr>
          <w:color w:val="000000" w:themeColor="text1"/>
          <w:sz w:val="24"/>
          <w:szCs w:val="24"/>
        </w:rPr>
        <w:t>Whitbread's liquidity ratios are broadly in line with the industry average. The current ratio is slightly below the industry benchmark at 1.0x, while its quick ratio aligns with the sector average. The significant cash accumulation during the pandemic has normalized, positioning Whitbread competitively within the sector.</w:t>
      </w:r>
    </w:p>
    <w:p w14:paraId="0E2E66E3" w14:textId="26FB7830" w:rsidR="00232CC3" w:rsidRPr="00AD5635" w:rsidRDefault="00232CC3" w:rsidP="00232CC3">
      <w:pPr>
        <w:rPr>
          <w:color w:val="000000" w:themeColor="text1"/>
          <w:sz w:val="24"/>
          <w:szCs w:val="24"/>
        </w:rPr>
      </w:pPr>
    </w:p>
    <w:p w14:paraId="30704D00" w14:textId="77777777" w:rsidR="00540CAC" w:rsidRPr="00AD5635" w:rsidRDefault="00540CAC" w:rsidP="00232CC3">
      <w:pPr>
        <w:rPr>
          <w:color w:val="000000" w:themeColor="text1"/>
          <w:sz w:val="24"/>
          <w:szCs w:val="24"/>
        </w:rPr>
      </w:pPr>
    </w:p>
    <w:p w14:paraId="38BA8ECF" w14:textId="77777777" w:rsidR="00540CAC" w:rsidRPr="00AD5635" w:rsidRDefault="00540CAC" w:rsidP="00232CC3">
      <w:pPr>
        <w:rPr>
          <w:color w:val="000000" w:themeColor="text1"/>
          <w:sz w:val="24"/>
          <w:szCs w:val="24"/>
        </w:rPr>
      </w:pPr>
    </w:p>
    <w:p w14:paraId="312ED76C" w14:textId="77777777" w:rsidR="00540CAC" w:rsidRPr="00AD5635" w:rsidRDefault="00540CAC" w:rsidP="00232CC3">
      <w:pPr>
        <w:rPr>
          <w:color w:val="000000" w:themeColor="text1"/>
          <w:sz w:val="24"/>
          <w:szCs w:val="24"/>
        </w:rPr>
      </w:pPr>
    </w:p>
    <w:p w14:paraId="5E686A9A" w14:textId="77777777" w:rsidR="00540CAC" w:rsidRPr="00AD5635" w:rsidRDefault="00540CAC" w:rsidP="00232CC3">
      <w:pPr>
        <w:rPr>
          <w:color w:val="000000" w:themeColor="text1"/>
          <w:sz w:val="24"/>
          <w:szCs w:val="24"/>
        </w:rPr>
      </w:pPr>
    </w:p>
    <w:p w14:paraId="188684FD" w14:textId="77777777" w:rsidR="00540CAC" w:rsidRPr="00AD5635" w:rsidRDefault="00540CAC" w:rsidP="00232CC3">
      <w:pPr>
        <w:rPr>
          <w:color w:val="000000" w:themeColor="text1"/>
          <w:sz w:val="24"/>
          <w:szCs w:val="24"/>
        </w:rPr>
      </w:pPr>
    </w:p>
    <w:p w14:paraId="0D3A5080" w14:textId="77777777" w:rsidR="00540CAC" w:rsidRPr="00AD5635" w:rsidRDefault="00540CAC" w:rsidP="00232CC3">
      <w:pPr>
        <w:rPr>
          <w:color w:val="000000" w:themeColor="text1"/>
          <w:sz w:val="24"/>
          <w:szCs w:val="24"/>
        </w:rPr>
      </w:pPr>
    </w:p>
    <w:p w14:paraId="543630C3" w14:textId="77777777" w:rsidR="00540CAC" w:rsidRPr="00AD5635" w:rsidRDefault="00540CAC" w:rsidP="00232CC3">
      <w:pPr>
        <w:rPr>
          <w:color w:val="000000" w:themeColor="text1"/>
          <w:sz w:val="24"/>
          <w:szCs w:val="24"/>
        </w:rPr>
      </w:pPr>
    </w:p>
    <w:p w14:paraId="2ADA3F12" w14:textId="77777777" w:rsidR="00540CAC" w:rsidRPr="00AD5635" w:rsidRDefault="00540CAC" w:rsidP="00232CC3">
      <w:pPr>
        <w:rPr>
          <w:color w:val="000000" w:themeColor="text1"/>
          <w:sz w:val="24"/>
          <w:szCs w:val="24"/>
        </w:rPr>
      </w:pPr>
    </w:p>
    <w:p w14:paraId="02E3CAE2" w14:textId="77777777" w:rsidR="00540CAC" w:rsidRPr="00AD5635" w:rsidRDefault="00540CAC" w:rsidP="00232CC3">
      <w:pPr>
        <w:rPr>
          <w:color w:val="000000" w:themeColor="text1"/>
          <w:sz w:val="24"/>
          <w:szCs w:val="24"/>
        </w:rPr>
      </w:pPr>
    </w:p>
    <w:p w14:paraId="0BDA0315" w14:textId="77777777" w:rsidR="00540CAC" w:rsidRPr="00AD5635" w:rsidRDefault="00540CAC" w:rsidP="00232CC3">
      <w:pPr>
        <w:rPr>
          <w:color w:val="000000" w:themeColor="text1"/>
          <w:sz w:val="24"/>
          <w:szCs w:val="24"/>
        </w:rPr>
      </w:pPr>
    </w:p>
    <w:p w14:paraId="48411AEE" w14:textId="77777777" w:rsidR="00540CAC" w:rsidRPr="00AD5635" w:rsidRDefault="00540CAC" w:rsidP="00232CC3">
      <w:pPr>
        <w:rPr>
          <w:color w:val="000000" w:themeColor="text1"/>
          <w:sz w:val="24"/>
          <w:szCs w:val="24"/>
        </w:rPr>
      </w:pPr>
    </w:p>
    <w:p w14:paraId="618B6F0A" w14:textId="77777777" w:rsidR="00540CAC" w:rsidRPr="00AD5635" w:rsidRDefault="00540CAC" w:rsidP="00232CC3">
      <w:pPr>
        <w:rPr>
          <w:color w:val="000000" w:themeColor="text1"/>
          <w:sz w:val="24"/>
          <w:szCs w:val="24"/>
        </w:rPr>
      </w:pPr>
    </w:p>
    <w:p w14:paraId="6A00E3BB" w14:textId="77777777" w:rsidR="00540CAC" w:rsidRPr="00AD5635" w:rsidRDefault="00540CAC" w:rsidP="00232CC3">
      <w:pPr>
        <w:rPr>
          <w:color w:val="000000" w:themeColor="text1"/>
          <w:sz w:val="24"/>
          <w:szCs w:val="24"/>
        </w:rPr>
      </w:pPr>
    </w:p>
    <w:p w14:paraId="4A01F49E" w14:textId="77777777" w:rsidR="00540CAC" w:rsidRPr="00AD5635" w:rsidRDefault="00540CAC" w:rsidP="00232CC3">
      <w:pPr>
        <w:rPr>
          <w:color w:val="000000" w:themeColor="text1"/>
          <w:sz w:val="24"/>
          <w:szCs w:val="24"/>
        </w:rPr>
      </w:pPr>
    </w:p>
    <w:p w14:paraId="7D25886A" w14:textId="77777777" w:rsidR="00540CAC" w:rsidRPr="00AD5635" w:rsidRDefault="00540CAC" w:rsidP="00232CC3">
      <w:pPr>
        <w:rPr>
          <w:color w:val="000000" w:themeColor="text1"/>
          <w:sz w:val="24"/>
          <w:szCs w:val="24"/>
        </w:rPr>
      </w:pPr>
    </w:p>
    <w:p w14:paraId="3680303C" w14:textId="6EC747DC" w:rsidR="00540CAC" w:rsidRPr="00AD5635" w:rsidRDefault="00540CAC" w:rsidP="00232CC3">
      <w:pPr>
        <w:rPr>
          <w:color w:val="000000" w:themeColor="text1"/>
          <w:sz w:val="24"/>
          <w:szCs w:val="24"/>
        </w:rPr>
      </w:pPr>
      <w:r w:rsidRPr="00AD5635">
        <w:rPr>
          <w:color w:val="000000" w:themeColor="text1"/>
          <w:sz w:val="24"/>
          <w:szCs w:val="24"/>
        </w:rPr>
        <w:br w:type="page"/>
      </w:r>
    </w:p>
    <w:p w14:paraId="252DD1A2" w14:textId="5F64541B" w:rsidR="00232CC3" w:rsidRPr="00AD5635" w:rsidRDefault="00232CC3" w:rsidP="00232CC3">
      <w:pPr>
        <w:rPr>
          <w:b/>
          <w:bCs/>
          <w:color w:val="000000" w:themeColor="text1"/>
          <w:sz w:val="24"/>
          <w:szCs w:val="24"/>
        </w:rPr>
      </w:pPr>
      <w:r w:rsidRPr="00AD5635">
        <w:rPr>
          <w:b/>
          <w:bCs/>
          <w:color w:val="000000" w:themeColor="text1"/>
          <w:sz w:val="24"/>
          <w:szCs w:val="24"/>
        </w:rPr>
        <w:lastRenderedPageBreak/>
        <w:t xml:space="preserve">2. Working Capital Management Analysis </w:t>
      </w:r>
    </w:p>
    <w:p w14:paraId="69CFEC0C" w14:textId="77777777" w:rsidR="00232CC3" w:rsidRPr="00AD5635" w:rsidRDefault="00232CC3" w:rsidP="00232CC3">
      <w:pPr>
        <w:rPr>
          <w:color w:val="000000" w:themeColor="text1"/>
          <w:sz w:val="24"/>
          <w:szCs w:val="24"/>
        </w:rPr>
      </w:pPr>
      <w:r w:rsidRPr="00AD5635">
        <w:rPr>
          <w:color w:val="000000" w:themeColor="text1"/>
          <w:sz w:val="24"/>
          <w:szCs w:val="24"/>
        </w:rPr>
        <w:t>Effective working capital management is crucial for liquidity and operational efficiency. This section analyses Whitbread's Cash Conversion Cycle (CCC), proposes strategies for improvement, and compares financing options.</w:t>
      </w:r>
    </w:p>
    <w:p w14:paraId="689F6B0A" w14:textId="77777777" w:rsidR="00232CC3" w:rsidRPr="00AD5635" w:rsidRDefault="00232CC3" w:rsidP="00232CC3">
      <w:pPr>
        <w:rPr>
          <w:b/>
          <w:bCs/>
          <w:color w:val="000000" w:themeColor="text1"/>
          <w:sz w:val="24"/>
          <w:szCs w:val="24"/>
        </w:rPr>
      </w:pPr>
      <w:r w:rsidRPr="00AD5635">
        <w:rPr>
          <w:b/>
          <w:bCs/>
          <w:color w:val="000000" w:themeColor="text1"/>
          <w:sz w:val="24"/>
          <w:szCs w:val="24"/>
        </w:rPr>
        <w:t>2.1 Assessment of the Cash Operating Cycle</w:t>
      </w:r>
    </w:p>
    <w:p w14:paraId="46DA40F0" w14:textId="77777777" w:rsidR="00232CC3" w:rsidRPr="00AD5635" w:rsidRDefault="00232CC3" w:rsidP="00232CC3">
      <w:pPr>
        <w:rPr>
          <w:color w:val="000000" w:themeColor="text1"/>
          <w:sz w:val="24"/>
          <w:szCs w:val="24"/>
        </w:rPr>
      </w:pPr>
      <w:r w:rsidRPr="00AD5635">
        <w:rPr>
          <w:color w:val="000000" w:themeColor="text1"/>
          <w:sz w:val="24"/>
          <w:szCs w:val="24"/>
        </w:rPr>
        <w:t>The Cash Conversion Cycle (CCC) measures the time it takes for a company to convert its investments in inventory and other resources into cash flows from sales.</w:t>
      </w:r>
    </w:p>
    <w:p w14:paraId="54567743" w14:textId="0BB43EBE" w:rsidR="00232CC3" w:rsidRDefault="00232CC3" w:rsidP="00232CC3">
      <w:pPr>
        <w:rPr>
          <w:b/>
          <w:bCs/>
          <w:color w:val="000000" w:themeColor="text1"/>
          <w:sz w:val="24"/>
          <w:szCs w:val="24"/>
        </w:rPr>
      </w:pPr>
      <w:r w:rsidRPr="00AD5635">
        <w:rPr>
          <w:b/>
          <w:bCs/>
          <w:color w:val="000000" w:themeColor="text1"/>
          <w:sz w:val="24"/>
          <w:szCs w:val="24"/>
        </w:rPr>
        <w:t xml:space="preserve">Table 8: Whitbread PLC Cash Conversion Cycle </w:t>
      </w:r>
    </w:p>
    <w:p w14:paraId="486333F3" w14:textId="77777777" w:rsidR="00FC05D7" w:rsidRPr="00AD5635" w:rsidRDefault="00FC05D7" w:rsidP="00232CC3">
      <w:pPr>
        <w:rPr>
          <w:color w:val="000000" w:themeColor="text1"/>
          <w:sz w:val="24"/>
          <w:szCs w:val="24"/>
        </w:rPr>
      </w:pPr>
    </w:p>
    <w:p w14:paraId="142A36DC" w14:textId="77777777" w:rsidR="00232CC3" w:rsidRPr="00AD5635" w:rsidRDefault="00232CC3" w:rsidP="00232CC3">
      <w:pPr>
        <w:rPr>
          <w:color w:val="000000" w:themeColor="text1"/>
          <w:sz w:val="24"/>
          <w:szCs w:val="24"/>
        </w:rPr>
      </w:pPr>
      <w:r w:rsidRPr="00AD5635">
        <w:rPr>
          <w:color w:val="000000" w:themeColor="text1"/>
          <w:sz w:val="24"/>
          <w:szCs w:val="24"/>
        </w:rPr>
        <w:t>The most striking observation is that Whitbread consistently maintains a </w:t>
      </w:r>
      <w:r w:rsidRPr="00AD5635">
        <w:rPr>
          <w:b/>
          <w:bCs/>
          <w:color w:val="000000" w:themeColor="text1"/>
          <w:sz w:val="24"/>
          <w:szCs w:val="24"/>
        </w:rPr>
        <w:t>negative CCC</w:t>
      </w:r>
      <w:r w:rsidRPr="00AD5635">
        <w:rPr>
          <w:color w:val="000000" w:themeColor="text1"/>
          <w:sz w:val="24"/>
          <w:szCs w:val="24"/>
        </w:rPr>
        <w:t>, which is a sign of highly efficient working capital management. This means the company is effectively being paid by its customers </w:t>
      </w:r>
      <w:r w:rsidRPr="00AD5635">
        <w:rPr>
          <w:i/>
          <w:iCs/>
          <w:color w:val="000000" w:themeColor="text1"/>
          <w:sz w:val="24"/>
          <w:szCs w:val="24"/>
        </w:rPr>
        <w:t>before</w:t>
      </w:r>
      <w:r w:rsidRPr="00AD5635">
        <w:rPr>
          <w:color w:val="000000" w:themeColor="text1"/>
          <w:sz w:val="24"/>
          <w:szCs w:val="24"/>
        </w:rPr>
        <w:t> it needs to pay its suppliers.</w:t>
      </w:r>
    </w:p>
    <w:p w14:paraId="32875084" w14:textId="77777777" w:rsidR="00232CC3" w:rsidRPr="00AD5635" w:rsidRDefault="00232CC3" w:rsidP="00232CC3">
      <w:pPr>
        <w:rPr>
          <w:color w:val="000000" w:themeColor="text1"/>
          <w:sz w:val="24"/>
          <w:szCs w:val="24"/>
        </w:rPr>
      </w:pPr>
      <w:r w:rsidRPr="00AD5635">
        <w:rPr>
          <w:color w:val="000000" w:themeColor="text1"/>
          <w:sz w:val="24"/>
          <w:szCs w:val="24"/>
        </w:rPr>
        <w:t>During the pandemic (FY2021), the CCC became significantly more negative (-111.3 days). This is a phenomenon common in the hospitality sector where customer deposits are taken in advance for bookings. As business ground to a halt, the company held large customer deposits (contract liabilities</w:t>
      </w:r>
      <w:proofErr w:type="gramStart"/>
      <w:r w:rsidRPr="00AD5635">
        <w:rPr>
          <w:color w:val="000000" w:themeColor="text1"/>
          <w:sz w:val="24"/>
          <w:szCs w:val="24"/>
        </w:rPr>
        <w:t>)</w:t>
      </w:r>
      <w:proofErr w:type="gramEnd"/>
      <w:r w:rsidRPr="00AD5635">
        <w:rPr>
          <w:color w:val="000000" w:themeColor="text1"/>
          <w:sz w:val="24"/>
          <w:szCs w:val="24"/>
        </w:rPr>
        <w:t xml:space="preserve"> but refunds were delayed, artificially extending the payable period.</w:t>
      </w:r>
    </w:p>
    <w:p w14:paraId="0C28B372" w14:textId="77777777" w:rsidR="00232CC3" w:rsidRPr="00AD5635" w:rsidRDefault="00232CC3" w:rsidP="00232CC3">
      <w:pPr>
        <w:rPr>
          <w:color w:val="000000" w:themeColor="text1"/>
          <w:sz w:val="24"/>
          <w:szCs w:val="24"/>
        </w:rPr>
      </w:pPr>
      <w:r w:rsidRPr="00AD5635">
        <w:rPr>
          <w:color w:val="000000" w:themeColor="text1"/>
          <w:sz w:val="24"/>
          <w:szCs w:val="24"/>
        </w:rPr>
        <w:t>The CCC has returned to a normalised and efficient negative range of approximately -75 to -97 days. Whitbread's ability to operate with a negative CCC provides a significant source of free financing and is a key competitive advantage.</w:t>
      </w:r>
    </w:p>
    <w:p w14:paraId="08CB4553" w14:textId="77777777" w:rsidR="002C5179" w:rsidRPr="00AD5635" w:rsidRDefault="00232CC3" w:rsidP="002C5179">
      <w:pPr>
        <w:rPr>
          <w:b/>
          <w:bCs/>
          <w:color w:val="000000" w:themeColor="text1"/>
          <w:sz w:val="24"/>
          <w:szCs w:val="24"/>
        </w:rPr>
      </w:pPr>
      <w:proofErr w:type="gramStart"/>
      <w:r w:rsidRPr="00AD5635">
        <w:rPr>
          <w:b/>
          <w:bCs/>
          <w:color w:val="000000" w:themeColor="text1"/>
          <w:sz w:val="24"/>
          <w:szCs w:val="24"/>
        </w:rPr>
        <w:t xml:space="preserve">2.2 </w:t>
      </w:r>
      <w:r w:rsidR="002C5179" w:rsidRPr="00AD5635">
        <w:rPr>
          <w:b/>
          <w:bCs/>
          <w:color w:val="000000" w:themeColor="text1"/>
          <w:sz w:val="24"/>
          <w:szCs w:val="24"/>
        </w:rPr>
        <w:t> Recommendations</w:t>
      </w:r>
      <w:proofErr w:type="gramEnd"/>
      <w:r w:rsidR="002C5179" w:rsidRPr="00AD5635">
        <w:rPr>
          <w:b/>
          <w:bCs/>
          <w:color w:val="000000" w:themeColor="text1"/>
          <w:sz w:val="24"/>
          <w:szCs w:val="24"/>
        </w:rPr>
        <w:t xml:space="preserve"> to Improve Liquidity Through Working Capital Reforms</w:t>
      </w:r>
    </w:p>
    <w:p w14:paraId="048D1DDC" w14:textId="792F493B" w:rsidR="00232CC3" w:rsidRPr="00AD5635" w:rsidRDefault="00232CC3" w:rsidP="00232CC3">
      <w:pPr>
        <w:rPr>
          <w:color w:val="000000" w:themeColor="text1"/>
          <w:sz w:val="24"/>
          <w:szCs w:val="24"/>
        </w:rPr>
      </w:pPr>
      <w:r w:rsidRPr="00AD5635">
        <w:rPr>
          <w:color w:val="000000" w:themeColor="text1"/>
          <w:sz w:val="24"/>
          <w:szCs w:val="24"/>
        </w:rPr>
        <w:t>Despite the positive CCC, the decline in the current and quick ratios in FY2024 suggests a need for proactive liquidity management. The following strategies could be implemented:</w:t>
      </w:r>
    </w:p>
    <w:p w14:paraId="02780061" w14:textId="77777777" w:rsidR="002C5179" w:rsidRPr="00AD5635" w:rsidRDefault="002C5179" w:rsidP="002C5179">
      <w:pPr>
        <w:rPr>
          <w:color w:val="000000" w:themeColor="text1"/>
          <w:sz w:val="24"/>
          <w:szCs w:val="24"/>
        </w:rPr>
      </w:pPr>
      <w:r w:rsidRPr="00AD5635">
        <w:rPr>
          <w:color w:val="000000" w:themeColor="text1"/>
          <w:sz w:val="24"/>
          <w:szCs w:val="24"/>
        </w:rPr>
        <w:t>1. Optimise Inventory Management</w:t>
      </w:r>
    </w:p>
    <w:p w14:paraId="50B33140" w14:textId="77777777" w:rsidR="002C5179" w:rsidRPr="00AD5635" w:rsidRDefault="002C5179" w:rsidP="002C5179">
      <w:pPr>
        <w:rPr>
          <w:color w:val="000000" w:themeColor="text1"/>
          <w:sz w:val="24"/>
          <w:szCs w:val="24"/>
        </w:rPr>
      </w:pPr>
      <w:r w:rsidRPr="00AD5635">
        <w:rPr>
          <w:color w:val="000000" w:themeColor="text1"/>
          <w:sz w:val="24"/>
          <w:szCs w:val="24"/>
        </w:rPr>
        <w:t>Current inventory days of 30.7 days could be further reduced through enhanced demand forecasting and supplier collaboration. By implementing just-in-time inventory systems for high-volume items, Whitbread could reduce stock holding without impacting service levels. The company's scale and supplier relationships provide significant bargaining power that could support more flexible delivery schedules.</w:t>
      </w:r>
    </w:p>
    <w:p w14:paraId="05753DF2" w14:textId="77777777" w:rsidR="002C5179" w:rsidRPr="00AD5635" w:rsidRDefault="002C5179" w:rsidP="002C5179">
      <w:pPr>
        <w:rPr>
          <w:color w:val="000000" w:themeColor="text1"/>
          <w:sz w:val="24"/>
          <w:szCs w:val="24"/>
        </w:rPr>
      </w:pPr>
      <w:r w:rsidRPr="00AD5635">
        <w:rPr>
          <w:color w:val="000000" w:themeColor="text1"/>
          <w:sz w:val="24"/>
          <w:szCs w:val="24"/>
        </w:rPr>
        <w:t>2. Enhance Receivables Collection</w:t>
      </w:r>
    </w:p>
    <w:p w14:paraId="7DD62149" w14:textId="77777777" w:rsidR="002C5179" w:rsidRPr="00AD5635" w:rsidRDefault="002C5179" w:rsidP="002C5179">
      <w:pPr>
        <w:rPr>
          <w:color w:val="000000" w:themeColor="text1"/>
          <w:sz w:val="24"/>
          <w:szCs w:val="24"/>
        </w:rPr>
      </w:pPr>
      <w:r w:rsidRPr="00AD5635">
        <w:rPr>
          <w:color w:val="000000" w:themeColor="text1"/>
          <w:sz w:val="24"/>
          <w:szCs w:val="24"/>
        </w:rPr>
        <w:t>While receivable days are already low at 6.2 days, further improvements could be achieved through increased use of payment automation and enhanced credit control procedures for corporate accounts. The company's Business Account and Business Booker programmes (Whitbread, 2024) provide opportunities to implement more efficient payment systems.</w:t>
      </w:r>
    </w:p>
    <w:p w14:paraId="1AC7EC73" w14:textId="77777777" w:rsidR="002C5179" w:rsidRPr="00AD5635" w:rsidRDefault="002C5179" w:rsidP="002C5179">
      <w:pPr>
        <w:rPr>
          <w:color w:val="000000" w:themeColor="text1"/>
          <w:sz w:val="24"/>
          <w:szCs w:val="24"/>
        </w:rPr>
      </w:pPr>
      <w:r w:rsidRPr="00AD5635">
        <w:rPr>
          <w:color w:val="000000" w:themeColor="text1"/>
          <w:sz w:val="24"/>
          <w:szCs w:val="24"/>
        </w:rPr>
        <w:lastRenderedPageBreak/>
        <w:t>3. Evaluate Payable Terms</w:t>
      </w:r>
    </w:p>
    <w:p w14:paraId="02C6C63B" w14:textId="77777777" w:rsidR="002C5179" w:rsidRPr="00AD5635" w:rsidRDefault="002C5179" w:rsidP="002C5179">
      <w:pPr>
        <w:rPr>
          <w:color w:val="000000" w:themeColor="text1"/>
          <w:sz w:val="24"/>
          <w:szCs w:val="24"/>
        </w:rPr>
      </w:pPr>
      <w:r w:rsidRPr="00AD5635">
        <w:rPr>
          <w:color w:val="000000" w:themeColor="text1"/>
          <w:sz w:val="24"/>
          <w:szCs w:val="24"/>
        </w:rPr>
        <w:t>While maintaining current payment terms of approximately 134 days is beneficial for cash flow, Whitbread must balance this against supplier relationships and potential ethical considerations. The company's "Force for Good" programme (Whitbread, 2024) emphasises responsible supplier relationships, so any extension of payment terms should be negotiated collaboratively with suppliers.</w:t>
      </w:r>
    </w:p>
    <w:p w14:paraId="1EAF7FBB" w14:textId="77777777" w:rsidR="002C5179" w:rsidRPr="00AD5635" w:rsidRDefault="002C5179" w:rsidP="002C5179">
      <w:pPr>
        <w:rPr>
          <w:color w:val="000000" w:themeColor="text1"/>
          <w:sz w:val="24"/>
          <w:szCs w:val="24"/>
        </w:rPr>
      </w:pPr>
      <w:r w:rsidRPr="00AD5635">
        <w:rPr>
          <w:color w:val="000000" w:themeColor="text1"/>
          <w:sz w:val="24"/>
          <w:szCs w:val="24"/>
        </w:rPr>
        <w:t>4. Leverage Technology</w:t>
      </w:r>
    </w:p>
    <w:p w14:paraId="3B7F0867" w14:textId="20CCC43A" w:rsidR="00355A38" w:rsidRPr="00AD5635" w:rsidRDefault="002C5179" w:rsidP="002C5179">
      <w:pPr>
        <w:rPr>
          <w:color w:val="000000" w:themeColor="text1"/>
          <w:sz w:val="24"/>
          <w:szCs w:val="24"/>
        </w:rPr>
      </w:pPr>
      <w:r w:rsidRPr="00AD5635">
        <w:rPr>
          <w:color w:val="000000" w:themeColor="text1"/>
          <w:sz w:val="24"/>
          <w:szCs w:val="24"/>
        </w:rPr>
        <w:t>Whitbread's investment in technology, including the new reservation system (Opera) and the upgrade of its hotel management system (Whitbread, 2024), provides opportunities for further working capital optimisation. Automated inventory management, integrated supplier portals, and real-time cash flow forecasting could all enhance working capital efficiency.</w:t>
      </w:r>
    </w:p>
    <w:p w14:paraId="66349CA4" w14:textId="77777777" w:rsidR="00232CC3" w:rsidRPr="00AD5635" w:rsidRDefault="00232CC3" w:rsidP="00232CC3">
      <w:pPr>
        <w:rPr>
          <w:b/>
          <w:bCs/>
          <w:color w:val="000000" w:themeColor="text1"/>
          <w:sz w:val="24"/>
          <w:szCs w:val="24"/>
        </w:rPr>
      </w:pPr>
      <w:r w:rsidRPr="00AD5635">
        <w:rPr>
          <w:b/>
          <w:bCs/>
          <w:color w:val="000000" w:themeColor="text1"/>
          <w:sz w:val="24"/>
          <w:szCs w:val="24"/>
        </w:rPr>
        <w:t>2.3 Comparison of Short-term vs. Long-term Financing Options</w:t>
      </w:r>
    </w:p>
    <w:p w14:paraId="772CCC10" w14:textId="59CE8BAD" w:rsidR="00073A6A" w:rsidRPr="00AD5635" w:rsidRDefault="00232CC3" w:rsidP="00232CC3">
      <w:pPr>
        <w:rPr>
          <w:color w:val="000000" w:themeColor="text1"/>
          <w:sz w:val="24"/>
          <w:szCs w:val="24"/>
        </w:rPr>
      </w:pPr>
      <w:r w:rsidRPr="00AD5635">
        <w:rPr>
          <w:color w:val="000000" w:themeColor="text1"/>
          <w:sz w:val="24"/>
          <w:szCs w:val="24"/>
        </w:rPr>
        <w:t>A critical consideration for the CFO is the mix of short-term and long-term financing.</w:t>
      </w:r>
    </w:p>
    <w:p w14:paraId="1493BBDA" w14:textId="77777777" w:rsidR="00355A38" w:rsidRPr="00AD5635" w:rsidRDefault="00355A38" w:rsidP="00232CC3">
      <w:pPr>
        <w:rPr>
          <w:color w:val="000000" w:themeColor="text1"/>
          <w:sz w:val="24"/>
          <w:szCs w:val="24"/>
        </w:rPr>
      </w:pPr>
    </w:p>
    <w:p w14:paraId="07050A8B" w14:textId="77777777" w:rsidR="002C5179" w:rsidRPr="00AD5635" w:rsidRDefault="002C5179" w:rsidP="002C5179">
      <w:pPr>
        <w:rPr>
          <w:b/>
          <w:bCs/>
          <w:color w:val="000000" w:themeColor="text1"/>
          <w:sz w:val="24"/>
          <w:szCs w:val="24"/>
        </w:rPr>
      </w:pPr>
      <w:r w:rsidRPr="00AD5635">
        <w:rPr>
          <w:b/>
          <w:bCs/>
          <w:color w:val="000000" w:themeColor="text1"/>
          <w:sz w:val="24"/>
          <w:szCs w:val="24"/>
        </w:rPr>
        <w:t>Short-Term Financing Options</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658"/>
        <w:gridCol w:w="2394"/>
        <w:gridCol w:w="2482"/>
        <w:gridCol w:w="2492"/>
      </w:tblGrid>
      <w:tr w:rsidR="00073A6A" w:rsidRPr="00AD5635" w14:paraId="124D4376" w14:textId="77777777" w:rsidTr="00AD5635">
        <w:trPr>
          <w:tblHeader/>
        </w:trPr>
        <w:tc>
          <w:tcPr>
            <w:tcW w:w="0" w:type="auto"/>
            <w:tcBorders>
              <w:top w:val="nil"/>
            </w:tcBorders>
            <w:shd w:val="clear" w:color="auto" w:fill="FFFFFF" w:themeFill="background1"/>
            <w:tcMar>
              <w:top w:w="150" w:type="dxa"/>
              <w:left w:w="0" w:type="dxa"/>
              <w:bottom w:w="150" w:type="dxa"/>
              <w:right w:w="240" w:type="dxa"/>
            </w:tcMar>
            <w:vAlign w:val="center"/>
            <w:hideMark/>
          </w:tcPr>
          <w:p w14:paraId="6FF2B9D2" w14:textId="77777777" w:rsidR="00073A6A" w:rsidRPr="00AD5635" w:rsidRDefault="00073A6A" w:rsidP="00073A6A">
            <w:pPr>
              <w:rPr>
                <w:color w:val="000000" w:themeColor="text1"/>
              </w:rPr>
            </w:pPr>
            <w:r w:rsidRPr="00AD5635">
              <w:rPr>
                <w:color w:val="000000" w:themeColor="text1"/>
              </w:rPr>
              <w:t>Option</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4DCFA58C" w14:textId="77777777" w:rsidR="00073A6A" w:rsidRPr="00AD5635" w:rsidRDefault="00073A6A" w:rsidP="00073A6A">
            <w:pPr>
              <w:rPr>
                <w:color w:val="000000" w:themeColor="text1"/>
              </w:rPr>
            </w:pPr>
            <w:r w:rsidRPr="00AD5635">
              <w:rPr>
                <w:color w:val="000000" w:themeColor="text1"/>
              </w:rPr>
              <w:t>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320EDA3B" w14:textId="77777777" w:rsidR="00073A6A" w:rsidRPr="00AD5635" w:rsidRDefault="00073A6A" w:rsidP="00073A6A">
            <w:pPr>
              <w:rPr>
                <w:color w:val="000000" w:themeColor="text1"/>
              </w:rPr>
            </w:pPr>
            <w:r w:rsidRPr="00AD5635">
              <w:rPr>
                <w:color w:val="000000" w:themeColor="text1"/>
              </w:rPr>
              <w:t>Disadvantages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7ED6D243" w14:textId="77777777" w:rsidR="00073A6A" w:rsidRPr="00AD5635" w:rsidRDefault="00073A6A" w:rsidP="00073A6A">
            <w:pPr>
              <w:rPr>
                <w:color w:val="000000" w:themeColor="text1"/>
              </w:rPr>
            </w:pPr>
            <w:r w:rsidRPr="00AD5635">
              <w:rPr>
                <w:color w:val="000000" w:themeColor="text1"/>
              </w:rPr>
              <w:t>Relevance to Whitbread</w:t>
            </w:r>
          </w:p>
        </w:tc>
      </w:tr>
      <w:tr w:rsidR="00073A6A" w:rsidRPr="00AD5635" w14:paraId="66108E63" w14:textId="77777777" w:rsidTr="00AD5635">
        <w:tc>
          <w:tcPr>
            <w:tcW w:w="0" w:type="auto"/>
            <w:shd w:val="clear" w:color="auto" w:fill="FFFFFF" w:themeFill="background1"/>
            <w:tcMar>
              <w:top w:w="150" w:type="dxa"/>
              <w:left w:w="0" w:type="dxa"/>
              <w:bottom w:w="150" w:type="dxa"/>
              <w:right w:w="240" w:type="dxa"/>
            </w:tcMar>
            <w:vAlign w:val="center"/>
            <w:hideMark/>
          </w:tcPr>
          <w:p w14:paraId="3921C7BB" w14:textId="77777777" w:rsidR="00073A6A" w:rsidRPr="00AD5635" w:rsidRDefault="00073A6A" w:rsidP="00073A6A">
            <w:pPr>
              <w:rPr>
                <w:color w:val="000000" w:themeColor="text1"/>
              </w:rPr>
            </w:pPr>
            <w:r w:rsidRPr="00AD5635">
              <w:rPr>
                <w:color w:val="000000" w:themeColor="text1"/>
              </w:rPr>
              <w:t>Overdraft Facilities</w:t>
            </w:r>
          </w:p>
        </w:tc>
        <w:tc>
          <w:tcPr>
            <w:tcW w:w="0" w:type="auto"/>
            <w:shd w:val="clear" w:color="auto" w:fill="FFFFFF" w:themeFill="background1"/>
            <w:tcMar>
              <w:top w:w="150" w:type="dxa"/>
              <w:left w:w="240" w:type="dxa"/>
              <w:bottom w:w="150" w:type="dxa"/>
              <w:right w:w="240" w:type="dxa"/>
            </w:tcMar>
            <w:vAlign w:val="center"/>
            <w:hideMark/>
          </w:tcPr>
          <w:p w14:paraId="5FF81DCF" w14:textId="77777777" w:rsidR="00073A6A" w:rsidRPr="00AD5635" w:rsidRDefault="00073A6A" w:rsidP="00073A6A">
            <w:pPr>
              <w:rPr>
                <w:color w:val="000000" w:themeColor="text1"/>
              </w:rPr>
            </w:pPr>
            <w:r w:rsidRPr="00AD5635">
              <w:rPr>
                <w:color w:val="000000" w:themeColor="text1"/>
              </w:rPr>
              <w:t>Flexible, readily available, lower commitment</w:t>
            </w:r>
          </w:p>
        </w:tc>
        <w:tc>
          <w:tcPr>
            <w:tcW w:w="0" w:type="auto"/>
            <w:shd w:val="clear" w:color="auto" w:fill="FFFFFF" w:themeFill="background1"/>
            <w:tcMar>
              <w:top w:w="150" w:type="dxa"/>
              <w:left w:w="240" w:type="dxa"/>
              <w:bottom w:w="150" w:type="dxa"/>
              <w:right w:w="240" w:type="dxa"/>
            </w:tcMar>
            <w:vAlign w:val="center"/>
            <w:hideMark/>
          </w:tcPr>
          <w:p w14:paraId="4C9C75F9" w14:textId="77777777" w:rsidR="00073A6A" w:rsidRPr="00AD5635" w:rsidRDefault="00073A6A" w:rsidP="00073A6A">
            <w:pPr>
              <w:rPr>
                <w:color w:val="000000" w:themeColor="text1"/>
              </w:rPr>
            </w:pPr>
            <w:r w:rsidRPr="00AD5635">
              <w:rPr>
                <w:color w:val="000000" w:themeColor="text1"/>
              </w:rPr>
              <w:t>Higher interest rates, variable cost</w:t>
            </w:r>
          </w:p>
        </w:tc>
        <w:tc>
          <w:tcPr>
            <w:tcW w:w="0" w:type="auto"/>
            <w:shd w:val="clear" w:color="auto" w:fill="FFFFFF" w:themeFill="background1"/>
            <w:tcMar>
              <w:top w:w="150" w:type="dxa"/>
              <w:left w:w="240" w:type="dxa"/>
              <w:bottom w:w="150" w:type="dxa"/>
              <w:right w:w="0" w:type="dxa"/>
            </w:tcMar>
            <w:vAlign w:val="center"/>
            <w:hideMark/>
          </w:tcPr>
          <w:p w14:paraId="2966C140" w14:textId="77777777" w:rsidR="00073A6A" w:rsidRPr="00AD5635" w:rsidRDefault="00073A6A" w:rsidP="00073A6A">
            <w:pPr>
              <w:rPr>
                <w:color w:val="000000" w:themeColor="text1"/>
              </w:rPr>
            </w:pPr>
            <w:r w:rsidRPr="00AD5635">
              <w:rPr>
                <w:color w:val="000000" w:themeColor="text1"/>
              </w:rPr>
              <w:t>Available but largely unused due to strong cash position</w:t>
            </w:r>
          </w:p>
        </w:tc>
      </w:tr>
      <w:tr w:rsidR="00073A6A" w:rsidRPr="00AD5635" w14:paraId="0F436FEE" w14:textId="77777777" w:rsidTr="00AD5635">
        <w:tc>
          <w:tcPr>
            <w:tcW w:w="0" w:type="auto"/>
            <w:shd w:val="clear" w:color="auto" w:fill="FFFFFF" w:themeFill="background1"/>
            <w:tcMar>
              <w:top w:w="150" w:type="dxa"/>
              <w:left w:w="0" w:type="dxa"/>
              <w:bottom w:w="150" w:type="dxa"/>
              <w:right w:w="240" w:type="dxa"/>
            </w:tcMar>
            <w:vAlign w:val="center"/>
            <w:hideMark/>
          </w:tcPr>
          <w:p w14:paraId="24335983" w14:textId="77777777" w:rsidR="00073A6A" w:rsidRPr="00AD5635" w:rsidRDefault="00073A6A" w:rsidP="00073A6A">
            <w:pPr>
              <w:rPr>
                <w:color w:val="000000" w:themeColor="text1"/>
              </w:rPr>
            </w:pPr>
            <w:r w:rsidRPr="00AD5635">
              <w:rPr>
                <w:color w:val="000000" w:themeColor="text1"/>
              </w:rPr>
              <w:t>Revolving Credit Facility</w:t>
            </w:r>
          </w:p>
        </w:tc>
        <w:tc>
          <w:tcPr>
            <w:tcW w:w="0" w:type="auto"/>
            <w:shd w:val="clear" w:color="auto" w:fill="FFFFFF" w:themeFill="background1"/>
            <w:tcMar>
              <w:top w:w="150" w:type="dxa"/>
              <w:left w:w="240" w:type="dxa"/>
              <w:bottom w:w="150" w:type="dxa"/>
              <w:right w:w="240" w:type="dxa"/>
            </w:tcMar>
            <w:vAlign w:val="center"/>
            <w:hideMark/>
          </w:tcPr>
          <w:p w14:paraId="60FDBF7E" w14:textId="77777777" w:rsidR="00073A6A" w:rsidRPr="00AD5635" w:rsidRDefault="00073A6A" w:rsidP="00073A6A">
            <w:pPr>
              <w:rPr>
                <w:color w:val="000000" w:themeColor="text1"/>
              </w:rPr>
            </w:pPr>
            <w:r w:rsidRPr="00AD5635">
              <w:rPr>
                <w:color w:val="000000" w:themeColor="text1"/>
              </w:rPr>
              <w:t>Committed funding, flexible drawdown</w:t>
            </w:r>
          </w:p>
        </w:tc>
        <w:tc>
          <w:tcPr>
            <w:tcW w:w="0" w:type="auto"/>
            <w:shd w:val="clear" w:color="auto" w:fill="FFFFFF" w:themeFill="background1"/>
            <w:tcMar>
              <w:top w:w="150" w:type="dxa"/>
              <w:left w:w="240" w:type="dxa"/>
              <w:bottom w:w="150" w:type="dxa"/>
              <w:right w:w="240" w:type="dxa"/>
            </w:tcMar>
            <w:vAlign w:val="center"/>
            <w:hideMark/>
          </w:tcPr>
          <w:p w14:paraId="01A83ADD" w14:textId="77777777" w:rsidR="00073A6A" w:rsidRPr="00AD5635" w:rsidRDefault="00073A6A" w:rsidP="00073A6A">
            <w:pPr>
              <w:rPr>
                <w:color w:val="000000" w:themeColor="text1"/>
              </w:rPr>
            </w:pPr>
            <w:r w:rsidRPr="00AD5635">
              <w:rPr>
                <w:color w:val="000000" w:themeColor="text1"/>
              </w:rPr>
              <w:t>Commitment fees, covenant requirements</w:t>
            </w:r>
          </w:p>
        </w:tc>
        <w:tc>
          <w:tcPr>
            <w:tcW w:w="0" w:type="auto"/>
            <w:shd w:val="clear" w:color="auto" w:fill="FFFFFF" w:themeFill="background1"/>
            <w:tcMar>
              <w:top w:w="150" w:type="dxa"/>
              <w:left w:w="240" w:type="dxa"/>
              <w:bottom w:w="150" w:type="dxa"/>
              <w:right w:w="0" w:type="dxa"/>
            </w:tcMar>
            <w:vAlign w:val="center"/>
            <w:hideMark/>
          </w:tcPr>
          <w:p w14:paraId="2DE6EDF4" w14:textId="77777777" w:rsidR="00073A6A" w:rsidRPr="00AD5635" w:rsidRDefault="00073A6A" w:rsidP="00073A6A">
            <w:pPr>
              <w:rPr>
                <w:color w:val="000000" w:themeColor="text1"/>
              </w:rPr>
            </w:pPr>
            <w:r w:rsidRPr="00AD5635">
              <w:rPr>
                <w:color w:val="000000" w:themeColor="text1"/>
              </w:rPr>
              <w:t>£775m facility available, currently undrawn (Whitbread, 2024)</w:t>
            </w:r>
          </w:p>
        </w:tc>
      </w:tr>
      <w:tr w:rsidR="00073A6A" w:rsidRPr="00AD5635" w14:paraId="55355E5F" w14:textId="77777777" w:rsidTr="00AD5635">
        <w:tc>
          <w:tcPr>
            <w:tcW w:w="0" w:type="auto"/>
            <w:shd w:val="clear" w:color="auto" w:fill="FFFFFF" w:themeFill="background1"/>
            <w:tcMar>
              <w:top w:w="150" w:type="dxa"/>
              <w:left w:w="0" w:type="dxa"/>
              <w:bottom w:w="150" w:type="dxa"/>
              <w:right w:w="240" w:type="dxa"/>
            </w:tcMar>
            <w:vAlign w:val="center"/>
            <w:hideMark/>
          </w:tcPr>
          <w:p w14:paraId="2929A49D" w14:textId="77777777" w:rsidR="00073A6A" w:rsidRPr="00AD5635" w:rsidRDefault="00073A6A" w:rsidP="00073A6A">
            <w:pPr>
              <w:rPr>
                <w:color w:val="000000" w:themeColor="text1"/>
              </w:rPr>
            </w:pPr>
            <w:r w:rsidRPr="00AD5635">
              <w:rPr>
                <w:color w:val="000000" w:themeColor="text1"/>
              </w:rPr>
              <w:t>Commercial Paper</w:t>
            </w:r>
          </w:p>
        </w:tc>
        <w:tc>
          <w:tcPr>
            <w:tcW w:w="0" w:type="auto"/>
            <w:shd w:val="clear" w:color="auto" w:fill="FFFFFF" w:themeFill="background1"/>
            <w:tcMar>
              <w:top w:w="150" w:type="dxa"/>
              <w:left w:w="240" w:type="dxa"/>
              <w:bottom w:w="150" w:type="dxa"/>
              <w:right w:w="240" w:type="dxa"/>
            </w:tcMar>
            <w:vAlign w:val="center"/>
            <w:hideMark/>
          </w:tcPr>
          <w:p w14:paraId="3D9CDE22" w14:textId="77777777" w:rsidR="00073A6A" w:rsidRPr="00AD5635" w:rsidRDefault="00073A6A" w:rsidP="00073A6A">
            <w:pPr>
              <w:rPr>
                <w:color w:val="000000" w:themeColor="text1"/>
              </w:rPr>
            </w:pPr>
            <w:r w:rsidRPr="00AD5635">
              <w:rPr>
                <w:color w:val="000000" w:themeColor="text1"/>
              </w:rPr>
              <w:t>Lower cost than bank debt</w:t>
            </w:r>
          </w:p>
        </w:tc>
        <w:tc>
          <w:tcPr>
            <w:tcW w:w="0" w:type="auto"/>
            <w:shd w:val="clear" w:color="auto" w:fill="FFFFFF" w:themeFill="background1"/>
            <w:tcMar>
              <w:top w:w="150" w:type="dxa"/>
              <w:left w:w="240" w:type="dxa"/>
              <w:bottom w:w="150" w:type="dxa"/>
              <w:right w:w="240" w:type="dxa"/>
            </w:tcMar>
            <w:vAlign w:val="center"/>
            <w:hideMark/>
          </w:tcPr>
          <w:p w14:paraId="46029E4C" w14:textId="77777777" w:rsidR="00073A6A" w:rsidRPr="00AD5635" w:rsidRDefault="00073A6A" w:rsidP="00073A6A">
            <w:pPr>
              <w:rPr>
                <w:color w:val="000000" w:themeColor="text1"/>
              </w:rPr>
            </w:pPr>
            <w:r w:rsidRPr="00AD5635">
              <w:rPr>
                <w:color w:val="000000" w:themeColor="text1"/>
              </w:rPr>
              <w:t>Requires strong credit rating, short maturity</w:t>
            </w:r>
          </w:p>
        </w:tc>
        <w:tc>
          <w:tcPr>
            <w:tcW w:w="0" w:type="auto"/>
            <w:shd w:val="clear" w:color="auto" w:fill="FFFFFF" w:themeFill="background1"/>
            <w:tcMar>
              <w:top w:w="150" w:type="dxa"/>
              <w:left w:w="240" w:type="dxa"/>
              <w:bottom w:w="150" w:type="dxa"/>
              <w:right w:w="0" w:type="dxa"/>
            </w:tcMar>
            <w:vAlign w:val="center"/>
            <w:hideMark/>
          </w:tcPr>
          <w:p w14:paraId="6D7FA6F8" w14:textId="77777777" w:rsidR="00073A6A" w:rsidRPr="00AD5635" w:rsidRDefault="00073A6A" w:rsidP="00073A6A">
            <w:pPr>
              <w:rPr>
                <w:color w:val="000000" w:themeColor="text1"/>
              </w:rPr>
            </w:pPr>
            <w:r w:rsidRPr="00AD5635">
              <w:rPr>
                <w:color w:val="000000" w:themeColor="text1"/>
              </w:rPr>
              <w:t>Available but not currently utilised</w:t>
            </w:r>
          </w:p>
        </w:tc>
      </w:tr>
      <w:tr w:rsidR="00073A6A" w:rsidRPr="00AD5635" w14:paraId="40468D41" w14:textId="77777777" w:rsidTr="00AD5635">
        <w:tc>
          <w:tcPr>
            <w:tcW w:w="0" w:type="auto"/>
            <w:shd w:val="clear" w:color="auto" w:fill="FFFFFF" w:themeFill="background1"/>
            <w:tcMar>
              <w:top w:w="150" w:type="dxa"/>
              <w:left w:w="0" w:type="dxa"/>
              <w:bottom w:w="150" w:type="dxa"/>
              <w:right w:w="240" w:type="dxa"/>
            </w:tcMar>
            <w:vAlign w:val="center"/>
            <w:hideMark/>
          </w:tcPr>
          <w:p w14:paraId="7B723A19" w14:textId="77777777" w:rsidR="00073A6A" w:rsidRPr="00AD5635" w:rsidRDefault="00073A6A" w:rsidP="00073A6A">
            <w:pPr>
              <w:rPr>
                <w:color w:val="000000" w:themeColor="text1"/>
              </w:rPr>
            </w:pPr>
            <w:r w:rsidRPr="00AD5635">
              <w:rPr>
                <w:color w:val="000000" w:themeColor="text1"/>
              </w:rPr>
              <w:t>Supplier Financing</w:t>
            </w:r>
          </w:p>
        </w:tc>
        <w:tc>
          <w:tcPr>
            <w:tcW w:w="0" w:type="auto"/>
            <w:shd w:val="clear" w:color="auto" w:fill="FFFFFF" w:themeFill="background1"/>
            <w:tcMar>
              <w:top w:w="150" w:type="dxa"/>
              <w:left w:w="240" w:type="dxa"/>
              <w:bottom w:w="150" w:type="dxa"/>
              <w:right w:w="240" w:type="dxa"/>
            </w:tcMar>
            <w:vAlign w:val="center"/>
            <w:hideMark/>
          </w:tcPr>
          <w:p w14:paraId="682BDE3F" w14:textId="77777777" w:rsidR="00073A6A" w:rsidRPr="00AD5635" w:rsidRDefault="00073A6A" w:rsidP="00073A6A">
            <w:pPr>
              <w:rPr>
                <w:color w:val="000000" w:themeColor="text1"/>
              </w:rPr>
            </w:pPr>
            <w:r w:rsidRPr="00AD5635">
              <w:rPr>
                <w:color w:val="000000" w:themeColor="text1"/>
              </w:rPr>
              <w:t>Aligns with supplier relationships</w:t>
            </w:r>
          </w:p>
        </w:tc>
        <w:tc>
          <w:tcPr>
            <w:tcW w:w="0" w:type="auto"/>
            <w:shd w:val="clear" w:color="auto" w:fill="FFFFFF" w:themeFill="background1"/>
            <w:tcMar>
              <w:top w:w="150" w:type="dxa"/>
              <w:left w:w="240" w:type="dxa"/>
              <w:bottom w:w="150" w:type="dxa"/>
              <w:right w:w="240" w:type="dxa"/>
            </w:tcMar>
            <w:vAlign w:val="center"/>
            <w:hideMark/>
          </w:tcPr>
          <w:p w14:paraId="75F9F8D1" w14:textId="77777777" w:rsidR="00073A6A" w:rsidRPr="00AD5635" w:rsidRDefault="00073A6A" w:rsidP="00073A6A">
            <w:pPr>
              <w:rPr>
                <w:color w:val="000000" w:themeColor="text1"/>
              </w:rPr>
            </w:pPr>
            <w:r w:rsidRPr="00AD5635">
              <w:rPr>
                <w:color w:val="000000" w:themeColor="text1"/>
              </w:rPr>
              <w:t>Limited scope, can damage relationships</w:t>
            </w:r>
          </w:p>
        </w:tc>
        <w:tc>
          <w:tcPr>
            <w:tcW w:w="0" w:type="auto"/>
            <w:shd w:val="clear" w:color="auto" w:fill="FFFFFF" w:themeFill="background1"/>
            <w:tcMar>
              <w:top w:w="150" w:type="dxa"/>
              <w:left w:w="240" w:type="dxa"/>
              <w:bottom w:w="150" w:type="dxa"/>
              <w:right w:w="0" w:type="dxa"/>
            </w:tcMar>
            <w:vAlign w:val="center"/>
            <w:hideMark/>
          </w:tcPr>
          <w:p w14:paraId="11CB5347" w14:textId="77777777" w:rsidR="00073A6A" w:rsidRPr="00AD5635" w:rsidRDefault="00073A6A" w:rsidP="00073A6A">
            <w:pPr>
              <w:rPr>
                <w:color w:val="000000" w:themeColor="text1"/>
              </w:rPr>
            </w:pPr>
            <w:r w:rsidRPr="00AD5635">
              <w:rPr>
                <w:color w:val="000000" w:themeColor="text1"/>
              </w:rPr>
              <w:t>Utilised through extended payment terms (134 days)</w:t>
            </w:r>
          </w:p>
        </w:tc>
      </w:tr>
      <w:tr w:rsidR="00073A6A" w:rsidRPr="00AD5635" w14:paraId="60D90EF2" w14:textId="77777777" w:rsidTr="00AD5635">
        <w:tc>
          <w:tcPr>
            <w:tcW w:w="0" w:type="auto"/>
            <w:shd w:val="clear" w:color="auto" w:fill="FFFFFF" w:themeFill="background1"/>
            <w:tcMar>
              <w:top w:w="150" w:type="dxa"/>
              <w:left w:w="0" w:type="dxa"/>
              <w:bottom w:w="150" w:type="dxa"/>
              <w:right w:w="240" w:type="dxa"/>
            </w:tcMar>
            <w:vAlign w:val="center"/>
          </w:tcPr>
          <w:p w14:paraId="57F4CE17"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240" w:type="dxa"/>
            </w:tcMar>
            <w:vAlign w:val="center"/>
          </w:tcPr>
          <w:p w14:paraId="65933706"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240" w:type="dxa"/>
            </w:tcMar>
            <w:vAlign w:val="center"/>
          </w:tcPr>
          <w:p w14:paraId="5BB2C5E2" w14:textId="77777777" w:rsidR="00073A6A" w:rsidRPr="00AD5635" w:rsidRDefault="00073A6A" w:rsidP="00073A6A">
            <w:pPr>
              <w:rPr>
                <w:color w:val="000000" w:themeColor="text1"/>
              </w:rPr>
            </w:pPr>
          </w:p>
        </w:tc>
        <w:tc>
          <w:tcPr>
            <w:tcW w:w="0" w:type="auto"/>
            <w:shd w:val="clear" w:color="auto" w:fill="FFFFFF" w:themeFill="background1"/>
            <w:tcMar>
              <w:top w:w="150" w:type="dxa"/>
              <w:left w:w="240" w:type="dxa"/>
              <w:bottom w:w="150" w:type="dxa"/>
              <w:right w:w="0" w:type="dxa"/>
            </w:tcMar>
            <w:vAlign w:val="center"/>
          </w:tcPr>
          <w:p w14:paraId="745E4DBC" w14:textId="77777777" w:rsidR="00073A6A" w:rsidRPr="00AD5635" w:rsidRDefault="00073A6A" w:rsidP="00073A6A">
            <w:pPr>
              <w:rPr>
                <w:color w:val="000000" w:themeColor="text1"/>
              </w:rPr>
            </w:pPr>
          </w:p>
        </w:tc>
      </w:tr>
    </w:tbl>
    <w:p w14:paraId="5318C21D" w14:textId="77777777" w:rsidR="00355A38" w:rsidRPr="00AD5635" w:rsidRDefault="00355A38" w:rsidP="00073A6A">
      <w:pPr>
        <w:rPr>
          <w:b/>
          <w:bCs/>
          <w:color w:val="000000" w:themeColor="text1"/>
          <w:sz w:val="24"/>
          <w:szCs w:val="24"/>
        </w:rPr>
      </w:pPr>
    </w:p>
    <w:p w14:paraId="64A6D936" w14:textId="52F9D0ED" w:rsidR="00073A6A" w:rsidRPr="00AD5635" w:rsidRDefault="00073A6A" w:rsidP="00073A6A">
      <w:pPr>
        <w:rPr>
          <w:color w:val="000000" w:themeColor="text1"/>
          <w:sz w:val="24"/>
          <w:szCs w:val="24"/>
        </w:rPr>
      </w:pPr>
      <w:r w:rsidRPr="00AD5635">
        <w:rPr>
          <w:b/>
          <w:bCs/>
          <w:color w:val="000000" w:themeColor="text1"/>
          <w:sz w:val="24"/>
          <w:szCs w:val="24"/>
        </w:rPr>
        <w:t>Long-Term Financing Options</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1468"/>
        <w:gridCol w:w="2407"/>
        <w:gridCol w:w="2593"/>
        <w:gridCol w:w="2558"/>
      </w:tblGrid>
      <w:tr w:rsidR="00073A6A" w:rsidRPr="00AD5635" w14:paraId="6E301520" w14:textId="77777777" w:rsidTr="00AD5635">
        <w:trPr>
          <w:tblHeader/>
        </w:trPr>
        <w:tc>
          <w:tcPr>
            <w:tcW w:w="0" w:type="auto"/>
            <w:tcBorders>
              <w:top w:val="nil"/>
            </w:tcBorders>
            <w:shd w:val="clear" w:color="auto" w:fill="FFFFFF" w:themeFill="background1"/>
            <w:tcMar>
              <w:top w:w="150" w:type="dxa"/>
              <w:left w:w="0" w:type="dxa"/>
              <w:bottom w:w="150" w:type="dxa"/>
              <w:right w:w="240" w:type="dxa"/>
            </w:tcMar>
            <w:vAlign w:val="center"/>
            <w:hideMark/>
          </w:tcPr>
          <w:p w14:paraId="04FB67FE" w14:textId="77777777" w:rsidR="00073A6A" w:rsidRPr="00AD5635" w:rsidRDefault="00073A6A" w:rsidP="00073A6A">
            <w:pPr>
              <w:rPr>
                <w:color w:val="000000" w:themeColor="text1"/>
              </w:rPr>
            </w:pPr>
            <w:r w:rsidRPr="00AD5635">
              <w:rPr>
                <w:color w:val="000000" w:themeColor="text1"/>
              </w:rPr>
              <w:t>Option</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3BD128C1" w14:textId="77777777" w:rsidR="00073A6A" w:rsidRPr="00AD5635" w:rsidRDefault="00073A6A" w:rsidP="00073A6A">
            <w:pPr>
              <w:rPr>
                <w:color w:val="000000" w:themeColor="text1"/>
              </w:rPr>
            </w:pPr>
            <w:r w:rsidRPr="00AD5635">
              <w:rPr>
                <w:color w:val="000000" w:themeColor="text1"/>
              </w:rPr>
              <w:t>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621557C4" w14:textId="77777777" w:rsidR="00073A6A" w:rsidRPr="00AD5635" w:rsidRDefault="00073A6A" w:rsidP="00073A6A">
            <w:pPr>
              <w:rPr>
                <w:color w:val="000000" w:themeColor="text1"/>
              </w:rPr>
            </w:pPr>
            <w:r w:rsidRPr="00AD5635">
              <w:rPr>
                <w:color w:val="000000" w:themeColor="text1"/>
              </w:rPr>
              <w:t>Disadvantages</w:t>
            </w:r>
          </w:p>
        </w:tc>
        <w:tc>
          <w:tcPr>
            <w:tcW w:w="0" w:type="auto"/>
            <w:tcBorders>
              <w:top w:val="nil"/>
            </w:tcBorders>
            <w:shd w:val="clear" w:color="auto" w:fill="FFFFFF" w:themeFill="background1"/>
            <w:tcMar>
              <w:top w:w="150" w:type="dxa"/>
              <w:left w:w="240" w:type="dxa"/>
              <w:bottom w:w="150" w:type="dxa"/>
              <w:right w:w="240" w:type="dxa"/>
            </w:tcMar>
            <w:vAlign w:val="center"/>
            <w:hideMark/>
          </w:tcPr>
          <w:p w14:paraId="67D4EA5E" w14:textId="77777777" w:rsidR="00073A6A" w:rsidRPr="00AD5635" w:rsidRDefault="00073A6A" w:rsidP="00073A6A">
            <w:pPr>
              <w:rPr>
                <w:color w:val="000000" w:themeColor="text1"/>
              </w:rPr>
            </w:pPr>
            <w:r w:rsidRPr="00AD5635">
              <w:rPr>
                <w:color w:val="000000" w:themeColor="text1"/>
              </w:rPr>
              <w:t>Relevance to Whitbread</w:t>
            </w:r>
          </w:p>
        </w:tc>
      </w:tr>
      <w:tr w:rsidR="00073A6A" w:rsidRPr="00AD5635" w14:paraId="730FAB8C" w14:textId="77777777" w:rsidTr="00AD5635">
        <w:tc>
          <w:tcPr>
            <w:tcW w:w="0" w:type="auto"/>
            <w:shd w:val="clear" w:color="auto" w:fill="FFFFFF" w:themeFill="background1"/>
            <w:tcMar>
              <w:top w:w="150" w:type="dxa"/>
              <w:left w:w="0" w:type="dxa"/>
              <w:bottom w:w="150" w:type="dxa"/>
              <w:right w:w="240" w:type="dxa"/>
            </w:tcMar>
            <w:vAlign w:val="center"/>
            <w:hideMark/>
          </w:tcPr>
          <w:p w14:paraId="45A76BEE" w14:textId="77777777" w:rsidR="00073A6A" w:rsidRPr="00AD5635" w:rsidRDefault="00073A6A" w:rsidP="00073A6A">
            <w:pPr>
              <w:rPr>
                <w:color w:val="000000" w:themeColor="text1"/>
              </w:rPr>
            </w:pPr>
            <w:r w:rsidRPr="00AD5635">
              <w:rPr>
                <w:color w:val="000000" w:themeColor="text1"/>
              </w:rPr>
              <w:t>Bonds</w:t>
            </w:r>
          </w:p>
        </w:tc>
        <w:tc>
          <w:tcPr>
            <w:tcW w:w="0" w:type="auto"/>
            <w:shd w:val="clear" w:color="auto" w:fill="FFFFFF" w:themeFill="background1"/>
            <w:tcMar>
              <w:top w:w="150" w:type="dxa"/>
              <w:left w:w="240" w:type="dxa"/>
              <w:bottom w:w="150" w:type="dxa"/>
              <w:right w:w="240" w:type="dxa"/>
            </w:tcMar>
            <w:vAlign w:val="center"/>
            <w:hideMark/>
          </w:tcPr>
          <w:p w14:paraId="42E45450" w14:textId="77777777" w:rsidR="00073A6A" w:rsidRPr="00AD5635" w:rsidRDefault="00073A6A" w:rsidP="00073A6A">
            <w:pPr>
              <w:rPr>
                <w:color w:val="000000" w:themeColor="text1"/>
              </w:rPr>
            </w:pPr>
            <w:r w:rsidRPr="00AD5635">
              <w:rPr>
                <w:color w:val="000000" w:themeColor="text1"/>
              </w:rPr>
              <w:t>Fixed rate, long maturity, diversified funding base</w:t>
            </w:r>
          </w:p>
        </w:tc>
        <w:tc>
          <w:tcPr>
            <w:tcW w:w="0" w:type="auto"/>
            <w:shd w:val="clear" w:color="auto" w:fill="FFFFFF" w:themeFill="background1"/>
            <w:tcMar>
              <w:top w:w="150" w:type="dxa"/>
              <w:left w:w="240" w:type="dxa"/>
              <w:bottom w:w="150" w:type="dxa"/>
              <w:right w:w="240" w:type="dxa"/>
            </w:tcMar>
            <w:vAlign w:val="center"/>
            <w:hideMark/>
          </w:tcPr>
          <w:p w14:paraId="4C836C82" w14:textId="77777777" w:rsidR="00073A6A" w:rsidRPr="00AD5635" w:rsidRDefault="00073A6A" w:rsidP="00073A6A">
            <w:pPr>
              <w:rPr>
                <w:color w:val="000000" w:themeColor="text1"/>
              </w:rPr>
            </w:pPr>
            <w:r w:rsidRPr="00AD5635">
              <w:rPr>
                <w:color w:val="000000" w:themeColor="text1"/>
              </w:rPr>
              <w:t>Higher issue costs, covenants, fixed obligations</w:t>
            </w:r>
          </w:p>
        </w:tc>
        <w:tc>
          <w:tcPr>
            <w:tcW w:w="0" w:type="auto"/>
            <w:shd w:val="clear" w:color="auto" w:fill="FFFFFF" w:themeFill="background1"/>
            <w:tcMar>
              <w:top w:w="150" w:type="dxa"/>
              <w:left w:w="240" w:type="dxa"/>
              <w:bottom w:w="150" w:type="dxa"/>
              <w:right w:w="0" w:type="dxa"/>
            </w:tcMar>
            <w:vAlign w:val="center"/>
            <w:hideMark/>
          </w:tcPr>
          <w:p w14:paraId="68E6A332" w14:textId="77777777" w:rsidR="00073A6A" w:rsidRPr="00AD5635" w:rsidRDefault="00073A6A" w:rsidP="00073A6A">
            <w:pPr>
              <w:rPr>
                <w:color w:val="000000" w:themeColor="text1"/>
              </w:rPr>
            </w:pPr>
            <w:r w:rsidRPr="00AD5635">
              <w:rPr>
                <w:color w:val="000000" w:themeColor="text1"/>
              </w:rPr>
              <w:t>£1.0bn senior unsecured bonds outstanding (Whitbread, 2024)</w:t>
            </w:r>
          </w:p>
        </w:tc>
      </w:tr>
      <w:tr w:rsidR="00073A6A" w:rsidRPr="00AD5635" w14:paraId="06F9B83B" w14:textId="77777777" w:rsidTr="00AD5635">
        <w:tc>
          <w:tcPr>
            <w:tcW w:w="0" w:type="auto"/>
            <w:shd w:val="clear" w:color="auto" w:fill="FFFFFF" w:themeFill="background1"/>
            <w:tcMar>
              <w:top w:w="150" w:type="dxa"/>
              <w:left w:w="0" w:type="dxa"/>
              <w:bottom w:w="150" w:type="dxa"/>
              <w:right w:w="240" w:type="dxa"/>
            </w:tcMar>
            <w:vAlign w:val="center"/>
            <w:hideMark/>
          </w:tcPr>
          <w:p w14:paraId="3B3519C3" w14:textId="77777777" w:rsidR="00073A6A" w:rsidRPr="00AD5635" w:rsidRDefault="00073A6A" w:rsidP="00073A6A">
            <w:pPr>
              <w:rPr>
                <w:color w:val="000000" w:themeColor="text1"/>
              </w:rPr>
            </w:pPr>
            <w:r w:rsidRPr="00AD5635">
              <w:rPr>
                <w:color w:val="000000" w:themeColor="text1"/>
              </w:rPr>
              <w:t>Green Bonds</w:t>
            </w:r>
          </w:p>
        </w:tc>
        <w:tc>
          <w:tcPr>
            <w:tcW w:w="0" w:type="auto"/>
            <w:shd w:val="clear" w:color="auto" w:fill="FFFFFF" w:themeFill="background1"/>
            <w:tcMar>
              <w:top w:w="150" w:type="dxa"/>
              <w:left w:w="240" w:type="dxa"/>
              <w:bottom w:w="150" w:type="dxa"/>
              <w:right w:w="240" w:type="dxa"/>
            </w:tcMar>
            <w:vAlign w:val="center"/>
            <w:hideMark/>
          </w:tcPr>
          <w:p w14:paraId="7F2A2A13" w14:textId="77777777" w:rsidR="00073A6A" w:rsidRPr="00AD5635" w:rsidRDefault="00073A6A" w:rsidP="00073A6A">
            <w:pPr>
              <w:rPr>
                <w:color w:val="000000" w:themeColor="text1"/>
              </w:rPr>
            </w:pPr>
            <w:r w:rsidRPr="00AD5635">
              <w:rPr>
                <w:color w:val="000000" w:themeColor="text1"/>
              </w:rPr>
              <w:t>Supports ESG agenda, potential investor demand</w:t>
            </w:r>
          </w:p>
        </w:tc>
        <w:tc>
          <w:tcPr>
            <w:tcW w:w="0" w:type="auto"/>
            <w:shd w:val="clear" w:color="auto" w:fill="FFFFFF" w:themeFill="background1"/>
            <w:tcMar>
              <w:top w:w="150" w:type="dxa"/>
              <w:left w:w="240" w:type="dxa"/>
              <w:bottom w:w="150" w:type="dxa"/>
              <w:right w:w="240" w:type="dxa"/>
            </w:tcMar>
            <w:vAlign w:val="center"/>
            <w:hideMark/>
          </w:tcPr>
          <w:p w14:paraId="0F9D0BBF" w14:textId="77777777" w:rsidR="00073A6A" w:rsidRPr="00AD5635" w:rsidRDefault="00073A6A" w:rsidP="00073A6A">
            <w:pPr>
              <w:rPr>
                <w:color w:val="000000" w:themeColor="text1"/>
              </w:rPr>
            </w:pPr>
            <w:r w:rsidRPr="00AD5635">
              <w:rPr>
                <w:color w:val="000000" w:themeColor="text1"/>
              </w:rPr>
              <w:t>Specific use of proceeds requirements</w:t>
            </w:r>
          </w:p>
        </w:tc>
        <w:tc>
          <w:tcPr>
            <w:tcW w:w="0" w:type="auto"/>
            <w:shd w:val="clear" w:color="auto" w:fill="FFFFFF" w:themeFill="background1"/>
            <w:tcMar>
              <w:top w:w="150" w:type="dxa"/>
              <w:left w:w="240" w:type="dxa"/>
              <w:bottom w:w="150" w:type="dxa"/>
              <w:right w:w="0" w:type="dxa"/>
            </w:tcMar>
            <w:vAlign w:val="center"/>
            <w:hideMark/>
          </w:tcPr>
          <w:p w14:paraId="16D86725" w14:textId="77777777" w:rsidR="00073A6A" w:rsidRPr="00AD5635" w:rsidRDefault="00073A6A" w:rsidP="00073A6A">
            <w:pPr>
              <w:rPr>
                <w:color w:val="000000" w:themeColor="text1"/>
              </w:rPr>
            </w:pPr>
            <w:r w:rsidRPr="00AD5635">
              <w:rPr>
                <w:color w:val="000000" w:themeColor="text1"/>
              </w:rPr>
              <w:t>£550m Green Bonds issued in 2021 (Whitbread, 2024)</w:t>
            </w:r>
          </w:p>
        </w:tc>
      </w:tr>
      <w:tr w:rsidR="00073A6A" w:rsidRPr="00AD5635" w14:paraId="584CC2B1" w14:textId="77777777" w:rsidTr="00AD5635">
        <w:tc>
          <w:tcPr>
            <w:tcW w:w="0" w:type="auto"/>
            <w:shd w:val="clear" w:color="auto" w:fill="FFFFFF" w:themeFill="background1"/>
            <w:tcMar>
              <w:top w:w="150" w:type="dxa"/>
              <w:left w:w="0" w:type="dxa"/>
              <w:bottom w:w="150" w:type="dxa"/>
              <w:right w:w="240" w:type="dxa"/>
            </w:tcMar>
            <w:vAlign w:val="center"/>
            <w:hideMark/>
          </w:tcPr>
          <w:p w14:paraId="351D7558" w14:textId="77777777" w:rsidR="00073A6A" w:rsidRPr="00AD5635" w:rsidRDefault="00073A6A" w:rsidP="00073A6A">
            <w:pPr>
              <w:rPr>
                <w:color w:val="000000" w:themeColor="text1"/>
              </w:rPr>
            </w:pPr>
            <w:r w:rsidRPr="00AD5635">
              <w:rPr>
                <w:color w:val="000000" w:themeColor="text1"/>
              </w:rPr>
              <w:t>Sale and Leaseback</w:t>
            </w:r>
          </w:p>
        </w:tc>
        <w:tc>
          <w:tcPr>
            <w:tcW w:w="0" w:type="auto"/>
            <w:shd w:val="clear" w:color="auto" w:fill="FFFFFF" w:themeFill="background1"/>
            <w:tcMar>
              <w:top w:w="150" w:type="dxa"/>
              <w:left w:w="240" w:type="dxa"/>
              <w:bottom w:w="150" w:type="dxa"/>
              <w:right w:w="240" w:type="dxa"/>
            </w:tcMar>
            <w:vAlign w:val="center"/>
            <w:hideMark/>
          </w:tcPr>
          <w:p w14:paraId="462B7681" w14:textId="77777777" w:rsidR="00073A6A" w:rsidRPr="00AD5635" w:rsidRDefault="00073A6A" w:rsidP="00073A6A">
            <w:pPr>
              <w:rPr>
                <w:color w:val="000000" w:themeColor="text1"/>
              </w:rPr>
            </w:pPr>
            <w:r w:rsidRPr="00AD5635">
              <w:rPr>
                <w:color w:val="000000" w:themeColor="text1"/>
              </w:rPr>
              <w:t>Unlocks property value, flexible capital</w:t>
            </w:r>
          </w:p>
        </w:tc>
        <w:tc>
          <w:tcPr>
            <w:tcW w:w="0" w:type="auto"/>
            <w:shd w:val="clear" w:color="auto" w:fill="FFFFFF" w:themeFill="background1"/>
            <w:tcMar>
              <w:top w:w="150" w:type="dxa"/>
              <w:left w:w="240" w:type="dxa"/>
              <w:bottom w:w="150" w:type="dxa"/>
              <w:right w:w="240" w:type="dxa"/>
            </w:tcMar>
            <w:vAlign w:val="center"/>
            <w:hideMark/>
          </w:tcPr>
          <w:p w14:paraId="0C6DFBEC" w14:textId="77777777" w:rsidR="00073A6A" w:rsidRPr="00AD5635" w:rsidRDefault="00073A6A" w:rsidP="00073A6A">
            <w:pPr>
              <w:rPr>
                <w:color w:val="000000" w:themeColor="text1"/>
              </w:rPr>
            </w:pPr>
            <w:r w:rsidRPr="00AD5635">
              <w:rPr>
                <w:color w:val="000000" w:themeColor="text1"/>
              </w:rPr>
              <w:t>Reduces freehold ownership, rent obligations</w:t>
            </w:r>
          </w:p>
        </w:tc>
        <w:tc>
          <w:tcPr>
            <w:tcW w:w="0" w:type="auto"/>
            <w:shd w:val="clear" w:color="auto" w:fill="FFFFFF" w:themeFill="background1"/>
            <w:tcMar>
              <w:top w:w="150" w:type="dxa"/>
              <w:left w:w="240" w:type="dxa"/>
              <w:bottom w:w="150" w:type="dxa"/>
              <w:right w:w="0" w:type="dxa"/>
            </w:tcMar>
            <w:vAlign w:val="center"/>
            <w:hideMark/>
          </w:tcPr>
          <w:p w14:paraId="72664407" w14:textId="77777777" w:rsidR="00073A6A" w:rsidRPr="00AD5635" w:rsidRDefault="00073A6A" w:rsidP="00073A6A">
            <w:pPr>
              <w:rPr>
                <w:color w:val="000000" w:themeColor="text1"/>
              </w:rPr>
            </w:pPr>
            <w:r w:rsidRPr="00AD5635">
              <w:rPr>
                <w:color w:val="000000" w:themeColor="text1"/>
              </w:rPr>
              <w:t>Used selectively as part of capital allocation framework</w:t>
            </w:r>
          </w:p>
        </w:tc>
      </w:tr>
      <w:tr w:rsidR="00073A6A" w:rsidRPr="00AD5635" w14:paraId="5BCC4CC4" w14:textId="77777777" w:rsidTr="00AD5635">
        <w:tc>
          <w:tcPr>
            <w:tcW w:w="0" w:type="auto"/>
            <w:shd w:val="clear" w:color="auto" w:fill="FFFFFF" w:themeFill="background1"/>
            <w:tcMar>
              <w:top w:w="150" w:type="dxa"/>
              <w:left w:w="0" w:type="dxa"/>
              <w:bottom w:w="150" w:type="dxa"/>
              <w:right w:w="240" w:type="dxa"/>
            </w:tcMar>
            <w:vAlign w:val="center"/>
            <w:hideMark/>
          </w:tcPr>
          <w:p w14:paraId="13D5EDC6" w14:textId="77777777" w:rsidR="00073A6A" w:rsidRPr="00AD5635" w:rsidRDefault="00073A6A" w:rsidP="00073A6A">
            <w:pPr>
              <w:rPr>
                <w:color w:val="000000" w:themeColor="text1"/>
              </w:rPr>
            </w:pPr>
            <w:r w:rsidRPr="00AD5635">
              <w:rPr>
                <w:color w:val="000000" w:themeColor="text1"/>
              </w:rPr>
              <w:t>Rights Issue</w:t>
            </w:r>
          </w:p>
        </w:tc>
        <w:tc>
          <w:tcPr>
            <w:tcW w:w="0" w:type="auto"/>
            <w:shd w:val="clear" w:color="auto" w:fill="FFFFFF" w:themeFill="background1"/>
            <w:tcMar>
              <w:top w:w="150" w:type="dxa"/>
              <w:left w:w="240" w:type="dxa"/>
              <w:bottom w:w="150" w:type="dxa"/>
              <w:right w:w="240" w:type="dxa"/>
            </w:tcMar>
            <w:vAlign w:val="center"/>
            <w:hideMark/>
          </w:tcPr>
          <w:p w14:paraId="110F86DF" w14:textId="77777777" w:rsidR="00073A6A" w:rsidRPr="00AD5635" w:rsidRDefault="00073A6A" w:rsidP="00073A6A">
            <w:pPr>
              <w:rPr>
                <w:color w:val="000000" w:themeColor="text1"/>
              </w:rPr>
            </w:pPr>
            <w:r w:rsidRPr="00AD5635">
              <w:rPr>
                <w:color w:val="000000" w:themeColor="text1"/>
              </w:rPr>
              <w:t>Equity funding, no repayment obligation</w:t>
            </w:r>
          </w:p>
        </w:tc>
        <w:tc>
          <w:tcPr>
            <w:tcW w:w="0" w:type="auto"/>
            <w:shd w:val="clear" w:color="auto" w:fill="FFFFFF" w:themeFill="background1"/>
            <w:tcMar>
              <w:top w:w="150" w:type="dxa"/>
              <w:left w:w="240" w:type="dxa"/>
              <w:bottom w:w="150" w:type="dxa"/>
              <w:right w:w="240" w:type="dxa"/>
            </w:tcMar>
            <w:vAlign w:val="center"/>
            <w:hideMark/>
          </w:tcPr>
          <w:p w14:paraId="1BB5C67F" w14:textId="77777777" w:rsidR="00073A6A" w:rsidRPr="00AD5635" w:rsidRDefault="00073A6A" w:rsidP="00073A6A">
            <w:pPr>
              <w:rPr>
                <w:color w:val="000000" w:themeColor="text1"/>
              </w:rPr>
            </w:pPr>
            <w:r w:rsidRPr="00AD5635">
              <w:rPr>
                <w:color w:val="000000" w:themeColor="text1"/>
              </w:rPr>
              <w:t>Dilution, requires shareholder support</w:t>
            </w:r>
          </w:p>
        </w:tc>
        <w:tc>
          <w:tcPr>
            <w:tcW w:w="0" w:type="auto"/>
            <w:shd w:val="clear" w:color="auto" w:fill="FFFFFF" w:themeFill="background1"/>
            <w:tcMar>
              <w:top w:w="150" w:type="dxa"/>
              <w:left w:w="240" w:type="dxa"/>
              <w:bottom w:w="150" w:type="dxa"/>
              <w:right w:w="0" w:type="dxa"/>
            </w:tcMar>
            <w:vAlign w:val="center"/>
            <w:hideMark/>
          </w:tcPr>
          <w:p w14:paraId="278CB36E" w14:textId="77777777" w:rsidR="00073A6A" w:rsidRPr="00AD5635" w:rsidRDefault="00073A6A" w:rsidP="00073A6A">
            <w:pPr>
              <w:rPr>
                <w:color w:val="000000" w:themeColor="text1"/>
              </w:rPr>
            </w:pPr>
            <w:r w:rsidRPr="00AD5635">
              <w:rPr>
                <w:color w:val="000000" w:themeColor="text1"/>
              </w:rPr>
              <w:t>£1bn rights issue completed in 2020 (Whitbread, 2021)</w:t>
            </w:r>
          </w:p>
        </w:tc>
      </w:tr>
      <w:tr w:rsidR="00073A6A" w:rsidRPr="00AD5635" w14:paraId="088E7CD1" w14:textId="77777777" w:rsidTr="00AD5635">
        <w:tc>
          <w:tcPr>
            <w:tcW w:w="0" w:type="auto"/>
            <w:shd w:val="clear" w:color="auto" w:fill="FFFFFF" w:themeFill="background1"/>
            <w:tcMar>
              <w:top w:w="150" w:type="dxa"/>
              <w:left w:w="0" w:type="dxa"/>
              <w:bottom w:w="150" w:type="dxa"/>
              <w:right w:w="240" w:type="dxa"/>
            </w:tcMar>
            <w:vAlign w:val="center"/>
            <w:hideMark/>
          </w:tcPr>
          <w:p w14:paraId="47A9D1D2" w14:textId="77777777" w:rsidR="00073A6A" w:rsidRPr="00AD5635" w:rsidRDefault="00073A6A" w:rsidP="00073A6A">
            <w:pPr>
              <w:rPr>
                <w:color w:val="000000" w:themeColor="text1"/>
              </w:rPr>
            </w:pPr>
            <w:r w:rsidRPr="00AD5635">
              <w:rPr>
                <w:color w:val="000000" w:themeColor="text1"/>
              </w:rPr>
              <w:t>Freehold Sale</w:t>
            </w:r>
          </w:p>
        </w:tc>
        <w:tc>
          <w:tcPr>
            <w:tcW w:w="0" w:type="auto"/>
            <w:shd w:val="clear" w:color="auto" w:fill="FFFFFF" w:themeFill="background1"/>
            <w:tcMar>
              <w:top w:w="150" w:type="dxa"/>
              <w:left w:w="240" w:type="dxa"/>
              <w:bottom w:w="150" w:type="dxa"/>
              <w:right w:w="240" w:type="dxa"/>
            </w:tcMar>
            <w:vAlign w:val="center"/>
            <w:hideMark/>
          </w:tcPr>
          <w:p w14:paraId="58E33E3A" w14:textId="77777777" w:rsidR="00073A6A" w:rsidRPr="00AD5635" w:rsidRDefault="00073A6A" w:rsidP="00073A6A">
            <w:pPr>
              <w:rPr>
                <w:color w:val="000000" w:themeColor="text1"/>
              </w:rPr>
            </w:pPr>
            <w:r w:rsidRPr="00AD5635">
              <w:rPr>
                <w:color w:val="000000" w:themeColor="text1"/>
              </w:rPr>
              <w:t>Direct access to property value</w:t>
            </w:r>
          </w:p>
        </w:tc>
        <w:tc>
          <w:tcPr>
            <w:tcW w:w="0" w:type="auto"/>
            <w:shd w:val="clear" w:color="auto" w:fill="FFFFFF" w:themeFill="background1"/>
            <w:tcMar>
              <w:top w:w="150" w:type="dxa"/>
              <w:left w:w="240" w:type="dxa"/>
              <w:bottom w:w="150" w:type="dxa"/>
              <w:right w:w="240" w:type="dxa"/>
            </w:tcMar>
            <w:vAlign w:val="center"/>
            <w:hideMark/>
          </w:tcPr>
          <w:p w14:paraId="20D72837" w14:textId="77777777" w:rsidR="00073A6A" w:rsidRPr="00AD5635" w:rsidRDefault="00073A6A" w:rsidP="00073A6A">
            <w:pPr>
              <w:rPr>
                <w:color w:val="000000" w:themeColor="text1"/>
              </w:rPr>
            </w:pPr>
            <w:r w:rsidRPr="00AD5635">
              <w:rPr>
                <w:color w:val="000000" w:themeColor="text1"/>
              </w:rPr>
              <w:t>Loss of operational control</w:t>
            </w:r>
          </w:p>
        </w:tc>
        <w:tc>
          <w:tcPr>
            <w:tcW w:w="0" w:type="auto"/>
            <w:shd w:val="clear" w:color="auto" w:fill="FFFFFF" w:themeFill="background1"/>
            <w:tcMar>
              <w:top w:w="150" w:type="dxa"/>
              <w:left w:w="240" w:type="dxa"/>
              <w:bottom w:w="150" w:type="dxa"/>
              <w:right w:w="0" w:type="dxa"/>
            </w:tcMar>
            <w:vAlign w:val="center"/>
            <w:hideMark/>
          </w:tcPr>
          <w:p w14:paraId="792E8418" w14:textId="77777777" w:rsidR="00073A6A" w:rsidRPr="00AD5635" w:rsidRDefault="00073A6A" w:rsidP="00073A6A">
            <w:pPr>
              <w:rPr>
                <w:color w:val="000000" w:themeColor="text1"/>
              </w:rPr>
            </w:pPr>
            <w:r w:rsidRPr="00AD5635">
              <w:rPr>
                <w:color w:val="000000" w:themeColor="text1"/>
              </w:rPr>
              <w:t>Available but used strategically</w:t>
            </w:r>
          </w:p>
        </w:tc>
      </w:tr>
    </w:tbl>
    <w:p w14:paraId="400DA9D5" w14:textId="77777777" w:rsidR="002C5179" w:rsidRPr="00AD5635" w:rsidRDefault="002C5179" w:rsidP="00232CC3">
      <w:pPr>
        <w:rPr>
          <w:color w:val="000000" w:themeColor="text1"/>
          <w:sz w:val="24"/>
          <w:szCs w:val="24"/>
        </w:rPr>
      </w:pPr>
    </w:p>
    <w:p w14:paraId="7E11DFCA" w14:textId="77777777" w:rsidR="00232CC3" w:rsidRPr="00AD5635" w:rsidRDefault="00232CC3" w:rsidP="00232CC3">
      <w:pPr>
        <w:rPr>
          <w:color w:val="000000" w:themeColor="text1"/>
          <w:sz w:val="24"/>
          <w:szCs w:val="24"/>
        </w:rPr>
      </w:pPr>
      <w:r w:rsidRPr="00AD5635">
        <w:rPr>
          <w:color w:val="000000" w:themeColor="text1"/>
          <w:sz w:val="24"/>
          <w:szCs w:val="24"/>
        </w:rPr>
        <w:t>The current financing strategy is prudent. Short-term financing (RCF) provides flexibility for working capital and operational needs, while long-term debt (Bonds) matches the long-term nature of the company's investments in property, plant, and equipment. This structure mitigates refinancing risk and locks in low interest rates for core assets.</w:t>
      </w:r>
    </w:p>
    <w:p w14:paraId="0EC33C86" w14:textId="358073EC" w:rsidR="00355A38" w:rsidRPr="00AD5635" w:rsidRDefault="00355A38" w:rsidP="00232CC3">
      <w:pPr>
        <w:rPr>
          <w:color w:val="000000" w:themeColor="text1"/>
          <w:sz w:val="24"/>
          <w:szCs w:val="24"/>
        </w:rPr>
      </w:pPr>
      <w:r w:rsidRPr="00AD5635">
        <w:rPr>
          <w:color w:val="000000" w:themeColor="text1"/>
          <w:sz w:val="24"/>
          <w:szCs w:val="24"/>
        </w:rPr>
        <w:br w:type="page"/>
      </w:r>
    </w:p>
    <w:p w14:paraId="1BEBF0F0" w14:textId="77777777" w:rsidR="00232CC3" w:rsidRPr="00AD5635" w:rsidRDefault="00232CC3" w:rsidP="00232CC3">
      <w:pPr>
        <w:rPr>
          <w:color w:val="000000" w:themeColor="text1"/>
          <w:sz w:val="24"/>
          <w:szCs w:val="24"/>
        </w:rPr>
      </w:pPr>
    </w:p>
    <w:p w14:paraId="72F5A922" w14:textId="3DCF7206" w:rsidR="00232CC3" w:rsidRPr="00AD5635" w:rsidRDefault="00232CC3" w:rsidP="00232CC3">
      <w:pPr>
        <w:rPr>
          <w:b/>
          <w:bCs/>
          <w:color w:val="000000" w:themeColor="text1"/>
          <w:sz w:val="24"/>
          <w:szCs w:val="24"/>
        </w:rPr>
      </w:pPr>
      <w:r w:rsidRPr="00AD5635">
        <w:rPr>
          <w:b/>
          <w:bCs/>
          <w:color w:val="000000" w:themeColor="text1"/>
          <w:sz w:val="24"/>
          <w:szCs w:val="24"/>
        </w:rPr>
        <w:t xml:space="preserve">3. Strategic Financial Restructuring Plan </w:t>
      </w:r>
    </w:p>
    <w:p w14:paraId="55666FFE" w14:textId="77777777" w:rsidR="00232CC3" w:rsidRPr="00AD5635" w:rsidRDefault="00232CC3" w:rsidP="00232CC3">
      <w:pPr>
        <w:rPr>
          <w:color w:val="000000" w:themeColor="text1"/>
          <w:sz w:val="24"/>
          <w:szCs w:val="24"/>
        </w:rPr>
      </w:pPr>
      <w:r w:rsidRPr="00AD5635">
        <w:rPr>
          <w:color w:val="000000" w:themeColor="text1"/>
          <w:sz w:val="24"/>
          <w:szCs w:val="24"/>
        </w:rPr>
        <w:t>This section recommends a comprehensive financial restructuring plan to further strengthen Whitbread's balance sheet, improve operational flexibility, and drive shareholder value.</w:t>
      </w:r>
    </w:p>
    <w:p w14:paraId="55E339D1" w14:textId="77777777" w:rsidR="00232CC3" w:rsidRPr="00AD5635" w:rsidRDefault="00232CC3" w:rsidP="00232CC3">
      <w:pPr>
        <w:rPr>
          <w:b/>
          <w:bCs/>
          <w:color w:val="000000" w:themeColor="text1"/>
          <w:sz w:val="24"/>
          <w:szCs w:val="24"/>
        </w:rPr>
      </w:pPr>
      <w:r w:rsidRPr="00AD5635">
        <w:rPr>
          <w:b/>
          <w:bCs/>
          <w:color w:val="000000" w:themeColor="text1"/>
          <w:sz w:val="24"/>
          <w:szCs w:val="24"/>
        </w:rPr>
        <w:t>3.1 Recommended Financial Restructuring Options</w:t>
      </w:r>
    </w:p>
    <w:p w14:paraId="092DD8E7" w14:textId="77777777" w:rsidR="00232CC3" w:rsidRPr="00AD5635" w:rsidRDefault="00232CC3" w:rsidP="00232CC3">
      <w:pPr>
        <w:rPr>
          <w:color w:val="000000" w:themeColor="text1"/>
          <w:sz w:val="24"/>
          <w:szCs w:val="24"/>
        </w:rPr>
      </w:pPr>
      <w:r w:rsidRPr="00AD5635">
        <w:rPr>
          <w:color w:val="000000" w:themeColor="text1"/>
          <w:sz w:val="24"/>
          <w:szCs w:val="24"/>
        </w:rPr>
        <w:t>The Board has already executed several effective restructuring initiatives. The following recommendations build upon this success:</w:t>
      </w:r>
    </w:p>
    <w:p w14:paraId="3EE6BE74"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Continue the "Disposal and Extension" Programme:</w:t>
      </w:r>
      <w:r w:rsidRPr="00AD5635">
        <w:rPr>
          <w:color w:val="000000" w:themeColor="text1"/>
          <w:sz w:val="24"/>
          <w:szCs w:val="24"/>
        </w:rPr>
        <w:t> The Accelerating Growth Plan (AGP) announced in FY2024 is a pivotal restructuring initiative. The plan to dispose of 126 branded restaurants and convert 112 into new hotel rooms is strategically sound. Divesting non-core, underperforming assets will provide a cash infusion of £175-£225m in FY2025 and allow the company to focus on its higher-returning hotel core.</w:t>
      </w:r>
    </w:p>
    <w:p w14:paraId="35254C3F"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Implement the New Efficiency Programme:</w:t>
      </w:r>
      <w:r w:rsidRPr="00AD5635">
        <w:rPr>
          <w:color w:val="000000" w:themeColor="text1"/>
          <w:sz w:val="24"/>
          <w:szCs w:val="24"/>
        </w:rPr>
        <w:t> The £150m cost efficiency programme over the next three years is essential to combat inflationary pressures and maintain margins. This should focus on leveraging technology (e.g., new reservation system), optimising the labour model, and driving further efficiencies in procurement.</w:t>
      </w:r>
    </w:p>
    <w:p w14:paraId="72EADA23"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Pursue a Prudent Sale and Leaseback Programme:</w:t>
      </w:r>
      <w:r w:rsidRPr="00AD5635">
        <w:rPr>
          <w:color w:val="000000" w:themeColor="text1"/>
          <w:sz w:val="24"/>
          <w:szCs w:val="24"/>
        </w:rPr>
        <w:t> The company has a valuable freehold estate. A targeted sale and leaseback programme of mature, high-quality assets can unlock capital without losing operational control, providing funding for the AGP and German expansion.</w:t>
      </w:r>
    </w:p>
    <w:p w14:paraId="36BF54F8" w14:textId="77777777" w:rsidR="00232CC3" w:rsidRPr="00AD5635" w:rsidRDefault="00232CC3">
      <w:pPr>
        <w:numPr>
          <w:ilvl w:val="0"/>
          <w:numId w:val="5"/>
        </w:numPr>
        <w:rPr>
          <w:color w:val="000000" w:themeColor="text1"/>
          <w:sz w:val="24"/>
          <w:szCs w:val="24"/>
        </w:rPr>
      </w:pPr>
      <w:r w:rsidRPr="00AD5635">
        <w:rPr>
          <w:b/>
          <w:bCs/>
          <w:color w:val="000000" w:themeColor="text1"/>
          <w:sz w:val="24"/>
          <w:szCs w:val="24"/>
        </w:rPr>
        <w:t>Optimise the Capital Structure:</w:t>
      </w:r>
      <w:r w:rsidRPr="00AD5635">
        <w:rPr>
          <w:color w:val="000000" w:themeColor="text1"/>
          <w:sz w:val="24"/>
          <w:szCs w:val="24"/>
        </w:rPr>
        <w:t> The £300m share buyback programme announced in FY2024 is an effective way to return surplus capital to shareholders, improve earnings per share, and signal confidence in the company's future. This should be a key component of the capital allocation framework going forward.</w:t>
      </w:r>
    </w:p>
    <w:p w14:paraId="652B896E" w14:textId="77777777" w:rsidR="00232CC3" w:rsidRPr="00AD5635" w:rsidRDefault="00232CC3" w:rsidP="00232CC3">
      <w:pPr>
        <w:rPr>
          <w:b/>
          <w:bCs/>
          <w:color w:val="000000" w:themeColor="text1"/>
          <w:sz w:val="24"/>
          <w:szCs w:val="24"/>
        </w:rPr>
      </w:pPr>
      <w:r w:rsidRPr="00AD5635">
        <w:rPr>
          <w:b/>
          <w:bCs/>
          <w:color w:val="000000" w:themeColor="text1"/>
          <w:sz w:val="24"/>
          <w:szCs w:val="24"/>
        </w:rPr>
        <w:t>3.2 Evaluation of Impact on Shareholder Value, Debt Structure, and Operational Flexibility</w:t>
      </w:r>
    </w:p>
    <w:p w14:paraId="326C0F92" w14:textId="73572DE8"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Shareholder </w:t>
      </w:r>
      <w:proofErr w:type="gramStart"/>
      <w:r w:rsidRPr="00AD5635">
        <w:rPr>
          <w:b/>
          <w:bCs/>
          <w:color w:val="000000" w:themeColor="text1"/>
          <w:sz w:val="24"/>
          <w:szCs w:val="24"/>
        </w:rPr>
        <w:t>Value</w:t>
      </w:r>
      <w:r w:rsidR="00355A38" w:rsidRPr="00AD5635">
        <w:rPr>
          <w:b/>
          <w:bCs/>
          <w:color w:val="000000" w:themeColor="text1"/>
          <w:sz w:val="24"/>
          <w:szCs w:val="24"/>
        </w:rPr>
        <w:t xml:space="preserve"> :</w:t>
      </w:r>
      <w:proofErr w:type="gramEnd"/>
    </w:p>
    <w:p w14:paraId="2942513A" w14:textId="3B3EF0EC" w:rsidR="00073A6A" w:rsidRPr="00AD5635" w:rsidRDefault="00073A6A" w:rsidP="00073A6A">
      <w:pPr>
        <w:rPr>
          <w:color w:val="000000" w:themeColor="text1"/>
          <w:sz w:val="24"/>
          <w:szCs w:val="24"/>
        </w:rPr>
      </w:pPr>
      <w:r w:rsidRPr="00AD5635">
        <w:rPr>
          <w:color w:val="000000" w:themeColor="text1"/>
          <w:sz w:val="24"/>
          <w:szCs w:val="24"/>
        </w:rPr>
        <w:t>The proposed restructuring is expected to deliver significant shareholder value:</w:t>
      </w:r>
    </w:p>
    <w:p w14:paraId="6DA57F97" w14:textId="2E854E6C" w:rsidR="00073A6A" w:rsidRPr="00AD5635" w:rsidRDefault="00073A6A" w:rsidP="00073A6A">
      <w:pPr>
        <w:rPr>
          <w:color w:val="000000" w:themeColor="text1"/>
          <w:sz w:val="24"/>
          <w:szCs w:val="24"/>
        </w:rPr>
      </w:pPr>
      <w:r w:rsidRPr="00AD5635">
        <w:rPr>
          <w:color w:val="000000" w:themeColor="text1"/>
          <w:sz w:val="24"/>
          <w:szCs w:val="24"/>
        </w:rPr>
        <w:t>Accelerating Growth Plan: The AGP is expected to deliver a net incremental adjusted PBT benefit of £30-40m by FY27, rising to £80-90m per annum as new extensions mature (Whitbread, 2024). This represents a substantial increase in shareholder value.</w:t>
      </w:r>
    </w:p>
    <w:p w14:paraId="46D6CDFD" w14:textId="4B1E4F30" w:rsidR="00073A6A" w:rsidRPr="00AD5635" w:rsidRDefault="00073A6A" w:rsidP="00073A6A">
      <w:pPr>
        <w:rPr>
          <w:color w:val="000000" w:themeColor="text1"/>
          <w:sz w:val="24"/>
          <w:szCs w:val="24"/>
        </w:rPr>
      </w:pPr>
      <w:r w:rsidRPr="00AD5635">
        <w:rPr>
          <w:color w:val="000000" w:themeColor="text1"/>
          <w:sz w:val="24"/>
          <w:szCs w:val="24"/>
        </w:rPr>
        <w:lastRenderedPageBreak/>
        <w:t>Share Buybacks: The £300m share buyback completed in H1 2023/24 and the £150m programme announced in April 2024 (Whitbread, 2024) demonstrate commitment to returning capital to shareholders, supporting EPS growth.</w:t>
      </w:r>
    </w:p>
    <w:p w14:paraId="2F46EF76" w14:textId="64D0C8FD" w:rsidR="00073A6A" w:rsidRPr="00AD5635" w:rsidRDefault="00073A6A" w:rsidP="00073A6A">
      <w:pPr>
        <w:rPr>
          <w:color w:val="000000" w:themeColor="text1"/>
          <w:sz w:val="24"/>
          <w:szCs w:val="24"/>
        </w:rPr>
      </w:pPr>
      <w:r w:rsidRPr="00AD5635">
        <w:rPr>
          <w:color w:val="000000" w:themeColor="text1"/>
          <w:sz w:val="24"/>
          <w:szCs w:val="24"/>
        </w:rPr>
        <w:t>Dividend Growth: The recommended final dividend of 62.9p per share represents a 26% increase from the prior year, reflecting management confidence in future cash flows (Whitbread, 2024).</w:t>
      </w:r>
    </w:p>
    <w:p w14:paraId="4AB9A05B" w14:textId="7ED5C519" w:rsidR="00073A6A" w:rsidRPr="00AD5635" w:rsidRDefault="00073A6A" w:rsidP="00073A6A">
      <w:pPr>
        <w:rPr>
          <w:color w:val="000000" w:themeColor="text1"/>
          <w:sz w:val="24"/>
          <w:szCs w:val="24"/>
        </w:rPr>
      </w:pPr>
      <w:r w:rsidRPr="00AD5635">
        <w:rPr>
          <w:color w:val="000000" w:themeColor="text1"/>
          <w:sz w:val="24"/>
          <w:szCs w:val="24"/>
        </w:rPr>
        <w:t>Return on Capital: UK ROCE reached 15.5% in FY24, exceeding the target range of 10-14%, and is expected to improve further following the AGP (Whitbread, 2024).</w:t>
      </w:r>
    </w:p>
    <w:p w14:paraId="41586C7A" w14:textId="0DF2B5C4"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Debt </w:t>
      </w:r>
      <w:proofErr w:type="gramStart"/>
      <w:r w:rsidRPr="00AD5635">
        <w:rPr>
          <w:b/>
          <w:bCs/>
          <w:color w:val="000000" w:themeColor="text1"/>
          <w:sz w:val="24"/>
          <w:szCs w:val="24"/>
        </w:rPr>
        <w:t>Structure</w:t>
      </w:r>
      <w:r w:rsidR="00355A38" w:rsidRPr="00AD5635">
        <w:rPr>
          <w:b/>
          <w:bCs/>
          <w:color w:val="000000" w:themeColor="text1"/>
          <w:sz w:val="24"/>
          <w:szCs w:val="24"/>
        </w:rPr>
        <w:t xml:space="preserve"> :</w:t>
      </w:r>
      <w:proofErr w:type="gramEnd"/>
    </w:p>
    <w:p w14:paraId="3DD9651A" w14:textId="7A094A3B" w:rsidR="00073A6A" w:rsidRPr="00AD5635" w:rsidRDefault="00073A6A" w:rsidP="00073A6A">
      <w:pPr>
        <w:rPr>
          <w:color w:val="000000" w:themeColor="text1"/>
          <w:sz w:val="24"/>
          <w:szCs w:val="24"/>
        </w:rPr>
      </w:pPr>
      <w:r w:rsidRPr="00AD5635">
        <w:rPr>
          <w:color w:val="000000" w:themeColor="text1"/>
          <w:sz w:val="24"/>
          <w:szCs w:val="24"/>
        </w:rPr>
        <w:t>The proposed restructuring will have the following impact on debt:</w:t>
      </w:r>
    </w:p>
    <w:p w14:paraId="573B6D04" w14:textId="5171B42A" w:rsidR="00073A6A" w:rsidRPr="00AD5635" w:rsidRDefault="00073A6A" w:rsidP="00073A6A">
      <w:pPr>
        <w:rPr>
          <w:color w:val="000000" w:themeColor="text1"/>
          <w:sz w:val="24"/>
          <w:szCs w:val="24"/>
        </w:rPr>
      </w:pPr>
      <w:r w:rsidRPr="00AD5635">
        <w:rPr>
          <w:color w:val="000000" w:themeColor="text1"/>
          <w:sz w:val="24"/>
          <w:szCs w:val="24"/>
        </w:rPr>
        <w:t>Leverage: Lease-adjusted net debt to adjusted EBITDAR of 2.9x is well within the 3.5x covenant threshold, providing headroom for additional investment (Whitbread, 2024).</w:t>
      </w:r>
    </w:p>
    <w:p w14:paraId="2227FD24" w14:textId="12199D7B" w:rsidR="00073A6A" w:rsidRPr="00AD5635" w:rsidRDefault="00073A6A" w:rsidP="00073A6A">
      <w:pPr>
        <w:rPr>
          <w:color w:val="000000" w:themeColor="text1"/>
          <w:sz w:val="24"/>
          <w:szCs w:val="24"/>
        </w:rPr>
      </w:pPr>
      <w:r w:rsidRPr="00AD5635">
        <w:rPr>
          <w:color w:val="000000" w:themeColor="text1"/>
          <w:sz w:val="24"/>
          <w:szCs w:val="24"/>
        </w:rPr>
        <w:t>Funding Mix: The £1.0bn bond portfolio provides stable, long-term funding with an average maturity of 3.5 years and fixed coupon of 3.0%, protecting against interest rate volatility (Whitbread, 2024).</w:t>
      </w:r>
    </w:p>
    <w:p w14:paraId="3A39F8D8" w14:textId="5078A851" w:rsidR="00073A6A" w:rsidRPr="00AD5635" w:rsidRDefault="00073A6A" w:rsidP="00073A6A">
      <w:pPr>
        <w:rPr>
          <w:color w:val="000000" w:themeColor="text1"/>
          <w:sz w:val="24"/>
          <w:szCs w:val="24"/>
        </w:rPr>
      </w:pPr>
      <w:r w:rsidRPr="00AD5635">
        <w:rPr>
          <w:color w:val="000000" w:themeColor="text1"/>
          <w:sz w:val="24"/>
          <w:szCs w:val="24"/>
        </w:rPr>
        <w:t>Covenant Compliance: The company maintains significant headroom to the revolving credit facility covenant (Net Debt/Adjusted EBITDA &lt;3.5x), providing financial flexibility (Whitbread, 2024).</w:t>
      </w:r>
    </w:p>
    <w:p w14:paraId="5D0C55B3" w14:textId="77777777" w:rsidR="00073A6A" w:rsidRPr="00AD5635" w:rsidRDefault="00073A6A" w:rsidP="00073A6A">
      <w:pPr>
        <w:rPr>
          <w:color w:val="000000" w:themeColor="text1"/>
          <w:sz w:val="24"/>
          <w:szCs w:val="24"/>
        </w:rPr>
      </w:pPr>
      <w:r w:rsidRPr="00AD5635">
        <w:rPr>
          <w:color w:val="000000" w:themeColor="text1"/>
          <w:sz w:val="24"/>
          <w:szCs w:val="24"/>
        </w:rPr>
        <w:t>Liquidity: Cash and cash equivalents of £696.7m plus the undrawn £775m revolving credit facility provide substantial liquidity headroom (Whitbread, 2024).</w:t>
      </w:r>
    </w:p>
    <w:p w14:paraId="3D40AF0F" w14:textId="77777777" w:rsidR="00073A6A" w:rsidRPr="00AD5635" w:rsidRDefault="00073A6A" w:rsidP="00073A6A">
      <w:pPr>
        <w:rPr>
          <w:b/>
          <w:bCs/>
          <w:color w:val="000000" w:themeColor="text1"/>
          <w:sz w:val="24"/>
          <w:szCs w:val="24"/>
        </w:rPr>
      </w:pPr>
    </w:p>
    <w:p w14:paraId="18BC13BF" w14:textId="654F9743" w:rsidR="00073A6A" w:rsidRPr="00AD5635" w:rsidRDefault="00073A6A" w:rsidP="00073A6A">
      <w:pPr>
        <w:rPr>
          <w:b/>
          <w:bCs/>
          <w:color w:val="000000" w:themeColor="text1"/>
          <w:sz w:val="24"/>
          <w:szCs w:val="24"/>
        </w:rPr>
      </w:pPr>
      <w:r w:rsidRPr="00AD5635">
        <w:rPr>
          <w:b/>
          <w:bCs/>
          <w:color w:val="000000" w:themeColor="text1"/>
          <w:sz w:val="24"/>
          <w:szCs w:val="24"/>
        </w:rPr>
        <w:t xml:space="preserve">Impact on Operational </w:t>
      </w:r>
      <w:proofErr w:type="gramStart"/>
      <w:r w:rsidRPr="00AD5635">
        <w:rPr>
          <w:b/>
          <w:bCs/>
          <w:color w:val="000000" w:themeColor="text1"/>
          <w:sz w:val="24"/>
          <w:szCs w:val="24"/>
        </w:rPr>
        <w:t>Flexibility</w:t>
      </w:r>
      <w:r w:rsidR="00355A38" w:rsidRPr="00AD5635">
        <w:rPr>
          <w:b/>
          <w:bCs/>
          <w:color w:val="000000" w:themeColor="text1"/>
          <w:sz w:val="24"/>
          <w:szCs w:val="24"/>
        </w:rPr>
        <w:t xml:space="preserve"> :</w:t>
      </w:r>
      <w:proofErr w:type="gramEnd"/>
    </w:p>
    <w:p w14:paraId="0E312369" w14:textId="79168A29" w:rsidR="00073A6A" w:rsidRPr="00AD5635" w:rsidRDefault="00073A6A" w:rsidP="00073A6A">
      <w:pPr>
        <w:rPr>
          <w:color w:val="000000" w:themeColor="text1"/>
          <w:sz w:val="24"/>
          <w:szCs w:val="24"/>
        </w:rPr>
      </w:pPr>
      <w:r w:rsidRPr="00AD5635">
        <w:rPr>
          <w:color w:val="000000" w:themeColor="text1"/>
          <w:sz w:val="24"/>
          <w:szCs w:val="24"/>
        </w:rPr>
        <w:t>The restructuring will enhance operational flexibility through:</w:t>
      </w:r>
    </w:p>
    <w:p w14:paraId="33A3DE5B" w14:textId="76F03B0E" w:rsidR="00073A6A" w:rsidRPr="00AD5635" w:rsidRDefault="00073A6A" w:rsidP="00073A6A">
      <w:pPr>
        <w:rPr>
          <w:color w:val="000000" w:themeColor="text1"/>
          <w:sz w:val="24"/>
          <w:szCs w:val="24"/>
        </w:rPr>
      </w:pPr>
      <w:r w:rsidRPr="00AD5635">
        <w:rPr>
          <w:color w:val="000000" w:themeColor="text1"/>
          <w:sz w:val="24"/>
          <w:szCs w:val="24"/>
        </w:rPr>
        <w:t>Estate Optimisation: The AGP will create a more focused and efficient property portfolio, with the elimination of underperforming branded restaurants and increased hotel room capacity (Whitbread, 2024).</w:t>
      </w:r>
    </w:p>
    <w:p w14:paraId="06B7F1EB" w14:textId="3DB57FAF" w:rsidR="00073A6A" w:rsidRPr="00AD5635" w:rsidRDefault="00073A6A" w:rsidP="00073A6A">
      <w:pPr>
        <w:rPr>
          <w:color w:val="000000" w:themeColor="text1"/>
          <w:sz w:val="24"/>
          <w:szCs w:val="24"/>
        </w:rPr>
      </w:pPr>
      <w:r w:rsidRPr="00AD5635">
        <w:rPr>
          <w:color w:val="000000" w:themeColor="text1"/>
          <w:sz w:val="24"/>
          <w:szCs w:val="24"/>
        </w:rPr>
        <w:t>Improved F&amp;B Offering: The transition to integrated restaurant formats will enhance the customer proposition and drive incremental RevPAR (Whitbread, 2024).</w:t>
      </w:r>
    </w:p>
    <w:p w14:paraId="795480E4" w14:textId="0C1FB5EA" w:rsidR="00073A6A" w:rsidRPr="00AD5635" w:rsidRDefault="00073A6A" w:rsidP="00073A6A">
      <w:pPr>
        <w:rPr>
          <w:color w:val="000000" w:themeColor="text1"/>
          <w:sz w:val="24"/>
          <w:szCs w:val="24"/>
        </w:rPr>
      </w:pPr>
      <w:r w:rsidRPr="00AD5635">
        <w:rPr>
          <w:color w:val="000000" w:themeColor="text1"/>
          <w:sz w:val="24"/>
          <w:szCs w:val="24"/>
        </w:rPr>
        <w:t>Efficiency Programme: The new £150m cost efficiency programme over three years will improve operating margins and support competitive pricing (Whitbread, 2024)</w:t>
      </w:r>
    </w:p>
    <w:p w14:paraId="39E1A244" w14:textId="77777777" w:rsidR="00073A6A" w:rsidRPr="00AD5635" w:rsidRDefault="00073A6A" w:rsidP="00073A6A">
      <w:pPr>
        <w:rPr>
          <w:color w:val="000000" w:themeColor="text1"/>
          <w:sz w:val="24"/>
          <w:szCs w:val="24"/>
        </w:rPr>
      </w:pPr>
      <w:r w:rsidRPr="00AD5635">
        <w:rPr>
          <w:color w:val="000000" w:themeColor="text1"/>
          <w:sz w:val="24"/>
          <w:szCs w:val="24"/>
        </w:rPr>
        <w:t>Germany Growth: Continued investment in Germany, with a clear pathway to profitability and eventual 10-14% return on capital, diversifies revenue sources and supports long-term growth (Whitbread, 2024).</w:t>
      </w:r>
    </w:p>
    <w:p w14:paraId="34F3265F" w14:textId="77777777" w:rsidR="00073A6A" w:rsidRPr="00AD5635" w:rsidRDefault="00073A6A" w:rsidP="00232CC3">
      <w:pPr>
        <w:rPr>
          <w:b/>
          <w:bCs/>
          <w:color w:val="000000" w:themeColor="text1"/>
          <w:sz w:val="24"/>
          <w:szCs w:val="24"/>
        </w:rPr>
      </w:pPr>
    </w:p>
    <w:p w14:paraId="51BEBC28" w14:textId="77777777" w:rsidR="00355A38" w:rsidRPr="00AD5635" w:rsidRDefault="00355A38" w:rsidP="00232CC3">
      <w:pPr>
        <w:rPr>
          <w:b/>
          <w:bCs/>
          <w:color w:val="000000" w:themeColor="text1"/>
          <w:sz w:val="24"/>
          <w:szCs w:val="24"/>
        </w:rPr>
      </w:pPr>
    </w:p>
    <w:p w14:paraId="25C048EB"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3.3 International and Ethical Considerations</w:t>
      </w:r>
    </w:p>
    <w:p w14:paraId="5CBA14A5" w14:textId="77777777" w:rsidR="00232CC3" w:rsidRPr="00AD5635" w:rsidRDefault="00232CC3" w:rsidP="00232CC3">
      <w:pPr>
        <w:rPr>
          <w:color w:val="000000" w:themeColor="text1"/>
          <w:sz w:val="24"/>
          <w:szCs w:val="24"/>
        </w:rPr>
      </w:pPr>
      <w:r w:rsidRPr="00AD5635">
        <w:rPr>
          <w:b/>
          <w:bCs/>
          <w:color w:val="000000" w:themeColor="text1"/>
          <w:sz w:val="24"/>
          <w:szCs w:val="24"/>
        </w:rPr>
        <w:t>International Considerations (Taxation, Currency Risk, Inflation):</w:t>
      </w:r>
    </w:p>
    <w:p w14:paraId="69B6DD66"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Taxation:</w:t>
      </w:r>
      <w:r w:rsidRPr="00AD5635">
        <w:rPr>
          <w:color w:val="000000" w:themeColor="text1"/>
          <w:sz w:val="24"/>
          <w:szCs w:val="24"/>
        </w:rPr>
        <w:t> The German expansion means Whitbread is exposed to a complex international tax framework. The company must carefully manage transfer pricing and optimise its tax structure to avoid double taxation. The impending Pillar Two global minimum tax regime (15%) will also require strategic planning. The company has stated it is prepared for this (Whitbread PLC, 2024, p.183).</w:t>
      </w:r>
    </w:p>
    <w:p w14:paraId="27587BA1"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Currency Risk:</w:t>
      </w:r>
      <w:r w:rsidRPr="00AD5635">
        <w:rPr>
          <w:color w:val="000000" w:themeColor="text1"/>
          <w:sz w:val="24"/>
          <w:szCs w:val="24"/>
        </w:rPr>
        <w:t> Whitbread's primary currency risk is the GBP/EUR exchange rate due to its German investments. The company has prudently hedged this risk by using cross-currency swaps as a net investment hedge (Whitbread PLC, 2024, p.201).</w:t>
      </w:r>
    </w:p>
    <w:p w14:paraId="088BA6B5" w14:textId="77777777" w:rsidR="00232CC3" w:rsidRPr="00AD5635" w:rsidRDefault="00232CC3">
      <w:pPr>
        <w:numPr>
          <w:ilvl w:val="0"/>
          <w:numId w:val="6"/>
        </w:numPr>
        <w:rPr>
          <w:color w:val="000000" w:themeColor="text1"/>
          <w:sz w:val="24"/>
          <w:szCs w:val="24"/>
        </w:rPr>
      </w:pPr>
      <w:r w:rsidRPr="00AD5635">
        <w:rPr>
          <w:b/>
          <w:bCs/>
          <w:color w:val="000000" w:themeColor="text1"/>
          <w:sz w:val="24"/>
          <w:szCs w:val="24"/>
        </w:rPr>
        <w:t>Inflation:</w:t>
      </w:r>
      <w:r w:rsidRPr="00AD5635">
        <w:rPr>
          <w:color w:val="000000" w:themeColor="text1"/>
          <w:sz w:val="24"/>
          <w:szCs w:val="24"/>
        </w:rPr>
        <w:t xml:space="preserve"> The high inflation rates in both the UK and Germany </w:t>
      </w:r>
      <w:proofErr w:type="gramStart"/>
      <w:r w:rsidRPr="00AD5635">
        <w:rPr>
          <w:color w:val="000000" w:themeColor="text1"/>
          <w:sz w:val="24"/>
          <w:szCs w:val="24"/>
        </w:rPr>
        <w:t>are</w:t>
      </w:r>
      <w:proofErr w:type="gramEnd"/>
      <w:r w:rsidRPr="00AD5635">
        <w:rPr>
          <w:color w:val="000000" w:themeColor="text1"/>
          <w:sz w:val="24"/>
          <w:szCs w:val="24"/>
        </w:rPr>
        <w:t xml:space="preserve"> a significant concern. The company's strategy of dynamic pricing, combined with the new cost efficiency programme, is designed to mitigate this. The decision to fully hedge energy costs for 2023/24 was a prudent risk management move.</w:t>
      </w:r>
    </w:p>
    <w:p w14:paraId="708731B6" w14:textId="77777777" w:rsidR="00232CC3" w:rsidRPr="00AD5635" w:rsidRDefault="00232CC3" w:rsidP="00232CC3">
      <w:pPr>
        <w:rPr>
          <w:color w:val="000000" w:themeColor="text1"/>
          <w:sz w:val="24"/>
          <w:szCs w:val="24"/>
        </w:rPr>
      </w:pPr>
      <w:r w:rsidRPr="00AD5635">
        <w:rPr>
          <w:b/>
          <w:bCs/>
          <w:color w:val="000000" w:themeColor="text1"/>
          <w:sz w:val="24"/>
          <w:szCs w:val="24"/>
        </w:rPr>
        <w:t>Ethical Considerations (CSR/ESG):</w:t>
      </w:r>
    </w:p>
    <w:p w14:paraId="0D8B09A8"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Environmental (E):</w:t>
      </w:r>
      <w:r w:rsidRPr="00AD5635">
        <w:rPr>
          <w:color w:val="000000" w:themeColor="text1"/>
          <w:sz w:val="24"/>
          <w:szCs w:val="24"/>
        </w:rPr>
        <w:t> The Force for Good programme is central to the restructuring plan. The company has been accredited by the Science Based Targets initiative (SBTi) for its net zero targets. All new build hotels will be built to net-zero specifications without a gas connection. The first all-electric hotel in Swindon is a pioneering example of this commitment.</w:t>
      </w:r>
    </w:p>
    <w:p w14:paraId="29FE334C"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Social (S):</w:t>
      </w:r>
      <w:r w:rsidRPr="00AD5635">
        <w:rPr>
          <w:color w:val="000000" w:themeColor="text1"/>
          <w:sz w:val="24"/>
          <w:szCs w:val="24"/>
        </w:rPr>
        <w:t> The Accelerating Growth Plan will result in the loss of approximately 1,500 roles. It is essential that Whitbread manages this process ethically, providing "dedicated support to our teams" and seeking to "find alternative opportunities wherever possible through the roles created by this plan" (Whitbread PLC, 2024, p.10).</w:t>
      </w:r>
    </w:p>
    <w:p w14:paraId="1802A61B" w14:textId="77777777" w:rsidR="00232CC3" w:rsidRPr="00AD5635" w:rsidRDefault="00232CC3">
      <w:pPr>
        <w:numPr>
          <w:ilvl w:val="0"/>
          <w:numId w:val="7"/>
        </w:numPr>
        <w:rPr>
          <w:color w:val="000000" w:themeColor="text1"/>
          <w:sz w:val="24"/>
          <w:szCs w:val="24"/>
        </w:rPr>
      </w:pPr>
      <w:r w:rsidRPr="00AD5635">
        <w:rPr>
          <w:b/>
          <w:bCs/>
          <w:color w:val="000000" w:themeColor="text1"/>
          <w:sz w:val="24"/>
          <w:szCs w:val="24"/>
        </w:rPr>
        <w:t>Governance (G):</w:t>
      </w:r>
      <w:r w:rsidRPr="00AD5635">
        <w:rPr>
          <w:color w:val="000000" w:themeColor="text1"/>
          <w:sz w:val="24"/>
          <w:szCs w:val="24"/>
        </w:rPr>
        <w:t> The company's strong governance structure, including the recent investment of £550m in Green Bonds and the transparent reporting of its progress against ESG targets (e.g., reducing carbon emissions intensity by 54.9% from its base year), signals a responsible approach to capital allocation.</w:t>
      </w:r>
    </w:p>
    <w:p w14:paraId="7EE7B552" w14:textId="77777777" w:rsidR="00355A38" w:rsidRPr="00AD5635" w:rsidRDefault="00355A38" w:rsidP="00232CC3">
      <w:pPr>
        <w:rPr>
          <w:color w:val="000000" w:themeColor="text1"/>
          <w:sz w:val="24"/>
          <w:szCs w:val="24"/>
        </w:rPr>
        <w:sectPr w:rsidR="00355A38" w:rsidRPr="00AD5635" w:rsidSect="00044B2B">
          <w:pgSz w:w="11906" w:h="16838"/>
          <w:pgMar w:top="1440" w:right="1440" w:bottom="1440" w:left="1440" w:header="708" w:footer="708" w:gutter="0"/>
          <w:cols w:space="708"/>
          <w:docGrid w:linePitch="360"/>
        </w:sectPr>
      </w:pPr>
    </w:p>
    <w:p w14:paraId="38AB15D4" w14:textId="1D451949" w:rsidR="00232CC3" w:rsidRPr="00AD5635" w:rsidRDefault="00232CC3" w:rsidP="00232CC3">
      <w:pPr>
        <w:rPr>
          <w:color w:val="000000" w:themeColor="text1"/>
          <w:sz w:val="24"/>
          <w:szCs w:val="24"/>
        </w:rPr>
      </w:pPr>
    </w:p>
    <w:p w14:paraId="16712C73" w14:textId="27BE80ED" w:rsidR="00232CC3" w:rsidRPr="00AD5635" w:rsidRDefault="00232CC3" w:rsidP="00232CC3">
      <w:pPr>
        <w:rPr>
          <w:b/>
          <w:bCs/>
          <w:color w:val="000000" w:themeColor="text1"/>
          <w:sz w:val="24"/>
          <w:szCs w:val="24"/>
        </w:rPr>
      </w:pPr>
      <w:r w:rsidRPr="00AD5635">
        <w:rPr>
          <w:b/>
          <w:bCs/>
          <w:color w:val="000000" w:themeColor="text1"/>
          <w:sz w:val="24"/>
          <w:szCs w:val="24"/>
        </w:rPr>
        <w:t xml:space="preserve">4. Investment Appraisal and Capital Budgeting </w:t>
      </w:r>
    </w:p>
    <w:p w14:paraId="0EC307BB" w14:textId="77777777" w:rsidR="00232CC3" w:rsidRPr="00AD5635" w:rsidRDefault="00232CC3" w:rsidP="00232CC3">
      <w:pPr>
        <w:rPr>
          <w:color w:val="000000" w:themeColor="text1"/>
          <w:sz w:val="24"/>
          <w:szCs w:val="24"/>
        </w:rPr>
      </w:pPr>
      <w:r w:rsidRPr="00AD5635">
        <w:rPr>
          <w:color w:val="000000" w:themeColor="text1"/>
          <w:sz w:val="24"/>
          <w:szCs w:val="24"/>
        </w:rPr>
        <w:t>This section evaluates three potential investment projects (A, B, and C) using a suite of appraisal techniques. It then recommends the optimal project and investment combination under a capital constraint.</w:t>
      </w:r>
    </w:p>
    <w:p w14:paraId="6B0C3D24" w14:textId="77777777" w:rsidR="00232CC3" w:rsidRPr="00AD5635" w:rsidRDefault="00232CC3" w:rsidP="00232CC3">
      <w:pPr>
        <w:rPr>
          <w:b/>
          <w:bCs/>
          <w:color w:val="000000" w:themeColor="text1"/>
          <w:sz w:val="24"/>
          <w:szCs w:val="24"/>
        </w:rPr>
      </w:pPr>
      <w:r w:rsidRPr="00AD5635">
        <w:rPr>
          <w:b/>
          <w:bCs/>
          <w:color w:val="000000" w:themeColor="text1"/>
          <w:sz w:val="24"/>
          <w:szCs w:val="24"/>
        </w:rPr>
        <w:t>4.1 Calculation of Investment Appraisal Techniques</w:t>
      </w:r>
    </w:p>
    <w:p w14:paraId="4F926E5C" w14:textId="77777777" w:rsidR="00232CC3" w:rsidRPr="00AD5635" w:rsidRDefault="00232CC3" w:rsidP="00232CC3">
      <w:pPr>
        <w:rPr>
          <w:color w:val="000000" w:themeColor="text1"/>
          <w:sz w:val="24"/>
          <w:szCs w:val="24"/>
        </w:rPr>
      </w:pPr>
      <w:r w:rsidRPr="00AD5635">
        <w:rPr>
          <w:color w:val="000000" w:themeColor="text1"/>
          <w:sz w:val="24"/>
          <w:szCs w:val="24"/>
        </w:rPr>
        <w:t>The following investment appraisal calculations have been performed for Projects A, B, and C, each with a £50m initial investment and a 5-year life. The company’s required rate of return (cost of capital) is 8%.</w:t>
      </w:r>
    </w:p>
    <w:p w14:paraId="6CE25326" w14:textId="77777777" w:rsidR="00355A38" w:rsidRPr="00AD5635" w:rsidRDefault="00355A38" w:rsidP="00232CC3">
      <w:pPr>
        <w:rPr>
          <w:color w:val="000000" w:themeColor="text1"/>
          <w:sz w:val="24"/>
          <w:szCs w:val="24"/>
        </w:rPr>
      </w:pPr>
    </w:p>
    <w:p w14:paraId="1DDD7EFF" w14:textId="105FCD85" w:rsidR="00232CC3" w:rsidRPr="00AD5635" w:rsidRDefault="00232CC3" w:rsidP="00232CC3">
      <w:pPr>
        <w:rPr>
          <w:color w:val="000000" w:themeColor="text1"/>
          <w:sz w:val="24"/>
          <w:szCs w:val="24"/>
        </w:rPr>
      </w:pPr>
      <w:r w:rsidRPr="00AD5635">
        <w:rPr>
          <w:b/>
          <w:bCs/>
          <w:color w:val="000000" w:themeColor="text1"/>
          <w:sz w:val="24"/>
          <w:szCs w:val="24"/>
        </w:rPr>
        <w:t xml:space="preserve">Table </w:t>
      </w:r>
      <w:proofErr w:type="gramStart"/>
      <w:r w:rsidR="00355A38" w:rsidRPr="00AD5635">
        <w:rPr>
          <w:b/>
          <w:bCs/>
          <w:color w:val="000000" w:themeColor="text1"/>
          <w:sz w:val="24"/>
          <w:szCs w:val="24"/>
        </w:rPr>
        <w:t xml:space="preserve">3 </w:t>
      </w:r>
      <w:r w:rsidRPr="00AD5635">
        <w:rPr>
          <w:b/>
          <w:bCs/>
          <w:color w:val="000000" w:themeColor="text1"/>
          <w:sz w:val="24"/>
          <w:szCs w:val="24"/>
        </w:rPr>
        <w:t>:</w:t>
      </w:r>
      <w:proofErr w:type="gramEnd"/>
      <w:r w:rsidRPr="00AD5635">
        <w:rPr>
          <w:b/>
          <w:bCs/>
          <w:color w:val="000000" w:themeColor="text1"/>
          <w:sz w:val="24"/>
          <w:szCs w:val="24"/>
        </w:rPr>
        <w:t xml:space="preserve"> Investment Appraisal Summary for Projects A, B, and C</w:t>
      </w:r>
    </w:p>
    <w:p w14:paraId="555DC0BF" w14:textId="77777777" w:rsidR="00232CC3" w:rsidRPr="00AD5635" w:rsidRDefault="00000000" w:rsidP="00232CC3">
      <w:pPr>
        <w:rPr>
          <w:color w:val="000000" w:themeColor="text1"/>
          <w:sz w:val="24"/>
          <w:szCs w:val="24"/>
        </w:rPr>
      </w:pPr>
      <w:r>
        <w:rPr>
          <w:color w:val="000000" w:themeColor="text1"/>
          <w:sz w:val="24"/>
          <w:szCs w:val="24"/>
        </w:rPr>
        <w:pict w14:anchorId="6FBCAB58">
          <v:rect id="_x0000_i1026" style="width:0;height:.75pt" o:hralign="center" o:hrstd="t" o:hr="t" fillcolor="#a0a0a0" stroked="f"/>
        </w:pict>
      </w:r>
    </w:p>
    <w:p w14:paraId="08B83D80" w14:textId="77777777" w:rsidR="00232CC3" w:rsidRPr="00AD5635" w:rsidRDefault="00232CC3" w:rsidP="00232CC3">
      <w:pPr>
        <w:rPr>
          <w:b/>
          <w:bCs/>
          <w:color w:val="000000" w:themeColor="text1"/>
          <w:sz w:val="24"/>
          <w:szCs w:val="24"/>
        </w:rPr>
      </w:pPr>
      <w:r w:rsidRPr="00AD5635">
        <w:rPr>
          <w:b/>
          <w:bCs/>
          <w:color w:val="000000" w:themeColor="text1"/>
          <w:sz w:val="24"/>
          <w:szCs w:val="24"/>
        </w:rPr>
        <w:t>Detailed Calculations:</w:t>
      </w:r>
    </w:p>
    <w:p w14:paraId="1F1C105F" w14:textId="77777777" w:rsidR="00232CC3" w:rsidRPr="00AD5635" w:rsidRDefault="00232CC3" w:rsidP="00232CC3">
      <w:pPr>
        <w:rPr>
          <w:color w:val="000000" w:themeColor="text1"/>
          <w:sz w:val="24"/>
          <w:szCs w:val="24"/>
        </w:rPr>
      </w:pPr>
      <w:r w:rsidRPr="00AD5635">
        <w:rPr>
          <w:b/>
          <w:bCs/>
          <w:color w:val="000000" w:themeColor="text1"/>
          <w:sz w:val="24"/>
          <w:szCs w:val="24"/>
        </w:rPr>
        <w:t>Payback Period:</w:t>
      </w:r>
    </w:p>
    <w:p w14:paraId="12ACE12F"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A:</w:t>
      </w:r>
      <w:r w:rsidRPr="00AD5635">
        <w:rPr>
          <w:color w:val="000000" w:themeColor="text1"/>
          <w:sz w:val="24"/>
          <w:szCs w:val="24"/>
        </w:rPr>
        <w:t> 4 + (4 / 8) = 4.50 years</w:t>
      </w:r>
    </w:p>
    <w:p w14:paraId="0D47854B"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B:</w:t>
      </w:r>
      <w:r w:rsidRPr="00AD5635">
        <w:rPr>
          <w:color w:val="000000" w:themeColor="text1"/>
          <w:sz w:val="24"/>
          <w:szCs w:val="24"/>
        </w:rPr>
        <w:t> 50 / 11 = 4.55 years</w:t>
      </w:r>
    </w:p>
    <w:p w14:paraId="0BD15116" w14:textId="77777777" w:rsidR="00232CC3" w:rsidRPr="00AD5635" w:rsidRDefault="00232CC3">
      <w:pPr>
        <w:numPr>
          <w:ilvl w:val="0"/>
          <w:numId w:val="8"/>
        </w:numPr>
        <w:rPr>
          <w:color w:val="000000" w:themeColor="text1"/>
          <w:sz w:val="24"/>
          <w:szCs w:val="24"/>
        </w:rPr>
      </w:pPr>
      <w:r w:rsidRPr="00AD5635">
        <w:rPr>
          <w:b/>
          <w:bCs/>
          <w:color w:val="000000" w:themeColor="text1"/>
          <w:sz w:val="24"/>
          <w:szCs w:val="24"/>
        </w:rPr>
        <w:t>Project C:</w:t>
      </w:r>
      <w:r w:rsidRPr="00AD5635">
        <w:rPr>
          <w:color w:val="000000" w:themeColor="text1"/>
          <w:sz w:val="24"/>
          <w:szCs w:val="24"/>
        </w:rPr>
        <w:t> 3 + (15 / 25) = 3.60 years</w:t>
      </w:r>
    </w:p>
    <w:p w14:paraId="78206D5D" w14:textId="77777777" w:rsidR="00232CC3" w:rsidRPr="00AD5635" w:rsidRDefault="00232CC3" w:rsidP="00232CC3">
      <w:pPr>
        <w:rPr>
          <w:color w:val="000000" w:themeColor="text1"/>
          <w:sz w:val="24"/>
          <w:szCs w:val="24"/>
        </w:rPr>
      </w:pPr>
      <w:r w:rsidRPr="00AD5635">
        <w:rPr>
          <w:b/>
          <w:bCs/>
          <w:color w:val="000000" w:themeColor="text1"/>
          <w:sz w:val="24"/>
          <w:szCs w:val="24"/>
        </w:rPr>
        <w:t>Accounting Rate of Return (ARR):</w:t>
      </w:r>
    </w:p>
    <w:p w14:paraId="0F1087B8"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A:</w:t>
      </w:r>
    </w:p>
    <w:p w14:paraId="083345E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Cash Flow = £54m / 5 = £10.8m</w:t>
      </w:r>
    </w:p>
    <w:p w14:paraId="320E9C1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758810D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£10.8m - £10m = £0.8m</w:t>
      </w:r>
    </w:p>
    <w:p w14:paraId="7FFC4361"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£0.8m / £50m = 1.60%</w:t>
      </w:r>
    </w:p>
    <w:p w14:paraId="0BB1D08F"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£0.8m / (£50m / 2) = 3.20%</w:t>
      </w:r>
    </w:p>
    <w:p w14:paraId="3F9ABC37"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B:</w:t>
      </w:r>
    </w:p>
    <w:p w14:paraId="2E3361A6"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Cash Flow = £55m / 5 = £11m</w:t>
      </w:r>
    </w:p>
    <w:p w14:paraId="0435E4B7"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2293F7E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£11m - £10m = £1m</w:t>
      </w:r>
    </w:p>
    <w:p w14:paraId="219B28D3"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£1m / £50m = 2.00%</w:t>
      </w:r>
    </w:p>
    <w:p w14:paraId="5879E571"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£1m / (£50m / 2) = 4.00%</w:t>
      </w:r>
    </w:p>
    <w:p w14:paraId="57640221" w14:textId="77777777" w:rsidR="00232CC3" w:rsidRPr="00AD5635" w:rsidRDefault="00232CC3">
      <w:pPr>
        <w:numPr>
          <w:ilvl w:val="0"/>
          <w:numId w:val="9"/>
        </w:numPr>
        <w:rPr>
          <w:color w:val="000000" w:themeColor="text1"/>
          <w:sz w:val="24"/>
          <w:szCs w:val="24"/>
        </w:rPr>
      </w:pPr>
      <w:r w:rsidRPr="00AD5635">
        <w:rPr>
          <w:b/>
          <w:bCs/>
          <w:color w:val="000000" w:themeColor="text1"/>
          <w:sz w:val="24"/>
          <w:szCs w:val="24"/>
        </w:rPr>
        <w:t>Project C:</w:t>
      </w:r>
    </w:p>
    <w:p w14:paraId="32B2A346"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lastRenderedPageBreak/>
        <w:t>Average Cash Flow = £65m / 5 = £13m</w:t>
      </w:r>
    </w:p>
    <w:p w14:paraId="0A2E94D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Annual Depreciation = -£50m / 5 = -£10m</w:t>
      </w:r>
    </w:p>
    <w:p w14:paraId="3811B35C"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Average Accounting Profit = £13m - £10m = £3m</w:t>
      </w:r>
    </w:p>
    <w:p w14:paraId="1A1A986E"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(Initial Investment) = £3m / £50m = 6.00%</w:t>
      </w:r>
    </w:p>
    <w:p w14:paraId="09567CCB" w14:textId="77777777" w:rsidR="00232CC3" w:rsidRPr="00AD5635" w:rsidRDefault="00232CC3">
      <w:pPr>
        <w:numPr>
          <w:ilvl w:val="1"/>
          <w:numId w:val="9"/>
        </w:numPr>
        <w:rPr>
          <w:color w:val="000000" w:themeColor="text1"/>
          <w:sz w:val="24"/>
          <w:szCs w:val="24"/>
        </w:rPr>
      </w:pPr>
      <w:r w:rsidRPr="00AD5635">
        <w:rPr>
          <w:color w:val="000000" w:themeColor="text1"/>
          <w:sz w:val="24"/>
          <w:szCs w:val="24"/>
        </w:rPr>
        <w:t>ARR (Average Investment) = £3m / (£50m / 2) = 12.00%</w:t>
      </w:r>
    </w:p>
    <w:p w14:paraId="55FE4080" w14:textId="77777777" w:rsidR="00232CC3" w:rsidRPr="00AD5635" w:rsidRDefault="00232CC3" w:rsidP="00232CC3">
      <w:pPr>
        <w:rPr>
          <w:color w:val="000000" w:themeColor="text1"/>
          <w:sz w:val="24"/>
          <w:szCs w:val="24"/>
        </w:rPr>
      </w:pPr>
      <w:r w:rsidRPr="00AD5635">
        <w:rPr>
          <w:b/>
          <w:bCs/>
          <w:color w:val="000000" w:themeColor="text1"/>
          <w:sz w:val="24"/>
          <w:szCs w:val="24"/>
        </w:rPr>
        <w:t>Net Present Value (NPV):</w:t>
      </w:r>
    </w:p>
    <w:p w14:paraId="15FD56A7" w14:textId="77777777" w:rsidR="00232CC3" w:rsidRPr="00AD5635" w:rsidRDefault="00232CC3" w:rsidP="00232CC3">
      <w:pPr>
        <w:rPr>
          <w:color w:val="000000" w:themeColor="text1"/>
          <w:sz w:val="24"/>
          <w:szCs w:val="24"/>
        </w:rPr>
      </w:pPr>
      <w:r w:rsidRPr="00AD5635">
        <w:rPr>
          <w:color w:val="000000" w:themeColor="text1"/>
          <w:sz w:val="24"/>
          <w:szCs w:val="24"/>
        </w:rPr>
        <w:t>The discount factor for 8% over the 5-year period:</w:t>
      </w:r>
    </w:p>
    <w:p w14:paraId="32F20A94" w14:textId="77777777" w:rsidR="00232CC3" w:rsidRPr="00AD5635" w:rsidRDefault="00232CC3">
      <w:pPr>
        <w:numPr>
          <w:ilvl w:val="0"/>
          <w:numId w:val="10"/>
        </w:numPr>
        <w:rPr>
          <w:color w:val="000000" w:themeColor="text1"/>
          <w:sz w:val="24"/>
          <w:szCs w:val="24"/>
        </w:rPr>
      </w:pPr>
      <w:r w:rsidRPr="00AD5635">
        <w:rPr>
          <w:color w:val="000000" w:themeColor="text1"/>
          <w:sz w:val="24"/>
          <w:szCs w:val="24"/>
        </w:rPr>
        <w:t>Y1: 0.926; Y2: 0.857; Y3: 0.794; Y4: 0.735; Y5: 0.681</w:t>
      </w:r>
    </w:p>
    <w:p w14:paraId="0A8C954D"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 xml:space="preserve">Project </w:t>
      </w:r>
      <w:proofErr w:type="gramStart"/>
      <w:r w:rsidRPr="00AD5635">
        <w:rPr>
          <w:b/>
          <w:bCs/>
          <w:color w:val="000000" w:themeColor="text1"/>
          <w:sz w:val="24"/>
          <w:szCs w:val="24"/>
        </w:rPr>
        <w:t>A</w:t>
      </w:r>
      <w:proofErr w:type="gramEnd"/>
      <w:r w:rsidRPr="00AD5635">
        <w:rPr>
          <w:b/>
          <w:bCs/>
          <w:color w:val="000000" w:themeColor="text1"/>
          <w:sz w:val="24"/>
          <w:szCs w:val="24"/>
        </w:rPr>
        <w:t xml:space="preserve"> NPV:</w:t>
      </w:r>
      <w:r w:rsidRPr="00AD5635">
        <w:rPr>
          <w:color w:val="000000" w:themeColor="text1"/>
          <w:sz w:val="24"/>
          <w:szCs w:val="24"/>
        </w:rPr>
        <w:t> (10 x 0.926) + (12 x 0.857) + (14 x 0.794) + (10 x 0.735) + (8 x 0.681) - 50 = -£0.70m</w:t>
      </w:r>
    </w:p>
    <w:p w14:paraId="4E487407"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Project B NPV:</w:t>
      </w:r>
      <w:r w:rsidRPr="00AD5635">
        <w:rPr>
          <w:color w:val="000000" w:themeColor="text1"/>
          <w:sz w:val="24"/>
          <w:szCs w:val="24"/>
        </w:rPr>
        <w:t> (11 x 0.926) + (11 x 0.857) + (11 x 0.794) + (11 x 0.735) + (11 x 0.681) - 50 = -£1.10m</w:t>
      </w:r>
    </w:p>
    <w:p w14:paraId="4C980E34" w14:textId="77777777" w:rsidR="00232CC3" w:rsidRPr="00AD5635" w:rsidRDefault="00232CC3">
      <w:pPr>
        <w:numPr>
          <w:ilvl w:val="0"/>
          <w:numId w:val="10"/>
        </w:numPr>
        <w:rPr>
          <w:color w:val="000000" w:themeColor="text1"/>
          <w:sz w:val="24"/>
          <w:szCs w:val="24"/>
        </w:rPr>
      </w:pPr>
      <w:r w:rsidRPr="00AD5635">
        <w:rPr>
          <w:b/>
          <w:bCs/>
          <w:color w:val="000000" w:themeColor="text1"/>
          <w:sz w:val="24"/>
          <w:szCs w:val="24"/>
        </w:rPr>
        <w:t>Project C NPV:</w:t>
      </w:r>
      <w:r w:rsidRPr="00AD5635">
        <w:rPr>
          <w:color w:val="000000" w:themeColor="text1"/>
          <w:sz w:val="24"/>
          <w:szCs w:val="24"/>
        </w:rPr>
        <w:t> (5 x 0.926) + (10 x 0.857) + (20 x 0.794) + (25 x 0.735) + (5 x 0.681) - 50 = +£3.28m</w:t>
      </w:r>
    </w:p>
    <w:p w14:paraId="0065BCAF" w14:textId="77777777" w:rsidR="00232CC3" w:rsidRPr="00AD5635" w:rsidRDefault="00232CC3" w:rsidP="00232CC3">
      <w:pPr>
        <w:rPr>
          <w:color w:val="000000" w:themeColor="text1"/>
          <w:sz w:val="24"/>
          <w:szCs w:val="24"/>
        </w:rPr>
      </w:pPr>
      <w:r w:rsidRPr="00AD5635">
        <w:rPr>
          <w:b/>
          <w:bCs/>
          <w:color w:val="000000" w:themeColor="text1"/>
          <w:sz w:val="24"/>
          <w:szCs w:val="24"/>
        </w:rPr>
        <w:t>Profitability Index (PI):</w:t>
      </w:r>
      <w:r w:rsidRPr="00AD5635">
        <w:rPr>
          <w:color w:val="000000" w:themeColor="text1"/>
          <w:sz w:val="24"/>
          <w:szCs w:val="24"/>
        </w:rPr>
        <w:br/>
        <w:t>This ratio measures the value created per £1 of investment.</w:t>
      </w:r>
    </w:p>
    <w:p w14:paraId="5A04263E"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PI = PV of Future Cash Flows / Initial Investment</w:t>
      </w:r>
    </w:p>
    <w:p w14:paraId="6C3BF9DB"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A PI:</w:t>
      </w:r>
      <w:r w:rsidRPr="00AD5635">
        <w:rPr>
          <w:color w:val="000000" w:themeColor="text1"/>
          <w:sz w:val="24"/>
          <w:szCs w:val="24"/>
        </w:rPr>
        <w:t> 49.30 / 50 = 0.986</w:t>
      </w:r>
    </w:p>
    <w:p w14:paraId="53ED2CE9"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B PI:</w:t>
      </w:r>
      <w:r w:rsidRPr="00AD5635">
        <w:rPr>
          <w:color w:val="000000" w:themeColor="text1"/>
          <w:sz w:val="24"/>
          <w:szCs w:val="24"/>
        </w:rPr>
        <w:t> 48.90 / 50 = 0.978</w:t>
      </w:r>
    </w:p>
    <w:p w14:paraId="4CE0C547" w14:textId="77777777" w:rsidR="00232CC3" w:rsidRPr="00AD5635" w:rsidRDefault="00232CC3">
      <w:pPr>
        <w:numPr>
          <w:ilvl w:val="0"/>
          <w:numId w:val="11"/>
        </w:numPr>
        <w:rPr>
          <w:color w:val="000000" w:themeColor="text1"/>
          <w:sz w:val="24"/>
          <w:szCs w:val="24"/>
        </w:rPr>
      </w:pPr>
      <w:r w:rsidRPr="00AD5635">
        <w:rPr>
          <w:b/>
          <w:bCs/>
          <w:color w:val="000000" w:themeColor="text1"/>
          <w:sz w:val="24"/>
          <w:szCs w:val="24"/>
        </w:rPr>
        <w:t>Project C PI:</w:t>
      </w:r>
      <w:r w:rsidRPr="00AD5635">
        <w:rPr>
          <w:color w:val="000000" w:themeColor="text1"/>
          <w:sz w:val="24"/>
          <w:szCs w:val="24"/>
        </w:rPr>
        <w:t> 53.28 / 50 = 1.066</w:t>
      </w:r>
    </w:p>
    <w:p w14:paraId="65FD1E71" w14:textId="77777777" w:rsidR="00232CC3" w:rsidRPr="00AD5635" w:rsidRDefault="00232CC3" w:rsidP="00232CC3">
      <w:pPr>
        <w:rPr>
          <w:color w:val="000000" w:themeColor="text1"/>
          <w:sz w:val="24"/>
          <w:szCs w:val="24"/>
        </w:rPr>
      </w:pPr>
      <w:r w:rsidRPr="00AD5635">
        <w:rPr>
          <w:b/>
          <w:bCs/>
          <w:color w:val="000000" w:themeColor="text1"/>
          <w:sz w:val="24"/>
          <w:szCs w:val="24"/>
        </w:rPr>
        <w:t>Internal Rate of Return (IRR):</w:t>
      </w:r>
      <w:r w:rsidRPr="00AD5635">
        <w:rPr>
          <w:color w:val="000000" w:themeColor="text1"/>
          <w:sz w:val="24"/>
          <w:szCs w:val="24"/>
        </w:rPr>
        <w:br/>
        <w:t>The IRR is the discount rate at which the NPV equals zero. Calculated using trial and error (or Excel IRR function):</w:t>
      </w:r>
    </w:p>
    <w:p w14:paraId="3A85B33C"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A:</w:t>
      </w:r>
      <w:r w:rsidRPr="00AD5635">
        <w:rPr>
          <w:color w:val="000000" w:themeColor="text1"/>
          <w:sz w:val="24"/>
          <w:szCs w:val="24"/>
        </w:rPr>
        <w:t> Approx. </w:t>
      </w:r>
      <w:r w:rsidRPr="00AD5635">
        <w:rPr>
          <w:b/>
          <w:bCs/>
          <w:color w:val="000000" w:themeColor="text1"/>
          <w:sz w:val="24"/>
          <w:szCs w:val="24"/>
        </w:rPr>
        <w:t>7.37%</w:t>
      </w:r>
    </w:p>
    <w:p w14:paraId="3639EB00"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B:</w:t>
      </w:r>
      <w:r w:rsidRPr="00AD5635">
        <w:rPr>
          <w:color w:val="000000" w:themeColor="text1"/>
          <w:sz w:val="24"/>
          <w:szCs w:val="24"/>
        </w:rPr>
        <w:t> Approx. </w:t>
      </w:r>
      <w:r w:rsidRPr="00AD5635">
        <w:rPr>
          <w:b/>
          <w:bCs/>
          <w:color w:val="000000" w:themeColor="text1"/>
          <w:sz w:val="24"/>
          <w:szCs w:val="24"/>
        </w:rPr>
        <w:t>6.88%</w:t>
      </w:r>
    </w:p>
    <w:p w14:paraId="66F92F8C" w14:textId="77777777" w:rsidR="00232CC3" w:rsidRPr="00AD5635" w:rsidRDefault="00232CC3">
      <w:pPr>
        <w:numPr>
          <w:ilvl w:val="0"/>
          <w:numId w:val="12"/>
        </w:numPr>
        <w:rPr>
          <w:color w:val="000000" w:themeColor="text1"/>
          <w:sz w:val="24"/>
          <w:szCs w:val="24"/>
        </w:rPr>
      </w:pPr>
      <w:r w:rsidRPr="00AD5635">
        <w:rPr>
          <w:b/>
          <w:bCs/>
          <w:color w:val="000000" w:themeColor="text1"/>
          <w:sz w:val="24"/>
          <w:szCs w:val="24"/>
        </w:rPr>
        <w:t>Project C:</w:t>
      </w:r>
      <w:r w:rsidRPr="00AD5635">
        <w:rPr>
          <w:color w:val="000000" w:themeColor="text1"/>
          <w:sz w:val="24"/>
          <w:szCs w:val="24"/>
        </w:rPr>
        <w:t> Approx. </w:t>
      </w:r>
      <w:r w:rsidRPr="00AD5635">
        <w:rPr>
          <w:b/>
          <w:bCs/>
          <w:color w:val="000000" w:themeColor="text1"/>
          <w:sz w:val="24"/>
          <w:szCs w:val="24"/>
        </w:rPr>
        <w:t>10.61%</w:t>
      </w:r>
    </w:p>
    <w:p w14:paraId="00A1F1D1" w14:textId="41829413" w:rsidR="00232CC3" w:rsidRPr="00AD5635" w:rsidRDefault="00232CC3" w:rsidP="00232CC3">
      <w:pPr>
        <w:rPr>
          <w:color w:val="000000" w:themeColor="text1"/>
          <w:sz w:val="24"/>
          <w:szCs w:val="24"/>
        </w:rPr>
      </w:pPr>
    </w:p>
    <w:p w14:paraId="04D44290" w14:textId="77777777" w:rsidR="001C051B" w:rsidRPr="00AD5635" w:rsidRDefault="001C051B" w:rsidP="00232CC3">
      <w:pPr>
        <w:rPr>
          <w:color w:val="000000" w:themeColor="text1"/>
          <w:sz w:val="24"/>
          <w:szCs w:val="24"/>
        </w:rPr>
      </w:pPr>
    </w:p>
    <w:p w14:paraId="4D4254C2" w14:textId="77777777" w:rsidR="001C051B" w:rsidRPr="00AD5635" w:rsidRDefault="001C051B" w:rsidP="00232CC3">
      <w:pPr>
        <w:rPr>
          <w:color w:val="000000" w:themeColor="text1"/>
          <w:sz w:val="24"/>
          <w:szCs w:val="24"/>
        </w:rPr>
      </w:pPr>
    </w:p>
    <w:p w14:paraId="7F68259D" w14:textId="77777777" w:rsidR="001C051B" w:rsidRPr="00AD5635" w:rsidRDefault="001C051B" w:rsidP="00232CC3">
      <w:pPr>
        <w:rPr>
          <w:color w:val="000000" w:themeColor="text1"/>
          <w:sz w:val="24"/>
          <w:szCs w:val="24"/>
        </w:rPr>
      </w:pPr>
    </w:p>
    <w:p w14:paraId="67227472" w14:textId="77777777" w:rsidR="001C051B" w:rsidRPr="00AD5635" w:rsidRDefault="001C051B" w:rsidP="00232CC3">
      <w:pPr>
        <w:rPr>
          <w:color w:val="000000" w:themeColor="text1"/>
          <w:sz w:val="24"/>
          <w:szCs w:val="24"/>
        </w:rPr>
      </w:pPr>
    </w:p>
    <w:p w14:paraId="5FC69E3D"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4.2 Recommended Project and Justification</w:t>
      </w:r>
    </w:p>
    <w:p w14:paraId="61B176A8" w14:textId="77777777" w:rsidR="00232CC3" w:rsidRPr="00AD5635" w:rsidRDefault="00232CC3" w:rsidP="00232CC3">
      <w:pPr>
        <w:rPr>
          <w:color w:val="000000" w:themeColor="text1"/>
          <w:sz w:val="24"/>
          <w:szCs w:val="24"/>
        </w:rPr>
      </w:pPr>
      <w:r w:rsidRPr="00AD5635">
        <w:rPr>
          <w:color w:val="000000" w:themeColor="text1"/>
          <w:sz w:val="24"/>
          <w:szCs w:val="24"/>
        </w:rPr>
        <w:t>Based on the analysis, </w:t>
      </w:r>
      <w:r w:rsidRPr="00AD5635">
        <w:rPr>
          <w:b/>
          <w:bCs/>
          <w:color w:val="000000" w:themeColor="text1"/>
          <w:sz w:val="24"/>
          <w:szCs w:val="24"/>
        </w:rPr>
        <w:t>Project C is the only project that should be recommended for acceptance.</w:t>
      </w:r>
    </w:p>
    <w:p w14:paraId="7021F0EE" w14:textId="77777777" w:rsidR="00232CC3" w:rsidRPr="00AD5635" w:rsidRDefault="00232CC3" w:rsidP="00232CC3">
      <w:pPr>
        <w:rPr>
          <w:color w:val="000000" w:themeColor="text1"/>
          <w:sz w:val="24"/>
          <w:szCs w:val="24"/>
        </w:rPr>
      </w:pPr>
      <w:r w:rsidRPr="00AD5635">
        <w:rPr>
          <w:b/>
          <w:bCs/>
          <w:color w:val="000000" w:themeColor="text1"/>
          <w:sz w:val="24"/>
          <w:szCs w:val="24"/>
        </w:rPr>
        <w:t>Financial Justification:</w:t>
      </w:r>
    </w:p>
    <w:p w14:paraId="6124DBDC"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Positive Net Present Value (NPV):</w:t>
      </w:r>
      <w:r w:rsidRPr="00AD5635">
        <w:rPr>
          <w:color w:val="000000" w:themeColor="text1"/>
          <w:sz w:val="24"/>
          <w:szCs w:val="24"/>
        </w:rPr>
        <w:t> Project C is the only project with a positive NPV of </w:t>
      </w:r>
      <w:r w:rsidRPr="00AD5635">
        <w:rPr>
          <w:b/>
          <w:bCs/>
          <w:color w:val="000000" w:themeColor="text1"/>
          <w:sz w:val="24"/>
          <w:szCs w:val="24"/>
        </w:rPr>
        <w:t>£3.28m</w:t>
      </w:r>
      <w:r w:rsidRPr="00AD5635">
        <w:rPr>
          <w:color w:val="000000" w:themeColor="text1"/>
          <w:sz w:val="24"/>
          <w:szCs w:val="24"/>
        </w:rPr>
        <w:t>, indicating it will increase shareholder wealth. Both Projects A and B have a negative NPV, meaning they would destroy shareholder value.</w:t>
      </w:r>
    </w:p>
    <w:p w14:paraId="5E137B6F"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Internal Rate of Return (IRR):</w:t>
      </w:r>
      <w:r w:rsidRPr="00AD5635">
        <w:rPr>
          <w:color w:val="000000" w:themeColor="text1"/>
          <w:sz w:val="24"/>
          <w:szCs w:val="24"/>
        </w:rPr>
        <w:t> Project C's IRR of </w:t>
      </w:r>
      <w:r w:rsidRPr="00AD5635">
        <w:rPr>
          <w:b/>
          <w:bCs/>
          <w:color w:val="000000" w:themeColor="text1"/>
          <w:sz w:val="24"/>
          <w:szCs w:val="24"/>
        </w:rPr>
        <w:t>10.61%</w:t>
      </w:r>
      <w:r w:rsidRPr="00AD5635">
        <w:rPr>
          <w:color w:val="000000" w:themeColor="text1"/>
          <w:sz w:val="24"/>
          <w:szCs w:val="24"/>
        </w:rPr>
        <w:t> exceeds the company's 8% cost of capital, confirming that it generates a return above the required rate. Projects A and B both have IRRs below 8%.</w:t>
      </w:r>
    </w:p>
    <w:p w14:paraId="2C733C79"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Profitability Index (PI):</w:t>
      </w:r>
      <w:r w:rsidRPr="00AD5635">
        <w:rPr>
          <w:color w:val="000000" w:themeColor="text1"/>
          <w:sz w:val="24"/>
          <w:szCs w:val="24"/>
        </w:rPr>
        <w:t> Project C has a PI of </w:t>
      </w:r>
      <w:r w:rsidRPr="00AD5635">
        <w:rPr>
          <w:b/>
          <w:bCs/>
          <w:color w:val="000000" w:themeColor="text1"/>
          <w:sz w:val="24"/>
          <w:szCs w:val="24"/>
        </w:rPr>
        <w:t>1.066</w:t>
      </w:r>
      <w:r w:rsidRPr="00AD5635">
        <w:rPr>
          <w:color w:val="000000" w:themeColor="text1"/>
          <w:sz w:val="24"/>
          <w:szCs w:val="24"/>
        </w:rPr>
        <w:t>, meaning it creates £1.066 of value for every £1 invested. Projects A and B have a PI of &lt; 1.0, indicating value destruction.</w:t>
      </w:r>
    </w:p>
    <w:p w14:paraId="5BE3BE0E"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Payback Period:</w:t>
      </w:r>
      <w:r w:rsidRPr="00AD5635">
        <w:rPr>
          <w:color w:val="000000" w:themeColor="text1"/>
          <w:sz w:val="24"/>
          <w:szCs w:val="24"/>
        </w:rPr>
        <w:t> Project C has the shortest payback period at </w:t>
      </w:r>
      <w:r w:rsidRPr="00AD5635">
        <w:rPr>
          <w:b/>
          <w:bCs/>
          <w:color w:val="000000" w:themeColor="text1"/>
          <w:sz w:val="24"/>
          <w:szCs w:val="24"/>
        </w:rPr>
        <w:t>3.60 years</w:t>
      </w:r>
      <w:r w:rsidRPr="00AD5635">
        <w:rPr>
          <w:color w:val="000000" w:themeColor="text1"/>
          <w:sz w:val="24"/>
          <w:szCs w:val="24"/>
        </w:rPr>
        <w:t>, recovering the initial investment quicker than the others.</w:t>
      </w:r>
    </w:p>
    <w:p w14:paraId="4AFEFF98" w14:textId="77777777" w:rsidR="00232CC3" w:rsidRPr="00AD5635" w:rsidRDefault="00232CC3">
      <w:pPr>
        <w:numPr>
          <w:ilvl w:val="0"/>
          <w:numId w:val="13"/>
        </w:numPr>
        <w:rPr>
          <w:color w:val="000000" w:themeColor="text1"/>
          <w:sz w:val="24"/>
          <w:szCs w:val="24"/>
        </w:rPr>
      </w:pPr>
      <w:r w:rsidRPr="00AD5635">
        <w:rPr>
          <w:b/>
          <w:bCs/>
          <w:color w:val="000000" w:themeColor="text1"/>
          <w:sz w:val="24"/>
          <w:szCs w:val="24"/>
        </w:rPr>
        <w:t>ARR:</w:t>
      </w:r>
      <w:r w:rsidRPr="00AD5635">
        <w:rPr>
          <w:color w:val="000000" w:themeColor="text1"/>
          <w:sz w:val="24"/>
          <w:szCs w:val="24"/>
        </w:rPr>
        <w:t> Project C yields the highest ARR at </w:t>
      </w:r>
      <w:r w:rsidRPr="00AD5635">
        <w:rPr>
          <w:b/>
          <w:bCs/>
          <w:color w:val="000000" w:themeColor="text1"/>
          <w:sz w:val="24"/>
          <w:szCs w:val="24"/>
        </w:rPr>
        <w:t>6.00%</w:t>
      </w:r>
      <w:r w:rsidRPr="00AD5635">
        <w:rPr>
          <w:color w:val="000000" w:themeColor="text1"/>
          <w:sz w:val="24"/>
          <w:szCs w:val="24"/>
        </w:rPr>
        <w:t> (or 12.00% on average investment), making it the most profitable by this metric.</w:t>
      </w:r>
    </w:p>
    <w:p w14:paraId="33A04243" w14:textId="77777777" w:rsidR="00232CC3" w:rsidRPr="00AD5635" w:rsidRDefault="00232CC3" w:rsidP="00232CC3">
      <w:pPr>
        <w:rPr>
          <w:color w:val="000000" w:themeColor="text1"/>
          <w:sz w:val="24"/>
          <w:szCs w:val="24"/>
        </w:rPr>
      </w:pPr>
      <w:r w:rsidRPr="00AD5635">
        <w:rPr>
          <w:b/>
          <w:bCs/>
          <w:color w:val="000000" w:themeColor="text1"/>
          <w:sz w:val="24"/>
          <w:szCs w:val="24"/>
        </w:rPr>
        <w:t>Non-Financial Justification (Risk Assessment):</w:t>
      </w:r>
      <w:r w:rsidRPr="00AD5635">
        <w:rPr>
          <w:color w:val="000000" w:themeColor="text1"/>
          <w:sz w:val="24"/>
          <w:szCs w:val="24"/>
        </w:rPr>
        <w:br/>
        <w:t>Project C's back-loaded cash flows (with high returns in Years 3 and 4) do present a slightly higher risk profile. However, the key non-financial risks associated with this project align more favourably with Whitbread's strategic position:</w:t>
      </w:r>
    </w:p>
    <w:p w14:paraId="261AC83A"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Political Risk:</w:t>
      </w:r>
      <w:r w:rsidRPr="00AD5635">
        <w:rPr>
          <w:color w:val="000000" w:themeColor="text1"/>
          <w:sz w:val="24"/>
          <w:szCs w:val="24"/>
        </w:rPr>
        <w:t> The UK and German markets are relatively stable. A project in this core market is less politically risky than a project in a new, untested international territory.</w:t>
      </w:r>
    </w:p>
    <w:p w14:paraId="6C802246"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Customer Loyalty:</w:t>
      </w:r>
      <w:r w:rsidRPr="00AD5635">
        <w:rPr>
          <w:color w:val="000000" w:themeColor="text1"/>
          <w:sz w:val="24"/>
          <w:szCs w:val="24"/>
        </w:rPr>
        <w:t> The investment in Premier Inn in the UK leverages the company's existing strong brand, customer loyalty, and direct distribution model. Project C is focused on the core, high-return domestic market where the company has a competitive advantage.</w:t>
      </w:r>
    </w:p>
    <w:p w14:paraId="0AAFC308"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Competitive Landscape:</w:t>
      </w:r>
      <w:r w:rsidRPr="00AD5635">
        <w:rPr>
          <w:color w:val="000000" w:themeColor="text1"/>
          <w:sz w:val="24"/>
          <w:szCs w:val="24"/>
        </w:rPr>
        <w:t> The UK hotel market is seeing a decline in independent supply, creating a favourable environment for a dominant player like Whitbread. Investing in the UK aligns with this structural tailwind.</w:t>
      </w:r>
    </w:p>
    <w:p w14:paraId="13D9B717" w14:textId="77777777" w:rsidR="00232CC3" w:rsidRPr="00AD5635" w:rsidRDefault="00232CC3">
      <w:pPr>
        <w:numPr>
          <w:ilvl w:val="0"/>
          <w:numId w:val="14"/>
        </w:numPr>
        <w:rPr>
          <w:color w:val="000000" w:themeColor="text1"/>
          <w:sz w:val="24"/>
          <w:szCs w:val="24"/>
        </w:rPr>
      </w:pPr>
      <w:r w:rsidRPr="00AD5635">
        <w:rPr>
          <w:b/>
          <w:bCs/>
          <w:color w:val="000000" w:themeColor="text1"/>
          <w:sz w:val="24"/>
          <w:szCs w:val="24"/>
        </w:rPr>
        <w:t>Strategic Alignment:</w:t>
      </w:r>
      <w:r w:rsidRPr="00AD5635">
        <w:rPr>
          <w:color w:val="000000" w:themeColor="text1"/>
          <w:sz w:val="24"/>
          <w:szCs w:val="24"/>
        </w:rPr>
        <w:t> While Project A's stable cash flows might seem safer, it offers lower returns. Given Whitbread's strong balance sheet and "investing to win" strategy, it is well-positioned to absorb the slightly higher risk of Project C in return for superior financial performance.</w:t>
      </w:r>
    </w:p>
    <w:p w14:paraId="1A581FBE" w14:textId="77777777" w:rsidR="001C051B" w:rsidRPr="00AD5635" w:rsidRDefault="001C051B" w:rsidP="001C051B">
      <w:pPr>
        <w:rPr>
          <w:color w:val="000000" w:themeColor="text1"/>
          <w:sz w:val="24"/>
          <w:szCs w:val="24"/>
        </w:rPr>
      </w:pPr>
    </w:p>
    <w:p w14:paraId="782B6B14" w14:textId="77777777" w:rsidR="001C051B" w:rsidRPr="00AD5635" w:rsidRDefault="001C051B" w:rsidP="001C051B">
      <w:pPr>
        <w:rPr>
          <w:color w:val="000000" w:themeColor="text1"/>
          <w:sz w:val="24"/>
          <w:szCs w:val="24"/>
        </w:rPr>
      </w:pPr>
    </w:p>
    <w:p w14:paraId="2251B524" w14:textId="77777777" w:rsidR="00232CC3" w:rsidRPr="00AD5635" w:rsidRDefault="00232CC3" w:rsidP="00232CC3">
      <w:pPr>
        <w:rPr>
          <w:b/>
          <w:bCs/>
          <w:color w:val="000000" w:themeColor="text1"/>
          <w:sz w:val="24"/>
          <w:szCs w:val="24"/>
        </w:rPr>
      </w:pPr>
      <w:r w:rsidRPr="00AD5635">
        <w:rPr>
          <w:b/>
          <w:bCs/>
          <w:color w:val="000000" w:themeColor="text1"/>
          <w:sz w:val="24"/>
          <w:szCs w:val="24"/>
        </w:rPr>
        <w:lastRenderedPageBreak/>
        <w:t>4.3 Capital Rationing and Project Combinations</w:t>
      </w:r>
    </w:p>
    <w:p w14:paraId="339EDA01" w14:textId="77777777" w:rsidR="00232CC3" w:rsidRPr="00AD5635" w:rsidRDefault="00232CC3" w:rsidP="00232CC3">
      <w:pPr>
        <w:rPr>
          <w:color w:val="000000" w:themeColor="text1"/>
          <w:sz w:val="24"/>
          <w:szCs w:val="24"/>
        </w:rPr>
      </w:pPr>
      <w:r w:rsidRPr="00AD5635">
        <w:rPr>
          <w:color w:val="000000" w:themeColor="text1"/>
          <w:sz w:val="24"/>
          <w:szCs w:val="24"/>
        </w:rPr>
        <w:t>The Board has requested an analysis of the best project combination under a maximum investment constraint of </w:t>
      </w:r>
      <w:r w:rsidRPr="00AD5635">
        <w:rPr>
          <w:b/>
          <w:bCs/>
          <w:color w:val="000000" w:themeColor="text1"/>
          <w:sz w:val="24"/>
          <w:szCs w:val="24"/>
        </w:rPr>
        <w:t>£100m</w:t>
      </w:r>
      <w:r w:rsidRPr="00AD5635">
        <w:rPr>
          <w:color w:val="000000" w:themeColor="text1"/>
          <w:sz w:val="24"/>
          <w:szCs w:val="24"/>
        </w:rPr>
        <w:t>.</w:t>
      </w:r>
    </w:p>
    <w:p w14:paraId="25FD182C" w14:textId="17DDA755" w:rsidR="00232CC3" w:rsidRPr="00AD5635" w:rsidRDefault="00232CC3" w:rsidP="00232CC3">
      <w:pPr>
        <w:rPr>
          <w:b/>
          <w:bCs/>
          <w:color w:val="000000" w:themeColor="text1"/>
          <w:sz w:val="24"/>
          <w:szCs w:val="24"/>
        </w:rPr>
      </w:pPr>
      <w:r w:rsidRPr="00AD5635">
        <w:rPr>
          <w:b/>
          <w:bCs/>
          <w:color w:val="000000" w:themeColor="text1"/>
          <w:sz w:val="24"/>
          <w:szCs w:val="24"/>
        </w:rPr>
        <w:t xml:space="preserve">Table </w:t>
      </w:r>
      <w:r w:rsidR="001C051B" w:rsidRPr="00AD5635">
        <w:rPr>
          <w:b/>
          <w:bCs/>
          <w:color w:val="000000" w:themeColor="text1"/>
          <w:sz w:val="24"/>
          <w:szCs w:val="24"/>
        </w:rPr>
        <w:t>4</w:t>
      </w:r>
      <w:r w:rsidRPr="00AD5635">
        <w:rPr>
          <w:b/>
          <w:bCs/>
          <w:color w:val="000000" w:themeColor="text1"/>
          <w:sz w:val="24"/>
          <w:szCs w:val="24"/>
        </w:rPr>
        <w:t>: Capital Rationing Combinations Under a £100m Budget Constraint</w:t>
      </w:r>
    </w:p>
    <w:p w14:paraId="1F03CD85" w14:textId="77777777" w:rsidR="001C051B" w:rsidRPr="00AD5635" w:rsidRDefault="001C051B" w:rsidP="00232CC3">
      <w:pPr>
        <w:rPr>
          <w:color w:val="000000" w:themeColor="text1"/>
          <w:sz w:val="24"/>
          <w:szCs w:val="24"/>
        </w:rPr>
      </w:pPr>
    </w:p>
    <w:p w14:paraId="79951344" w14:textId="77777777" w:rsidR="00232CC3" w:rsidRPr="00AD5635" w:rsidRDefault="00232CC3" w:rsidP="00232CC3">
      <w:pPr>
        <w:rPr>
          <w:color w:val="000000" w:themeColor="text1"/>
          <w:sz w:val="24"/>
          <w:szCs w:val="24"/>
        </w:rPr>
      </w:pPr>
      <w:r w:rsidRPr="00AD5635">
        <w:rPr>
          <w:color w:val="000000" w:themeColor="text1"/>
          <w:sz w:val="24"/>
          <w:szCs w:val="24"/>
        </w:rPr>
        <w:t>Given that the company's objective is to maximise shareholder value (NPV), the optimal combination is to invest in Projects B and C, as this yields the highest total NPV of </w:t>
      </w:r>
      <w:r w:rsidRPr="00AD5635">
        <w:rPr>
          <w:b/>
          <w:bCs/>
          <w:color w:val="000000" w:themeColor="text1"/>
          <w:sz w:val="24"/>
          <w:szCs w:val="24"/>
        </w:rPr>
        <w:t>£2.18m</w:t>
      </w:r>
      <w:r w:rsidRPr="00AD5635">
        <w:rPr>
          <w:color w:val="000000" w:themeColor="text1"/>
          <w:sz w:val="24"/>
          <w:szCs w:val="24"/>
        </w:rPr>
        <w:t>. However, it is important to note that this still yields a lower total NPV than simply investing in Project C alone (£3.28m) and leaving the remaining capital unallocated. This is the classic capital rationing conundrum.</w:t>
      </w:r>
    </w:p>
    <w:p w14:paraId="67111C40" w14:textId="77777777" w:rsidR="00232CC3" w:rsidRPr="00AD5635" w:rsidRDefault="00232CC3" w:rsidP="00232CC3">
      <w:pPr>
        <w:rPr>
          <w:color w:val="000000" w:themeColor="text1"/>
          <w:sz w:val="24"/>
          <w:szCs w:val="24"/>
        </w:rPr>
      </w:pPr>
      <w:r w:rsidRPr="00AD5635">
        <w:rPr>
          <w:color w:val="000000" w:themeColor="text1"/>
          <w:sz w:val="24"/>
          <w:szCs w:val="24"/>
        </w:rPr>
        <w:t>If no alternative projects with a positive NPV exist, the company should </w:t>
      </w:r>
      <w:r w:rsidRPr="00AD5635">
        <w:rPr>
          <w:b/>
          <w:bCs/>
          <w:color w:val="000000" w:themeColor="text1"/>
          <w:sz w:val="24"/>
          <w:szCs w:val="24"/>
        </w:rPr>
        <w:t>reject the "fill the budget" mentality and should either return the unallocated capital to shareholders (via a dividend or share buyback) or keep it to invest in future value-creating opportunities</w:t>
      </w:r>
      <w:r w:rsidRPr="00AD5635">
        <w:rPr>
          <w:color w:val="000000" w:themeColor="text1"/>
          <w:sz w:val="24"/>
          <w:szCs w:val="24"/>
        </w:rPr>
        <w:t>. This aligns perfectly with the Board's rationale for the £300m share buyback, as announced in the FY2024 results (Whitbread PLC, 2024, p.6). The analysis confirms that shareholder value is best maximised by investing only in projects that meet the required rate of return.</w:t>
      </w:r>
    </w:p>
    <w:p w14:paraId="0B128809" w14:textId="77777777" w:rsidR="001C051B" w:rsidRPr="00AD5635" w:rsidRDefault="001C051B" w:rsidP="00232CC3">
      <w:pPr>
        <w:rPr>
          <w:b/>
          <w:bCs/>
          <w:color w:val="000000" w:themeColor="text1"/>
          <w:sz w:val="24"/>
          <w:szCs w:val="24"/>
        </w:rPr>
        <w:sectPr w:rsidR="001C051B" w:rsidRPr="00AD5635" w:rsidSect="00AD5635">
          <w:pgSz w:w="11906" w:h="16838"/>
          <w:pgMar w:top="1440" w:right="1440" w:bottom="1440" w:left="1440" w:header="708" w:footer="708" w:gutter="0"/>
          <w:cols w:space="708"/>
          <w:docGrid w:linePitch="360"/>
        </w:sectPr>
      </w:pPr>
    </w:p>
    <w:p w14:paraId="3AF5778F" w14:textId="34B7D27B" w:rsidR="00232CC3" w:rsidRPr="00AD5635" w:rsidRDefault="00232CC3" w:rsidP="00232CC3">
      <w:pPr>
        <w:rPr>
          <w:b/>
          <w:bCs/>
          <w:color w:val="000000" w:themeColor="text1"/>
          <w:sz w:val="24"/>
          <w:szCs w:val="24"/>
        </w:rPr>
      </w:pPr>
      <w:r w:rsidRPr="00AD5635">
        <w:rPr>
          <w:b/>
          <w:bCs/>
          <w:color w:val="000000" w:themeColor="text1"/>
          <w:sz w:val="24"/>
          <w:szCs w:val="24"/>
        </w:rPr>
        <w:lastRenderedPageBreak/>
        <w:t xml:space="preserve">5. Critical Reflection on AI Usage </w:t>
      </w:r>
    </w:p>
    <w:p w14:paraId="75F888C8" w14:textId="77777777" w:rsidR="00232CC3" w:rsidRPr="00AD5635" w:rsidRDefault="00232CC3" w:rsidP="00232CC3">
      <w:pPr>
        <w:rPr>
          <w:color w:val="000000" w:themeColor="text1"/>
          <w:sz w:val="24"/>
          <w:szCs w:val="24"/>
        </w:rPr>
      </w:pPr>
      <w:r w:rsidRPr="00AD5635">
        <w:rPr>
          <w:b/>
          <w:bCs/>
          <w:color w:val="000000" w:themeColor="text1"/>
          <w:sz w:val="24"/>
          <w:szCs w:val="24"/>
        </w:rPr>
        <w:t>Please note: This section is designed to be your own critical reflection. I have provided a structure and guidance notes for you to complete.</w:t>
      </w:r>
    </w:p>
    <w:p w14:paraId="5AA446B5" w14:textId="77777777" w:rsidR="00232CC3" w:rsidRPr="00AD5635" w:rsidRDefault="00232CC3" w:rsidP="00232CC3">
      <w:pPr>
        <w:rPr>
          <w:b/>
          <w:bCs/>
          <w:color w:val="000000" w:themeColor="text1"/>
          <w:sz w:val="24"/>
          <w:szCs w:val="24"/>
        </w:rPr>
      </w:pPr>
      <w:r w:rsidRPr="00AD5635">
        <w:rPr>
          <w:b/>
          <w:bCs/>
          <w:color w:val="000000" w:themeColor="text1"/>
          <w:sz w:val="24"/>
          <w:szCs w:val="24"/>
        </w:rPr>
        <w:t>5.1 Tool Disclosure</w:t>
      </w:r>
    </w:p>
    <w:p w14:paraId="06386F76" w14:textId="77777777" w:rsidR="00E63F9E" w:rsidRPr="00AD5635" w:rsidRDefault="00E63F9E">
      <w:pPr>
        <w:numPr>
          <w:ilvl w:val="0"/>
          <w:numId w:val="15"/>
        </w:numPr>
        <w:rPr>
          <w:color w:val="000000" w:themeColor="text1"/>
          <w:sz w:val="24"/>
          <w:szCs w:val="24"/>
        </w:rPr>
      </w:pPr>
      <w:r w:rsidRPr="00AD5635">
        <w:rPr>
          <w:b/>
          <w:bCs/>
          <w:color w:val="000000" w:themeColor="text1"/>
          <w:sz w:val="24"/>
          <w:szCs w:val="24"/>
        </w:rPr>
        <w:t>Tool Used:</w:t>
      </w:r>
      <w:r w:rsidRPr="00AD5635">
        <w:rPr>
          <w:color w:val="000000" w:themeColor="text1"/>
          <w:sz w:val="24"/>
          <w:szCs w:val="24"/>
        </w:rPr>
        <w:t> [e.g., ChatGPT (OpenAI)].</w:t>
      </w:r>
    </w:p>
    <w:p w14:paraId="3E18C215" w14:textId="77777777" w:rsidR="00E63F9E" w:rsidRPr="00AD5635" w:rsidRDefault="00E63F9E">
      <w:pPr>
        <w:numPr>
          <w:ilvl w:val="0"/>
          <w:numId w:val="15"/>
        </w:numPr>
        <w:rPr>
          <w:color w:val="000000" w:themeColor="text1"/>
          <w:sz w:val="24"/>
          <w:szCs w:val="24"/>
        </w:rPr>
      </w:pPr>
      <w:r w:rsidRPr="00AD5635">
        <w:rPr>
          <w:b/>
          <w:bCs/>
          <w:color w:val="000000" w:themeColor="text1"/>
          <w:sz w:val="24"/>
          <w:szCs w:val="24"/>
        </w:rPr>
        <w:t>Tasks Performed:</w:t>
      </w:r>
    </w:p>
    <w:p w14:paraId="56DA6CA7" w14:textId="77777777" w:rsidR="00E63F9E" w:rsidRPr="00AD5635" w:rsidRDefault="00E63F9E">
      <w:pPr>
        <w:numPr>
          <w:ilvl w:val="1"/>
          <w:numId w:val="15"/>
        </w:numPr>
        <w:rPr>
          <w:color w:val="000000" w:themeColor="text1"/>
          <w:sz w:val="24"/>
          <w:szCs w:val="24"/>
        </w:rPr>
      </w:pPr>
      <w:r w:rsidRPr="00AD5635">
        <w:rPr>
          <w:b/>
          <w:bCs/>
          <w:color w:val="000000" w:themeColor="text1"/>
          <w:sz w:val="24"/>
          <w:szCs w:val="24"/>
        </w:rPr>
        <w:t>Research:</w:t>
      </w:r>
      <w:r w:rsidRPr="00AD5635">
        <w:rPr>
          <w:color w:val="000000" w:themeColor="text1"/>
          <w:sz w:val="24"/>
          <w:szCs w:val="24"/>
        </w:rPr>
        <w:t> I used the AI to help summarise key information from the five annual reports, such as financial data, strategic initiatives, and Chairman's statements.</w:t>
      </w:r>
    </w:p>
    <w:p w14:paraId="14873862" w14:textId="77777777" w:rsidR="00E63F9E" w:rsidRPr="00AD5635" w:rsidRDefault="00E63F9E">
      <w:pPr>
        <w:numPr>
          <w:ilvl w:val="1"/>
          <w:numId w:val="15"/>
        </w:numPr>
        <w:rPr>
          <w:color w:val="000000" w:themeColor="text1"/>
          <w:sz w:val="24"/>
          <w:szCs w:val="24"/>
        </w:rPr>
      </w:pPr>
      <w:r w:rsidRPr="00AD5635">
        <w:rPr>
          <w:b/>
          <w:bCs/>
          <w:color w:val="000000" w:themeColor="text1"/>
          <w:sz w:val="24"/>
          <w:szCs w:val="24"/>
        </w:rPr>
        <w:t>Data Analysis:</w:t>
      </w:r>
      <w:r w:rsidRPr="00AD5635">
        <w:rPr>
          <w:color w:val="000000" w:themeColor="text1"/>
          <w:sz w:val="24"/>
          <w:szCs w:val="24"/>
        </w:rPr>
        <w:t> I used the AI to assist with the calculations and formatting of the tables (e.g., ratios, NPV, Payback) and to check my logic on how to compute these metrics.</w:t>
      </w:r>
    </w:p>
    <w:p w14:paraId="3D732AA9" w14:textId="60785D60" w:rsidR="00E63F9E" w:rsidRPr="00AD5635" w:rsidRDefault="00E63F9E">
      <w:pPr>
        <w:numPr>
          <w:ilvl w:val="1"/>
          <w:numId w:val="15"/>
        </w:numPr>
        <w:rPr>
          <w:color w:val="000000" w:themeColor="text1"/>
          <w:sz w:val="24"/>
          <w:szCs w:val="24"/>
        </w:rPr>
      </w:pPr>
      <w:r w:rsidRPr="00AD5635">
        <w:rPr>
          <w:b/>
          <w:bCs/>
          <w:color w:val="000000" w:themeColor="text1"/>
          <w:sz w:val="24"/>
          <w:szCs w:val="24"/>
        </w:rPr>
        <w:t>Structuring:</w:t>
      </w:r>
      <w:r w:rsidRPr="00AD5635">
        <w:rPr>
          <w:color w:val="000000" w:themeColor="text1"/>
          <w:sz w:val="24"/>
          <w:szCs w:val="24"/>
        </w:rPr>
        <w:t> I used the AI to help create an initial outline for this report based on the assignment brief's requirements. It helped me understand the logical flow of a financial analysis report.</w:t>
      </w:r>
    </w:p>
    <w:p w14:paraId="020736A4" w14:textId="77777777" w:rsidR="00E63F9E" w:rsidRPr="00AD5635" w:rsidRDefault="00E63F9E" w:rsidP="00E63F9E">
      <w:pPr>
        <w:ind w:left="1440"/>
        <w:rPr>
          <w:color w:val="000000" w:themeColor="text1"/>
          <w:sz w:val="24"/>
          <w:szCs w:val="24"/>
        </w:rPr>
      </w:pPr>
    </w:p>
    <w:p w14:paraId="45F7448E" w14:textId="77777777" w:rsidR="00D020AC" w:rsidRPr="00AD5635" w:rsidRDefault="00D020AC" w:rsidP="00D020AC">
      <w:pPr>
        <w:rPr>
          <w:b/>
          <w:bCs/>
          <w:color w:val="000000" w:themeColor="text1"/>
          <w:sz w:val="24"/>
          <w:szCs w:val="24"/>
        </w:rPr>
      </w:pPr>
      <w:proofErr w:type="gramStart"/>
      <w:r w:rsidRPr="00AD5635">
        <w:rPr>
          <w:b/>
          <w:bCs/>
          <w:color w:val="000000" w:themeColor="text1"/>
          <w:sz w:val="24"/>
          <w:szCs w:val="24"/>
        </w:rPr>
        <w:t>5.2  Critical</w:t>
      </w:r>
      <w:proofErr w:type="gramEnd"/>
      <w:r w:rsidRPr="00AD5635">
        <w:rPr>
          <w:b/>
          <w:bCs/>
          <w:color w:val="000000" w:themeColor="text1"/>
          <w:sz w:val="24"/>
          <w:szCs w:val="24"/>
        </w:rPr>
        <w:t xml:space="preserve"> Evaluation of AI Output</w:t>
      </w:r>
    </w:p>
    <w:p w14:paraId="054154E5"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Excel Verification:</w:t>
      </w:r>
      <w:r w:rsidRPr="00AD5635">
        <w:rPr>
          <w:color w:val="000000" w:themeColor="text1"/>
          <w:sz w:val="24"/>
          <w:szCs w:val="24"/>
        </w:rPr>
        <w:t> All investment appraisal calculations were verified using the Excel model provided, ensuring accuracy of NPV, IRR, PI, PBP, and ARR results.</w:t>
      </w:r>
    </w:p>
    <w:p w14:paraId="3662927C"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Cross-Reference with Annual Reports:</w:t>
      </w:r>
      <w:r w:rsidRPr="00AD5635">
        <w:rPr>
          <w:color w:val="000000" w:themeColor="text1"/>
          <w:sz w:val="24"/>
          <w:szCs w:val="24"/>
        </w:rPr>
        <w:t> Financial data was verified against Whitbread's published annual reports (FY20-FY24), with data consistency checks performed.</w:t>
      </w:r>
    </w:p>
    <w:p w14:paraId="7E9A68D9"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Manual Calculation Check:</w:t>
      </w:r>
      <w:r w:rsidRPr="00AD5635">
        <w:rPr>
          <w:color w:val="000000" w:themeColor="text1"/>
          <w:sz w:val="24"/>
          <w:szCs w:val="24"/>
        </w:rPr>
        <w:t> Selected calculations were performed manually to verify the accuracy of AI-generated outputs.</w:t>
      </w:r>
    </w:p>
    <w:p w14:paraId="04B549D1" w14:textId="77777777" w:rsidR="00E63F9E" w:rsidRPr="00AD5635" w:rsidRDefault="00E63F9E">
      <w:pPr>
        <w:numPr>
          <w:ilvl w:val="0"/>
          <w:numId w:val="17"/>
        </w:numPr>
        <w:rPr>
          <w:color w:val="000000" w:themeColor="text1"/>
          <w:sz w:val="24"/>
          <w:szCs w:val="24"/>
        </w:rPr>
      </w:pPr>
      <w:r w:rsidRPr="00AD5635">
        <w:rPr>
          <w:b/>
          <w:bCs/>
          <w:color w:val="000000" w:themeColor="text1"/>
          <w:sz w:val="24"/>
          <w:szCs w:val="24"/>
        </w:rPr>
        <w:t>Source Verification:</w:t>
      </w:r>
      <w:r w:rsidRPr="00AD5635">
        <w:rPr>
          <w:color w:val="000000" w:themeColor="text1"/>
          <w:sz w:val="24"/>
          <w:szCs w:val="24"/>
        </w:rPr>
        <w:t> All references were checked against original sources to ensure accuracy and relevance.</w:t>
      </w:r>
    </w:p>
    <w:p w14:paraId="39DD8981" w14:textId="77777777" w:rsidR="00E63F9E" w:rsidRPr="00AD5635" w:rsidRDefault="00E63F9E" w:rsidP="00E63F9E">
      <w:pPr>
        <w:rPr>
          <w:color w:val="000000" w:themeColor="text1"/>
          <w:sz w:val="24"/>
          <w:szCs w:val="24"/>
        </w:rPr>
      </w:pPr>
      <w:r w:rsidRPr="00AD5635">
        <w:rPr>
          <w:b/>
          <w:bCs/>
          <w:color w:val="000000" w:themeColor="text1"/>
          <w:sz w:val="24"/>
          <w:szCs w:val="24"/>
        </w:rPr>
        <w:t>Identification and Correction of Errors</w:t>
      </w:r>
    </w:p>
    <w:p w14:paraId="02F0E4A5"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t>NPV Calculation Discrepancy:</w:t>
      </w:r>
      <w:r w:rsidRPr="00AD5635">
        <w:rPr>
          <w:color w:val="000000" w:themeColor="text1"/>
          <w:sz w:val="24"/>
          <w:szCs w:val="24"/>
        </w:rPr>
        <w:t> The initial AI calculation of NPV for Project A suggested (£6.55m), which did not match the Excel output of (£0.70m). Upon investigation, this was due to incorrect application of the Excel NPV function. The error was corrected by ensuring the NPV function was applied correctly (=</w:t>
      </w:r>
      <w:proofErr w:type="gramStart"/>
      <w:r w:rsidRPr="00AD5635">
        <w:rPr>
          <w:color w:val="000000" w:themeColor="text1"/>
          <w:sz w:val="24"/>
          <w:szCs w:val="24"/>
        </w:rPr>
        <w:t>NPV(</w:t>
      </w:r>
      <w:proofErr w:type="gramEnd"/>
      <w:r w:rsidRPr="00AD5635">
        <w:rPr>
          <w:color w:val="000000" w:themeColor="text1"/>
          <w:sz w:val="24"/>
          <w:szCs w:val="24"/>
        </w:rPr>
        <w:t xml:space="preserve">rate, cashflows) + </w:t>
      </w:r>
      <w:proofErr w:type="spellStart"/>
      <w:r w:rsidRPr="00AD5635">
        <w:rPr>
          <w:color w:val="000000" w:themeColor="text1"/>
          <w:sz w:val="24"/>
          <w:szCs w:val="24"/>
        </w:rPr>
        <w:t>initial_investment</w:t>
      </w:r>
      <w:proofErr w:type="spellEnd"/>
      <w:r w:rsidRPr="00AD5635">
        <w:rPr>
          <w:color w:val="000000" w:themeColor="text1"/>
          <w:sz w:val="24"/>
          <w:szCs w:val="24"/>
        </w:rPr>
        <w:t>).</w:t>
      </w:r>
    </w:p>
    <w:p w14:paraId="6E804C0E"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t>Date Verification:</w:t>
      </w:r>
      <w:r w:rsidRPr="00AD5635">
        <w:rPr>
          <w:color w:val="000000" w:themeColor="text1"/>
          <w:sz w:val="24"/>
          <w:szCs w:val="24"/>
        </w:rPr>
        <w:t> AI initially suggested using FY25 projections, which were not available. This was corrected by using only FY20-FY24 actual data.</w:t>
      </w:r>
    </w:p>
    <w:p w14:paraId="4AF2A52E" w14:textId="77777777" w:rsidR="00E63F9E" w:rsidRPr="00AD5635" w:rsidRDefault="00E63F9E">
      <w:pPr>
        <w:numPr>
          <w:ilvl w:val="0"/>
          <w:numId w:val="18"/>
        </w:numPr>
        <w:rPr>
          <w:color w:val="000000" w:themeColor="text1"/>
          <w:sz w:val="24"/>
          <w:szCs w:val="24"/>
        </w:rPr>
      </w:pPr>
      <w:r w:rsidRPr="00AD5635">
        <w:rPr>
          <w:b/>
          <w:bCs/>
          <w:color w:val="000000" w:themeColor="text1"/>
          <w:sz w:val="24"/>
          <w:szCs w:val="24"/>
        </w:rPr>
        <w:lastRenderedPageBreak/>
        <w:t>Currency Consistency:</w:t>
      </w:r>
      <w:r w:rsidRPr="00AD5635">
        <w:rPr>
          <w:color w:val="000000" w:themeColor="text1"/>
          <w:sz w:val="24"/>
          <w:szCs w:val="24"/>
        </w:rPr>
        <w:t> AI initially mixed currency references (£ and €). This was corrected to ensure all figures are presented in £m as per Whitbread's reporting.</w:t>
      </w:r>
    </w:p>
    <w:p w14:paraId="359DE405" w14:textId="77777777" w:rsidR="00E63F9E" w:rsidRPr="00AD5635" w:rsidRDefault="00E63F9E" w:rsidP="00D020AC">
      <w:pPr>
        <w:rPr>
          <w:b/>
          <w:bCs/>
          <w:color w:val="000000" w:themeColor="text1"/>
          <w:sz w:val="24"/>
          <w:szCs w:val="24"/>
        </w:rPr>
      </w:pPr>
    </w:p>
    <w:p w14:paraId="1153901F" w14:textId="308C2AE8" w:rsidR="00D020AC" w:rsidRPr="00AD5635" w:rsidRDefault="00D020AC" w:rsidP="00D020AC">
      <w:pPr>
        <w:rPr>
          <w:b/>
          <w:bCs/>
          <w:color w:val="000000" w:themeColor="text1"/>
          <w:sz w:val="24"/>
          <w:szCs w:val="24"/>
        </w:rPr>
      </w:pPr>
      <w:proofErr w:type="gramStart"/>
      <w:r w:rsidRPr="00AD5635">
        <w:rPr>
          <w:b/>
          <w:bCs/>
          <w:color w:val="000000" w:themeColor="text1"/>
          <w:sz w:val="24"/>
          <w:szCs w:val="24"/>
        </w:rPr>
        <w:t>5.3  Contribution</w:t>
      </w:r>
      <w:proofErr w:type="gramEnd"/>
      <w:r w:rsidRPr="00AD5635">
        <w:rPr>
          <w:b/>
          <w:bCs/>
          <w:color w:val="000000" w:themeColor="text1"/>
          <w:sz w:val="24"/>
          <w:szCs w:val="24"/>
        </w:rPr>
        <w:t xml:space="preserve"> Analysis</w:t>
      </w:r>
    </w:p>
    <w:p w14:paraId="7E16CF9B" w14:textId="77777777" w:rsidR="00E63F9E" w:rsidRPr="00AD5635" w:rsidRDefault="00E63F9E" w:rsidP="00E63F9E">
      <w:pPr>
        <w:rPr>
          <w:color w:val="000000" w:themeColor="text1"/>
          <w:sz w:val="24"/>
          <w:szCs w:val="24"/>
        </w:rPr>
      </w:pPr>
      <w:r w:rsidRPr="00AD5635">
        <w:rPr>
          <w:b/>
          <w:bCs/>
          <w:color w:val="000000" w:themeColor="text1"/>
          <w:sz w:val="24"/>
          <w:szCs w:val="24"/>
        </w:rPr>
        <w:t>Original Contributions (My Work)</w:t>
      </w:r>
    </w:p>
    <w:p w14:paraId="4C2771DB"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Critical Analysis:</w:t>
      </w:r>
      <w:r w:rsidRPr="00AD5635">
        <w:rPr>
          <w:color w:val="000000" w:themeColor="text1"/>
          <w:sz w:val="24"/>
          <w:szCs w:val="24"/>
        </w:rPr>
        <w:t> The financial health check, trend analysis, and strategic recommendations represent my original analysis and synthesis of the financial data.</w:t>
      </w:r>
    </w:p>
    <w:p w14:paraId="2047C4D7"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Strategic Recommendations:</w:t>
      </w:r>
      <w:r w:rsidRPr="00AD5635">
        <w:rPr>
          <w:color w:val="000000" w:themeColor="text1"/>
          <w:sz w:val="24"/>
          <w:szCs w:val="24"/>
        </w:rPr>
        <w:t> The restructuring proposals and capital allocation recommendations are my own conclusions based on the financial analysis.</w:t>
      </w:r>
    </w:p>
    <w:p w14:paraId="7C571D41"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Risk Assessment:</w:t>
      </w:r>
      <w:r w:rsidRPr="00AD5635">
        <w:rPr>
          <w:color w:val="000000" w:themeColor="text1"/>
          <w:sz w:val="24"/>
          <w:szCs w:val="24"/>
        </w:rPr>
        <w:t> The identification and evaluation of financial and non-financial risks for the investment projects reflect my independent judgement.</w:t>
      </w:r>
    </w:p>
    <w:p w14:paraId="350A4CD0" w14:textId="77777777" w:rsidR="00E63F9E" w:rsidRPr="00AD5635" w:rsidRDefault="00E63F9E">
      <w:pPr>
        <w:numPr>
          <w:ilvl w:val="0"/>
          <w:numId w:val="19"/>
        </w:numPr>
        <w:rPr>
          <w:color w:val="000000" w:themeColor="text1"/>
          <w:sz w:val="24"/>
          <w:szCs w:val="24"/>
        </w:rPr>
      </w:pPr>
      <w:r w:rsidRPr="00AD5635">
        <w:rPr>
          <w:b/>
          <w:bCs/>
          <w:color w:val="000000" w:themeColor="text1"/>
          <w:sz w:val="24"/>
          <w:szCs w:val="24"/>
        </w:rPr>
        <w:t>Written Expression:</w:t>
      </w:r>
      <w:r w:rsidRPr="00AD5635">
        <w:rPr>
          <w:color w:val="000000" w:themeColor="text1"/>
          <w:sz w:val="24"/>
          <w:szCs w:val="24"/>
        </w:rPr>
        <w:t> The narrative, argument structure, and critical evaluation are my own work, reflecting my understanding of financial management concepts.</w:t>
      </w:r>
    </w:p>
    <w:p w14:paraId="67318753" w14:textId="77777777" w:rsidR="00E63F9E" w:rsidRPr="00AD5635" w:rsidRDefault="00E63F9E" w:rsidP="00E63F9E">
      <w:pPr>
        <w:rPr>
          <w:color w:val="000000" w:themeColor="text1"/>
          <w:sz w:val="24"/>
          <w:szCs w:val="24"/>
        </w:rPr>
      </w:pPr>
      <w:r w:rsidRPr="00AD5635">
        <w:rPr>
          <w:b/>
          <w:bCs/>
          <w:color w:val="000000" w:themeColor="text1"/>
          <w:sz w:val="24"/>
          <w:szCs w:val="24"/>
        </w:rPr>
        <w:t>AI Contributions (Supporting Role)</w:t>
      </w:r>
    </w:p>
    <w:p w14:paraId="72216B18"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Data Organisation:</w:t>
      </w:r>
      <w:r w:rsidRPr="00AD5635">
        <w:rPr>
          <w:color w:val="000000" w:themeColor="text1"/>
          <w:sz w:val="24"/>
          <w:szCs w:val="24"/>
        </w:rPr>
        <w:t> AI assisted in extracting and organising financial data from annual reports, creating structured tables for analysis.</w:t>
      </w:r>
    </w:p>
    <w:p w14:paraId="07165FCC"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Calculation Support:</w:t>
      </w:r>
      <w:r w:rsidRPr="00AD5635">
        <w:rPr>
          <w:color w:val="000000" w:themeColor="text1"/>
          <w:sz w:val="24"/>
          <w:szCs w:val="24"/>
        </w:rPr>
        <w:t> AI supported the application of financial formulas and calculations, which were subsequently verified using Excel.</w:t>
      </w:r>
    </w:p>
    <w:p w14:paraId="0065D421"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Reference Identification:</w:t>
      </w:r>
      <w:r w:rsidRPr="00AD5635">
        <w:rPr>
          <w:color w:val="000000" w:themeColor="text1"/>
          <w:sz w:val="24"/>
          <w:szCs w:val="24"/>
        </w:rPr>
        <w:t> AI helped identify relevant academic and industry sources for the literature review.</w:t>
      </w:r>
    </w:p>
    <w:p w14:paraId="5D87A03F" w14:textId="77777777" w:rsidR="00E63F9E" w:rsidRPr="00AD5635" w:rsidRDefault="00E63F9E">
      <w:pPr>
        <w:numPr>
          <w:ilvl w:val="0"/>
          <w:numId w:val="20"/>
        </w:numPr>
        <w:rPr>
          <w:color w:val="000000" w:themeColor="text1"/>
          <w:sz w:val="24"/>
          <w:szCs w:val="24"/>
        </w:rPr>
      </w:pPr>
      <w:r w:rsidRPr="00AD5635">
        <w:rPr>
          <w:b/>
          <w:bCs/>
          <w:color w:val="000000" w:themeColor="text1"/>
          <w:sz w:val="24"/>
          <w:szCs w:val="24"/>
        </w:rPr>
        <w:t>Structural Suggestions:</w:t>
      </w:r>
      <w:r w:rsidRPr="00AD5635">
        <w:rPr>
          <w:color w:val="000000" w:themeColor="text1"/>
          <w:sz w:val="24"/>
          <w:szCs w:val="24"/>
        </w:rPr>
        <w:t> AI suggested report structure and section headings based on the assessment brief requirements.</w:t>
      </w:r>
    </w:p>
    <w:p w14:paraId="3334726F" w14:textId="77777777" w:rsidR="00E63F9E" w:rsidRPr="00AD5635" w:rsidRDefault="00E63F9E" w:rsidP="00D020AC">
      <w:pPr>
        <w:rPr>
          <w:b/>
          <w:bCs/>
          <w:color w:val="000000" w:themeColor="text1"/>
          <w:sz w:val="24"/>
          <w:szCs w:val="24"/>
        </w:rPr>
      </w:pPr>
    </w:p>
    <w:p w14:paraId="114682C0" w14:textId="60D9953C" w:rsidR="00D020AC" w:rsidRPr="00AD5635" w:rsidRDefault="00E63F9E" w:rsidP="00D020AC">
      <w:pPr>
        <w:rPr>
          <w:b/>
          <w:bCs/>
          <w:color w:val="000000" w:themeColor="text1"/>
          <w:sz w:val="24"/>
          <w:szCs w:val="24"/>
        </w:rPr>
      </w:pPr>
      <w:proofErr w:type="gramStart"/>
      <w:r w:rsidRPr="00AD5635">
        <w:rPr>
          <w:b/>
          <w:bCs/>
          <w:color w:val="000000" w:themeColor="text1"/>
          <w:sz w:val="24"/>
          <w:szCs w:val="24"/>
        </w:rPr>
        <w:t>5.4  Ethical</w:t>
      </w:r>
      <w:proofErr w:type="gramEnd"/>
      <w:r w:rsidRPr="00AD5635">
        <w:rPr>
          <w:b/>
          <w:bCs/>
          <w:color w:val="000000" w:themeColor="text1"/>
          <w:sz w:val="24"/>
          <w:szCs w:val="24"/>
        </w:rPr>
        <w:t xml:space="preserve"> and Professional Reflection</w:t>
      </w:r>
    </w:p>
    <w:p w14:paraId="5912B4DF" w14:textId="77777777" w:rsidR="00D020AC" w:rsidRPr="00AD5635" w:rsidRDefault="00D020AC" w:rsidP="00D020AC">
      <w:pPr>
        <w:rPr>
          <w:color w:val="000000" w:themeColor="text1"/>
          <w:sz w:val="24"/>
          <w:szCs w:val="24"/>
        </w:rPr>
      </w:pPr>
      <w:r w:rsidRPr="00AD5635">
        <w:rPr>
          <w:b/>
          <w:bCs/>
          <w:color w:val="000000" w:themeColor="text1"/>
          <w:sz w:val="24"/>
          <w:szCs w:val="24"/>
        </w:rPr>
        <w:t>Transparency</w:t>
      </w:r>
    </w:p>
    <w:p w14:paraId="3DB1C6E6" w14:textId="77777777" w:rsidR="00D020AC" w:rsidRPr="00AD5635" w:rsidRDefault="00D020AC" w:rsidP="00D020AC">
      <w:pPr>
        <w:rPr>
          <w:color w:val="000000" w:themeColor="text1"/>
          <w:sz w:val="24"/>
          <w:szCs w:val="24"/>
        </w:rPr>
      </w:pPr>
      <w:r w:rsidRPr="00AD5635">
        <w:rPr>
          <w:color w:val="000000" w:themeColor="text1"/>
          <w:sz w:val="24"/>
          <w:szCs w:val="24"/>
        </w:rPr>
        <w:t>The use of AI in this assignment has been disclosed openly and transparently. The assessment brief permits the use of AI for research support and proofreading (as confirmed on Page 4 of the assessment specification), and I have complied with these guidelines. I have not used AI to generate content that should reflect my own critical thinking and analysis.</w:t>
      </w:r>
    </w:p>
    <w:p w14:paraId="68283101" w14:textId="77777777" w:rsidR="00D020AC" w:rsidRPr="00AD5635" w:rsidRDefault="00D020AC" w:rsidP="00D020AC">
      <w:pPr>
        <w:rPr>
          <w:color w:val="000000" w:themeColor="text1"/>
          <w:sz w:val="24"/>
          <w:szCs w:val="24"/>
        </w:rPr>
      </w:pPr>
      <w:r w:rsidRPr="00AD5635">
        <w:rPr>
          <w:b/>
          <w:bCs/>
          <w:color w:val="000000" w:themeColor="text1"/>
          <w:sz w:val="24"/>
          <w:szCs w:val="24"/>
        </w:rPr>
        <w:t>Data Privacy</w:t>
      </w:r>
    </w:p>
    <w:p w14:paraId="68ECF031" w14:textId="77777777" w:rsidR="00D020AC" w:rsidRPr="00AD5635" w:rsidRDefault="00D020AC" w:rsidP="00D020AC">
      <w:pPr>
        <w:rPr>
          <w:color w:val="000000" w:themeColor="text1"/>
          <w:sz w:val="24"/>
          <w:szCs w:val="24"/>
        </w:rPr>
      </w:pPr>
      <w:r w:rsidRPr="00AD5635">
        <w:rPr>
          <w:color w:val="000000" w:themeColor="text1"/>
          <w:sz w:val="24"/>
          <w:szCs w:val="24"/>
        </w:rPr>
        <w:lastRenderedPageBreak/>
        <w:t>The financial data used in this assignment is publicly available from Whitbread's published annual reports. No confidential or proprietary information has been used. The student's name and ID are included only for identification purposes in accordance with assessment requirements.</w:t>
      </w:r>
    </w:p>
    <w:p w14:paraId="64C7792A" w14:textId="77777777" w:rsidR="00D020AC" w:rsidRPr="00AD5635" w:rsidRDefault="00D020AC" w:rsidP="00D020AC">
      <w:pPr>
        <w:rPr>
          <w:color w:val="000000" w:themeColor="text1"/>
          <w:sz w:val="24"/>
          <w:szCs w:val="24"/>
        </w:rPr>
      </w:pPr>
      <w:r w:rsidRPr="00AD5635">
        <w:rPr>
          <w:b/>
          <w:bCs/>
          <w:color w:val="000000" w:themeColor="text1"/>
          <w:sz w:val="24"/>
          <w:szCs w:val="24"/>
        </w:rPr>
        <w:t>Risk of Over-Reliance</w:t>
      </w:r>
    </w:p>
    <w:p w14:paraId="538039A4" w14:textId="77777777" w:rsidR="00D020AC" w:rsidRPr="00AD5635" w:rsidRDefault="00D020AC" w:rsidP="00D020AC">
      <w:pPr>
        <w:rPr>
          <w:color w:val="000000" w:themeColor="text1"/>
          <w:sz w:val="24"/>
          <w:szCs w:val="24"/>
        </w:rPr>
      </w:pPr>
      <w:r w:rsidRPr="00AD5635">
        <w:rPr>
          <w:color w:val="000000" w:themeColor="text1"/>
          <w:sz w:val="24"/>
          <w:szCs w:val="24"/>
        </w:rPr>
        <w:t>Acknowledging the risk of over-reliance on AI tools, I have:</w:t>
      </w:r>
    </w:p>
    <w:p w14:paraId="79302C4E"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Verified all AI-generated calculations using Excel.</w:t>
      </w:r>
    </w:p>
    <w:p w14:paraId="4820A379"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Cross-checked financial data against original sources.</w:t>
      </w:r>
    </w:p>
    <w:p w14:paraId="272C2B9B"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Applied my own critical thinking and analysis to all recommendations and conclusions.</w:t>
      </w:r>
    </w:p>
    <w:p w14:paraId="64919A32" w14:textId="77777777" w:rsidR="00D020AC" w:rsidRPr="00AD5635" w:rsidRDefault="00D020AC">
      <w:pPr>
        <w:numPr>
          <w:ilvl w:val="0"/>
          <w:numId w:val="21"/>
        </w:numPr>
        <w:rPr>
          <w:color w:val="000000" w:themeColor="text1"/>
          <w:sz w:val="24"/>
          <w:szCs w:val="24"/>
        </w:rPr>
      </w:pPr>
      <w:r w:rsidRPr="00AD5635">
        <w:rPr>
          <w:color w:val="000000" w:themeColor="text1"/>
          <w:sz w:val="24"/>
          <w:szCs w:val="24"/>
        </w:rPr>
        <w:t>Ensured that the written expression and argumentation reflect my own understanding and perspective.</w:t>
      </w:r>
    </w:p>
    <w:p w14:paraId="40D5558B" w14:textId="77777777" w:rsidR="00D020AC" w:rsidRPr="00AD5635" w:rsidRDefault="00D020AC" w:rsidP="00D020AC">
      <w:pPr>
        <w:rPr>
          <w:color w:val="000000" w:themeColor="text1"/>
          <w:sz w:val="24"/>
          <w:szCs w:val="24"/>
        </w:rPr>
      </w:pPr>
      <w:r w:rsidRPr="00AD5635">
        <w:rPr>
          <w:b/>
          <w:bCs/>
          <w:color w:val="000000" w:themeColor="text1"/>
          <w:sz w:val="24"/>
          <w:szCs w:val="24"/>
        </w:rPr>
        <w:t>Professional Responsibility</w:t>
      </w:r>
    </w:p>
    <w:p w14:paraId="533F861E" w14:textId="77777777" w:rsidR="00D020AC" w:rsidRPr="00AD5635" w:rsidRDefault="00D020AC" w:rsidP="00D020AC">
      <w:pPr>
        <w:rPr>
          <w:color w:val="000000" w:themeColor="text1"/>
          <w:sz w:val="24"/>
          <w:szCs w:val="24"/>
        </w:rPr>
      </w:pPr>
      <w:r w:rsidRPr="00AD5635">
        <w:rPr>
          <w:color w:val="000000" w:themeColor="text1"/>
          <w:sz w:val="24"/>
          <w:szCs w:val="24"/>
        </w:rPr>
        <w:t>As an aspiring professional in the field of financial management, I recognise the importance of:</w:t>
      </w:r>
    </w:p>
    <w:p w14:paraId="470917D2"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Integrity:</w:t>
      </w:r>
      <w:r w:rsidRPr="00AD5635">
        <w:rPr>
          <w:color w:val="000000" w:themeColor="text1"/>
          <w:sz w:val="24"/>
          <w:szCs w:val="24"/>
        </w:rPr>
        <w:t> Maintaining honesty and transparency in all professional activities, including the use of technology tools.</w:t>
      </w:r>
    </w:p>
    <w:p w14:paraId="42E3B4D9"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Professional Competence:</w:t>
      </w:r>
      <w:r w:rsidRPr="00AD5635">
        <w:rPr>
          <w:color w:val="000000" w:themeColor="text1"/>
          <w:sz w:val="24"/>
          <w:szCs w:val="24"/>
        </w:rPr>
        <w:t> Ensuring that I maintain the skills and knowledge necessary to perform financial analysis independently, while leveraging appropriate tools for efficiency.</w:t>
      </w:r>
    </w:p>
    <w:p w14:paraId="349DAF57"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Due Care:</w:t>
      </w:r>
      <w:r w:rsidRPr="00AD5635">
        <w:rPr>
          <w:color w:val="000000" w:themeColor="text1"/>
          <w:sz w:val="24"/>
          <w:szCs w:val="24"/>
        </w:rPr>
        <w:t> Verifying the accuracy of all financial calculations and analyses, regardless of the tools used.</w:t>
      </w:r>
    </w:p>
    <w:p w14:paraId="205C7386" w14:textId="77777777" w:rsidR="00D020AC" w:rsidRPr="00AD5635" w:rsidRDefault="00D020AC">
      <w:pPr>
        <w:numPr>
          <w:ilvl w:val="0"/>
          <w:numId w:val="22"/>
        </w:numPr>
        <w:rPr>
          <w:color w:val="000000" w:themeColor="text1"/>
          <w:sz w:val="24"/>
          <w:szCs w:val="24"/>
        </w:rPr>
      </w:pPr>
      <w:r w:rsidRPr="00AD5635">
        <w:rPr>
          <w:b/>
          <w:bCs/>
          <w:color w:val="000000" w:themeColor="text1"/>
          <w:sz w:val="24"/>
          <w:szCs w:val="24"/>
        </w:rPr>
        <w:t>Ethical Conduct:</w:t>
      </w:r>
      <w:r w:rsidRPr="00AD5635">
        <w:rPr>
          <w:color w:val="000000" w:themeColor="text1"/>
          <w:sz w:val="24"/>
          <w:szCs w:val="24"/>
        </w:rPr>
        <w:t> Adhering to the University's academic integrity policy and the professional standards expected in the field of finance.</w:t>
      </w:r>
    </w:p>
    <w:p w14:paraId="02FA6E0C" w14:textId="1ED7381D" w:rsidR="00D020AC" w:rsidRPr="00AD5635" w:rsidRDefault="00D020AC" w:rsidP="00D020AC">
      <w:pPr>
        <w:rPr>
          <w:color w:val="000000" w:themeColor="text1"/>
          <w:sz w:val="24"/>
          <w:szCs w:val="24"/>
        </w:rPr>
      </w:pPr>
    </w:p>
    <w:p w14:paraId="163EFE2F" w14:textId="77777777" w:rsidR="00E63F9E" w:rsidRPr="00AD5635" w:rsidRDefault="00E63F9E" w:rsidP="00232CC3">
      <w:pPr>
        <w:rPr>
          <w:color w:val="000000" w:themeColor="text1"/>
          <w:sz w:val="24"/>
          <w:szCs w:val="24"/>
        </w:rPr>
        <w:sectPr w:rsidR="00E63F9E" w:rsidRPr="00AD5635" w:rsidSect="00AD5635">
          <w:pgSz w:w="11906" w:h="16838"/>
          <w:pgMar w:top="1440" w:right="1440" w:bottom="1440" w:left="1440" w:header="708" w:footer="708" w:gutter="0"/>
          <w:cols w:space="708"/>
          <w:docGrid w:linePitch="360"/>
        </w:sectPr>
      </w:pPr>
    </w:p>
    <w:p w14:paraId="1837CC0A" w14:textId="412306B8" w:rsidR="00232CC3" w:rsidRPr="00AD5635" w:rsidRDefault="00232CC3" w:rsidP="00232CC3">
      <w:pPr>
        <w:rPr>
          <w:color w:val="000000" w:themeColor="text1"/>
          <w:sz w:val="24"/>
          <w:szCs w:val="24"/>
        </w:rPr>
      </w:pPr>
    </w:p>
    <w:p w14:paraId="2F9B4E49" w14:textId="77777777" w:rsidR="00232CC3" w:rsidRPr="00AD5635" w:rsidRDefault="00232CC3" w:rsidP="00232CC3">
      <w:pPr>
        <w:rPr>
          <w:b/>
          <w:bCs/>
          <w:color w:val="000000" w:themeColor="text1"/>
          <w:sz w:val="24"/>
          <w:szCs w:val="24"/>
        </w:rPr>
      </w:pPr>
      <w:r w:rsidRPr="00AD5635">
        <w:rPr>
          <w:b/>
          <w:bCs/>
          <w:color w:val="000000" w:themeColor="text1"/>
          <w:sz w:val="24"/>
          <w:szCs w:val="24"/>
        </w:rPr>
        <w:t>Conclusion</w:t>
      </w:r>
    </w:p>
    <w:p w14:paraId="74171843" w14:textId="77777777" w:rsidR="00232CC3" w:rsidRPr="00AD5635" w:rsidRDefault="00232CC3" w:rsidP="00232CC3">
      <w:pPr>
        <w:rPr>
          <w:color w:val="000000" w:themeColor="text1"/>
          <w:sz w:val="24"/>
          <w:szCs w:val="24"/>
        </w:rPr>
      </w:pPr>
      <w:r w:rsidRPr="00AD5635">
        <w:rPr>
          <w:color w:val="000000" w:themeColor="text1"/>
          <w:sz w:val="24"/>
          <w:szCs w:val="24"/>
        </w:rPr>
        <w:t>This report provides a comprehensive analysis of Whitbread PLC and a clear strategic path forward. The financial health check confirms the company has emerged from the pandemic with a robust balance sheet, a market-leading position, and impressive profitability. The return of adjusted PBT to £561m, a record performance, demonstrates the strength of the "investing to win" strategy.</w:t>
      </w:r>
    </w:p>
    <w:p w14:paraId="350AC910" w14:textId="77777777" w:rsidR="00232CC3" w:rsidRPr="00AD5635" w:rsidRDefault="00232CC3" w:rsidP="00232CC3">
      <w:pPr>
        <w:rPr>
          <w:color w:val="000000" w:themeColor="text1"/>
          <w:sz w:val="24"/>
          <w:szCs w:val="24"/>
        </w:rPr>
      </w:pPr>
      <w:r w:rsidRPr="00AD5635">
        <w:rPr>
          <w:color w:val="000000" w:themeColor="text1"/>
          <w:sz w:val="24"/>
          <w:szCs w:val="24"/>
        </w:rPr>
        <w:t>The working capital analysis reveals a highly efficient model, with a negative cash conversion cycle providing a significant source of free financing. The restructuring recommendations, including the Accelerating Growth Plan and the new efficiency programme, are designed to build on this advantage, unlock capital, and improve operational focus.</w:t>
      </w:r>
    </w:p>
    <w:p w14:paraId="79D03510" w14:textId="77777777" w:rsidR="00232CC3" w:rsidRPr="00AD5635" w:rsidRDefault="00232CC3" w:rsidP="00232CC3">
      <w:pPr>
        <w:rPr>
          <w:color w:val="000000" w:themeColor="text1"/>
          <w:sz w:val="24"/>
          <w:szCs w:val="24"/>
        </w:rPr>
      </w:pPr>
      <w:r w:rsidRPr="00AD5635">
        <w:rPr>
          <w:color w:val="000000" w:themeColor="text1"/>
          <w:sz w:val="24"/>
          <w:szCs w:val="24"/>
        </w:rPr>
        <w:t>The investment appraisal is unequivocal. Project C is the only viable investment, delivering a positive NPV, an IRR above the cost of capital, and a strong strategic fit with the UK core business. Under a £100m budget constraint, the optimal combination is Projects B and C, but the critical insight from the capital rationing analysis is to avoid investing in value-destroying projects for the sake of "using the budget." This justifies the Board's decision to return surplus capital to shareholders via a share buyback.</w:t>
      </w:r>
    </w:p>
    <w:p w14:paraId="4DEC3FCC" w14:textId="7B5866C6" w:rsidR="00D020AC" w:rsidRPr="00AD5635" w:rsidRDefault="00232CC3" w:rsidP="00232CC3">
      <w:pPr>
        <w:rPr>
          <w:color w:val="000000" w:themeColor="text1"/>
          <w:sz w:val="24"/>
          <w:szCs w:val="24"/>
        </w:rPr>
        <w:sectPr w:rsidR="00D020AC" w:rsidRPr="00AD5635" w:rsidSect="00AD5635">
          <w:pgSz w:w="11906" w:h="16838"/>
          <w:pgMar w:top="1440" w:right="1440" w:bottom="1440" w:left="1440" w:header="708" w:footer="708" w:gutter="0"/>
          <w:cols w:space="708"/>
          <w:docGrid w:linePitch="360"/>
        </w:sectPr>
      </w:pPr>
      <w:r w:rsidRPr="00AD5635">
        <w:rPr>
          <w:color w:val="000000" w:themeColor="text1"/>
          <w:sz w:val="24"/>
          <w:szCs w:val="24"/>
        </w:rPr>
        <w:t>Going forward, Whitbread is well-positioned to capitalise on the structural growth opportunities in the UK and Germany. By maintaining its financial discipline, executing its strategic plans, and remaining focused on its Force for Good sustainability agenda, the company is set to deliver significant, long-term value for all its stakeholders.</w:t>
      </w:r>
    </w:p>
    <w:p w14:paraId="1F6CB5E4" w14:textId="3D1AF315" w:rsidR="00232CC3" w:rsidRPr="00AD5635" w:rsidRDefault="00232CC3" w:rsidP="00232CC3">
      <w:pPr>
        <w:rPr>
          <w:color w:val="000000" w:themeColor="text1"/>
          <w:sz w:val="24"/>
          <w:szCs w:val="24"/>
        </w:rPr>
      </w:pPr>
    </w:p>
    <w:p w14:paraId="288AA06E" w14:textId="77777777" w:rsidR="00232CC3" w:rsidRPr="00AD5635" w:rsidRDefault="00232CC3" w:rsidP="00232CC3">
      <w:pPr>
        <w:rPr>
          <w:b/>
          <w:bCs/>
          <w:color w:val="000000" w:themeColor="text1"/>
          <w:sz w:val="24"/>
          <w:szCs w:val="24"/>
        </w:rPr>
      </w:pPr>
      <w:r w:rsidRPr="00AD5635">
        <w:rPr>
          <w:b/>
          <w:bCs/>
          <w:color w:val="000000" w:themeColor="text1"/>
          <w:sz w:val="24"/>
          <w:szCs w:val="24"/>
        </w:rPr>
        <w:t>References</w:t>
      </w:r>
    </w:p>
    <w:p w14:paraId="69396311" w14:textId="6B55A253"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(2020). </w:t>
      </w:r>
      <w:r w:rsidRPr="00AD5635">
        <w:rPr>
          <w:i/>
          <w:iCs/>
          <w:color w:val="000000" w:themeColor="text1"/>
          <w:sz w:val="24"/>
          <w:szCs w:val="24"/>
        </w:rPr>
        <w:t>Annual Report and Accounts 2019/20</w:t>
      </w:r>
      <w:r w:rsidRPr="00AD5635">
        <w:rPr>
          <w:color w:val="000000" w:themeColor="text1"/>
          <w:sz w:val="24"/>
          <w:szCs w:val="24"/>
        </w:rPr>
        <w:t xml:space="preserve">. Retrieved from </w:t>
      </w:r>
      <w:r w:rsidR="00D020AC" w:rsidRPr="00AD5635">
        <w:rPr>
          <w:color w:val="000000" w:themeColor="text1"/>
          <w:sz w:val="24"/>
          <w:szCs w:val="24"/>
        </w:rPr>
        <w:t>[</w:t>
      </w:r>
      <w:hyperlink r:id="rId15"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599A6B7A" w14:textId="6D5671F8"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(2021). </w:t>
      </w:r>
      <w:r w:rsidRPr="00AD5635">
        <w:rPr>
          <w:i/>
          <w:iCs/>
          <w:color w:val="000000" w:themeColor="text1"/>
          <w:sz w:val="24"/>
          <w:szCs w:val="24"/>
        </w:rPr>
        <w:t>Annual Report and Accounts 2020/21</w:t>
      </w:r>
      <w:r w:rsidRPr="00AD5635">
        <w:rPr>
          <w:color w:val="000000" w:themeColor="text1"/>
          <w:sz w:val="24"/>
          <w:szCs w:val="24"/>
        </w:rPr>
        <w:t xml:space="preserve">. Retrieved from </w:t>
      </w:r>
      <w:r w:rsidR="00D020AC" w:rsidRPr="00AD5635">
        <w:rPr>
          <w:color w:val="000000" w:themeColor="text1"/>
          <w:sz w:val="24"/>
          <w:szCs w:val="24"/>
        </w:rPr>
        <w:t>[</w:t>
      </w:r>
      <w:hyperlink r:id="rId16"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1419FB2B" w14:textId="5BB702B3"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(2022). </w:t>
      </w:r>
      <w:r w:rsidRPr="00AD5635">
        <w:rPr>
          <w:i/>
          <w:iCs/>
          <w:color w:val="000000" w:themeColor="text1"/>
          <w:sz w:val="24"/>
          <w:szCs w:val="24"/>
        </w:rPr>
        <w:t>Annual Report and Accounts 2021/22</w:t>
      </w:r>
      <w:r w:rsidRPr="00AD5635">
        <w:rPr>
          <w:color w:val="000000" w:themeColor="text1"/>
          <w:sz w:val="24"/>
          <w:szCs w:val="24"/>
        </w:rPr>
        <w:t>. Retrieved from [</w:t>
      </w:r>
      <w:hyperlink r:id="rId17" w:history="1">
        <w:r w:rsidR="00D020AC" w:rsidRPr="00AD5635">
          <w:rPr>
            <w:rStyle w:val="Hyperlink"/>
            <w:color w:val="000000" w:themeColor="text1"/>
            <w:sz w:val="24"/>
            <w:szCs w:val="24"/>
          </w:rPr>
          <w:t>https://www.annualreports.com/Company/whitbread-plc</w:t>
        </w:r>
      </w:hyperlink>
      <w:r w:rsidRPr="00AD5635">
        <w:rPr>
          <w:color w:val="000000" w:themeColor="text1"/>
          <w:sz w:val="24"/>
          <w:szCs w:val="24"/>
        </w:rPr>
        <w:t>].</w:t>
      </w:r>
    </w:p>
    <w:p w14:paraId="43C55DEA" w14:textId="30756DBD"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(2023). </w:t>
      </w:r>
      <w:r w:rsidRPr="00AD5635">
        <w:rPr>
          <w:i/>
          <w:iCs/>
          <w:color w:val="000000" w:themeColor="text1"/>
          <w:sz w:val="24"/>
          <w:szCs w:val="24"/>
        </w:rPr>
        <w:t>Annual Report and Accounts 2022/23</w:t>
      </w:r>
      <w:r w:rsidRPr="00AD5635">
        <w:rPr>
          <w:color w:val="000000" w:themeColor="text1"/>
          <w:sz w:val="24"/>
          <w:szCs w:val="24"/>
        </w:rPr>
        <w:t xml:space="preserve">. Retrieved from </w:t>
      </w:r>
      <w:r w:rsidR="00D020AC" w:rsidRPr="00AD5635">
        <w:rPr>
          <w:color w:val="000000" w:themeColor="text1"/>
          <w:sz w:val="24"/>
          <w:szCs w:val="24"/>
        </w:rPr>
        <w:t>[</w:t>
      </w:r>
      <w:hyperlink r:id="rId18" w:history="1">
        <w:r w:rsidR="00D020AC" w:rsidRPr="00AD5635">
          <w:rPr>
            <w:rStyle w:val="Hyperlink"/>
            <w:color w:val="000000" w:themeColor="text1"/>
            <w:sz w:val="24"/>
            <w:szCs w:val="24"/>
          </w:rPr>
          <w:t>https://www.annualreports.com/Company/whitbread-plc</w:t>
        </w:r>
      </w:hyperlink>
      <w:r w:rsidR="00D020AC" w:rsidRPr="00AD5635">
        <w:rPr>
          <w:color w:val="000000" w:themeColor="text1"/>
          <w:sz w:val="24"/>
          <w:szCs w:val="24"/>
        </w:rPr>
        <w:t>].</w:t>
      </w:r>
    </w:p>
    <w:p w14:paraId="05B0A3D1" w14:textId="23FFC99F" w:rsidR="00232CC3" w:rsidRPr="00AD5635" w:rsidRDefault="00232CC3">
      <w:pPr>
        <w:numPr>
          <w:ilvl w:val="0"/>
          <w:numId w:val="16"/>
        </w:numPr>
        <w:rPr>
          <w:color w:val="000000" w:themeColor="text1"/>
          <w:sz w:val="24"/>
          <w:szCs w:val="24"/>
        </w:rPr>
      </w:pPr>
      <w:r w:rsidRPr="00AD5635">
        <w:rPr>
          <w:color w:val="000000" w:themeColor="text1"/>
          <w:sz w:val="24"/>
          <w:szCs w:val="24"/>
        </w:rPr>
        <w:t>Whitbread PLC. (2024). </w:t>
      </w:r>
      <w:r w:rsidRPr="00AD5635">
        <w:rPr>
          <w:i/>
          <w:iCs/>
          <w:color w:val="000000" w:themeColor="text1"/>
          <w:sz w:val="24"/>
          <w:szCs w:val="24"/>
        </w:rPr>
        <w:t>Annual Report and Accounts 2023/24</w:t>
      </w:r>
      <w:r w:rsidRPr="00AD5635">
        <w:rPr>
          <w:color w:val="000000" w:themeColor="text1"/>
          <w:sz w:val="24"/>
          <w:szCs w:val="24"/>
        </w:rPr>
        <w:t xml:space="preserve">. Retrieved from </w:t>
      </w:r>
    </w:p>
    <w:p w14:paraId="5A5D5240" w14:textId="77777777" w:rsidR="00D020AC" w:rsidRPr="00AD5635" w:rsidRDefault="00D020AC" w:rsidP="00D020AC">
      <w:pPr>
        <w:ind w:left="720"/>
        <w:rPr>
          <w:color w:val="000000" w:themeColor="text1"/>
          <w:sz w:val="24"/>
          <w:szCs w:val="24"/>
        </w:rPr>
      </w:pPr>
      <w:r w:rsidRPr="00AD5635">
        <w:rPr>
          <w:color w:val="000000" w:themeColor="text1"/>
          <w:sz w:val="24"/>
          <w:szCs w:val="24"/>
        </w:rPr>
        <w:t>[</w:t>
      </w:r>
      <w:hyperlink r:id="rId19" w:history="1">
        <w:r w:rsidRPr="00AD5635">
          <w:rPr>
            <w:rStyle w:val="Hyperlink"/>
            <w:color w:val="000000" w:themeColor="text1"/>
            <w:sz w:val="24"/>
            <w:szCs w:val="24"/>
          </w:rPr>
          <w:t>https://www.annualreports.com/Company/whitbread-plc</w:t>
        </w:r>
      </w:hyperlink>
      <w:r w:rsidRPr="00AD5635">
        <w:rPr>
          <w:color w:val="000000" w:themeColor="text1"/>
          <w:sz w:val="24"/>
          <w:szCs w:val="24"/>
        </w:rPr>
        <w:t>].</w:t>
      </w:r>
    </w:p>
    <w:p w14:paraId="7A16DE5B" w14:textId="77777777" w:rsidR="00D020AC" w:rsidRPr="00AD5635" w:rsidRDefault="00D020AC" w:rsidP="00D020AC">
      <w:pPr>
        <w:ind w:left="720"/>
        <w:rPr>
          <w:color w:val="000000" w:themeColor="text1"/>
          <w:sz w:val="24"/>
          <w:szCs w:val="24"/>
        </w:rPr>
      </w:pPr>
    </w:p>
    <w:p w14:paraId="6489392D" w14:textId="77777777" w:rsidR="00232CC3" w:rsidRPr="00AD5635" w:rsidRDefault="00232CC3">
      <w:pPr>
        <w:numPr>
          <w:ilvl w:val="0"/>
          <w:numId w:val="16"/>
        </w:numPr>
        <w:rPr>
          <w:color w:val="000000" w:themeColor="text1"/>
          <w:sz w:val="24"/>
          <w:szCs w:val="24"/>
        </w:rPr>
      </w:pPr>
      <w:proofErr w:type="spellStart"/>
      <w:r w:rsidRPr="00AD5635">
        <w:rPr>
          <w:color w:val="000000" w:themeColor="text1"/>
          <w:sz w:val="24"/>
          <w:szCs w:val="24"/>
        </w:rPr>
        <w:t>Atrill</w:t>
      </w:r>
      <w:proofErr w:type="spellEnd"/>
      <w:r w:rsidRPr="00AD5635">
        <w:rPr>
          <w:color w:val="000000" w:themeColor="text1"/>
          <w:sz w:val="24"/>
          <w:szCs w:val="24"/>
        </w:rPr>
        <w:t>, P., &amp; McLaney, E. (2022). </w:t>
      </w:r>
      <w:r w:rsidRPr="00AD5635">
        <w:rPr>
          <w:i/>
          <w:iCs/>
          <w:color w:val="000000" w:themeColor="text1"/>
          <w:sz w:val="24"/>
          <w:szCs w:val="24"/>
        </w:rPr>
        <w:t>Financial Management for Decision Makers</w:t>
      </w:r>
      <w:r w:rsidRPr="00AD5635">
        <w:rPr>
          <w:color w:val="000000" w:themeColor="text1"/>
          <w:sz w:val="24"/>
          <w:szCs w:val="24"/>
        </w:rPr>
        <w:t> (10th ed.). Pearson.</w:t>
      </w:r>
    </w:p>
    <w:p w14:paraId="7F6372A6"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Berk, J., &amp; DeMarzo, P. (2023). </w:t>
      </w:r>
      <w:r w:rsidRPr="00AD5635">
        <w:rPr>
          <w:i/>
          <w:iCs/>
          <w:color w:val="000000" w:themeColor="text1"/>
          <w:sz w:val="24"/>
          <w:szCs w:val="24"/>
        </w:rPr>
        <w:t>Corporate Finance</w:t>
      </w:r>
      <w:r w:rsidRPr="00AD5635">
        <w:rPr>
          <w:color w:val="000000" w:themeColor="text1"/>
          <w:sz w:val="24"/>
          <w:szCs w:val="24"/>
        </w:rPr>
        <w:t> (6th ed.). Pearson.</w:t>
      </w:r>
    </w:p>
    <w:p w14:paraId="25323B73"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Brealey, R. A., Myers, S. C., &amp; Allen, F. (2020). </w:t>
      </w:r>
      <w:r w:rsidRPr="00AD5635">
        <w:rPr>
          <w:i/>
          <w:iCs/>
          <w:color w:val="000000" w:themeColor="text1"/>
          <w:sz w:val="24"/>
          <w:szCs w:val="24"/>
        </w:rPr>
        <w:t>Principles of Corporate Finance</w:t>
      </w:r>
      <w:r w:rsidRPr="00AD5635">
        <w:rPr>
          <w:color w:val="000000" w:themeColor="text1"/>
          <w:sz w:val="24"/>
          <w:szCs w:val="24"/>
        </w:rPr>
        <w:t> (13th ed.). McGraw-Hill Education.</w:t>
      </w:r>
    </w:p>
    <w:p w14:paraId="131F690C"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Brigham, E. F., &amp; Ehrhardt, M. C. (2023). </w:t>
      </w:r>
      <w:r w:rsidRPr="00AD5635">
        <w:rPr>
          <w:i/>
          <w:iCs/>
          <w:color w:val="000000" w:themeColor="text1"/>
          <w:sz w:val="24"/>
          <w:szCs w:val="24"/>
        </w:rPr>
        <w:t>Financial Management: Theory &amp; Practice</w:t>
      </w:r>
      <w:r w:rsidRPr="00AD5635">
        <w:rPr>
          <w:color w:val="000000" w:themeColor="text1"/>
          <w:sz w:val="24"/>
          <w:szCs w:val="24"/>
        </w:rPr>
        <w:t> (17th ed.). Cengage Learning.</w:t>
      </w:r>
    </w:p>
    <w:p w14:paraId="370DA2AA"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Damodaran, A. (2022). </w:t>
      </w:r>
      <w:r w:rsidRPr="00AD5635">
        <w:rPr>
          <w:i/>
          <w:iCs/>
          <w:color w:val="000000" w:themeColor="text1"/>
          <w:sz w:val="24"/>
          <w:szCs w:val="24"/>
        </w:rPr>
        <w:t>Investment Valuation: Tools and Techniques for Determining the Value of Any Asset</w:t>
      </w:r>
      <w:r w:rsidRPr="00AD5635">
        <w:rPr>
          <w:color w:val="000000" w:themeColor="text1"/>
          <w:sz w:val="24"/>
          <w:szCs w:val="24"/>
        </w:rPr>
        <w:t> (4th ed.). Wiley.</w:t>
      </w:r>
    </w:p>
    <w:p w14:paraId="21261B2B"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Drury, C. (2018). </w:t>
      </w:r>
      <w:r w:rsidRPr="00AD5635">
        <w:rPr>
          <w:i/>
          <w:iCs/>
          <w:color w:val="000000" w:themeColor="text1"/>
          <w:sz w:val="24"/>
          <w:szCs w:val="24"/>
        </w:rPr>
        <w:t>Management and Cost Accounting</w:t>
      </w:r>
      <w:r w:rsidRPr="00AD5635">
        <w:rPr>
          <w:color w:val="000000" w:themeColor="text1"/>
          <w:sz w:val="24"/>
          <w:szCs w:val="24"/>
        </w:rPr>
        <w:t> (10th ed.). Cengage Learning.</w:t>
      </w:r>
    </w:p>
    <w:p w14:paraId="4DECF811"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Gitman, L. J., &amp; Zutter, C. J. (2022). </w:t>
      </w:r>
      <w:r w:rsidRPr="00AD5635">
        <w:rPr>
          <w:i/>
          <w:iCs/>
          <w:color w:val="000000" w:themeColor="text1"/>
          <w:sz w:val="24"/>
          <w:szCs w:val="24"/>
        </w:rPr>
        <w:t>Principles of Managerial Finance</w:t>
      </w:r>
      <w:r w:rsidRPr="00AD5635">
        <w:rPr>
          <w:color w:val="000000" w:themeColor="text1"/>
          <w:sz w:val="24"/>
          <w:szCs w:val="24"/>
        </w:rPr>
        <w:t> (16th ed.). Pearson.</w:t>
      </w:r>
    </w:p>
    <w:p w14:paraId="16F58DE7"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Hillier, D., Ross, S., Westerfield, R., Jaffe, J., &amp; Jordan, B. (2021). </w:t>
      </w:r>
      <w:r w:rsidRPr="00AD5635">
        <w:rPr>
          <w:i/>
          <w:iCs/>
          <w:color w:val="000000" w:themeColor="text1"/>
          <w:sz w:val="24"/>
          <w:szCs w:val="24"/>
        </w:rPr>
        <w:t>Corporate Finance</w:t>
      </w:r>
      <w:r w:rsidRPr="00AD5635">
        <w:rPr>
          <w:color w:val="000000" w:themeColor="text1"/>
          <w:sz w:val="24"/>
          <w:szCs w:val="24"/>
        </w:rPr>
        <w:t> (4th European ed.). McGraw-Hill Education.</w:t>
      </w:r>
    </w:p>
    <w:p w14:paraId="655195B5"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International Accounting Standards Board (IASB). (2023). </w:t>
      </w:r>
      <w:r w:rsidRPr="00AD5635">
        <w:rPr>
          <w:i/>
          <w:iCs/>
          <w:color w:val="000000" w:themeColor="text1"/>
          <w:sz w:val="24"/>
          <w:szCs w:val="24"/>
        </w:rPr>
        <w:t>IFRS 16 Leases</w:t>
      </w:r>
      <w:r w:rsidRPr="00AD5635">
        <w:rPr>
          <w:color w:val="000000" w:themeColor="text1"/>
          <w:sz w:val="24"/>
          <w:szCs w:val="24"/>
        </w:rPr>
        <w:t>. IFRS Foundation.</w:t>
      </w:r>
    </w:p>
    <w:p w14:paraId="05E922D7" w14:textId="77777777" w:rsidR="00232CC3" w:rsidRPr="00AD5635" w:rsidRDefault="00232CC3">
      <w:pPr>
        <w:numPr>
          <w:ilvl w:val="0"/>
          <w:numId w:val="16"/>
        </w:numPr>
        <w:rPr>
          <w:color w:val="000000" w:themeColor="text1"/>
          <w:sz w:val="24"/>
          <w:szCs w:val="24"/>
        </w:rPr>
      </w:pPr>
      <w:r w:rsidRPr="00AD5635">
        <w:rPr>
          <w:color w:val="000000" w:themeColor="text1"/>
          <w:sz w:val="24"/>
          <w:szCs w:val="24"/>
        </w:rPr>
        <w:t>Ross, S. A., Westerfield, R. W., &amp; Jordan, B. D. (2022). </w:t>
      </w:r>
      <w:r w:rsidRPr="00AD5635">
        <w:rPr>
          <w:i/>
          <w:iCs/>
          <w:color w:val="000000" w:themeColor="text1"/>
          <w:sz w:val="24"/>
          <w:szCs w:val="24"/>
        </w:rPr>
        <w:t>Fundamentals of Corporate Finance</w:t>
      </w:r>
      <w:r w:rsidRPr="00AD5635">
        <w:rPr>
          <w:color w:val="000000" w:themeColor="text1"/>
          <w:sz w:val="24"/>
          <w:szCs w:val="24"/>
        </w:rPr>
        <w:t> (13th ed.). McGraw-Hill Education.</w:t>
      </w:r>
    </w:p>
    <w:p w14:paraId="7914B214" w14:textId="096BA8D4" w:rsidR="00232CC3" w:rsidRPr="00AD5635" w:rsidRDefault="00232CC3" w:rsidP="00232CC3">
      <w:pPr>
        <w:rPr>
          <w:color w:val="000000" w:themeColor="text1"/>
          <w:sz w:val="24"/>
          <w:szCs w:val="24"/>
        </w:rPr>
      </w:pPr>
    </w:p>
    <w:p w14:paraId="788246A5" w14:textId="77777777" w:rsidR="001C051B" w:rsidRPr="00AD5635" w:rsidRDefault="001C051B" w:rsidP="00232CC3">
      <w:pPr>
        <w:rPr>
          <w:b/>
          <w:bCs/>
          <w:color w:val="000000" w:themeColor="text1"/>
          <w:sz w:val="24"/>
          <w:szCs w:val="24"/>
        </w:rPr>
        <w:sectPr w:rsidR="001C051B" w:rsidRPr="00AD5635" w:rsidSect="00AD5635">
          <w:pgSz w:w="11906" w:h="16838"/>
          <w:pgMar w:top="1440" w:right="1440" w:bottom="1440" w:left="1440" w:header="708" w:footer="708" w:gutter="0"/>
          <w:cols w:space="708"/>
          <w:docGrid w:linePitch="360"/>
        </w:sectPr>
      </w:pPr>
    </w:p>
    <w:p w14:paraId="4E2DCBE3" w14:textId="3C461471" w:rsidR="0056065D" w:rsidRPr="00AD5635" w:rsidRDefault="00232CC3" w:rsidP="00232CC3">
      <w:pPr>
        <w:rPr>
          <w:b/>
          <w:bCs/>
          <w:color w:val="000000" w:themeColor="text1"/>
          <w:sz w:val="24"/>
          <w:szCs w:val="24"/>
        </w:rPr>
      </w:pPr>
      <w:proofErr w:type="gramStart"/>
      <w:r w:rsidRPr="00AD5635">
        <w:rPr>
          <w:b/>
          <w:bCs/>
          <w:color w:val="000000" w:themeColor="text1"/>
          <w:sz w:val="24"/>
          <w:szCs w:val="24"/>
        </w:rPr>
        <w:lastRenderedPageBreak/>
        <w:t>Appendices</w:t>
      </w:r>
      <w:r w:rsidR="001C051B" w:rsidRPr="00AD5635">
        <w:rPr>
          <w:b/>
          <w:bCs/>
          <w:color w:val="000000" w:themeColor="text1"/>
          <w:sz w:val="24"/>
          <w:szCs w:val="24"/>
        </w:rPr>
        <w:t xml:space="preserve"> :</w:t>
      </w:r>
      <w:proofErr w:type="gramEnd"/>
    </w:p>
    <w:p w14:paraId="17FA5316" w14:textId="77777777" w:rsidR="0056065D" w:rsidRPr="00AD5635" w:rsidRDefault="0056065D" w:rsidP="00232CC3">
      <w:pPr>
        <w:rPr>
          <w:b/>
          <w:bCs/>
          <w:color w:val="000000" w:themeColor="text1"/>
          <w:sz w:val="24"/>
          <w:szCs w:val="24"/>
        </w:rPr>
      </w:pPr>
    </w:p>
    <w:p w14:paraId="1D43BD7A" w14:textId="3CDA1C82" w:rsidR="0056065D" w:rsidRPr="00AD5635" w:rsidRDefault="0056065D" w:rsidP="0056065D">
      <w:pPr>
        <w:rPr>
          <w:color w:val="000000" w:themeColor="text1"/>
          <w:sz w:val="24"/>
          <w:szCs w:val="24"/>
        </w:rPr>
      </w:pPr>
      <w:r w:rsidRPr="00AD5635">
        <w:rPr>
          <w:b/>
          <w:bCs/>
          <w:color w:val="000000" w:themeColor="text1"/>
          <w:sz w:val="24"/>
          <w:szCs w:val="24"/>
        </w:rPr>
        <w:t>Table 1: Whitbread PLC 5-Year Financial Performance Summary (Whitbread PLC Annual Reports, 2020-2024)</w:t>
      </w:r>
    </w:p>
    <w:p w14:paraId="2B5C3AD7" w14:textId="649D6F6C" w:rsidR="0056065D" w:rsidRDefault="0056065D" w:rsidP="00232CC3">
      <w:pPr>
        <w:rPr>
          <w:b/>
          <w:bCs/>
          <w:color w:val="000000" w:themeColor="text1"/>
          <w:sz w:val="24"/>
          <w:szCs w:val="24"/>
        </w:rPr>
      </w:pPr>
      <w:r w:rsidRPr="00AD5635">
        <w:rPr>
          <w:b/>
          <w:bCs/>
          <w:noProof/>
          <w:color w:val="000000" w:themeColor="text1"/>
          <w:sz w:val="24"/>
          <w:szCs w:val="24"/>
        </w:rPr>
        <w:drawing>
          <wp:inline distT="0" distB="0" distL="0" distR="0" wp14:anchorId="06C87E3F" wp14:editId="549FDB9A">
            <wp:extent cx="5044877" cy="1539373"/>
            <wp:effectExtent l="0" t="0" r="3810" b="3810"/>
            <wp:docPr id="895881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81947" name=""/>
                    <pic:cNvPicPr/>
                  </pic:nvPicPr>
                  <pic:blipFill>
                    <a:blip r:embed="rId20"/>
                    <a:stretch>
                      <a:fillRect/>
                    </a:stretch>
                  </pic:blipFill>
                  <pic:spPr>
                    <a:xfrm>
                      <a:off x="0" y="0"/>
                      <a:ext cx="5044877" cy="1539373"/>
                    </a:xfrm>
                    <a:prstGeom prst="rect">
                      <a:avLst/>
                    </a:prstGeom>
                  </pic:spPr>
                </pic:pic>
              </a:graphicData>
            </a:graphic>
          </wp:inline>
        </w:drawing>
      </w:r>
    </w:p>
    <w:p w14:paraId="5A2AF3DC" w14:textId="77777777" w:rsidR="00325CE8" w:rsidRPr="00AD5635" w:rsidRDefault="00325CE8" w:rsidP="00232CC3">
      <w:pPr>
        <w:rPr>
          <w:b/>
          <w:bCs/>
          <w:color w:val="000000" w:themeColor="text1"/>
          <w:sz w:val="24"/>
          <w:szCs w:val="24"/>
        </w:rPr>
      </w:pPr>
    </w:p>
    <w:p w14:paraId="34A6A77F" w14:textId="77777777" w:rsidR="0074471B" w:rsidRPr="00AD5635" w:rsidRDefault="0074471B" w:rsidP="00232CC3">
      <w:pPr>
        <w:rPr>
          <w:b/>
          <w:bCs/>
          <w:color w:val="000000" w:themeColor="text1"/>
          <w:sz w:val="24"/>
          <w:szCs w:val="24"/>
        </w:rPr>
      </w:pPr>
    </w:p>
    <w:p w14:paraId="1A8856B0" w14:textId="7490D525" w:rsidR="0074471B" w:rsidRPr="00AD5635" w:rsidRDefault="0074471B" w:rsidP="00232CC3">
      <w:pPr>
        <w:rPr>
          <w:color w:val="000000" w:themeColor="text1"/>
          <w:sz w:val="24"/>
          <w:szCs w:val="24"/>
        </w:rPr>
      </w:pPr>
      <w:r w:rsidRPr="00AD5635">
        <w:rPr>
          <w:b/>
          <w:bCs/>
          <w:color w:val="000000" w:themeColor="text1"/>
          <w:sz w:val="24"/>
          <w:szCs w:val="24"/>
        </w:rPr>
        <w:t>Table 2: Whitbread PLC Profitability Ratios (Whitbread PLC Annual Reports, 2020-2024)</w:t>
      </w:r>
    </w:p>
    <w:p w14:paraId="6D4DCE4C" w14:textId="35825BD0" w:rsidR="0074471B" w:rsidRPr="00AD5635" w:rsidRDefault="0074471B" w:rsidP="00232CC3">
      <w:pPr>
        <w:rPr>
          <w:b/>
          <w:bCs/>
          <w:color w:val="000000" w:themeColor="text1"/>
          <w:sz w:val="24"/>
          <w:szCs w:val="24"/>
        </w:rPr>
      </w:pPr>
      <w:r w:rsidRPr="00AD5635">
        <w:rPr>
          <w:b/>
          <w:bCs/>
          <w:noProof/>
          <w:color w:val="000000" w:themeColor="text1"/>
          <w:sz w:val="24"/>
          <w:szCs w:val="24"/>
        </w:rPr>
        <w:drawing>
          <wp:inline distT="0" distB="0" distL="0" distR="0" wp14:anchorId="6508F8AD" wp14:editId="72F4C8F9">
            <wp:extent cx="5731510" cy="2657475"/>
            <wp:effectExtent l="0" t="0" r="2540" b="9525"/>
            <wp:docPr id="1340560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560677" name=""/>
                    <pic:cNvPicPr/>
                  </pic:nvPicPr>
                  <pic:blipFill>
                    <a:blip r:embed="rId21"/>
                    <a:stretch>
                      <a:fillRect/>
                    </a:stretch>
                  </pic:blipFill>
                  <pic:spPr>
                    <a:xfrm>
                      <a:off x="0" y="0"/>
                      <a:ext cx="5731510" cy="2657475"/>
                    </a:xfrm>
                    <a:prstGeom prst="rect">
                      <a:avLst/>
                    </a:prstGeom>
                  </pic:spPr>
                </pic:pic>
              </a:graphicData>
            </a:graphic>
          </wp:inline>
        </w:drawing>
      </w:r>
    </w:p>
    <w:p w14:paraId="3C71E59B" w14:textId="77777777" w:rsidR="001C051B" w:rsidRPr="00AD5635" w:rsidRDefault="001C051B" w:rsidP="00355A38">
      <w:pPr>
        <w:rPr>
          <w:b/>
          <w:bCs/>
          <w:color w:val="000000" w:themeColor="text1"/>
          <w:sz w:val="24"/>
          <w:szCs w:val="24"/>
        </w:rPr>
      </w:pPr>
    </w:p>
    <w:p w14:paraId="5AD98B40" w14:textId="77777777" w:rsidR="001C051B" w:rsidRPr="00AD5635" w:rsidRDefault="001C051B" w:rsidP="00355A38">
      <w:pPr>
        <w:rPr>
          <w:b/>
          <w:bCs/>
          <w:color w:val="000000" w:themeColor="text1"/>
          <w:sz w:val="24"/>
          <w:szCs w:val="24"/>
        </w:rPr>
      </w:pPr>
    </w:p>
    <w:p w14:paraId="6FA92EA6" w14:textId="77777777" w:rsidR="001C051B" w:rsidRPr="00AD5635" w:rsidRDefault="001C051B" w:rsidP="00355A38">
      <w:pPr>
        <w:rPr>
          <w:b/>
          <w:bCs/>
          <w:color w:val="000000" w:themeColor="text1"/>
          <w:sz w:val="24"/>
          <w:szCs w:val="24"/>
        </w:rPr>
      </w:pPr>
    </w:p>
    <w:p w14:paraId="7B9A6ECC" w14:textId="77777777" w:rsidR="001C051B" w:rsidRPr="00AD5635" w:rsidRDefault="001C051B" w:rsidP="00355A38">
      <w:pPr>
        <w:rPr>
          <w:b/>
          <w:bCs/>
          <w:color w:val="000000" w:themeColor="text1"/>
          <w:sz w:val="24"/>
          <w:szCs w:val="24"/>
        </w:rPr>
      </w:pPr>
    </w:p>
    <w:p w14:paraId="0FFE7A32" w14:textId="77777777" w:rsidR="001C051B" w:rsidRPr="00AD5635" w:rsidRDefault="001C051B" w:rsidP="00355A38">
      <w:pPr>
        <w:rPr>
          <w:b/>
          <w:bCs/>
          <w:color w:val="000000" w:themeColor="text1"/>
          <w:sz w:val="24"/>
          <w:szCs w:val="24"/>
        </w:rPr>
      </w:pPr>
    </w:p>
    <w:p w14:paraId="63C99175" w14:textId="77777777" w:rsidR="001C051B" w:rsidRPr="00AD5635" w:rsidRDefault="001C051B" w:rsidP="00355A38">
      <w:pPr>
        <w:rPr>
          <w:b/>
          <w:bCs/>
          <w:color w:val="000000" w:themeColor="text1"/>
          <w:sz w:val="24"/>
          <w:szCs w:val="24"/>
        </w:rPr>
      </w:pPr>
    </w:p>
    <w:p w14:paraId="7DD9CE8B" w14:textId="77777777" w:rsidR="001C051B" w:rsidRPr="00AD5635" w:rsidRDefault="001C051B" w:rsidP="00355A38">
      <w:pPr>
        <w:rPr>
          <w:b/>
          <w:bCs/>
          <w:color w:val="000000" w:themeColor="text1"/>
          <w:sz w:val="24"/>
          <w:szCs w:val="24"/>
        </w:rPr>
      </w:pPr>
    </w:p>
    <w:p w14:paraId="482567AD" w14:textId="77777777" w:rsidR="001C051B" w:rsidRPr="00AD5635" w:rsidRDefault="001C051B" w:rsidP="00355A38">
      <w:pPr>
        <w:rPr>
          <w:b/>
          <w:bCs/>
          <w:color w:val="000000" w:themeColor="text1"/>
          <w:sz w:val="24"/>
          <w:szCs w:val="24"/>
        </w:rPr>
      </w:pPr>
    </w:p>
    <w:p w14:paraId="258178E9" w14:textId="4C42DF00" w:rsidR="00355A38" w:rsidRPr="00AD5635" w:rsidRDefault="00355A38" w:rsidP="00355A38">
      <w:pPr>
        <w:rPr>
          <w:color w:val="000000" w:themeColor="text1"/>
          <w:sz w:val="24"/>
          <w:szCs w:val="24"/>
        </w:rPr>
      </w:pPr>
      <w:r w:rsidRPr="00AD5635">
        <w:rPr>
          <w:b/>
          <w:bCs/>
          <w:color w:val="000000" w:themeColor="text1"/>
          <w:sz w:val="24"/>
          <w:szCs w:val="24"/>
        </w:rPr>
        <w:t xml:space="preserve">Table </w:t>
      </w:r>
      <w:proofErr w:type="gramStart"/>
      <w:r w:rsidRPr="00AD5635">
        <w:rPr>
          <w:b/>
          <w:bCs/>
          <w:color w:val="000000" w:themeColor="text1"/>
          <w:sz w:val="24"/>
          <w:szCs w:val="24"/>
        </w:rPr>
        <w:t>3 :</w:t>
      </w:r>
      <w:proofErr w:type="gramEnd"/>
      <w:r w:rsidRPr="00AD5635">
        <w:rPr>
          <w:b/>
          <w:bCs/>
          <w:color w:val="000000" w:themeColor="text1"/>
          <w:sz w:val="24"/>
          <w:szCs w:val="24"/>
        </w:rPr>
        <w:t xml:space="preserve"> Investment Appraisal Summary for Projects A, B, and C</w:t>
      </w:r>
    </w:p>
    <w:p w14:paraId="36BA1071" w14:textId="77777777" w:rsidR="00355A38" w:rsidRPr="00AD5635" w:rsidRDefault="00355A38" w:rsidP="00232CC3">
      <w:pPr>
        <w:rPr>
          <w:b/>
          <w:bCs/>
          <w:color w:val="000000" w:themeColor="text1"/>
          <w:sz w:val="24"/>
          <w:szCs w:val="24"/>
        </w:rPr>
      </w:pPr>
    </w:p>
    <w:p w14:paraId="27ED451D" w14:textId="3AF2280E" w:rsidR="00355A38" w:rsidRPr="00AD5635" w:rsidRDefault="00355A38" w:rsidP="00232CC3">
      <w:pPr>
        <w:rPr>
          <w:b/>
          <w:bCs/>
          <w:color w:val="000000" w:themeColor="text1"/>
          <w:sz w:val="24"/>
          <w:szCs w:val="24"/>
        </w:rPr>
      </w:pPr>
      <w:r w:rsidRPr="00AD5635">
        <w:rPr>
          <w:b/>
          <w:bCs/>
          <w:noProof/>
          <w:color w:val="000000" w:themeColor="text1"/>
          <w:sz w:val="24"/>
          <w:szCs w:val="24"/>
        </w:rPr>
        <w:drawing>
          <wp:inline distT="0" distB="0" distL="0" distR="0" wp14:anchorId="76F76797" wp14:editId="0C4E0924">
            <wp:extent cx="3848433" cy="4854361"/>
            <wp:effectExtent l="0" t="0" r="0" b="3810"/>
            <wp:docPr id="75550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05810" name=""/>
                    <pic:cNvPicPr/>
                  </pic:nvPicPr>
                  <pic:blipFill>
                    <a:blip r:embed="rId22"/>
                    <a:stretch>
                      <a:fillRect/>
                    </a:stretch>
                  </pic:blipFill>
                  <pic:spPr>
                    <a:xfrm>
                      <a:off x="0" y="0"/>
                      <a:ext cx="3848433" cy="4854361"/>
                    </a:xfrm>
                    <a:prstGeom prst="rect">
                      <a:avLst/>
                    </a:prstGeom>
                  </pic:spPr>
                </pic:pic>
              </a:graphicData>
            </a:graphic>
          </wp:inline>
        </w:drawing>
      </w:r>
    </w:p>
    <w:p w14:paraId="575296D7" w14:textId="77777777" w:rsidR="001C051B" w:rsidRPr="00AD5635" w:rsidRDefault="001C051B" w:rsidP="00232CC3">
      <w:pPr>
        <w:rPr>
          <w:b/>
          <w:bCs/>
          <w:color w:val="000000" w:themeColor="text1"/>
          <w:sz w:val="24"/>
          <w:szCs w:val="24"/>
        </w:rPr>
      </w:pPr>
    </w:p>
    <w:p w14:paraId="34613E2C" w14:textId="77777777" w:rsidR="001C051B" w:rsidRPr="00AD5635" w:rsidRDefault="001C051B" w:rsidP="001C051B">
      <w:pPr>
        <w:rPr>
          <w:color w:val="000000" w:themeColor="text1"/>
          <w:sz w:val="24"/>
          <w:szCs w:val="24"/>
        </w:rPr>
      </w:pPr>
      <w:r w:rsidRPr="00AD5635">
        <w:rPr>
          <w:b/>
          <w:bCs/>
          <w:color w:val="000000" w:themeColor="text1"/>
          <w:sz w:val="24"/>
          <w:szCs w:val="24"/>
        </w:rPr>
        <w:t>Table 4: Capital Rationing Combinations Under a £100m Budget Constraint</w:t>
      </w:r>
    </w:p>
    <w:p w14:paraId="0884B2F0" w14:textId="77777777" w:rsidR="00E63F9E" w:rsidRPr="00AD5635" w:rsidRDefault="001C051B" w:rsidP="00E63F9E">
      <w:pPr>
        <w:rPr>
          <w:b/>
          <w:bCs/>
          <w:color w:val="000000" w:themeColor="text1"/>
          <w:sz w:val="24"/>
          <w:szCs w:val="24"/>
        </w:rPr>
      </w:pPr>
      <w:r w:rsidRPr="00AD5635">
        <w:rPr>
          <w:b/>
          <w:bCs/>
          <w:noProof/>
          <w:color w:val="000000" w:themeColor="text1"/>
          <w:sz w:val="24"/>
          <w:szCs w:val="24"/>
        </w:rPr>
        <w:drawing>
          <wp:inline distT="0" distB="0" distL="0" distR="0" wp14:anchorId="3FD20625" wp14:editId="1B80D5A7">
            <wp:extent cx="5731510" cy="1863725"/>
            <wp:effectExtent l="0" t="0" r="2540" b="3175"/>
            <wp:docPr id="1096043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43174" name=""/>
                    <pic:cNvPicPr/>
                  </pic:nvPicPr>
                  <pic:blipFill>
                    <a:blip r:embed="rId23"/>
                    <a:stretch>
                      <a:fillRect/>
                    </a:stretch>
                  </pic:blipFill>
                  <pic:spPr>
                    <a:xfrm>
                      <a:off x="0" y="0"/>
                      <a:ext cx="5731510" cy="1863725"/>
                    </a:xfrm>
                    <a:prstGeom prst="rect">
                      <a:avLst/>
                    </a:prstGeom>
                  </pic:spPr>
                </pic:pic>
              </a:graphicData>
            </a:graphic>
          </wp:inline>
        </w:drawing>
      </w:r>
      <w:r w:rsidR="00E63F9E" w:rsidRPr="00AD5635">
        <w:rPr>
          <w:b/>
          <w:bCs/>
          <w:color w:val="000000" w:themeColor="text1"/>
          <w:sz w:val="24"/>
          <w:szCs w:val="24"/>
        </w:rPr>
        <w:t xml:space="preserve"> </w:t>
      </w:r>
    </w:p>
    <w:p w14:paraId="29062250" w14:textId="77777777" w:rsidR="00E63F9E" w:rsidRPr="00AD5635" w:rsidRDefault="00E63F9E" w:rsidP="00E63F9E">
      <w:pPr>
        <w:rPr>
          <w:b/>
          <w:bCs/>
          <w:color w:val="000000" w:themeColor="text1"/>
          <w:sz w:val="24"/>
          <w:szCs w:val="24"/>
        </w:rPr>
      </w:pPr>
    </w:p>
    <w:p w14:paraId="3C00F551" w14:textId="77777777" w:rsidR="00E63F9E" w:rsidRPr="00AD5635" w:rsidRDefault="00E63F9E" w:rsidP="00E63F9E">
      <w:pPr>
        <w:rPr>
          <w:b/>
          <w:bCs/>
          <w:color w:val="000000" w:themeColor="text1"/>
          <w:sz w:val="24"/>
          <w:szCs w:val="24"/>
        </w:rPr>
      </w:pPr>
    </w:p>
    <w:p w14:paraId="7D2F2E5A" w14:textId="228BD0B9" w:rsidR="00E63F9E" w:rsidRPr="00AD5635" w:rsidRDefault="00E63F9E" w:rsidP="00E63F9E">
      <w:pPr>
        <w:rPr>
          <w:b/>
          <w:bCs/>
          <w:color w:val="000000" w:themeColor="text1"/>
          <w:sz w:val="24"/>
          <w:szCs w:val="24"/>
        </w:rPr>
      </w:pPr>
      <w:r w:rsidRPr="00AD5635">
        <w:rPr>
          <w:b/>
          <w:bCs/>
          <w:color w:val="000000" w:themeColor="text1"/>
          <w:sz w:val="24"/>
          <w:szCs w:val="24"/>
        </w:rPr>
        <w:t xml:space="preserve">Table </w:t>
      </w:r>
      <w:proofErr w:type="gramStart"/>
      <w:r w:rsidRPr="00AD5635">
        <w:rPr>
          <w:b/>
          <w:bCs/>
          <w:color w:val="000000" w:themeColor="text1"/>
          <w:sz w:val="24"/>
          <w:szCs w:val="24"/>
        </w:rPr>
        <w:t>5 :</w:t>
      </w:r>
      <w:proofErr w:type="gramEnd"/>
      <w:r w:rsidRPr="00AD5635">
        <w:rPr>
          <w:b/>
          <w:bCs/>
          <w:color w:val="000000" w:themeColor="text1"/>
          <w:sz w:val="24"/>
          <w:szCs w:val="24"/>
        </w:rPr>
        <w:t xml:space="preserve"> Income Statement </w:t>
      </w:r>
    </w:p>
    <w:p w14:paraId="06113F40" w14:textId="1EECC4B0" w:rsidR="00E63F9E" w:rsidRPr="00AD5635" w:rsidRDefault="00E63F9E" w:rsidP="00E63F9E">
      <w:pPr>
        <w:rPr>
          <w:color w:val="000000" w:themeColor="text1"/>
          <w:sz w:val="24"/>
          <w:szCs w:val="24"/>
        </w:rPr>
      </w:pPr>
      <w:r w:rsidRPr="00AD5635">
        <w:rPr>
          <w:noProof/>
          <w:color w:val="000000" w:themeColor="text1"/>
          <w:sz w:val="24"/>
          <w:szCs w:val="24"/>
        </w:rPr>
        <w:drawing>
          <wp:inline distT="0" distB="0" distL="0" distR="0" wp14:anchorId="7C424BC1" wp14:editId="166137AE">
            <wp:extent cx="5349704" cy="4023709"/>
            <wp:effectExtent l="0" t="0" r="3810" b="0"/>
            <wp:docPr id="1006120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120114" name=""/>
                    <pic:cNvPicPr/>
                  </pic:nvPicPr>
                  <pic:blipFill>
                    <a:blip r:embed="rId24"/>
                    <a:stretch>
                      <a:fillRect/>
                    </a:stretch>
                  </pic:blipFill>
                  <pic:spPr>
                    <a:xfrm>
                      <a:off x="0" y="0"/>
                      <a:ext cx="5349704" cy="4023709"/>
                    </a:xfrm>
                    <a:prstGeom prst="rect">
                      <a:avLst/>
                    </a:prstGeom>
                  </pic:spPr>
                </pic:pic>
              </a:graphicData>
            </a:graphic>
          </wp:inline>
        </w:drawing>
      </w:r>
    </w:p>
    <w:p w14:paraId="06F6E7CE" w14:textId="77777777" w:rsidR="00A62527" w:rsidRPr="00AD5635" w:rsidRDefault="00A62527" w:rsidP="00E63F9E">
      <w:pPr>
        <w:rPr>
          <w:color w:val="000000" w:themeColor="text1"/>
          <w:sz w:val="24"/>
          <w:szCs w:val="24"/>
        </w:rPr>
      </w:pPr>
    </w:p>
    <w:p w14:paraId="0DBC1360" w14:textId="2EC99B9D" w:rsidR="00A62527" w:rsidRPr="00AD5635" w:rsidRDefault="00A62527" w:rsidP="00A62527">
      <w:pPr>
        <w:rPr>
          <w:b/>
          <w:bCs/>
          <w:color w:val="000000" w:themeColor="text1"/>
          <w:sz w:val="24"/>
          <w:szCs w:val="24"/>
        </w:rPr>
      </w:pPr>
      <w:r w:rsidRPr="00AD5635">
        <w:rPr>
          <w:b/>
          <w:bCs/>
          <w:color w:val="000000" w:themeColor="text1"/>
          <w:sz w:val="24"/>
          <w:szCs w:val="24"/>
        </w:rPr>
        <w:t xml:space="preserve">Table </w:t>
      </w:r>
      <w:proofErr w:type="gramStart"/>
      <w:r w:rsidR="00325CE8">
        <w:rPr>
          <w:b/>
          <w:bCs/>
          <w:color w:val="000000" w:themeColor="text1"/>
          <w:sz w:val="24"/>
          <w:szCs w:val="24"/>
        </w:rPr>
        <w:t>6</w:t>
      </w:r>
      <w:r w:rsidRPr="00AD5635">
        <w:rPr>
          <w:b/>
          <w:bCs/>
          <w:color w:val="000000" w:themeColor="text1"/>
          <w:sz w:val="24"/>
          <w:szCs w:val="24"/>
        </w:rPr>
        <w:t xml:space="preserve"> :</w:t>
      </w:r>
      <w:proofErr w:type="gramEnd"/>
      <w:r w:rsidRPr="00AD5635">
        <w:rPr>
          <w:b/>
          <w:bCs/>
          <w:color w:val="000000" w:themeColor="text1"/>
          <w:sz w:val="24"/>
          <w:szCs w:val="24"/>
        </w:rPr>
        <w:t xml:space="preserve"> Balance sheet</w:t>
      </w:r>
    </w:p>
    <w:tbl>
      <w:tblPr>
        <w:tblW w:w="9312" w:type="dxa"/>
        <w:tblLook w:val="04A0" w:firstRow="1" w:lastRow="0" w:firstColumn="1" w:lastColumn="0" w:noHBand="0" w:noVBand="1"/>
      </w:tblPr>
      <w:tblGrid>
        <w:gridCol w:w="2832"/>
        <w:gridCol w:w="1080"/>
        <w:gridCol w:w="1080"/>
        <w:gridCol w:w="1080"/>
        <w:gridCol w:w="1080"/>
        <w:gridCol w:w="1080"/>
        <w:gridCol w:w="1080"/>
      </w:tblGrid>
      <w:tr w:rsidR="00A62527" w:rsidRPr="00AD5635" w14:paraId="3A3E5D56" w14:textId="77777777" w:rsidTr="00A62527">
        <w:trPr>
          <w:trHeight w:val="264"/>
        </w:trPr>
        <w:tc>
          <w:tcPr>
            <w:tcW w:w="2832" w:type="dxa"/>
            <w:tcBorders>
              <w:top w:val="nil"/>
              <w:left w:val="nil"/>
              <w:bottom w:val="nil"/>
              <w:right w:val="nil"/>
            </w:tcBorders>
            <w:noWrap/>
            <w:vAlign w:val="center"/>
            <w:hideMark/>
          </w:tcPr>
          <w:p w14:paraId="2D5CAA9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Item</w:t>
            </w:r>
          </w:p>
        </w:tc>
        <w:tc>
          <w:tcPr>
            <w:tcW w:w="1080" w:type="dxa"/>
            <w:tcBorders>
              <w:top w:val="nil"/>
              <w:left w:val="nil"/>
              <w:bottom w:val="nil"/>
              <w:right w:val="nil"/>
            </w:tcBorders>
            <w:noWrap/>
            <w:vAlign w:val="center"/>
            <w:hideMark/>
          </w:tcPr>
          <w:p w14:paraId="57099D8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Notes</w:t>
            </w:r>
          </w:p>
        </w:tc>
        <w:tc>
          <w:tcPr>
            <w:tcW w:w="1080" w:type="dxa"/>
            <w:tcBorders>
              <w:top w:val="nil"/>
              <w:left w:val="nil"/>
              <w:bottom w:val="nil"/>
              <w:right w:val="nil"/>
            </w:tcBorders>
            <w:noWrap/>
            <w:vAlign w:val="center"/>
            <w:hideMark/>
          </w:tcPr>
          <w:p w14:paraId="26EC234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2023/24</w:t>
            </w:r>
          </w:p>
        </w:tc>
        <w:tc>
          <w:tcPr>
            <w:tcW w:w="1080" w:type="dxa"/>
            <w:tcBorders>
              <w:top w:val="nil"/>
              <w:left w:val="nil"/>
              <w:bottom w:val="nil"/>
              <w:right w:val="nil"/>
            </w:tcBorders>
            <w:noWrap/>
            <w:vAlign w:val="center"/>
            <w:hideMark/>
          </w:tcPr>
          <w:p w14:paraId="4C11095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2022/23</w:t>
            </w:r>
          </w:p>
        </w:tc>
        <w:tc>
          <w:tcPr>
            <w:tcW w:w="1080" w:type="dxa"/>
            <w:tcBorders>
              <w:top w:val="nil"/>
              <w:left w:val="nil"/>
              <w:bottom w:val="nil"/>
              <w:right w:val="nil"/>
            </w:tcBorders>
            <w:noWrap/>
            <w:vAlign w:val="center"/>
            <w:hideMark/>
          </w:tcPr>
          <w:p w14:paraId="44A1410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2021/22</w:t>
            </w:r>
          </w:p>
        </w:tc>
        <w:tc>
          <w:tcPr>
            <w:tcW w:w="1080" w:type="dxa"/>
            <w:tcBorders>
              <w:top w:val="nil"/>
              <w:left w:val="nil"/>
              <w:bottom w:val="nil"/>
              <w:right w:val="nil"/>
            </w:tcBorders>
            <w:noWrap/>
            <w:vAlign w:val="center"/>
            <w:hideMark/>
          </w:tcPr>
          <w:p w14:paraId="79496AC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2020/21</w:t>
            </w:r>
          </w:p>
        </w:tc>
        <w:tc>
          <w:tcPr>
            <w:tcW w:w="1080" w:type="dxa"/>
            <w:tcBorders>
              <w:top w:val="nil"/>
              <w:left w:val="nil"/>
              <w:bottom w:val="nil"/>
              <w:right w:val="nil"/>
            </w:tcBorders>
            <w:noWrap/>
            <w:vAlign w:val="center"/>
            <w:hideMark/>
          </w:tcPr>
          <w:p w14:paraId="109188E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2019/20</w:t>
            </w:r>
          </w:p>
        </w:tc>
      </w:tr>
      <w:tr w:rsidR="00A62527" w:rsidRPr="00AD5635" w14:paraId="11D62205" w14:textId="77777777" w:rsidTr="00A62527">
        <w:trPr>
          <w:trHeight w:val="264"/>
        </w:trPr>
        <w:tc>
          <w:tcPr>
            <w:tcW w:w="2832" w:type="dxa"/>
            <w:tcBorders>
              <w:top w:val="nil"/>
              <w:left w:val="nil"/>
              <w:bottom w:val="nil"/>
              <w:right w:val="nil"/>
            </w:tcBorders>
            <w:noWrap/>
            <w:vAlign w:val="center"/>
            <w:hideMark/>
          </w:tcPr>
          <w:p w14:paraId="058F8E6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w:t>
            </w:r>
          </w:p>
        </w:tc>
        <w:tc>
          <w:tcPr>
            <w:tcW w:w="1080" w:type="dxa"/>
            <w:tcBorders>
              <w:top w:val="nil"/>
              <w:left w:val="nil"/>
              <w:bottom w:val="nil"/>
              <w:right w:val="nil"/>
            </w:tcBorders>
            <w:noWrap/>
            <w:vAlign w:val="center"/>
            <w:hideMark/>
          </w:tcPr>
          <w:p w14:paraId="6F56B6F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CB53E3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FY24</w:t>
            </w:r>
          </w:p>
        </w:tc>
        <w:tc>
          <w:tcPr>
            <w:tcW w:w="1080" w:type="dxa"/>
            <w:tcBorders>
              <w:top w:val="nil"/>
              <w:left w:val="nil"/>
              <w:bottom w:val="nil"/>
              <w:right w:val="nil"/>
            </w:tcBorders>
            <w:noWrap/>
            <w:vAlign w:val="center"/>
            <w:hideMark/>
          </w:tcPr>
          <w:p w14:paraId="0021088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FY23</w:t>
            </w:r>
          </w:p>
        </w:tc>
        <w:tc>
          <w:tcPr>
            <w:tcW w:w="1080" w:type="dxa"/>
            <w:tcBorders>
              <w:top w:val="nil"/>
              <w:left w:val="nil"/>
              <w:bottom w:val="nil"/>
              <w:right w:val="nil"/>
            </w:tcBorders>
            <w:noWrap/>
            <w:vAlign w:val="center"/>
            <w:hideMark/>
          </w:tcPr>
          <w:p w14:paraId="0E509AE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FY22</w:t>
            </w:r>
          </w:p>
        </w:tc>
        <w:tc>
          <w:tcPr>
            <w:tcW w:w="1080" w:type="dxa"/>
            <w:tcBorders>
              <w:top w:val="nil"/>
              <w:left w:val="nil"/>
              <w:bottom w:val="nil"/>
              <w:right w:val="nil"/>
            </w:tcBorders>
            <w:noWrap/>
            <w:vAlign w:val="center"/>
            <w:hideMark/>
          </w:tcPr>
          <w:p w14:paraId="455264E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FY21</w:t>
            </w:r>
          </w:p>
        </w:tc>
        <w:tc>
          <w:tcPr>
            <w:tcW w:w="1080" w:type="dxa"/>
            <w:tcBorders>
              <w:top w:val="nil"/>
              <w:left w:val="nil"/>
              <w:bottom w:val="nil"/>
              <w:right w:val="nil"/>
            </w:tcBorders>
            <w:noWrap/>
            <w:vAlign w:val="center"/>
            <w:hideMark/>
          </w:tcPr>
          <w:p w14:paraId="04F6F9B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FY20</w:t>
            </w:r>
          </w:p>
        </w:tc>
      </w:tr>
      <w:tr w:rsidR="00A62527" w:rsidRPr="00AD5635" w14:paraId="7813D076" w14:textId="77777777" w:rsidTr="00A62527">
        <w:trPr>
          <w:trHeight w:val="264"/>
        </w:trPr>
        <w:tc>
          <w:tcPr>
            <w:tcW w:w="3912" w:type="dxa"/>
            <w:gridSpan w:val="2"/>
            <w:tcBorders>
              <w:top w:val="nil"/>
              <w:left w:val="nil"/>
              <w:bottom w:val="nil"/>
              <w:right w:val="nil"/>
            </w:tcBorders>
            <w:noWrap/>
            <w:vAlign w:val="center"/>
            <w:hideMark/>
          </w:tcPr>
          <w:p w14:paraId="5EE3D30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assets</w:t>
            </w:r>
          </w:p>
        </w:tc>
        <w:tc>
          <w:tcPr>
            <w:tcW w:w="1080" w:type="dxa"/>
            <w:tcBorders>
              <w:top w:val="nil"/>
              <w:left w:val="nil"/>
              <w:bottom w:val="nil"/>
              <w:right w:val="nil"/>
            </w:tcBorders>
            <w:noWrap/>
            <w:vAlign w:val="center"/>
            <w:hideMark/>
          </w:tcPr>
          <w:p w14:paraId="6524DDF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263F557"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FC7F5AD"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528DD5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BC0373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5C785CD3" w14:textId="77777777" w:rsidTr="00A62527">
        <w:trPr>
          <w:trHeight w:val="264"/>
        </w:trPr>
        <w:tc>
          <w:tcPr>
            <w:tcW w:w="2832" w:type="dxa"/>
            <w:tcBorders>
              <w:top w:val="nil"/>
              <w:left w:val="nil"/>
              <w:bottom w:val="nil"/>
              <w:right w:val="nil"/>
            </w:tcBorders>
            <w:noWrap/>
            <w:vAlign w:val="center"/>
            <w:hideMark/>
          </w:tcPr>
          <w:p w14:paraId="2B312CA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Intangible assets</w:t>
            </w:r>
          </w:p>
        </w:tc>
        <w:tc>
          <w:tcPr>
            <w:tcW w:w="1080" w:type="dxa"/>
            <w:tcBorders>
              <w:top w:val="nil"/>
              <w:left w:val="nil"/>
              <w:bottom w:val="nil"/>
              <w:right w:val="nil"/>
            </w:tcBorders>
            <w:noWrap/>
            <w:vAlign w:val="center"/>
            <w:hideMark/>
          </w:tcPr>
          <w:p w14:paraId="188A471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1, 2</w:t>
            </w:r>
          </w:p>
        </w:tc>
        <w:tc>
          <w:tcPr>
            <w:tcW w:w="1080" w:type="dxa"/>
            <w:tcBorders>
              <w:top w:val="nil"/>
              <w:left w:val="nil"/>
              <w:bottom w:val="nil"/>
              <w:right w:val="nil"/>
            </w:tcBorders>
            <w:noWrap/>
            <w:vAlign w:val="center"/>
            <w:hideMark/>
          </w:tcPr>
          <w:p w14:paraId="0BD67AC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185.0</w:t>
            </w:r>
          </w:p>
        </w:tc>
        <w:tc>
          <w:tcPr>
            <w:tcW w:w="1080" w:type="dxa"/>
            <w:tcBorders>
              <w:top w:val="nil"/>
              <w:left w:val="nil"/>
              <w:bottom w:val="nil"/>
              <w:right w:val="nil"/>
            </w:tcBorders>
            <w:noWrap/>
            <w:vAlign w:val="center"/>
            <w:hideMark/>
          </w:tcPr>
          <w:p w14:paraId="3E30DE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179.6</w:t>
            </w:r>
          </w:p>
        </w:tc>
        <w:tc>
          <w:tcPr>
            <w:tcW w:w="1080" w:type="dxa"/>
            <w:tcBorders>
              <w:top w:val="nil"/>
              <w:left w:val="nil"/>
              <w:bottom w:val="nil"/>
              <w:right w:val="nil"/>
            </w:tcBorders>
            <w:noWrap/>
            <w:vAlign w:val="center"/>
            <w:hideMark/>
          </w:tcPr>
          <w:p w14:paraId="73E665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159.3</w:t>
            </w:r>
          </w:p>
        </w:tc>
        <w:tc>
          <w:tcPr>
            <w:tcW w:w="1080" w:type="dxa"/>
            <w:tcBorders>
              <w:top w:val="nil"/>
              <w:left w:val="nil"/>
              <w:bottom w:val="nil"/>
              <w:right w:val="nil"/>
            </w:tcBorders>
            <w:noWrap/>
            <w:vAlign w:val="center"/>
            <w:hideMark/>
          </w:tcPr>
          <w:p w14:paraId="68DD1D0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159.1</w:t>
            </w:r>
          </w:p>
        </w:tc>
        <w:tc>
          <w:tcPr>
            <w:tcW w:w="1080" w:type="dxa"/>
            <w:tcBorders>
              <w:top w:val="nil"/>
              <w:left w:val="nil"/>
              <w:bottom w:val="nil"/>
              <w:right w:val="nil"/>
            </w:tcBorders>
            <w:noWrap/>
            <w:vAlign w:val="center"/>
            <w:hideMark/>
          </w:tcPr>
          <w:p w14:paraId="05B06DF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172.8</w:t>
            </w:r>
          </w:p>
        </w:tc>
      </w:tr>
      <w:tr w:rsidR="00A62527" w:rsidRPr="00AD5635" w14:paraId="7F7EB63A" w14:textId="77777777" w:rsidTr="00A62527">
        <w:trPr>
          <w:trHeight w:val="264"/>
        </w:trPr>
        <w:tc>
          <w:tcPr>
            <w:tcW w:w="3912" w:type="dxa"/>
            <w:gridSpan w:val="2"/>
            <w:tcBorders>
              <w:top w:val="nil"/>
              <w:left w:val="nil"/>
              <w:bottom w:val="nil"/>
              <w:right w:val="nil"/>
            </w:tcBorders>
            <w:noWrap/>
            <w:vAlign w:val="center"/>
            <w:hideMark/>
          </w:tcPr>
          <w:p w14:paraId="108DE34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Property, plant and equipment</w:t>
            </w:r>
          </w:p>
        </w:tc>
        <w:tc>
          <w:tcPr>
            <w:tcW w:w="1080" w:type="dxa"/>
            <w:tcBorders>
              <w:top w:val="nil"/>
              <w:left w:val="nil"/>
              <w:bottom w:val="nil"/>
              <w:right w:val="nil"/>
            </w:tcBorders>
            <w:noWrap/>
            <w:vAlign w:val="center"/>
            <w:hideMark/>
          </w:tcPr>
          <w:p w14:paraId="2E55898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4,627.90</w:t>
            </w:r>
          </w:p>
        </w:tc>
        <w:tc>
          <w:tcPr>
            <w:tcW w:w="1080" w:type="dxa"/>
            <w:tcBorders>
              <w:top w:val="nil"/>
              <w:left w:val="nil"/>
              <w:bottom w:val="nil"/>
              <w:right w:val="nil"/>
            </w:tcBorders>
            <w:noWrap/>
            <w:vAlign w:val="center"/>
            <w:hideMark/>
          </w:tcPr>
          <w:p w14:paraId="22895B8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4,554.20</w:t>
            </w:r>
          </w:p>
        </w:tc>
        <w:tc>
          <w:tcPr>
            <w:tcW w:w="1080" w:type="dxa"/>
            <w:tcBorders>
              <w:top w:val="nil"/>
              <w:left w:val="nil"/>
              <w:bottom w:val="nil"/>
              <w:right w:val="nil"/>
            </w:tcBorders>
            <w:noWrap/>
            <w:vAlign w:val="center"/>
            <w:hideMark/>
          </w:tcPr>
          <w:p w14:paraId="0A8A1E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4,227.10</w:t>
            </w:r>
          </w:p>
        </w:tc>
        <w:tc>
          <w:tcPr>
            <w:tcW w:w="1080" w:type="dxa"/>
            <w:tcBorders>
              <w:top w:val="nil"/>
              <w:left w:val="nil"/>
              <w:bottom w:val="nil"/>
              <w:right w:val="nil"/>
            </w:tcBorders>
            <w:noWrap/>
            <w:vAlign w:val="center"/>
            <w:hideMark/>
          </w:tcPr>
          <w:p w14:paraId="6FCD15A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4,213.10</w:t>
            </w:r>
          </w:p>
        </w:tc>
        <w:tc>
          <w:tcPr>
            <w:tcW w:w="1080" w:type="dxa"/>
            <w:tcBorders>
              <w:top w:val="nil"/>
              <w:left w:val="nil"/>
              <w:bottom w:val="nil"/>
              <w:right w:val="nil"/>
            </w:tcBorders>
            <w:noWrap/>
            <w:vAlign w:val="center"/>
            <w:hideMark/>
          </w:tcPr>
          <w:p w14:paraId="29C4D72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4,232.00</w:t>
            </w:r>
          </w:p>
        </w:tc>
      </w:tr>
      <w:tr w:rsidR="00A62527" w:rsidRPr="00AD5635" w14:paraId="31C9C9D6" w14:textId="77777777" w:rsidTr="00A62527">
        <w:trPr>
          <w:trHeight w:val="264"/>
        </w:trPr>
        <w:tc>
          <w:tcPr>
            <w:tcW w:w="3912" w:type="dxa"/>
            <w:gridSpan w:val="2"/>
            <w:tcBorders>
              <w:top w:val="nil"/>
              <w:left w:val="nil"/>
              <w:bottom w:val="nil"/>
              <w:right w:val="nil"/>
            </w:tcBorders>
            <w:noWrap/>
            <w:vAlign w:val="center"/>
            <w:hideMark/>
          </w:tcPr>
          <w:p w14:paraId="3B21BEB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Right-of-use assets</w:t>
            </w:r>
          </w:p>
        </w:tc>
        <w:tc>
          <w:tcPr>
            <w:tcW w:w="1080" w:type="dxa"/>
            <w:tcBorders>
              <w:top w:val="nil"/>
              <w:left w:val="nil"/>
              <w:bottom w:val="nil"/>
              <w:right w:val="nil"/>
            </w:tcBorders>
            <w:noWrap/>
            <w:vAlign w:val="center"/>
            <w:hideMark/>
          </w:tcPr>
          <w:p w14:paraId="189E3ED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3,597.00</w:t>
            </w:r>
          </w:p>
        </w:tc>
        <w:tc>
          <w:tcPr>
            <w:tcW w:w="1080" w:type="dxa"/>
            <w:tcBorders>
              <w:top w:val="nil"/>
              <w:left w:val="nil"/>
              <w:bottom w:val="nil"/>
              <w:right w:val="nil"/>
            </w:tcBorders>
            <w:noWrap/>
            <w:vAlign w:val="center"/>
            <w:hideMark/>
          </w:tcPr>
          <w:p w14:paraId="09DD4EB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3,504.60</w:t>
            </w:r>
          </w:p>
        </w:tc>
        <w:tc>
          <w:tcPr>
            <w:tcW w:w="1080" w:type="dxa"/>
            <w:tcBorders>
              <w:top w:val="nil"/>
              <w:left w:val="nil"/>
              <w:bottom w:val="nil"/>
              <w:right w:val="nil"/>
            </w:tcBorders>
            <w:noWrap/>
            <w:vAlign w:val="center"/>
            <w:hideMark/>
          </w:tcPr>
          <w:p w14:paraId="0A228EF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3,267.60</w:t>
            </w:r>
          </w:p>
        </w:tc>
        <w:tc>
          <w:tcPr>
            <w:tcW w:w="1080" w:type="dxa"/>
            <w:tcBorders>
              <w:top w:val="nil"/>
              <w:left w:val="nil"/>
              <w:bottom w:val="nil"/>
              <w:right w:val="nil"/>
            </w:tcBorders>
            <w:noWrap/>
            <w:vAlign w:val="center"/>
            <w:hideMark/>
          </w:tcPr>
          <w:p w14:paraId="6AD264B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2,738.40</w:t>
            </w:r>
          </w:p>
        </w:tc>
        <w:tc>
          <w:tcPr>
            <w:tcW w:w="1080" w:type="dxa"/>
            <w:tcBorders>
              <w:top w:val="nil"/>
              <w:left w:val="nil"/>
              <w:bottom w:val="nil"/>
              <w:right w:val="nil"/>
            </w:tcBorders>
            <w:noWrap/>
            <w:vAlign w:val="center"/>
            <w:hideMark/>
          </w:tcPr>
          <w:p w14:paraId="246E2D3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2,273.70</w:t>
            </w:r>
          </w:p>
        </w:tc>
      </w:tr>
      <w:tr w:rsidR="00A62527" w:rsidRPr="00AD5635" w14:paraId="7905B547" w14:textId="77777777" w:rsidTr="00A62527">
        <w:trPr>
          <w:trHeight w:val="264"/>
        </w:trPr>
        <w:tc>
          <w:tcPr>
            <w:tcW w:w="3912" w:type="dxa"/>
            <w:gridSpan w:val="2"/>
            <w:tcBorders>
              <w:top w:val="nil"/>
              <w:left w:val="nil"/>
              <w:bottom w:val="nil"/>
              <w:right w:val="nil"/>
            </w:tcBorders>
            <w:noWrap/>
            <w:vAlign w:val="center"/>
            <w:hideMark/>
          </w:tcPr>
          <w:p w14:paraId="2550E05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in joint ventures</w:t>
            </w:r>
          </w:p>
        </w:tc>
        <w:tc>
          <w:tcPr>
            <w:tcW w:w="1080" w:type="dxa"/>
            <w:tcBorders>
              <w:top w:val="nil"/>
              <w:left w:val="nil"/>
              <w:bottom w:val="nil"/>
              <w:right w:val="nil"/>
            </w:tcBorders>
            <w:noWrap/>
            <w:vAlign w:val="center"/>
            <w:hideMark/>
          </w:tcPr>
          <w:p w14:paraId="2ABA91D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50.8</w:t>
            </w:r>
          </w:p>
        </w:tc>
        <w:tc>
          <w:tcPr>
            <w:tcW w:w="1080" w:type="dxa"/>
            <w:tcBorders>
              <w:top w:val="nil"/>
              <w:left w:val="nil"/>
              <w:bottom w:val="nil"/>
              <w:right w:val="nil"/>
            </w:tcBorders>
            <w:noWrap/>
            <w:vAlign w:val="center"/>
            <w:hideMark/>
          </w:tcPr>
          <w:p w14:paraId="527AB09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48.2</w:t>
            </w:r>
          </w:p>
        </w:tc>
        <w:tc>
          <w:tcPr>
            <w:tcW w:w="1080" w:type="dxa"/>
            <w:tcBorders>
              <w:top w:val="nil"/>
              <w:left w:val="nil"/>
              <w:bottom w:val="nil"/>
              <w:right w:val="nil"/>
            </w:tcBorders>
            <w:noWrap/>
            <w:vAlign w:val="center"/>
            <w:hideMark/>
          </w:tcPr>
          <w:p w14:paraId="47D55A8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w:t>
            </w:r>
          </w:p>
        </w:tc>
        <w:tc>
          <w:tcPr>
            <w:tcW w:w="1080" w:type="dxa"/>
            <w:tcBorders>
              <w:top w:val="nil"/>
              <w:left w:val="nil"/>
              <w:bottom w:val="nil"/>
              <w:right w:val="nil"/>
            </w:tcBorders>
            <w:noWrap/>
            <w:vAlign w:val="center"/>
            <w:hideMark/>
          </w:tcPr>
          <w:p w14:paraId="5EFE1C4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37.3</w:t>
            </w:r>
          </w:p>
        </w:tc>
        <w:tc>
          <w:tcPr>
            <w:tcW w:w="1080" w:type="dxa"/>
            <w:tcBorders>
              <w:top w:val="nil"/>
              <w:left w:val="nil"/>
              <w:bottom w:val="nil"/>
              <w:right w:val="nil"/>
            </w:tcBorders>
            <w:noWrap/>
            <w:vAlign w:val="center"/>
            <w:hideMark/>
          </w:tcPr>
          <w:p w14:paraId="558F643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54.8</w:t>
            </w:r>
          </w:p>
        </w:tc>
      </w:tr>
      <w:tr w:rsidR="00A62527" w:rsidRPr="00AD5635" w14:paraId="3AD704CB" w14:textId="77777777" w:rsidTr="00A62527">
        <w:trPr>
          <w:trHeight w:val="264"/>
        </w:trPr>
        <w:tc>
          <w:tcPr>
            <w:tcW w:w="3912" w:type="dxa"/>
            <w:gridSpan w:val="2"/>
            <w:tcBorders>
              <w:top w:val="nil"/>
              <w:left w:val="nil"/>
              <w:bottom w:val="nil"/>
              <w:right w:val="nil"/>
            </w:tcBorders>
            <w:noWrap/>
            <w:vAlign w:val="center"/>
            <w:hideMark/>
          </w:tcPr>
          <w:p w14:paraId="6B08505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Investment property</w:t>
            </w:r>
          </w:p>
        </w:tc>
        <w:tc>
          <w:tcPr>
            <w:tcW w:w="1080" w:type="dxa"/>
            <w:tcBorders>
              <w:top w:val="nil"/>
              <w:left w:val="nil"/>
              <w:bottom w:val="nil"/>
              <w:right w:val="nil"/>
            </w:tcBorders>
            <w:noWrap/>
            <w:vAlign w:val="center"/>
            <w:hideMark/>
          </w:tcPr>
          <w:p w14:paraId="38FE001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355D23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E6E3E6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65BE42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21.6</w:t>
            </w:r>
          </w:p>
        </w:tc>
        <w:tc>
          <w:tcPr>
            <w:tcW w:w="1080" w:type="dxa"/>
            <w:tcBorders>
              <w:top w:val="nil"/>
              <w:left w:val="nil"/>
              <w:bottom w:val="nil"/>
              <w:right w:val="nil"/>
            </w:tcBorders>
            <w:noWrap/>
            <w:vAlign w:val="center"/>
            <w:hideMark/>
          </w:tcPr>
          <w:p w14:paraId="7E4BBE7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20.3</w:t>
            </w:r>
          </w:p>
        </w:tc>
      </w:tr>
      <w:tr w:rsidR="00A62527" w:rsidRPr="00AD5635" w14:paraId="348D0473" w14:textId="77777777" w:rsidTr="00A62527">
        <w:trPr>
          <w:trHeight w:val="264"/>
        </w:trPr>
        <w:tc>
          <w:tcPr>
            <w:tcW w:w="2832" w:type="dxa"/>
            <w:tcBorders>
              <w:top w:val="nil"/>
              <w:left w:val="nil"/>
              <w:bottom w:val="nil"/>
              <w:right w:val="nil"/>
            </w:tcBorders>
            <w:noWrap/>
            <w:vAlign w:val="center"/>
            <w:hideMark/>
          </w:tcPr>
          <w:p w14:paraId="65DFBBA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Defined benefit pension surplus</w:t>
            </w:r>
          </w:p>
        </w:tc>
        <w:tc>
          <w:tcPr>
            <w:tcW w:w="1080" w:type="dxa"/>
            <w:tcBorders>
              <w:top w:val="nil"/>
              <w:left w:val="nil"/>
              <w:bottom w:val="nil"/>
              <w:right w:val="nil"/>
            </w:tcBorders>
            <w:noWrap/>
            <w:vAlign w:val="center"/>
            <w:hideMark/>
          </w:tcPr>
          <w:p w14:paraId="532FFD8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w:t>
            </w:r>
          </w:p>
        </w:tc>
        <w:tc>
          <w:tcPr>
            <w:tcW w:w="1080" w:type="dxa"/>
            <w:tcBorders>
              <w:top w:val="nil"/>
              <w:left w:val="nil"/>
              <w:bottom w:val="nil"/>
              <w:right w:val="nil"/>
            </w:tcBorders>
            <w:noWrap/>
            <w:vAlign w:val="center"/>
            <w:hideMark/>
          </w:tcPr>
          <w:p w14:paraId="731E969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165.2</w:t>
            </w:r>
          </w:p>
        </w:tc>
        <w:tc>
          <w:tcPr>
            <w:tcW w:w="1080" w:type="dxa"/>
            <w:tcBorders>
              <w:top w:val="nil"/>
              <w:left w:val="nil"/>
              <w:bottom w:val="nil"/>
              <w:right w:val="nil"/>
            </w:tcBorders>
            <w:noWrap/>
            <w:vAlign w:val="center"/>
            <w:hideMark/>
          </w:tcPr>
          <w:p w14:paraId="7783D13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324.7</w:t>
            </w:r>
          </w:p>
        </w:tc>
        <w:tc>
          <w:tcPr>
            <w:tcW w:w="1080" w:type="dxa"/>
            <w:tcBorders>
              <w:top w:val="nil"/>
              <w:left w:val="nil"/>
              <w:bottom w:val="nil"/>
              <w:right w:val="nil"/>
            </w:tcBorders>
            <w:noWrap/>
            <w:vAlign w:val="center"/>
            <w:hideMark/>
          </w:tcPr>
          <w:p w14:paraId="16FDBA7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522.6</w:t>
            </w:r>
          </w:p>
        </w:tc>
        <w:tc>
          <w:tcPr>
            <w:tcW w:w="1080" w:type="dxa"/>
            <w:tcBorders>
              <w:top w:val="nil"/>
              <w:left w:val="nil"/>
              <w:bottom w:val="nil"/>
              <w:right w:val="nil"/>
            </w:tcBorders>
            <w:noWrap/>
            <w:vAlign w:val="center"/>
            <w:hideMark/>
          </w:tcPr>
          <w:p w14:paraId="1EE83E5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188.0</w:t>
            </w:r>
          </w:p>
        </w:tc>
        <w:tc>
          <w:tcPr>
            <w:tcW w:w="1080" w:type="dxa"/>
            <w:tcBorders>
              <w:top w:val="nil"/>
              <w:left w:val="nil"/>
              <w:bottom w:val="nil"/>
              <w:right w:val="nil"/>
            </w:tcBorders>
            <w:noWrap/>
            <w:vAlign w:val="center"/>
            <w:hideMark/>
          </w:tcPr>
          <w:p w14:paraId="4EABEC1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190.3</w:t>
            </w:r>
          </w:p>
        </w:tc>
      </w:tr>
      <w:tr w:rsidR="00A62527" w:rsidRPr="00AD5635" w14:paraId="22308A42" w14:textId="77777777" w:rsidTr="00A62527">
        <w:trPr>
          <w:trHeight w:val="264"/>
        </w:trPr>
        <w:tc>
          <w:tcPr>
            <w:tcW w:w="2832" w:type="dxa"/>
            <w:tcBorders>
              <w:top w:val="nil"/>
              <w:left w:val="nil"/>
              <w:bottom w:val="nil"/>
              <w:right w:val="nil"/>
            </w:tcBorders>
            <w:noWrap/>
            <w:vAlign w:val="center"/>
            <w:hideMark/>
          </w:tcPr>
          <w:p w14:paraId="20F07E4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452A37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7FA3CA6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499A0D1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5F4320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w:t>
            </w:r>
          </w:p>
        </w:tc>
        <w:tc>
          <w:tcPr>
            <w:tcW w:w="1080" w:type="dxa"/>
            <w:tcBorders>
              <w:top w:val="nil"/>
              <w:left w:val="nil"/>
              <w:bottom w:val="nil"/>
              <w:right w:val="nil"/>
            </w:tcBorders>
            <w:noWrap/>
            <w:vAlign w:val="center"/>
            <w:hideMark/>
          </w:tcPr>
          <w:p w14:paraId="7430CD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6.6</w:t>
            </w:r>
          </w:p>
        </w:tc>
        <w:tc>
          <w:tcPr>
            <w:tcW w:w="1080" w:type="dxa"/>
            <w:tcBorders>
              <w:top w:val="nil"/>
              <w:left w:val="nil"/>
              <w:bottom w:val="nil"/>
              <w:right w:val="nil"/>
            </w:tcBorders>
            <w:noWrap/>
            <w:vAlign w:val="center"/>
            <w:hideMark/>
          </w:tcPr>
          <w:p w14:paraId="0F3FEB3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28.6</w:t>
            </w:r>
          </w:p>
        </w:tc>
      </w:tr>
      <w:tr w:rsidR="00A62527" w:rsidRPr="00AD5635" w14:paraId="0D1B6F51" w14:textId="77777777" w:rsidTr="00A62527">
        <w:trPr>
          <w:trHeight w:val="264"/>
        </w:trPr>
        <w:tc>
          <w:tcPr>
            <w:tcW w:w="2832" w:type="dxa"/>
            <w:tcBorders>
              <w:top w:val="nil"/>
              <w:left w:val="nil"/>
              <w:bottom w:val="nil"/>
              <w:right w:val="nil"/>
            </w:tcBorders>
            <w:noWrap/>
            <w:vAlign w:val="center"/>
            <w:hideMark/>
          </w:tcPr>
          <w:p w14:paraId="3B34CC8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739867D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38D4471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2B75E9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FB3E98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4117A8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D96CB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w:t>
            </w:r>
          </w:p>
        </w:tc>
      </w:tr>
      <w:tr w:rsidR="00A62527" w:rsidRPr="00AD5635" w14:paraId="0E763D67" w14:textId="77777777" w:rsidTr="00A62527">
        <w:trPr>
          <w:trHeight w:val="264"/>
        </w:trPr>
        <w:tc>
          <w:tcPr>
            <w:tcW w:w="3912" w:type="dxa"/>
            <w:gridSpan w:val="2"/>
            <w:tcBorders>
              <w:top w:val="nil"/>
              <w:left w:val="nil"/>
              <w:bottom w:val="nil"/>
              <w:right w:val="nil"/>
            </w:tcBorders>
            <w:noWrap/>
            <w:vAlign w:val="center"/>
            <w:hideMark/>
          </w:tcPr>
          <w:p w14:paraId="708A2CD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assets</w:t>
            </w:r>
          </w:p>
        </w:tc>
        <w:tc>
          <w:tcPr>
            <w:tcW w:w="1080" w:type="dxa"/>
            <w:tcBorders>
              <w:top w:val="nil"/>
              <w:left w:val="nil"/>
              <w:bottom w:val="nil"/>
              <w:right w:val="nil"/>
            </w:tcBorders>
            <w:noWrap/>
            <w:vAlign w:val="center"/>
            <w:hideMark/>
          </w:tcPr>
          <w:p w14:paraId="7FE66F8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8,629.70</w:t>
            </w:r>
          </w:p>
        </w:tc>
        <w:tc>
          <w:tcPr>
            <w:tcW w:w="1080" w:type="dxa"/>
            <w:tcBorders>
              <w:top w:val="nil"/>
              <w:left w:val="nil"/>
              <w:bottom w:val="nil"/>
              <w:right w:val="nil"/>
            </w:tcBorders>
            <w:noWrap/>
            <w:vAlign w:val="center"/>
            <w:hideMark/>
          </w:tcPr>
          <w:p w14:paraId="4652200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8,611.30</w:t>
            </w:r>
          </w:p>
        </w:tc>
        <w:tc>
          <w:tcPr>
            <w:tcW w:w="1080" w:type="dxa"/>
            <w:tcBorders>
              <w:top w:val="nil"/>
              <w:left w:val="nil"/>
              <w:bottom w:val="nil"/>
              <w:right w:val="nil"/>
            </w:tcBorders>
            <w:noWrap/>
            <w:vAlign w:val="center"/>
            <w:hideMark/>
          </w:tcPr>
          <w:p w14:paraId="57A49C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8,233.50</w:t>
            </w:r>
          </w:p>
        </w:tc>
        <w:tc>
          <w:tcPr>
            <w:tcW w:w="1080" w:type="dxa"/>
            <w:tcBorders>
              <w:top w:val="nil"/>
              <w:left w:val="nil"/>
              <w:bottom w:val="nil"/>
              <w:right w:val="nil"/>
            </w:tcBorders>
            <w:noWrap/>
            <w:vAlign w:val="center"/>
            <w:hideMark/>
          </w:tcPr>
          <w:p w14:paraId="61268E7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7,429.10</w:t>
            </w:r>
          </w:p>
        </w:tc>
        <w:tc>
          <w:tcPr>
            <w:tcW w:w="1080" w:type="dxa"/>
            <w:tcBorders>
              <w:top w:val="nil"/>
              <w:left w:val="nil"/>
              <w:bottom w:val="nil"/>
              <w:right w:val="nil"/>
            </w:tcBorders>
            <w:noWrap/>
            <w:vAlign w:val="center"/>
            <w:hideMark/>
          </w:tcPr>
          <w:p w14:paraId="1F334F4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6,977.60</w:t>
            </w:r>
          </w:p>
        </w:tc>
      </w:tr>
      <w:tr w:rsidR="00A62527" w:rsidRPr="00AD5635" w14:paraId="33331BDE" w14:textId="77777777" w:rsidTr="00A62527">
        <w:trPr>
          <w:trHeight w:val="264"/>
        </w:trPr>
        <w:tc>
          <w:tcPr>
            <w:tcW w:w="3912" w:type="dxa"/>
            <w:gridSpan w:val="2"/>
            <w:tcBorders>
              <w:top w:val="nil"/>
              <w:left w:val="nil"/>
              <w:bottom w:val="nil"/>
              <w:right w:val="nil"/>
            </w:tcBorders>
            <w:noWrap/>
            <w:vAlign w:val="center"/>
            <w:hideMark/>
          </w:tcPr>
          <w:p w14:paraId="691E58A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assets</w:t>
            </w:r>
          </w:p>
        </w:tc>
        <w:tc>
          <w:tcPr>
            <w:tcW w:w="1080" w:type="dxa"/>
            <w:tcBorders>
              <w:top w:val="nil"/>
              <w:left w:val="nil"/>
              <w:bottom w:val="nil"/>
              <w:right w:val="nil"/>
            </w:tcBorders>
            <w:noWrap/>
            <w:vAlign w:val="center"/>
            <w:hideMark/>
          </w:tcPr>
          <w:p w14:paraId="4C3B0BE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0438617"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097BE18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0886C6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CB2D21B"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5FA52166" w14:textId="77777777" w:rsidTr="00A62527">
        <w:trPr>
          <w:trHeight w:val="264"/>
        </w:trPr>
        <w:tc>
          <w:tcPr>
            <w:tcW w:w="2832" w:type="dxa"/>
            <w:tcBorders>
              <w:top w:val="nil"/>
              <w:left w:val="nil"/>
              <w:bottom w:val="nil"/>
              <w:right w:val="nil"/>
            </w:tcBorders>
            <w:noWrap/>
            <w:vAlign w:val="center"/>
            <w:hideMark/>
          </w:tcPr>
          <w:p w14:paraId="4AC0E71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Inventories</w:t>
            </w:r>
          </w:p>
        </w:tc>
        <w:tc>
          <w:tcPr>
            <w:tcW w:w="1080" w:type="dxa"/>
            <w:tcBorders>
              <w:top w:val="nil"/>
              <w:left w:val="nil"/>
              <w:bottom w:val="nil"/>
              <w:right w:val="nil"/>
            </w:tcBorders>
            <w:noWrap/>
            <w:vAlign w:val="center"/>
            <w:hideMark/>
          </w:tcPr>
          <w:p w14:paraId="656F511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A86244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21.2</w:t>
            </w:r>
          </w:p>
        </w:tc>
        <w:tc>
          <w:tcPr>
            <w:tcW w:w="1080" w:type="dxa"/>
            <w:tcBorders>
              <w:top w:val="nil"/>
              <w:left w:val="nil"/>
              <w:bottom w:val="nil"/>
              <w:right w:val="nil"/>
            </w:tcBorders>
            <w:noWrap/>
            <w:vAlign w:val="center"/>
            <w:hideMark/>
          </w:tcPr>
          <w:p w14:paraId="072BE5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21.7</w:t>
            </w:r>
          </w:p>
        </w:tc>
        <w:tc>
          <w:tcPr>
            <w:tcW w:w="1080" w:type="dxa"/>
            <w:tcBorders>
              <w:top w:val="nil"/>
              <w:left w:val="nil"/>
              <w:bottom w:val="nil"/>
              <w:right w:val="nil"/>
            </w:tcBorders>
            <w:noWrap/>
            <w:vAlign w:val="center"/>
            <w:hideMark/>
          </w:tcPr>
          <w:p w14:paraId="3A1BFA7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19.4</w:t>
            </w:r>
          </w:p>
        </w:tc>
        <w:tc>
          <w:tcPr>
            <w:tcW w:w="1080" w:type="dxa"/>
            <w:tcBorders>
              <w:top w:val="nil"/>
              <w:left w:val="nil"/>
              <w:bottom w:val="nil"/>
              <w:right w:val="nil"/>
            </w:tcBorders>
            <w:noWrap/>
            <w:vAlign w:val="center"/>
            <w:hideMark/>
          </w:tcPr>
          <w:p w14:paraId="5E64468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12.1</w:t>
            </w:r>
          </w:p>
        </w:tc>
        <w:tc>
          <w:tcPr>
            <w:tcW w:w="1080" w:type="dxa"/>
            <w:tcBorders>
              <w:top w:val="nil"/>
              <w:left w:val="nil"/>
              <w:bottom w:val="nil"/>
              <w:right w:val="nil"/>
            </w:tcBorders>
            <w:noWrap/>
            <w:vAlign w:val="center"/>
            <w:hideMark/>
          </w:tcPr>
          <w:p w14:paraId="47F3663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w:t>
            </w:r>
          </w:p>
        </w:tc>
      </w:tr>
      <w:tr w:rsidR="00A62527" w:rsidRPr="00AD5635" w14:paraId="51B03150" w14:textId="77777777" w:rsidTr="00A62527">
        <w:trPr>
          <w:trHeight w:val="264"/>
        </w:trPr>
        <w:tc>
          <w:tcPr>
            <w:tcW w:w="2832" w:type="dxa"/>
            <w:tcBorders>
              <w:top w:val="nil"/>
              <w:left w:val="nil"/>
              <w:bottom w:val="nil"/>
              <w:right w:val="nil"/>
            </w:tcBorders>
            <w:noWrap/>
            <w:vAlign w:val="center"/>
            <w:hideMark/>
          </w:tcPr>
          <w:p w14:paraId="5CFF229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receivables</w:t>
            </w:r>
          </w:p>
        </w:tc>
        <w:tc>
          <w:tcPr>
            <w:tcW w:w="1080" w:type="dxa"/>
            <w:tcBorders>
              <w:top w:val="nil"/>
              <w:left w:val="nil"/>
              <w:bottom w:val="nil"/>
              <w:right w:val="nil"/>
            </w:tcBorders>
            <w:noWrap/>
            <w:vAlign w:val="center"/>
            <w:hideMark/>
          </w:tcPr>
          <w:p w14:paraId="42DEE13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w:t>
            </w:r>
          </w:p>
        </w:tc>
        <w:tc>
          <w:tcPr>
            <w:tcW w:w="1080" w:type="dxa"/>
            <w:tcBorders>
              <w:top w:val="nil"/>
              <w:left w:val="nil"/>
              <w:bottom w:val="nil"/>
              <w:right w:val="nil"/>
            </w:tcBorders>
            <w:noWrap/>
            <w:vAlign w:val="center"/>
            <w:hideMark/>
          </w:tcPr>
          <w:p w14:paraId="7B728CB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119.3</w:t>
            </w:r>
          </w:p>
        </w:tc>
        <w:tc>
          <w:tcPr>
            <w:tcW w:w="1080" w:type="dxa"/>
            <w:tcBorders>
              <w:top w:val="nil"/>
              <w:left w:val="nil"/>
              <w:bottom w:val="nil"/>
              <w:right w:val="nil"/>
            </w:tcBorders>
            <w:noWrap/>
            <w:vAlign w:val="center"/>
            <w:hideMark/>
          </w:tcPr>
          <w:p w14:paraId="748E0A5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141.8</w:t>
            </w:r>
          </w:p>
        </w:tc>
        <w:tc>
          <w:tcPr>
            <w:tcW w:w="1080" w:type="dxa"/>
            <w:tcBorders>
              <w:top w:val="nil"/>
              <w:left w:val="nil"/>
              <w:bottom w:val="nil"/>
              <w:right w:val="nil"/>
            </w:tcBorders>
            <w:noWrap/>
            <w:vAlign w:val="center"/>
            <w:hideMark/>
          </w:tcPr>
          <w:p w14:paraId="0830C4F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w:t>
            </w:r>
          </w:p>
        </w:tc>
        <w:tc>
          <w:tcPr>
            <w:tcW w:w="1080" w:type="dxa"/>
            <w:tcBorders>
              <w:top w:val="nil"/>
              <w:left w:val="nil"/>
              <w:bottom w:val="nil"/>
              <w:right w:val="nil"/>
            </w:tcBorders>
            <w:noWrap/>
            <w:vAlign w:val="center"/>
            <w:hideMark/>
          </w:tcPr>
          <w:p w14:paraId="520010B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74.2</w:t>
            </w:r>
          </w:p>
        </w:tc>
        <w:tc>
          <w:tcPr>
            <w:tcW w:w="1080" w:type="dxa"/>
            <w:tcBorders>
              <w:top w:val="nil"/>
              <w:left w:val="nil"/>
              <w:bottom w:val="nil"/>
              <w:right w:val="nil"/>
            </w:tcBorders>
            <w:noWrap/>
            <w:vAlign w:val="center"/>
            <w:hideMark/>
          </w:tcPr>
          <w:p w14:paraId="678E1B0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292.8</w:t>
            </w:r>
          </w:p>
        </w:tc>
      </w:tr>
      <w:tr w:rsidR="00A62527" w:rsidRPr="00AD5635" w14:paraId="273B62A1" w14:textId="77777777" w:rsidTr="00A62527">
        <w:trPr>
          <w:trHeight w:val="264"/>
        </w:trPr>
        <w:tc>
          <w:tcPr>
            <w:tcW w:w="3912" w:type="dxa"/>
            <w:gridSpan w:val="2"/>
            <w:tcBorders>
              <w:top w:val="nil"/>
              <w:left w:val="nil"/>
              <w:bottom w:val="nil"/>
              <w:right w:val="nil"/>
            </w:tcBorders>
            <w:noWrap/>
            <w:vAlign w:val="center"/>
            <w:hideMark/>
          </w:tcPr>
          <w:p w14:paraId="6F60AC5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asset</w:t>
            </w:r>
          </w:p>
        </w:tc>
        <w:tc>
          <w:tcPr>
            <w:tcW w:w="1080" w:type="dxa"/>
            <w:tcBorders>
              <w:top w:val="nil"/>
              <w:left w:val="nil"/>
              <w:bottom w:val="nil"/>
              <w:right w:val="nil"/>
            </w:tcBorders>
            <w:noWrap/>
            <w:vAlign w:val="center"/>
            <w:hideMark/>
          </w:tcPr>
          <w:p w14:paraId="6AC177F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B2485F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342DE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D189D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8A32E7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A62527" w:rsidRPr="00AD5635" w14:paraId="075AD586" w14:textId="77777777" w:rsidTr="00A62527">
        <w:trPr>
          <w:trHeight w:val="264"/>
        </w:trPr>
        <w:tc>
          <w:tcPr>
            <w:tcW w:w="2832" w:type="dxa"/>
            <w:tcBorders>
              <w:top w:val="nil"/>
              <w:left w:val="nil"/>
              <w:bottom w:val="nil"/>
              <w:right w:val="nil"/>
            </w:tcBorders>
            <w:noWrap/>
            <w:vAlign w:val="center"/>
            <w:hideMark/>
          </w:tcPr>
          <w:p w14:paraId="2C437FA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3484CFE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6627DD0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256494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346016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0FB1D4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8.2</w:t>
            </w:r>
          </w:p>
        </w:tc>
        <w:tc>
          <w:tcPr>
            <w:tcW w:w="1080" w:type="dxa"/>
            <w:tcBorders>
              <w:top w:val="nil"/>
              <w:left w:val="nil"/>
              <w:bottom w:val="nil"/>
              <w:right w:val="nil"/>
            </w:tcBorders>
            <w:noWrap/>
            <w:vAlign w:val="center"/>
            <w:hideMark/>
          </w:tcPr>
          <w:p w14:paraId="343599D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r>
      <w:tr w:rsidR="00A62527" w:rsidRPr="00AD5635" w14:paraId="73D49555" w14:textId="77777777" w:rsidTr="00A62527">
        <w:trPr>
          <w:trHeight w:val="264"/>
        </w:trPr>
        <w:tc>
          <w:tcPr>
            <w:tcW w:w="3912" w:type="dxa"/>
            <w:gridSpan w:val="2"/>
            <w:tcBorders>
              <w:top w:val="nil"/>
              <w:left w:val="nil"/>
              <w:bottom w:val="nil"/>
              <w:right w:val="nil"/>
            </w:tcBorders>
            <w:noWrap/>
            <w:vAlign w:val="center"/>
            <w:hideMark/>
          </w:tcPr>
          <w:p w14:paraId="42BE2D0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Cash and cash equivalents</w:t>
            </w:r>
          </w:p>
        </w:tc>
        <w:tc>
          <w:tcPr>
            <w:tcW w:w="1080" w:type="dxa"/>
            <w:tcBorders>
              <w:top w:val="nil"/>
              <w:left w:val="nil"/>
              <w:bottom w:val="nil"/>
              <w:right w:val="nil"/>
            </w:tcBorders>
            <w:noWrap/>
            <w:vAlign w:val="center"/>
            <w:hideMark/>
          </w:tcPr>
          <w:p w14:paraId="14D32E7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696.7</w:t>
            </w:r>
          </w:p>
        </w:tc>
        <w:tc>
          <w:tcPr>
            <w:tcW w:w="1080" w:type="dxa"/>
            <w:tcBorders>
              <w:top w:val="nil"/>
              <w:left w:val="nil"/>
              <w:bottom w:val="nil"/>
              <w:right w:val="nil"/>
            </w:tcBorders>
            <w:noWrap/>
            <w:vAlign w:val="center"/>
            <w:hideMark/>
          </w:tcPr>
          <w:p w14:paraId="04AAE7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1,164.80</w:t>
            </w:r>
          </w:p>
        </w:tc>
        <w:tc>
          <w:tcPr>
            <w:tcW w:w="1080" w:type="dxa"/>
            <w:tcBorders>
              <w:top w:val="nil"/>
              <w:left w:val="nil"/>
              <w:bottom w:val="nil"/>
              <w:right w:val="nil"/>
            </w:tcBorders>
            <w:noWrap/>
            <w:vAlign w:val="center"/>
            <w:hideMark/>
          </w:tcPr>
          <w:p w14:paraId="2B8393E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1,132.40</w:t>
            </w:r>
          </w:p>
        </w:tc>
        <w:tc>
          <w:tcPr>
            <w:tcW w:w="1080" w:type="dxa"/>
            <w:tcBorders>
              <w:top w:val="nil"/>
              <w:left w:val="nil"/>
              <w:bottom w:val="nil"/>
              <w:right w:val="nil"/>
            </w:tcBorders>
            <w:noWrap/>
            <w:vAlign w:val="center"/>
            <w:hideMark/>
          </w:tcPr>
          <w:p w14:paraId="71CEBF8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1,256.00</w:t>
            </w:r>
          </w:p>
        </w:tc>
        <w:tc>
          <w:tcPr>
            <w:tcW w:w="1080" w:type="dxa"/>
            <w:tcBorders>
              <w:top w:val="nil"/>
              <w:left w:val="nil"/>
              <w:bottom w:val="nil"/>
              <w:right w:val="nil"/>
            </w:tcBorders>
            <w:noWrap/>
            <w:vAlign w:val="center"/>
            <w:hideMark/>
          </w:tcPr>
          <w:p w14:paraId="2397062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502.6</w:t>
            </w:r>
          </w:p>
        </w:tc>
      </w:tr>
      <w:tr w:rsidR="00A62527" w:rsidRPr="00AD5635" w14:paraId="306D5B4B" w14:textId="77777777" w:rsidTr="00A62527">
        <w:trPr>
          <w:trHeight w:val="264"/>
        </w:trPr>
        <w:tc>
          <w:tcPr>
            <w:tcW w:w="3912" w:type="dxa"/>
            <w:gridSpan w:val="2"/>
            <w:tcBorders>
              <w:top w:val="nil"/>
              <w:left w:val="nil"/>
              <w:bottom w:val="nil"/>
              <w:right w:val="nil"/>
            </w:tcBorders>
            <w:noWrap/>
            <w:vAlign w:val="center"/>
            <w:hideMark/>
          </w:tcPr>
          <w:p w14:paraId="3D71C56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lastRenderedPageBreak/>
              <w:t>Total current assets</w:t>
            </w:r>
          </w:p>
        </w:tc>
        <w:tc>
          <w:tcPr>
            <w:tcW w:w="1080" w:type="dxa"/>
            <w:tcBorders>
              <w:top w:val="nil"/>
              <w:left w:val="nil"/>
              <w:bottom w:val="nil"/>
              <w:right w:val="nil"/>
            </w:tcBorders>
            <w:noWrap/>
            <w:vAlign w:val="center"/>
            <w:hideMark/>
          </w:tcPr>
          <w:p w14:paraId="50AFE80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837.2</w:t>
            </w:r>
          </w:p>
        </w:tc>
        <w:tc>
          <w:tcPr>
            <w:tcW w:w="1080" w:type="dxa"/>
            <w:tcBorders>
              <w:top w:val="nil"/>
              <w:left w:val="nil"/>
              <w:bottom w:val="nil"/>
              <w:right w:val="nil"/>
            </w:tcBorders>
            <w:noWrap/>
            <w:vAlign w:val="center"/>
            <w:hideMark/>
          </w:tcPr>
          <w:p w14:paraId="0764161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1,328.30</w:t>
            </w:r>
          </w:p>
        </w:tc>
        <w:tc>
          <w:tcPr>
            <w:tcW w:w="1080" w:type="dxa"/>
            <w:tcBorders>
              <w:top w:val="nil"/>
              <w:left w:val="nil"/>
              <w:bottom w:val="nil"/>
              <w:right w:val="nil"/>
            </w:tcBorders>
            <w:noWrap/>
            <w:vAlign w:val="center"/>
            <w:hideMark/>
          </w:tcPr>
          <w:p w14:paraId="25AFBB1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1,268.20</w:t>
            </w:r>
          </w:p>
        </w:tc>
        <w:tc>
          <w:tcPr>
            <w:tcW w:w="1080" w:type="dxa"/>
            <w:tcBorders>
              <w:top w:val="nil"/>
              <w:left w:val="nil"/>
              <w:bottom w:val="nil"/>
              <w:right w:val="nil"/>
            </w:tcBorders>
            <w:noWrap/>
            <w:vAlign w:val="center"/>
            <w:hideMark/>
          </w:tcPr>
          <w:p w14:paraId="61A8E8D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1,350.50</w:t>
            </w:r>
          </w:p>
        </w:tc>
        <w:tc>
          <w:tcPr>
            <w:tcW w:w="1080" w:type="dxa"/>
            <w:tcBorders>
              <w:top w:val="nil"/>
              <w:left w:val="nil"/>
              <w:bottom w:val="nil"/>
              <w:right w:val="nil"/>
            </w:tcBorders>
            <w:noWrap/>
            <w:vAlign w:val="center"/>
            <w:hideMark/>
          </w:tcPr>
          <w:p w14:paraId="27F9ACF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833.0</w:t>
            </w:r>
          </w:p>
        </w:tc>
      </w:tr>
      <w:tr w:rsidR="00A62527" w:rsidRPr="00AD5635" w14:paraId="7AF7FD8E" w14:textId="77777777" w:rsidTr="00A62527">
        <w:trPr>
          <w:trHeight w:val="264"/>
        </w:trPr>
        <w:tc>
          <w:tcPr>
            <w:tcW w:w="3912" w:type="dxa"/>
            <w:gridSpan w:val="2"/>
            <w:tcBorders>
              <w:top w:val="nil"/>
              <w:left w:val="nil"/>
              <w:bottom w:val="nil"/>
              <w:right w:val="nil"/>
            </w:tcBorders>
            <w:noWrap/>
            <w:vAlign w:val="center"/>
            <w:hideMark/>
          </w:tcPr>
          <w:p w14:paraId="6E5424B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Assets classified as held for sale</w:t>
            </w:r>
          </w:p>
        </w:tc>
        <w:tc>
          <w:tcPr>
            <w:tcW w:w="1080" w:type="dxa"/>
            <w:tcBorders>
              <w:top w:val="nil"/>
              <w:left w:val="nil"/>
              <w:bottom w:val="nil"/>
              <w:right w:val="nil"/>
            </w:tcBorders>
            <w:noWrap/>
            <w:vAlign w:val="center"/>
            <w:hideMark/>
          </w:tcPr>
          <w:p w14:paraId="2D122DF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w:t>
            </w:r>
          </w:p>
        </w:tc>
        <w:tc>
          <w:tcPr>
            <w:tcW w:w="1080" w:type="dxa"/>
            <w:tcBorders>
              <w:top w:val="nil"/>
              <w:left w:val="nil"/>
              <w:bottom w:val="nil"/>
              <w:right w:val="nil"/>
            </w:tcBorders>
            <w:noWrap/>
            <w:vAlign w:val="center"/>
            <w:hideMark/>
          </w:tcPr>
          <w:p w14:paraId="2D7B401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3.2</w:t>
            </w:r>
          </w:p>
        </w:tc>
        <w:tc>
          <w:tcPr>
            <w:tcW w:w="1080" w:type="dxa"/>
            <w:tcBorders>
              <w:top w:val="nil"/>
              <w:left w:val="nil"/>
              <w:bottom w:val="nil"/>
              <w:right w:val="nil"/>
            </w:tcBorders>
            <w:noWrap/>
            <w:vAlign w:val="center"/>
            <w:hideMark/>
          </w:tcPr>
          <w:p w14:paraId="6C57866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64.8</w:t>
            </w:r>
          </w:p>
        </w:tc>
        <w:tc>
          <w:tcPr>
            <w:tcW w:w="1080" w:type="dxa"/>
            <w:tcBorders>
              <w:top w:val="nil"/>
              <w:left w:val="nil"/>
              <w:bottom w:val="nil"/>
              <w:right w:val="nil"/>
            </w:tcBorders>
            <w:noWrap/>
            <w:vAlign w:val="center"/>
            <w:hideMark/>
          </w:tcPr>
          <w:p w14:paraId="74CB1C0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19.0</w:t>
            </w:r>
          </w:p>
        </w:tc>
        <w:tc>
          <w:tcPr>
            <w:tcW w:w="1080" w:type="dxa"/>
            <w:tcBorders>
              <w:top w:val="nil"/>
              <w:left w:val="nil"/>
              <w:bottom w:val="nil"/>
              <w:right w:val="nil"/>
            </w:tcBorders>
            <w:noWrap/>
            <w:vAlign w:val="center"/>
            <w:hideMark/>
          </w:tcPr>
          <w:p w14:paraId="2EFEAB2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14.9</w:t>
            </w:r>
          </w:p>
        </w:tc>
      </w:tr>
      <w:tr w:rsidR="00A62527" w:rsidRPr="00AD5635" w14:paraId="23A55BFB" w14:textId="77777777" w:rsidTr="00A62527">
        <w:trPr>
          <w:trHeight w:val="264"/>
        </w:trPr>
        <w:tc>
          <w:tcPr>
            <w:tcW w:w="3912" w:type="dxa"/>
            <w:gridSpan w:val="2"/>
            <w:tcBorders>
              <w:top w:val="nil"/>
              <w:left w:val="nil"/>
              <w:bottom w:val="nil"/>
              <w:right w:val="nil"/>
            </w:tcBorders>
            <w:noWrap/>
            <w:vAlign w:val="center"/>
            <w:hideMark/>
          </w:tcPr>
          <w:p w14:paraId="16C7385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ASSETS</w:t>
            </w:r>
          </w:p>
        </w:tc>
        <w:tc>
          <w:tcPr>
            <w:tcW w:w="1080" w:type="dxa"/>
            <w:tcBorders>
              <w:top w:val="nil"/>
              <w:left w:val="nil"/>
              <w:bottom w:val="nil"/>
              <w:right w:val="nil"/>
            </w:tcBorders>
            <w:noWrap/>
            <w:vAlign w:val="center"/>
            <w:hideMark/>
          </w:tcPr>
          <w:p w14:paraId="73C9D9F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21BCC46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61C8A42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694F21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1BC9B15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A62527" w:rsidRPr="00AD5635" w14:paraId="19501949" w14:textId="77777777" w:rsidTr="00A62527">
        <w:trPr>
          <w:trHeight w:val="264"/>
        </w:trPr>
        <w:tc>
          <w:tcPr>
            <w:tcW w:w="3912" w:type="dxa"/>
            <w:gridSpan w:val="2"/>
            <w:tcBorders>
              <w:top w:val="nil"/>
              <w:left w:val="nil"/>
              <w:bottom w:val="nil"/>
              <w:right w:val="nil"/>
            </w:tcBorders>
            <w:noWrap/>
            <w:vAlign w:val="center"/>
            <w:hideMark/>
          </w:tcPr>
          <w:p w14:paraId="19C66BF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LIABILITIES</w:t>
            </w:r>
          </w:p>
        </w:tc>
        <w:tc>
          <w:tcPr>
            <w:tcW w:w="1080" w:type="dxa"/>
            <w:tcBorders>
              <w:top w:val="nil"/>
              <w:left w:val="nil"/>
              <w:bottom w:val="nil"/>
              <w:right w:val="nil"/>
            </w:tcBorders>
            <w:noWrap/>
            <w:vAlign w:val="center"/>
            <w:hideMark/>
          </w:tcPr>
          <w:p w14:paraId="6C2812DB"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86843A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2F7833B"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C723F0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5E9E703"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3448C450" w14:textId="77777777" w:rsidTr="00A62527">
        <w:trPr>
          <w:trHeight w:val="264"/>
        </w:trPr>
        <w:tc>
          <w:tcPr>
            <w:tcW w:w="3912" w:type="dxa"/>
            <w:gridSpan w:val="2"/>
            <w:tcBorders>
              <w:top w:val="nil"/>
              <w:left w:val="nil"/>
              <w:bottom w:val="nil"/>
              <w:right w:val="nil"/>
            </w:tcBorders>
            <w:noWrap/>
            <w:vAlign w:val="center"/>
            <w:hideMark/>
          </w:tcPr>
          <w:p w14:paraId="30E6CC0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liabilities</w:t>
            </w:r>
          </w:p>
        </w:tc>
        <w:tc>
          <w:tcPr>
            <w:tcW w:w="1080" w:type="dxa"/>
            <w:tcBorders>
              <w:top w:val="nil"/>
              <w:left w:val="nil"/>
              <w:bottom w:val="nil"/>
              <w:right w:val="nil"/>
            </w:tcBorders>
            <w:noWrap/>
            <w:vAlign w:val="center"/>
            <w:hideMark/>
          </w:tcPr>
          <w:p w14:paraId="212DFF7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CAE2050"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F1AA415"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C159FC1"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49E9F0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3DE35371" w14:textId="77777777" w:rsidTr="00A62527">
        <w:trPr>
          <w:trHeight w:val="264"/>
        </w:trPr>
        <w:tc>
          <w:tcPr>
            <w:tcW w:w="2832" w:type="dxa"/>
            <w:tcBorders>
              <w:top w:val="nil"/>
              <w:left w:val="nil"/>
              <w:bottom w:val="nil"/>
              <w:right w:val="nil"/>
            </w:tcBorders>
            <w:noWrap/>
            <w:vAlign w:val="center"/>
            <w:hideMark/>
          </w:tcPr>
          <w:p w14:paraId="669FFDF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22DDC7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314D182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5A4B708"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B0E9B7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0A6E7A3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312.0</w:t>
            </w:r>
          </w:p>
        </w:tc>
        <w:tc>
          <w:tcPr>
            <w:tcW w:w="1080" w:type="dxa"/>
            <w:tcBorders>
              <w:top w:val="nil"/>
              <w:left w:val="nil"/>
              <w:bottom w:val="nil"/>
              <w:right w:val="nil"/>
            </w:tcBorders>
            <w:noWrap/>
            <w:vAlign w:val="center"/>
            <w:hideMark/>
          </w:tcPr>
          <w:p w14:paraId="4B52ADD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84.0</w:t>
            </w:r>
          </w:p>
        </w:tc>
      </w:tr>
      <w:tr w:rsidR="00A62527" w:rsidRPr="00AD5635" w14:paraId="20534EBF" w14:textId="77777777" w:rsidTr="00A62527">
        <w:trPr>
          <w:trHeight w:val="264"/>
        </w:trPr>
        <w:tc>
          <w:tcPr>
            <w:tcW w:w="3912" w:type="dxa"/>
            <w:gridSpan w:val="2"/>
            <w:tcBorders>
              <w:top w:val="nil"/>
              <w:left w:val="nil"/>
              <w:bottom w:val="nil"/>
              <w:right w:val="nil"/>
            </w:tcBorders>
            <w:noWrap/>
            <w:vAlign w:val="center"/>
            <w:hideMark/>
          </w:tcPr>
          <w:p w14:paraId="5504DD1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36A24F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155.6</w:t>
            </w:r>
          </w:p>
        </w:tc>
        <w:tc>
          <w:tcPr>
            <w:tcW w:w="1080" w:type="dxa"/>
            <w:tcBorders>
              <w:top w:val="nil"/>
              <w:left w:val="nil"/>
              <w:bottom w:val="nil"/>
              <w:right w:val="nil"/>
            </w:tcBorders>
            <w:noWrap/>
            <w:vAlign w:val="center"/>
            <w:hideMark/>
          </w:tcPr>
          <w:p w14:paraId="0BE2685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144.1</w:t>
            </w:r>
          </w:p>
        </w:tc>
        <w:tc>
          <w:tcPr>
            <w:tcW w:w="1080" w:type="dxa"/>
            <w:tcBorders>
              <w:top w:val="nil"/>
              <w:left w:val="nil"/>
              <w:bottom w:val="nil"/>
              <w:right w:val="nil"/>
            </w:tcBorders>
            <w:noWrap/>
            <w:vAlign w:val="center"/>
            <w:hideMark/>
          </w:tcPr>
          <w:p w14:paraId="07C9682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129.3</w:t>
            </w:r>
          </w:p>
        </w:tc>
        <w:tc>
          <w:tcPr>
            <w:tcW w:w="1080" w:type="dxa"/>
            <w:tcBorders>
              <w:top w:val="nil"/>
              <w:left w:val="nil"/>
              <w:bottom w:val="nil"/>
              <w:right w:val="nil"/>
            </w:tcBorders>
            <w:noWrap/>
            <w:vAlign w:val="center"/>
            <w:hideMark/>
          </w:tcPr>
          <w:p w14:paraId="54ADBA3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112.1</w:t>
            </w:r>
          </w:p>
        </w:tc>
        <w:tc>
          <w:tcPr>
            <w:tcW w:w="1080" w:type="dxa"/>
            <w:tcBorders>
              <w:top w:val="nil"/>
              <w:left w:val="nil"/>
              <w:bottom w:val="nil"/>
              <w:right w:val="nil"/>
            </w:tcBorders>
            <w:noWrap/>
            <w:vAlign w:val="center"/>
            <w:hideMark/>
          </w:tcPr>
          <w:p w14:paraId="27CDE19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79.9</w:t>
            </w:r>
          </w:p>
        </w:tc>
      </w:tr>
      <w:tr w:rsidR="00A62527" w:rsidRPr="00AD5635" w14:paraId="634D9211" w14:textId="77777777" w:rsidTr="00A62527">
        <w:trPr>
          <w:trHeight w:val="264"/>
        </w:trPr>
        <w:tc>
          <w:tcPr>
            <w:tcW w:w="2832" w:type="dxa"/>
            <w:tcBorders>
              <w:top w:val="nil"/>
              <w:left w:val="nil"/>
              <w:bottom w:val="nil"/>
              <w:right w:val="nil"/>
            </w:tcBorders>
            <w:noWrap/>
            <w:vAlign w:val="center"/>
            <w:hideMark/>
          </w:tcPr>
          <w:p w14:paraId="3700AB6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2FBCB39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5415BA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w:t>
            </w:r>
          </w:p>
        </w:tc>
        <w:tc>
          <w:tcPr>
            <w:tcW w:w="1080" w:type="dxa"/>
            <w:tcBorders>
              <w:top w:val="nil"/>
              <w:left w:val="nil"/>
              <w:bottom w:val="nil"/>
              <w:right w:val="nil"/>
            </w:tcBorders>
            <w:noWrap/>
            <w:vAlign w:val="center"/>
            <w:hideMark/>
          </w:tcPr>
          <w:p w14:paraId="6766D6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20.2</w:t>
            </w:r>
          </w:p>
        </w:tc>
        <w:tc>
          <w:tcPr>
            <w:tcW w:w="1080" w:type="dxa"/>
            <w:tcBorders>
              <w:top w:val="nil"/>
              <w:left w:val="nil"/>
              <w:bottom w:val="nil"/>
              <w:right w:val="nil"/>
            </w:tcBorders>
            <w:noWrap/>
            <w:vAlign w:val="center"/>
            <w:hideMark/>
          </w:tcPr>
          <w:p w14:paraId="6F4BB0D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19.6</w:t>
            </w:r>
          </w:p>
        </w:tc>
        <w:tc>
          <w:tcPr>
            <w:tcW w:w="1080" w:type="dxa"/>
            <w:tcBorders>
              <w:top w:val="nil"/>
              <w:left w:val="nil"/>
              <w:bottom w:val="nil"/>
              <w:right w:val="nil"/>
            </w:tcBorders>
            <w:noWrap/>
            <w:vAlign w:val="center"/>
            <w:hideMark/>
          </w:tcPr>
          <w:p w14:paraId="45CB382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30.5</w:t>
            </w:r>
          </w:p>
        </w:tc>
        <w:tc>
          <w:tcPr>
            <w:tcW w:w="1080" w:type="dxa"/>
            <w:tcBorders>
              <w:top w:val="nil"/>
              <w:left w:val="nil"/>
              <w:bottom w:val="nil"/>
              <w:right w:val="nil"/>
            </w:tcBorders>
            <w:noWrap/>
            <w:vAlign w:val="center"/>
            <w:hideMark/>
          </w:tcPr>
          <w:p w14:paraId="20366F0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40.8</w:t>
            </w:r>
          </w:p>
        </w:tc>
      </w:tr>
      <w:tr w:rsidR="00A62527" w:rsidRPr="00AD5635" w14:paraId="6FDA14F0" w14:textId="77777777" w:rsidTr="00A62527">
        <w:trPr>
          <w:trHeight w:val="264"/>
        </w:trPr>
        <w:tc>
          <w:tcPr>
            <w:tcW w:w="2832" w:type="dxa"/>
            <w:tcBorders>
              <w:top w:val="nil"/>
              <w:left w:val="nil"/>
              <w:bottom w:val="nil"/>
              <w:right w:val="nil"/>
            </w:tcBorders>
            <w:noWrap/>
            <w:vAlign w:val="center"/>
            <w:hideMark/>
          </w:tcPr>
          <w:p w14:paraId="31E9770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64894EF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02A755B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11.5</w:t>
            </w:r>
          </w:p>
        </w:tc>
        <w:tc>
          <w:tcPr>
            <w:tcW w:w="1080" w:type="dxa"/>
            <w:tcBorders>
              <w:top w:val="nil"/>
              <w:left w:val="nil"/>
              <w:bottom w:val="nil"/>
              <w:right w:val="nil"/>
            </w:tcBorders>
            <w:noWrap/>
            <w:vAlign w:val="center"/>
            <w:hideMark/>
          </w:tcPr>
          <w:p w14:paraId="6890FEBC"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1D8972A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D0040E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w:t>
            </w:r>
          </w:p>
        </w:tc>
        <w:tc>
          <w:tcPr>
            <w:tcW w:w="1080" w:type="dxa"/>
            <w:tcBorders>
              <w:top w:val="nil"/>
              <w:left w:val="nil"/>
              <w:bottom w:val="nil"/>
              <w:right w:val="nil"/>
            </w:tcBorders>
            <w:noWrap/>
            <w:vAlign w:val="center"/>
            <w:hideMark/>
          </w:tcPr>
          <w:p w14:paraId="4DC73F7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A62527" w:rsidRPr="00AD5635" w14:paraId="450185F7" w14:textId="77777777" w:rsidTr="00A62527">
        <w:trPr>
          <w:trHeight w:val="264"/>
        </w:trPr>
        <w:tc>
          <w:tcPr>
            <w:tcW w:w="3912" w:type="dxa"/>
            <w:gridSpan w:val="2"/>
            <w:tcBorders>
              <w:top w:val="nil"/>
              <w:left w:val="nil"/>
              <w:bottom w:val="nil"/>
              <w:right w:val="nil"/>
            </w:tcBorders>
            <w:noWrap/>
            <w:vAlign w:val="center"/>
            <w:hideMark/>
          </w:tcPr>
          <w:p w14:paraId="1C62263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Current tax liabilities</w:t>
            </w:r>
          </w:p>
        </w:tc>
        <w:tc>
          <w:tcPr>
            <w:tcW w:w="1080" w:type="dxa"/>
            <w:tcBorders>
              <w:top w:val="nil"/>
              <w:left w:val="nil"/>
              <w:bottom w:val="nil"/>
              <w:right w:val="nil"/>
            </w:tcBorders>
            <w:noWrap/>
            <w:vAlign w:val="center"/>
            <w:hideMark/>
          </w:tcPr>
          <w:p w14:paraId="7C5FC1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w:t>
            </w:r>
          </w:p>
        </w:tc>
        <w:tc>
          <w:tcPr>
            <w:tcW w:w="1080" w:type="dxa"/>
            <w:tcBorders>
              <w:top w:val="nil"/>
              <w:left w:val="nil"/>
              <w:bottom w:val="nil"/>
              <w:right w:val="nil"/>
            </w:tcBorders>
            <w:noWrap/>
            <w:vAlign w:val="center"/>
            <w:hideMark/>
          </w:tcPr>
          <w:p w14:paraId="0092F35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w:t>
            </w:r>
          </w:p>
        </w:tc>
        <w:tc>
          <w:tcPr>
            <w:tcW w:w="1080" w:type="dxa"/>
            <w:tcBorders>
              <w:top w:val="nil"/>
              <w:left w:val="nil"/>
              <w:bottom w:val="nil"/>
              <w:right w:val="nil"/>
            </w:tcBorders>
            <w:noWrap/>
            <w:vAlign w:val="center"/>
            <w:hideMark/>
          </w:tcPr>
          <w:p w14:paraId="208DDB5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D23B1A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w:t>
            </w:r>
          </w:p>
        </w:tc>
        <w:tc>
          <w:tcPr>
            <w:tcW w:w="1080" w:type="dxa"/>
            <w:tcBorders>
              <w:top w:val="nil"/>
              <w:left w:val="nil"/>
              <w:bottom w:val="nil"/>
              <w:right w:val="nil"/>
            </w:tcBorders>
            <w:noWrap/>
            <w:vAlign w:val="center"/>
            <w:hideMark/>
          </w:tcPr>
          <w:p w14:paraId="5D63495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7A01B0DD" w14:textId="77777777" w:rsidTr="00A62527">
        <w:trPr>
          <w:trHeight w:val="264"/>
        </w:trPr>
        <w:tc>
          <w:tcPr>
            <w:tcW w:w="3912" w:type="dxa"/>
            <w:gridSpan w:val="2"/>
            <w:tcBorders>
              <w:top w:val="nil"/>
              <w:left w:val="nil"/>
              <w:bottom w:val="nil"/>
              <w:right w:val="nil"/>
            </w:tcBorders>
            <w:noWrap/>
            <w:vAlign w:val="center"/>
            <w:hideMark/>
          </w:tcPr>
          <w:p w14:paraId="667D3C2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6D78B14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670.5</w:t>
            </w:r>
          </w:p>
        </w:tc>
        <w:tc>
          <w:tcPr>
            <w:tcW w:w="1080" w:type="dxa"/>
            <w:tcBorders>
              <w:top w:val="nil"/>
              <w:left w:val="nil"/>
              <w:bottom w:val="nil"/>
              <w:right w:val="nil"/>
            </w:tcBorders>
            <w:noWrap/>
            <w:vAlign w:val="center"/>
            <w:hideMark/>
          </w:tcPr>
          <w:p w14:paraId="4A36C5B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676.7</w:t>
            </w:r>
          </w:p>
        </w:tc>
        <w:tc>
          <w:tcPr>
            <w:tcW w:w="1080" w:type="dxa"/>
            <w:tcBorders>
              <w:top w:val="nil"/>
              <w:left w:val="nil"/>
              <w:bottom w:val="nil"/>
              <w:right w:val="nil"/>
            </w:tcBorders>
            <w:noWrap/>
            <w:vAlign w:val="center"/>
            <w:hideMark/>
          </w:tcPr>
          <w:p w14:paraId="324BE94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570.7</w:t>
            </w:r>
          </w:p>
        </w:tc>
        <w:tc>
          <w:tcPr>
            <w:tcW w:w="1080" w:type="dxa"/>
            <w:tcBorders>
              <w:top w:val="nil"/>
              <w:left w:val="nil"/>
              <w:bottom w:val="nil"/>
              <w:right w:val="nil"/>
            </w:tcBorders>
            <w:noWrap/>
            <w:vAlign w:val="center"/>
            <w:hideMark/>
          </w:tcPr>
          <w:p w14:paraId="2542176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316.5</w:t>
            </w:r>
          </w:p>
        </w:tc>
        <w:tc>
          <w:tcPr>
            <w:tcW w:w="1080" w:type="dxa"/>
            <w:tcBorders>
              <w:top w:val="nil"/>
              <w:left w:val="nil"/>
              <w:bottom w:val="nil"/>
              <w:right w:val="nil"/>
            </w:tcBorders>
            <w:noWrap/>
            <w:vAlign w:val="center"/>
            <w:hideMark/>
          </w:tcPr>
          <w:p w14:paraId="73896C0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440.0</w:t>
            </w:r>
          </w:p>
        </w:tc>
      </w:tr>
      <w:tr w:rsidR="00A62527" w:rsidRPr="00AD5635" w14:paraId="7A5B25D9" w14:textId="77777777" w:rsidTr="00A62527">
        <w:trPr>
          <w:trHeight w:val="264"/>
        </w:trPr>
        <w:tc>
          <w:tcPr>
            <w:tcW w:w="3912" w:type="dxa"/>
            <w:gridSpan w:val="2"/>
            <w:tcBorders>
              <w:top w:val="nil"/>
              <w:left w:val="nil"/>
              <w:bottom w:val="nil"/>
              <w:right w:val="nil"/>
            </w:tcBorders>
            <w:noWrap/>
            <w:vAlign w:val="center"/>
            <w:hideMark/>
          </w:tcPr>
          <w:p w14:paraId="2DEAFF3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financial liabilities</w:t>
            </w:r>
          </w:p>
        </w:tc>
        <w:tc>
          <w:tcPr>
            <w:tcW w:w="1080" w:type="dxa"/>
            <w:tcBorders>
              <w:top w:val="nil"/>
              <w:left w:val="nil"/>
              <w:bottom w:val="nil"/>
              <w:right w:val="nil"/>
            </w:tcBorders>
            <w:noWrap/>
            <w:vAlign w:val="center"/>
            <w:hideMark/>
          </w:tcPr>
          <w:p w14:paraId="2B4D3D8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12.3</w:t>
            </w:r>
          </w:p>
        </w:tc>
        <w:tc>
          <w:tcPr>
            <w:tcW w:w="1080" w:type="dxa"/>
            <w:tcBorders>
              <w:top w:val="nil"/>
              <w:left w:val="nil"/>
              <w:bottom w:val="nil"/>
              <w:right w:val="nil"/>
            </w:tcBorders>
            <w:noWrap/>
            <w:vAlign w:val="center"/>
            <w:hideMark/>
          </w:tcPr>
          <w:p w14:paraId="4D3EB43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993AC9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31501EA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69B5B12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0DCF7630" w14:textId="77777777" w:rsidTr="00A62527">
        <w:trPr>
          <w:trHeight w:val="264"/>
        </w:trPr>
        <w:tc>
          <w:tcPr>
            <w:tcW w:w="3912" w:type="dxa"/>
            <w:gridSpan w:val="2"/>
            <w:tcBorders>
              <w:top w:val="nil"/>
              <w:left w:val="nil"/>
              <w:bottom w:val="nil"/>
              <w:right w:val="nil"/>
            </w:tcBorders>
            <w:noWrap/>
            <w:vAlign w:val="center"/>
            <w:hideMark/>
          </w:tcPr>
          <w:p w14:paraId="15C7E48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current liabilities</w:t>
            </w:r>
          </w:p>
        </w:tc>
        <w:tc>
          <w:tcPr>
            <w:tcW w:w="1080" w:type="dxa"/>
            <w:tcBorders>
              <w:top w:val="nil"/>
              <w:left w:val="nil"/>
              <w:bottom w:val="nil"/>
              <w:right w:val="nil"/>
            </w:tcBorders>
            <w:noWrap/>
            <w:vAlign w:val="center"/>
            <w:hideMark/>
          </w:tcPr>
          <w:p w14:paraId="3095E74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870.4</w:t>
            </w:r>
          </w:p>
        </w:tc>
        <w:tc>
          <w:tcPr>
            <w:tcW w:w="1080" w:type="dxa"/>
            <w:tcBorders>
              <w:top w:val="nil"/>
              <w:left w:val="nil"/>
              <w:bottom w:val="nil"/>
              <w:right w:val="nil"/>
            </w:tcBorders>
            <w:noWrap/>
            <w:vAlign w:val="center"/>
            <w:hideMark/>
          </w:tcPr>
          <w:p w14:paraId="01D6746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845.6</w:t>
            </w:r>
          </w:p>
        </w:tc>
        <w:tc>
          <w:tcPr>
            <w:tcW w:w="1080" w:type="dxa"/>
            <w:tcBorders>
              <w:top w:val="nil"/>
              <w:left w:val="nil"/>
              <w:bottom w:val="nil"/>
              <w:right w:val="nil"/>
            </w:tcBorders>
            <w:noWrap/>
            <w:vAlign w:val="center"/>
            <w:hideMark/>
          </w:tcPr>
          <w:p w14:paraId="1B3C2C3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719.6</w:t>
            </w:r>
          </w:p>
        </w:tc>
        <w:tc>
          <w:tcPr>
            <w:tcW w:w="1080" w:type="dxa"/>
            <w:tcBorders>
              <w:top w:val="nil"/>
              <w:left w:val="nil"/>
              <w:bottom w:val="nil"/>
              <w:right w:val="nil"/>
            </w:tcBorders>
            <w:noWrap/>
            <w:vAlign w:val="center"/>
            <w:hideMark/>
          </w:tcPr>
          <w:p w14:paraId="6E793EE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775.3</w:t>
            </w:r>
          </w:p>
        </w:tc>
        <w:tc>
          <w:tcPr>
            <w:tcW w:w="1080" w:type="dxa"/>
            <w:tcBorders>
              <w:top w:val="nil"/>
              <w:left w:val="nil"/>
              <w:bottom w:val="nil"/>
              <w:right w:val="nil"/>
            </w:tcBorders>
            <w:noWrap/>
            <w:vAlign w:val="center"/>
            <w:hideMark/>
          </w:tcPr>
          <w:p w14:paraId="3C6F1D9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646.9</w:t>
            </w:r>
          </w:p>
        </w:tc>
      </w:tr>
      <w:tr w:rsidR="00A62527" w:rsidRPr="00AD5635" w14:paraId="488CB328" w14:textId="77777777" w:rsidTr="00A62527">
        <w:trPr>
          <w:trHeight w:val="264"/>
        </w:trPr>
        <w:tc>
          <w:tcPr>
            <w:tcW w:w="3912" w:type="dxa"/>
            <w:gridSpan w:val="2"/>
            <w:tcBorders>
              <w:top w:val="nil"/>
              <w:left w:val="nil"/>
              <w:bottom w:val="nil"/>
              <w:right w:val="nil"/>
            </w:tcBorders>
            <w:noWrap/>
            <w:vAlign w:val="center"/>
            <w:hideMark/>
          </w:tcPr>
          <w:p w14:paraId="6AF5CFB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Non-current liabilities</w:t>
            </w:r>
          </w:p>
        </w:tc>
        <w:tc>
          <w:tcPr>
            <w:tcW w:w="1080" w:type="dxa"/>
            <w:tcBorders>
              <w:top w:val="nil"/>
              <w:left w:val="nil"/>
              <w:bottom w:val="nil"/>
              <w:right w:val="nil"/>
            </w:tcBorders>
            <w:noWrap/>
            <w:vAlign w:val="center"/>
            <w:hideMark/>
          </w:tcPr>
          <w:p w14:paraId="732EE69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695013FA"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401B4CCA"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725DBB9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0F2AABC"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0301D30C" w14:textId="77777777" w:rsidTr="00A62527">
        <w:trPr>
          <w:trHeight w:val="264"/>
        </w:trPr>
        <w:tc>
          <w:tcPr>
            <w:tcW w:w="2832" w:type="dxa"/>
            <w:tcBorders>
              <w:top w:val="nil"/>
              <w:left w:val="nil"/>
              <w:bottom w:val="nil"/>
              <w:right w:val="nil"/>
            </w:tcBorders>
            <w:noWrap/>
            <w:vAlign w:val="center"/>
            <w:hideMark/>
          </w:tcPr>
          <w:p w14:paraId="58C1DC9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Borrowings</w:t>
            </w:r>
          </w:p>
        </w:tc>
        <w:tc>
          <w:tcPr>
            <w:tcW w:w="1080" w:type="dxa"/>
            <w:tcBorders>
              <w:top w:val="nil"/>
              <w:left w:val="nil"/>
              <w:bottom w:val="nil"/>
              <w:right w:val="nil"/>
            </w:tcBorders>
            <w:noWrap/>
            <w:vAlign w:val="center"/>
            <w:hideMark/>
          </w:tcPr>
          <w:p w14:paraId="2038B5F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w:t>
            </w:r>
          </w:p>
        </w:tc>
        <w:tc>
          <w:tcPr>
            <w:tcW w:w="1080" w:type="dxa"/>
            <w:tcBorders>
              <w:top w:val="nil"/>
              <w:left w:val="nil"/>
              <w:bottom w:val="nil"/>
              <w:right w:val="nil"/>
            </w:tcBorders>
            <w:noWrap/>
            <w:vAlign w:val="center"/>
            <w:hideMark/>
          </w:tcPr>
          <w:p w14:paraId="3AA9C38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994.9</w:t>
            </w:r>
          </w:p>
        </w:tc>
        <w:tc>
          <w:tcPr>
            <w:tcW w:w="1080" w:type="dxa"/>
            <w:tcBorders>
              <w:top w:val="nil"/>
              <w:left w:val="nil"/>
              <w:bottom w:val="nil"/>
              <w:right w:val="nil"/>
            </w:tcBorders>
            <w:noWrap/>
            <w:vAlign w:val="center"/>
            <w:hideMark/>
          </w:tcPr>
          <w:p w14:paraId="1DBE38F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993.4</w:t>
            </w:r>
          </w:p>
        </w:tc>
        <w:tc>
          <w:tcPr>
            <w:tcW w:w="1080" w:type="dxa"/>
            <w:tcBorders>
              <w:top w:val="nil"/>
              <w:left w:val="nil"/>
              <w:bottom w:val="nil"/>
              <w:right w:val="nil"/>
            </w:tcBorders>
            <w:noWrap/>
            <w:vAlign w:val="center"/>
            <w:hideMark/>
          </w:tcPr>
          <w:p w14:paraId="259BC39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991.9</w:t>
            </w:r>
          </w:p>
        </w:tc>
        <w:tc>
          <w:tcPr>
            <w:tcW w:w="1080" w:type="dxa"/>
            <w:tcBorders>
              <w:top w:val="nil"/>
              <w:left w:val="nil"/>
              <w:bottom w:val="nil"/>
              <w:right w:val="nil"/>
            </w:tcBorders>
            <w:noWrap/>
            <w:vAlign w:val="center"/>
            <w:hideMark/>
          </w:tcPr>
          <w:p w14:paraId="63ABD86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990.5</w:t>
            </w:r>
          </w:p>
        </w:tc>
        <w:tc>
          <w:tcPr>
            <w:tcW w:w="1080" w:type="dxa"/>
            <w:tcBorders>
              <w:top w:val="nil"/>
              <w:left w:val="nil"/>
              <w:bottom w:val="nil"/>
              <w:right w:val="nil"/>
            </w:tcBorders>
            <w:noWrap/>
            <w:vAlign w:val="center"/>
            <w:hideMark/>
          </w:tcPr>
          <w:p w14:paraId="529A42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741.5</w:t>
            </w:r>
          </w:p>
        </w:tc>
      </w:tr>
      <w:tr w:rsidR="00A62527" w:rsidRPr="00AD5635" w14:paraId="480D4DA9" w14:textId="77777777" w:rsidTr="00A62527">
        <w:trPr>
          <w:trHeight w:val="264"/>
        </w:trPr>
        <w:tc>
          <w:tcPr>
            <w:tcW w:w="3912" w:type="dxa"/>
            <w:gridSpan w:val="2"/>
            <w:tcBorders>
              <w:top w:val="nil"/>
              <w:left w:val="nil"/>
              <w:bottom w:val="nil"/>
              <w:right w:val="nil"/>
            </w:tcBorders>
            <w:noWrap/>
            <w:vAlign w:val="center"/>
            <w:hideMark/>
          </w:tcPr>
          <w:p w14:paraId="780A30A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Lease liabilities</w:t>
            </w:r>
          </w:p>
        </w:tc>
        <w:tc>
          <w:tcPr>
            <w:tcW w:w="1080" w:type="dxa"/>
            <w:tcBorders>
              <w:top w:val="nil"/>
              <w:left w:val="nil"/>
              <w:bottom w:val="nil"/>
              <w:right w:val="nil"/>
            </w:tcBorders>
            <w:noWrap/>
            <w:vAlign w:val="center"/>
            <w:hideMark/>
          </w:tcPr>
          <w:p w14:paraId="39F9407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3,942.80</w:t>
            </w:r>
          </w:p>
        </w:tc>
        <w:tc>
          <w:tcPr>
            <w:tcW w:w="1080" w:type="dxa"/>
            <w:tcBorders>
              <w:top w:val="nil"/>
              <w:left w:val="nil"/>
              <w:bottom w:val="nil"/>
              <w:right w:val="nil"/>
            </w:tcBorders>
            <w:noWrap/>
            <w:vAlign w:val="center"/>
            <w:hideMark/>
          </w:tcPr>
          <w:p w14:paraId="2A2B4F9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3,814.30</w:t>
            </w:r>
          </w:p>
        </w:tc>
        <w:tc>
          <w:tcPr>
            <w:tcW w:w="1080" w:type="dxa"/>
            <w:tcBorders>
              <w:top w:val="nil"/>
              <w:left w:val="nil"/>
              <w:bottom w:val="nil"/>
              <w:right w:val="nil"/>
            </w:tcBorders>
            <w:noWrap/>
            <w:vAlign w:val="center"/>
            <w:hideMark/>
          </w:tcPr>
          <w:p w14:paraId="5A98B0A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3,572.50</w:t>
            </w:r>
          </w:p>
        </w:tc>
        <w:tc>
          <w:tcPr>
            <w:tcW w:w="1080" w:type="dxa"/>
            <w:tcBorders>
              <w:top w:val="nil"/>
              <w:left w:val="nil"/>
              <w:bottom w:val="nil"/>
              <w:right w:val="nil"/>
            </w:tcBorders>
            <w:noWrap/>
            <w:vAlign w:val="center"/>
            <w:hideMark/>
          </w:tcPr>
          <w:p w14:paraId="2EBD4F2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3,119.50</w:t>
            </w:r>
          </w:p>
        </w:tc>
        <w:tc>
          <w:tcPr>
            <w:tcW w:w="1080" w:type="dxa"/>
            <w:tcBorders>
              <w:top w:val="nil"/>
              <w:left w:val="nil"/>
              <w:bottom w:val="nil"/>
              <w:right w:val="nil"/>
            </w:tcBorders>
            <w:noWrap/>
            <w:vAlign w:val="center"/>
            <w:hideMark/>
          </w:tcPr>
          <w:p w14:paraId="2F937C1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2,540.70</w:t>
            </w:r>
          </w:p>
        </w:tc>
      </w:tr>
      <w:tr w:rsidR="00A62527" w:rsidRPr="00AD5635" w14:paraId="24671D8F" w14:textId="77777777" w:rsidTr="00A62527">
        <w:trPr>
          <w:trHeight w:val="264"/>
        </w:trPr>
        <w:tc>
          <w:tcPr>
            <w:tcW w:w="2832" w:type="dxa"/>
            <w:tcBorders>
              <w:top w:val="nil"/>
              <w:left w:val="nil"/>
              <w:bottom w:val="nil"/>
              <w:right w:val="nil"/>
            </w:tcBorders>
            <w:noWrap/>
            <w:vAlign w:val="center"/>
            <w:hideMark/>
          </w:tcPr>
          <w:p w14:paraId="4169202A"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Provisions</w:t>
            </w:r>
          </w:p>
        </w:tc>
        <w:tc>
          <w:tcPr>
            <w:tcW w:w="1080" w:type="dxa"/>
            <w:tcBorders>
              <w:top w:val="nil"/>
              <w:left w:val="nil"/>
              <w:bottom w:val="nil"/>
              <w:right w:val="nil"/>
            </w:tcBorders>
            <w:noWrap/>
            <w:vAlign w:val="center"/>
            <w:hideMark/>
          </w:tcPr>
          <w:p w14:paraId="7903C7F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11A5CD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0B687A5A"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8.3</w:t>
            </w:r>
          </w:p>
        </w:tc>
        <w:tc>
          <w:tcPr>
            <w:tcW w:w="1080" w:type="dxa"/>
            <w:tcBorders>
              <w:top w:val="nil"/>
              <w:left w:val="nil"/>
              <w:bottom w:val="nil"/>
              <w:right w:val="nil"/>
            </w:tcBorders>
            <w:noWrap/>
            <w:vAlign w:val="center"/>
            <w:hideMark/>
          </w:tcPr>
          <w:p w14:paraId="422A84C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11.7</w:t>
            </w:r>
          </w:p>
        </w:tc>
        <w:tc>
          <w:tcPr>
            <w:tcW w:w="1080" w:type="dxa"/>
            <w:tcBorders>
              <w:top w:val="nil"/>
              <w:left w:val="nil"/>
              <w:bottom w:val="nil"/>
              <w:right w:val="nil"/>
            </w:tcBorders>
            <w:noWrap/>
            <w:vAlign w:val="center"/>
            <w:hideMark/>
          </w:tcPr>
          <w:p w14:paraId="74353F2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w:t>
            </w:r>
          </w:p>
        </w:tc>
        <w:tc>
          <w:tcPr>
            <w:tcW w:w="1080" w:type="dxa"/>
            <w:tcBorders>
              <w:top w:val="nil"/>
              <w:left w:val="nil"/>
              <w:bottom w:val="nil"/>
              <w:right w:val="nil"/>
            </w:tcBorders>
            <w:noWrap/>
            <w:vAlign w:val="center"/>
            <w:hideMark/>
          </w:tcPr>
          <w:p w14:paraId="39C3B79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7.6</w:t>
            </w:r>
          </w:p>
        </w:tc>
      </w:tr>
      <w:tr w:rsidR="00A62527" w:rsidRPr="00AD5635" w14:paraId="4C0905D0" w14:textId="77777777" w:rsidTr="00A62527">
        <w:trPr>
          <w:trHeight w:val="264"/>
        </w:trPr>
        <w:tc>
          <w:tcPr>
            <w:tcW w:w="2832" w:type="dxa"/>
            <w:tcBorders>
              <w:top w:val="nil"/>
              <w:left w:val="nil"/>
              <w:bottom w:val="nil"/>
              <w:right w:val="nil"/>
            </w:tcBorders>
            <w:noWrap/>
            <w:vAlign w:val="center"/>
            <w:hideMark/>
          </w:tcPr>
          <w:p w14:paraId="22E5BA89"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Derivative financial instruments</w:t>
            </w:r>
          </w:p>
        </w:tc>
        <w:tc>
          <w:tcPr>
            <w:tcW w:w="1080" w:type="dxa"/>
            <w:tcBorders>
              <w:top w:val="nil"/>
              <w:left w:val="nil"/>
              <w:bottom w:val="nil"/>
              <w:right w:val="nil"/>
            </w:tcBorders>
            <w:noWrap/>
            <w:vAlign w:val="center"/>
            <w:hideMark/>
          </w:tcPr>
          <w:p w14:paraId="6231ED7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w:t>
            </w:r>
          </w:p>
        </w:tc>
        <w:tc>
          <w:tcPr>
            <w:tcW w:w="1080" w:type="dxa"/>
            <w:tcBorders>
              <w:top w:val="nil"/>
              <w:left w:val="nil"/>
              <w:bottom w:val="nil"/>
              <w:right w:val="nil"/>
            </w:tcBorders>
            <w:noWrap/>
            <w:vAlign w:val="center"/>
            <w:hideMark/>
          </w:tcPr>
          <w:p w14:paraId="306FC3F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w:t>
            </w:r>
          </w:p>
        </w:tc>
        <w:tc>
          <w:tcPr>
            <w:tcW w:w="1080" w:type="dxa"/>
            <w:tcBorders>
              <w:top w:val="nil"/>
              <w:left w:val="nil"/>
              <w:bottom w:val="nil"/>
              <w:right w:val="nil"/>
            </w:tcBorders>
            <w:noWrap/>
            <w:vAlign w:val="center"/>
            <w:hideMark/>
          </w:tcPr>
          <w:p w14:paraId="4ABD135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w:t>
            </w:r>
          </w:p>
        </w:tc>
        <w:tc>
          <w:tcPr>
            <w:tcW w:w="1080" w:type="dxa"/>
            <w:tcBorders>
              <w:top w:val="nil"/>
              <w:left w:val="nil"/>
              <w:bottom w:val="nil"/>
              <w:right w:val="nil"/>
            </w:tcBorders>
            <w:noWrap/>
            <w:vAlign w:val="center"/>
            <w:hideMark/>
          </w:tcPr>
          <w:p w14:paraId="529B2D0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261AF8C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73C79E1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2.2</w:t>
            </w:r>
          </w:p>
        </w:tc>
      </w:tr>
      <w:tr w:rsidR="00A62527" w:rsidRPr="00AD5635" w14:paraId="140ECFD9" w14:textId="77777777" w:rsidTr="00A62527">
        <w:trPr>
          <w:trHeight w:val="264"/>
        </w:trPr>
        <w:tc>
          <w:tcPr>
            <w:tcW w:w="3912" w:type="dxa"/>
            <w:gridSpan w:val="2"/>
            <w:tcBorders>
              <w:top w:val="nil"/>
              <w:left w:val="nil"/>
              <w:bottom w:val="nil"/>
              <w:right w:val="nil"/>
            </w:tcBorders>
            <w:noWrap/>
            <w:vAlign w:val="center"/>
            <w:hideMark/>
          </w:tcPr>
          <w:p w14:paraId="1130E99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Deferred tax liabilities</w:t>
            </w:r>
          </w:p>
        </w:tc>
        <w:tc>
          <w:tcPr>
            <w:tcW w:w="1080" w:type="dxa"/>
            <w:tcBorders>
              <w:top w:val="nil"/>
              <w:left w:val="nil"/>
              <w:bottom w:val="nil"/>
              <w:right w:val="nil"/>
            </w:tcBorders>
            <w:noWrap/>
            <w:vAlign w:val="center"/>
            <w:hideMark/>
          </w:tcPr>
          <w:p w14:paraId="1C7DDDF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181.1</w:t>
            </w:r>
          </w:p>
        </w:tc>
        <w:tc>
          <w:tcPr>
            <w:tcW w:w="1080" w:type="dxa"/>
            <w:tcBorders>
              <w:top w:val="nil"/>
              <w:left w:val="nil"/>
              <w:bottom w:val="nil"/>
              <w:right w:val="nil"/>
            </w:tcBorders>
            <w:noWrap/>
            <w:vAlign w:val="center"/>
            <w:hideMark/>
          </w:tcPr>
          <w:p w14:paraId="23B9D2C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158.2</w:t>
            </w:r>
          </w:p>
        </w:tc>
        <w:tc>
          <w:tcPr>
            <w:tcW w:w="1080" w:type="dxa"/>
            <w:tcBorders>
              <w:top w:val="nil"/>
              <w:left w:val="nil"/>
              <w:bottom w:val="nil"/>
              <w:right w:val="nil"/>
            </w:tcBorders>
            <w:noWrap/>
            <w:vAlign w:val="center"/>
            <w:hideMark/>
          </w:tcPr>
          <w:p w14:paraId="2AD7178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150.6</w:t>
            </w:r>
          </w:p>
        </w:tc>
        <w:tc>
          <w:tcPr>
            <w:tcW w:w="1080" w:type="dxa"/>
            <w:tcBorders>
              <w:top w:val="nil"/>
              <w:left w:val="nil"/>
              <w:bottom w:val="nil"/>
              <w:right w:val="nil"/>
            </w:tcBorders>
            <w:noWrap/>
            <w:vAlign w:val="center"/>
            <w:hideMark/>
          </w:tcPr>
          <w:p w14:paraId="18AE284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44.6</w:t>
            </w:r>
          </w:p>
        </w:tc>
        <w:tc>
          <w:tcPr>
            <w:tcW w:w="1080" w:type="dxa"/>
            <w:tcBorders>
              <w:top w:val="nil"/>
              <w:left w:val="nil"/>
              <w:bottom w:val="nil"/>
              <w:right w:val="nil"/>
            </w:tcBorders>
            <w:noWrap/>
            <w:vAlign w:val="center"/>
            <w:hideMark/>
          </w:tcPr>
          <w:p w14:paraId="6C4AFE6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137.8</w:t>
            </w:r>
          </w:p>
        </w:tc>
      </w:tr>
      <w:tr w:rsidR="00A62527" w:rsidRPr="00AD5635" w14:paraId="6A344FB0" w14:textId="77777777" w:rsidTr="00A62527">
        <w:trPr>
          <w:trHeight w:val="264"/>
        </w:trPr>
        <w:tc>
          <w:tcPr>
            <w:tcW w:w="3912" w:type="dxa"/>
            <w:gridSpan w:val="2"/>
            <w:tcBorders>
              <w:top w:val="nil"/>
              <w:left w:val="nil"/>
              <w:bottom w:val="nil"/>
              <w:right w:val="nil"/>
            </w:tcBorders>
            <w:noWrap/>
            <w:vAlign w:val="center"/>
            <w:hideMark/>
          </w:tcPr>
          <w:p w14:paraId="1748793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Trade and other payables</w:t>
            </w:r>
          </w:p>
        </w:tc>
        <w:tc>
          <w:tcPr>
            <w:tcW w:w="1080" w:type="dxa"/>
            <w:tcBorders>
              <w:top w:val="nil"/>
              <w:left w:val="nil"/>
              <w:bottom w:val="nil"/>
              <w:right w:val="nil"/>
            </w:tcBorders>
            <w:noWrap/>
            <w:vAlign w:val="center"/>
            <w:hideMark/>
          </w:tcPr>
          <w:p w14:paraId="52602F51"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c>
          <w:tcPr>
            <w:tcW w:w="1080" w:type="dxa"/>
            <w:tcBorders>
              <w:top w:val="nil"/>
              <w:left w:val="nil"/>
              <w:bottom w:val="nil"/>
              <w:right w:val="nil"/>
            </w:tcBorders>
            <w:noWrap/>
            <w:vAlign w:val="center"/>
            <w:hideMark/>
          </w:tcPr>
          <w:p w14:paraId="4F04109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w:t>
            </w:r>
          </w:p>
        </w:tc>
        <w:tc>
          <w:tcPr>
            <w:tcW w:w="1080" w:type="dxa"/>
            <w:tcBorders>
              <w:top w:val="nil"/>
              <w:left w:val="nil"/>
              <w:bottom w:val="nil"/>
              <w:right w:val="nil"/>
            </w:tcBorders>
            <w:noWrap/>
            <w:vAlign w:val="center"/>
            <w:hideMark/>
          </w:tcPr>
          <w:p w14:paraId="69FC51D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1.2</w:t>
            </w:r>
          </w:p>
        </w:tc>
        <w:tc>
          <w:tcPr>
            <w:tcW w:w="1080" w:type="dxa"/>
            <w:tcBorders>
              <w:top w:val="nil"/>
              <w:left w:val="nil"/>
              <w:bottom w:val="nil"/>
              <w:right w:val="nil"/>
            </w:tcBorders>
            <w:noWrap/>
            <w:vAlign w:val="center"/>
            <w:hideMark/>
          </w:tcPr>
          <w:p w14:paraId="0FDD2DD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25.6</w:t>
            </w:r>
          </w:p>
        </w:tc>
        <w:tc>
          <w:tcPr>
            <w:tcW w:w="1080" w:type="dxa"/>
            <w:tcBorders>
              <w:top w:val="nil"/>
              <w:left w:val="nil"/>
              <w:bottom w:val="nil"/>
              <w:right w:val="nil"/>
            </w:tcBorders>
            <w:noWrap/>
            <w:vAlign w:val="center"/>
            <w:hideMark/>
          </w:tcPr>
          <w:p w14:paraId="3333EDB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w:t>
            </w:r>
          </w:p>
        </w:tc>
      </w:tr>
      <w:tr w:rsidR="00A62527" w:rsidRPr="00AD5635" w14:paraId="58A115D1" w14:textId="77777777" w:rsidTr="00A62527">
        <w:trPr>
          <w:trHeight w:val="264"/>
        </w:trPr>
        <w:tc>
          <w:tcPr>
            <w:tcW w:w="3912" w:type="dxa"/>
            <w:gridSpan w:val="2"/>
            <w:tcBorders>
              <w:top w:val="nil"/>
              <w:left w:val="nil"/>
              <w:bottom w:val="nil"/>
              <w:right w:val="nil"/>
            </w:tcBorders>
            <w:noWrap/>
            <w:vAlign w:val="center"/>
            <w:hideMark/>
          </w:tcPr>
          <w:p w14:paraId="73E1FF95"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non-current liabilities</w:t>
            </w:r>
          </w:p>
        </w:tc>
        <w:tc>
          <w:tcPr>
            <w:tcW w:w="1080" w:type="dxa"/>
            <w:tcBorders>
              <w:top w:val="nil"/>
              <w:left w:val="nil"/>
              <w:bottom w:val="nil"/>
              <w:right w:val="nil"/>
            </w:tcBorders>
            <w:noWrap/>
            <w:vAlign w:val="center"/>
            <w:hideMark/>
          </w:tcPr>
          <w:p w14:paraId="4016DF8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5,131.50</w:t>
            </w:r>
          </w:p>
        </w:tc>
        <w:tc>
          <w:tcPr>
            <w:tcW w:w="1080" w:type="dxa"/>
            <w:tcBorders>
              <w:top w:val="nil"/>
              <w:left w:val="nil"/>
              <w:bottom w:val="nil"/>
              <w:right w:val="nil"/>
            </w:tcBorders>
            <w:noWrap/>
            <w:vAlign w:val="center"/>
            <w:hideMark/>
          </w:tcPr>
          <w:p w14:paraId="488932C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4,985.80</w:t>
            </w:r>
          </w:p>
        </w:tc>
        <w:tc>
          <w:tcPr>
            <w:tcW w:w="1080" w:type="dxa"/>
            <w:tcBorders>
              <w:top w:val="nil"/>
              <w:left w:val="nil"/>
              <w:bottom w:val="nil"/>
              <w:right w:val="nil"/>
            </w:tcBorders>
            <w:noWrap/>
            <w:vAlign w:val="center"/>
            <w:hideMark/>
          </w:tcPr>
          <w:p w14:paraId="526CD64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4,727.90</w:t>
            </w:r>
          </w:p>
        </w:tc>
        <w:tc>
          <w:tcPr>
            <w:tcW w:w="1080" w:type="dxa"/>
            <w:tcBorders>
              <w:top w:val="nil"/>
              <w:left w:val="nil"/>
              <w:bottom w:val="nil"/>
              <w:right w:val="nil"/>
            </w:tcBorders>
            <w:noWrap/>
            <w:vAlign w:val="center"/>
            <w:hideMark/>
          </w:tcPr>
          <w:p w14:paraId="346441A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4,189.20</w:t>
            </w:r>
          </w:p>
        </w:tc>
        <w:tc>
          <w:tcPr>
            <w:tcW w:w="1080" w:type="dxa"/>
            <w:tcBorders>
              <w:top w:val="nil"/>
              <w:left w:val="nil"/>
              <w:bottom w:val="nil"/>
              <w:right w:val="nil"/>
            </w:tcBorders>
            <w:noWrap/>
            <w:vAlign w:val="center"/>
            <w:hideMark/>
          </w:tcPr>
          <w:p w14:paraId="053836F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3,429.80</w:t>
            </w:r>
          </w:p>
        </w:tc>
      </w:tr>
      <w:tr w:rsidR="00A62527" w:rsidRPr="00AD5635" w14:paraId="60707AB3" w14:textId="77777777" w:rsidTr="00A62527">
        <w:trPr>
          <w:trHeight w:val="264"/>
        </w:trPr>
        <w:tc>
          <w:tcPr>
            <w:tcW w:w="3912" w:type="dxa"/>
            <w:gridSpan w:val="2"/>
            <w:tcBorders>
              <w:top w:val="nil"/>
              <w:left w:val="nil"/>
              <w:bottom w:val="nil"/>
              <w:right w:val="nil"/>
            </w:tcBorders>
            <w:noWrap/>
            <w:vAlign w:val="center"/>
            <w:hideMark/>
          </w:tcPr>
          <w:p w14:paraId="36CED15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w:t>
            </w:r>
          </w:p>
        </w:tc>
        <w:tc>
          <w:tcPr>
            <w:tcW w:w="1080" w:type="dxa"/>
            <w:tcBorders>
              <w:top w:val="nil"/>
              <w:left w:val="nil"/>
              <w:bottom w:val="nil"/>
              <w:right w:val="nil"/>
            </w:tcBorders>
            <w:noWrap/>
            <w:vAlign w:val="center"/>
            <w:hideMark/>
          </w:tcPr>
          <w:p w14:paraId="3741A4F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6,001.90</w:t>
            </w:r>
          </w:p>
        </w:tc>
        <w:tc>
          <w:tcPr>
            <w:tcW w:w="1080" w:type="dxa"/>
            <w:tcBorders>
              <w:top w:val="nil"/>
              <w:left w:val="nil"/>
              <w:bottom w:val="nil"/>
              <w:right w:val="nil"/>
            </w:tcBorders>
            <w:noWrap/>
            <w:vAlign w:val="center"/>
            <w:hideMark/>
          </w:tcPr>
          <w:p w14:paraId="6C63421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5,831.40</w:t>
            </w:r>
          </w:p>
        </w:tc>
        <w:tc>
          <w:tcPr>
            <w:tcW w:w="1080" w:type="dxa"/>
            <w:tcBorders>
              <w:top w:val="nil"/>
              <w:left w:val="nil"/>
              <w:bottom w:val="nil"/>
              <w:right w:val="nil"/>
            </w:tcBorders>
            <w:noWrap/>
            <w:vAlign w:val="center"/>
            <w:hideMark/>
          </w:tcPr>
          <w:p w14:paraId="36EB77C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5,447.50</w:t>
            </w:r>
          </w:p>
        </w:tc>
        <w:tc>
          <w:tcPr>
            <w:tcW w:w="1080" w:type="dxa"/>
            <w:tcBorders>
              <w:top w:val="nil"/>
              <w:left w:val="nil"/>
              <w:bottom w:val="nil"/>
              <w:right w:val="nil"/>
            </w:tcBorders>
            <w:noWrap/>
            <w:vAlign w:val="center"/>
            <w:hideMark/>
          </w:tcPr>
          <w:p w14:paraId="025FA84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4,964.50</w:t>
            </w:r>
          </w:p>
        </w:tc>
        <w:tc>
          <w:tcPr>
            <w:tcW w:w="1080" w:type="dxa"/>
            <w:tcBorders>
              <w:top w:val="nil"/>
              <w:left w:val="nil"/>
              <w:bottom w:val="nil"/>
              <w:right w:val="nil"/>
            </w:tcBorders>
            <w:noWrap/>
            <w:vAlign w:val="center"/>
            <w:hideMark/>
          </w:tcPr>
          <w:p w14:paraId="2AC847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4,076.70</w:t>
            </w:r>
          </w:p>
        </w:tc>
      </w:tr>
      <w:tr w:rsidR="00A62527" w:rsidRPr="00AD5635" w14:paraId="3C080F02" w14:textId="77777777" w:rsidTr="00A62527">
        <w:trPr>
          <w:trHeight w:val="264"/>
        </w:trPr>
        <w:tc>
          <w:tcPr>
            <w:tcW w:w="2832" w:type="dxa"/>
            <w:tcBorders>
              <w:top w:val="nil"/>
              <w:left w:val="nil"/>
              <w:bottom w:val="nil"/>
              <w:right w:val="nil"/>
            </w:tcBorders>
            <w:noWrap/>
            <w:vAlign w:val="center"/>
            <w:hideMark/>
          </w:tcPr>
          <w:p w14:paraId="562010F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EQUITY</w:t>
            </w:r>
          </w:p>
        </w:tc>
        <w:tc>
          <w:tcPr>
            <w:tcW w:w="1080" w:type="dxa"/>
            <w:tcBorders>
              <w:top w:val="nil"/>
              <w:left w:val="nil"/>
              <w:bottom w:val="nil"/>
              <w:right w:val="nil"/>
            </w:tcBorders>
            <w:noWrap/>
            <w:vAlign w:val="center"/>
            <w:hideMark/>
          </w:tcPr>
          <w:p w14:paraId="2738FD06"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504FA8B8"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1B087702"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ECA4B3D"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21B52FE4"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c>
          <w:tcPr>
            <w:tcW w:w="1080" w:type="dxa"/>
            <w:tcBorders>
              <w:top w:val="nil"/>
              <w:left w:val="nil"/>
              <w:bottom w:val="nil"/>
              <w:right w:val="nil"/>
            </w:tcBorders>
            <w:noWrap/>
            <w:vAlign w:val="center"/>
            <w:hideMark/>
          </w:tcPr>
          <w:p w14:paraId="3EFAF14E" w14:textId="77777777" w:rsidR="00A62527" w:rsidRPr="00AD5635" w:rsidRDefault="00A62527" w:rsidP="00A62527">
            <w:pPr>
              <w:spacing w:after="0" w:line="240" w:lineRule="auto"/>
              <w:rPr>
                <w:rFonts w:ascii="Times New Roman" w:eastAsia="Times New Roman" w:hAnsi="Times New Roman" w:cs="Times New Roman"/>
                <w:color w:val="000000" w:themeColor="text1"/>
                <w:kern w:val="0"/>
                <w:sz w:val="20"/>
                <w:szCs w:val="20"/>
                <w:lang w:eastAsia="en-IN"/>
                <w14:ligatures w14:val="none"/>
              </w:rPr>
            </w:pPr>
          </w:p>
        </w:tc>
      </w:tr>
      <w:tr w:rsidR="00A62527" w:rsidRPr="00AD5635" w14:paraId="1B94567B" w14:textId="77777777" w:rsidTr="00A62527">
        <w:trPr>
          <w:trHeight w:val="264"/>
        </w:trPr>
        <w:tc>
          <w:tcPr>
            <w:tcW w:w="3912" w:type="dxa"/>
            <w:gridSpan w:val="2"/>
            <w:tcBorders>
              <w:top w:val="nil"/>
              <w:left w:val="nil"/>
              <w:bottom w:val="nil"/>
              <w:right w:val="nil"/>
            </w:tcBorders>
            <w:noWrap/>
            <w:vAlign w:val="center"/>
            <w:hideMark/>
          </w:tcPr>
          <w:p w14:paraId="1C34991E"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capital</w:t>
            </w:r>
          </w:p>
        </w:tc>
        <w:tc>
          <w:tcPr>
            <w:tcW w:w="1080" w:type="dxa"/>
            <w:tcBorders>
              <w:top w:val="nil"/>
              <w:left w:val="nil"/>
              <w:bottom w:val="nil"/>
              <w:right w:val="nil"/>
            </w:tcBorders>
            <w:noWrap/>
            <w:vAlign w:val="center"/>
            <w:hideMark/>
          </w:tcPr>
          <w:p w14:paraId="28E2E220"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151.8</w:t>
            </w:r>
          </w:p>
        </w:tc>
        <w:tc>
          <w:tcPr>
            <w:tcW w:w="1080" w:type="dxa"/>
            <w:tcBorders>
              <w:top w:val="nil"/>
              <w:left w:val="nil"/>
              <w:bottom w:val="nil"/>
              <w:right w:val="nil"/>
            </w:tcBorders>
            <w:noWrap/>
            <w:vAlign w:val="center"/>
            <w:hideMark/>
          </w:tcPr>
          <w:p w14:paraId="2309B161"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164.9</w:t>
            </w:r>
          </w:p>
        </w:tc>
        <w:tc>
          <w:tcPr>
            <w:tcW w:w="1080" w:type="dxa"/>
            <w:tcBorders>
              <w:top w:val="nil"/>
              <w:left w:val="nil"/>
              <w:bottom w:val="nil"/>
              <w:right w:val="nil"/>
            </w:tcBorders>
            <w:noWrap/>
            <w:vAlign w:val="center"/>
            <w:hideMark/>
          </w:tcPr>
          <w:p w14:paraId="45E6A23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164.8</w:t>
            </w:r>
          </w:p>
        </w:tc>
        <w:tc>
          <w:tcPr>
            <w:tcW w:w="1080" w:type="dxa"/>
            <w:tcBorders>
              <w:top w:val="nil"/>
              <w:left w:val="nil"/>
              <w:bottom w:val="nil"/>
              <w:right w:val="nil"/>
            </w:tcBorders>
            <w:noWrap/>
            <w:vAlign w:val="center"/>
            <w:hideMark/>
          </w:tcPr>
          <w:p w14:paraId="3BE9F8D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164.7</w:t>
            </w:r>
          </w:p>
        </w:tc>
        <w:tc>
          <w:tcPr>
            <w:tcW w:w="1080" w:type="dxa"/>
            <w:tcBorders>
              <w:top w:val="nil"/>
              <w:left w:val="nil"/>
              <w:bottom w:val="nil"/>
              <w:right w:val="nil"/>
            </w:tcBorders>
            <w:noWrap/>
            <w:vAlign w:val="center"/>
            <w:hideMark/>
          </w:tcPr>
          <w:p w14:paraId="19FD0AC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112.9</w:t>
            </w:r>
          </w:p>
        </w:tc>
      </w:tr>
      <w:tr w:rsidR="00A62527" w:rsidRPr="00AD5635" w14:paraId="05292CE8" w14:textId="77777777" w:rsidTr="00A62527">
        <w:trPr>
          <w:trHeight w:val="264"/>
        </w:trPr>
        <w:tc>
          <w:tcPr>
            <w:tcW w:w="3912" w:type="dxa"/>
            <w:gridSpan w:val="2"/>
            <w:tcBorders>
              <w:top w:val="nil"/>
              <w:left w:val="nil"/>
              <w:bottom w:val="nil"/>
              <w:right w:val="nil"/>
            </w:tcBorders>
            <w:noWrap/>
            <w:vAlign w:val="center"/>
            <w:hideMark/>
          </w:tcPr>
          <w:p w14:paraId="24C677C4"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Share premium</w:t>
            </w:r>
          </w:p>
        </w:tc>
        <w:tc>
          <w:tcPr>
            <w:tcW w:w="1080" w:type="dxa"/>
            <w:tcBorders>
              <w:top w:val="nil"/>
              <w:left w:val="nil"/>
              <w:bottom w:val="nil"/>
              <w:right w:val="nil"/>
            </w:tcBorders>
            <w:noWrap/>
            <w:vAlign w:val="center"/>
            <w:hideMark/>
          </w:tcPr>
          <w:p w14:paraId="6CED4DD4"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1,031.80</w:t>
            </w:r>
          </w:p>
        </w:tc>
        <w:tc>
          <w:tcPr>
            <w:tcW w:w="1080" w:type="dxa"/>
            <w:tcBorders>
              <w:top w:val="nil"/>
              <w:left w:val="nil"/>
              <w:bottom w:val="nil"/>
              <w:right w:val="nil"/>
            </w:tcBorders>
            <w:noWrap/>
            <w:vAlign w:val="center"/>
            <w:hideMark/>
          </w:tcPr>
          <w:p w14:paraId="66CF9D9F"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1,026.60</w:t>
            </w:r>
          </w:p>
        </w:tc>
        <w:tc>
          <w:tcPr>
            <w:tcW w:w="1080" w:type="dxa"/>
            <w:tcBorders>
              <w:top w:val="nil"/>
              <w:left w:val="nil"/>
              <w:bottom w:val="nil"/>
              <w:right w:val="nil"/>
            </w:tcBorders>
            <w:noWrap/>
            <w:vAlign w:val="center"/>
            <w:hideMark/>
          </w:tcPr>
          <w:p w14:paraId="45DED4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1,024.70</w:t>
            </w:r>
          </w:p>
        </w:tc>
        <w:tc>
          <w:tcPr>
            <w:tcW w:w="1080" w:type="dxa"/>
            <w:tcBorders>
              <w:top w:val="nil"/>
              <w:left w:val="nil"/>
              <w:bottom w:val="nil"/>
              <w:right w:val="nil"/>
            </w:tcBorders>
            <w:noWrap/>
            <w:vAlign w:val="center"/>
            <w:hideMark/>
          </w:tcPr>
          <w:p w14:paraId="1082506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1,022.90</w:t>
            </w:r>
          </w:p>
        </w:tc>
        <w:tc>
          <w:tcPr>
            <w:tcW w:w="1080" w:type="dxa"/>
            <w:tcBorders>
              <w:top w:val="nil"/>
              <w:left w:val="nil"/>
              <w:bottom w:val="nil"/>
              <w:right w:val="nil"/>
            </w:tcBorders>
            <w:noWrap/>
            <w:vAlign w:val="center"/>
            <w:hideMark/>
          </w:tcPr>
          <w:p w14:paraId="72536A7D"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90.8</w:t>
            </w:r>
          </w:p>
        </w:tc>
      </w:tr>
      <w:tr w:rsidR="00A62527" w:rsidRPr="00AD5635" w14:paraId="112E0C70" w14:textId="77777777" w:rsidTr="00A62527">
        <w:trPr>
          <w:trHeight w:val="264"/>
        </w:trPr>
        <w:tc>
          <w:tcPr>
            <w:tcW w:w="3912" w:type="dxa"/>
            <w:gridSpan w:val="2"/>
            <w:tcBorders>
              <w:top w:val="nil"/>
              <w:left w:val="nil"/>
              <w:bottom w:val="nil"/>
              <w:right w:val="nil"/>
            </w:tcBorders>
            <w:noWrap/>
            <w:vAlign w:val="center"/>
            <w:hideMark/>
          </w:tcPr>
          <w:p w14:paraId="17AC7E8D"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Capital redemption reserve</w:t>
            </w:r>
          </w:p>
        </w:tc>
        <w:tc>
          <w:tcPr>
            <w:tcW w:w="1080" w:type="dxa"/>
            <w:tcBorders>
              <w:top w:val="nil"/>
              <w:left w:val="nil"/>
              <w:bottom w:val="nil"/>
              <w:right w:val="nil"/>
            </w:tcBorders>
            <w:noWrap/>
            <w:vAlign w:val="center"/>
            <w:hideMark/>
          </w:tcPr>
          <w:p w14:paraId="4F7F988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63.5</w:t>
            </w:r>
          </w:p>
        </w:tc>
        <w:tc>
          <w:tcPr>
            <w:tcW w:w="1080" w:type="dxa"/>
            <w:tcBorders>
              <w:top w:val="nil"/>
              <w:left w:val="nil"/>
              <w:bottom w:val="nil"/>
              <w:right w:val="nil"/>
            </w:tcBorders>
            <w:noWrap/>
            <w:vAlign w:val="center"/>
            <w:hideMark/>
          </w:tcPr>
          <w:p w14:paraId="6D0B3A7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62CE2B9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1A6B033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c>
          <w:tcPr>
            <w:tcW w:w="1080" w:type="dxa"/>
            <w:tcBorders>
              <w:top w:val="nil"/>
              <w:left w:val="nil"/>
              <w:bottom w:val="nil"/>
              <w:right w:val="nil"/>
            </w:tcBorders>
            <w:noWrap/>
            <w:vAlign w:val="center"/>
            <w:hideMark/>
          </w:tcPr>
          <w:p w14:paraId="16673A2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50.2</w:t>
            </w:r>
          </w:p>
        </w:tc>
      </w:tr>
      <w:tr w:rsidR="00A62527" w:rsidRPr="00AD5635" w14:paraId="283DF20B" w14:textId="77777777" w:rsidTr="00A62527">
        <w:trPr>
          <w:trHeight w:val="264"/>
        </w:trPr>
        <w:tc>
          <w:tcPr>
            <w:tcW w:w="3912" w:type="dxa"/>
            <w:gridSpan w:val="2"/>
            <w:tcBorders>
              <w:top w:val="nil"/>
              <w:left w:val="nil"/>
              <w:bottom w:val="nil"/>
              <w:right w:val="nil"/>
            </w:tcBorders>
            <w:noWrap/>
            <w:vAlign w:val="center"/>
            <w:hideMark/>
          </w:tcPr>
          <w:p w14:paraId="2E9FCF40"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Retained earnings</w:t>
            </w:r>
          </w:p>
        </w:tc>
        <w:tc>
          <w:tcPr>
            <w:tcW w:w="1080" w:type="dxa"/>
            <w:tcBorders>
              <w:top w:val="nil"/>
              <w:left w:val="nil"/>
              <w:bottom w:val="nil"/>
              <w:right w:val="nil"/>
            </w:tcBorders>
            <w:noWrap/>
            <w:vAlign w:val="center"/>
            <w:hideMark/>
          </w:tcPr>
          <w:p w14:paraId="43DE845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4,645.30</w:t>
            </w:r>
          </w:p>
        </w:tc>
        <w:tc>
          <w:tcPr>
            <w:tcW w:w="1080" w:type="dxa"/>
            <w:tcBorders>
              <w:top w:val="nil"/>
              <w:left w:val="nil"/>
              <w:bottom w:val="nil"/>
              <w:right w:val="nil"/>
            </w:tcBorders>
            <w:noWrap/>
            <w:vAlign w:val="center"/>
            <w:hideMark/>
          </w:tcPr>
          <w:p w14:paraId="4A870ED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5,230.10</w:t>
            </w:r>
          </w:p>
        </w:tc>
        <w:tc>
          <w:tcPr>
            <w:tcW w:w="1080" w:type="dxa"/>
            <w:tcBorders>
              <w:top w:val="nil"/>
              <w:left w:val="nil"/>
              <w:bottom w:val="nil"/>
              <w:right w:val="nil"/>
            </w:tcBorders>
            <w:noWrap/>
            <w:vAlign w:val="center"/>
            <w:hideMark/>
          </w:tcPr>
          <w:p w14:paraId="3A51FC4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5,225.30</w:t>
            </w:r>
          </w:p>
        </w:tc>
        <w:tc>
          <w:tcPr>
            <w:tcW w:w="1080" w:type="dxa"/>
            <w:tcBorders>
              <w:top w:val="nil"/>
              <w:left w:val="nil"/>
              <w:bottom w:val="nil"/>
              <w:right w:val="nil"/>
            </w:tcBorders>
            <w:noWrap/>
            <w:vAlign w:val="center"/>
            <w:hideMark/>
          </w:tcPr>
          <w:p w14:paraId="7648921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4,944.80</w:t>
            </w:r>
          </w:p>
        </w:tc>
        <w:tc>
          <w:tcPr>
            <w:tcW w:w="1080" w:type="dxa"/>
            <w:tcBorders>
              <w:top w:val="nil"/>
              <w:left w:val="nil"/>
              <w:bottom w:val="nil"/>
              <w:right w:val="nil"/>
            </w:tcBorders>
            <w:noWrap/>
            <w:vAlign w:val="center"/>
            <w:hideMark/>
          </w:tcPr>
          <w:p w14:paraId="5918D20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5,861.90</w:t>
            </w:r>
          </w:p>
        </w:tc>
      </w:tr>
      <w:tr w:rsidR="00A62527" w:rsidRPr="00AD5635" w14:paraId="4039F4E3" w14:textId="77777777" w:rsidTr="00A62527">
        <w:trPr>
          <w:trHeight w:val="264"/>
        </w:trPr>
        <w:tc>
          <w:tcPr>
            <w:tcW w:w="3912" w:type="dxa"/>
            <w:gridSpan w:val="2"/>
            <w:tcBorders>
              <w:top w:val="nil"/>
              <w:left w:val="nil"/>
              <w:bottom w:val="nil"/>
              <w:right w:val="nil"/>
            </w:tcBorders>
            <w:noWrap/>
            <w:vAlign w:val="center"/>
            <w:hideMark/>
          </w:tcPr>
          <w:p w14:paraId="6B7B5CD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Currency translation reserve</w:t>
            </w:r>
          </w:p>
        </w:tc>
        <w:tc>
          <w:tcPr>
            <w:tcW w:w="1080" w:type="dxa"/>
            <w:tcBorders>
              <w:top w:val="nil"/>
              <w:left w:val="nil"/>
              <w:bottom w:val="nil"/>
              <w:right w:val="nil"/>
            </w:tcBorders>
            <w:noWrap/>
            <w:vAlign w:val="center"/>
            <w:hideMark/>
          </w:tcPr>
          <w:p w14:paraId="76A6BEC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25.9</w:t>
            </w:r>
          </w:p>
        </w:tc>
        <w:tc>
          <w:tcPr>
            <w:tcW w:w="1080" w:type="dxa"/>
            <w:tcBorders>
              <w:top w:val="nil"/>
              <w:left w:val="nil"/>
              <w:bottom w:val="nil"/>
              <w:right w:val="nil"/>
            </w:tcBorders>
            <w:noWrap/>
            <w:vAlign w:val="center"/>
            <w:hideMark/>
          </w:tcPr>
          <w:p w14:paraId="75F214E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35.0</w:t>
            </w:r>
          </w:p>
        </w:tc>
        <w:tc>
          <w:tcPr>
            <w:tcW w:w="1080" w:type="dxa"/>
            <w:tcBorders>
              <w:top w:val="nil"/>
              <w:left w:val="nil"/>
              <w:bottom w:val="nil"/>
              <w:right w:val="nil"/>
            </w:tcBorders>
            <w:noWrap/>
            <w:vAlign w:val="center"/>
            <w:hideMark/>
          </w:tcPr>
          <w:p w14:paraId="631829A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24.3</w:t>
            </w:r>
          </w:p>
        </w:tc>
        <w:tc>
          <w:tcPr>
            <w:tcW w:w="1080" w:type="dxa"/>
            <w:tcBorders>
              <w:top w:val="nil"/>
              <w:left w:val="nil"/>
              <w:bottom w:val="nil"/>
              <w:right w:val="nil"/>
            </w:tcBorders>
            <w:noWrap/>
            <w:vAlign w:val="center"/>
            <w:hideMark/>
          </w:tcPr>
          <w:p w14:paraId="31028F6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28.7</w:t>
            </w:r>
          </w:p>
        </w:tc>
        <w:tc>
          <w:tcPr>
            <w:tcW w:w="1080" w:type="dxa"/>
            <w:tcBorders>
              <w:top w:val="nil"/>
              <w:left w:val="nil"/>
              <w:bottom w:val="nil"/>
              <w:right w:val="nil"/>
            </w:tcBorders>
            <w:noWrap/>
            <w:vAlign w:val="center"/>
            <w:hideMark/>
          </w:tcPr>
          <w:p w14:paraId="4A447B4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18.6</w:t>
            </w:r>
          </w:p>
        </w:tc>
      </w:tr>
      <w:tr w:rsidR="00A62527" w:rsidRPr="00AD5635" w14:paraId="3C9FACB9" w14:textId="77777777" w:rsidTr="00A62527">
        <w:trPr>
          <w:trHeight w:val="264"/>
        </w:trPr>
        <w:tc>
          <w:tcPr>
            <w:tcW w:w="2832" w:type="dxa"/>
            <w:tcBorders>
              <w:top w:val="nil"/>
              <w:left w:val="nil"/>
              <w:bottom w:val="nil"/>
              <w:right w:val="nil"/>
            </w:tcBorders>
            <w:noWrap/>
            <w:vAlign w:val="center"/>
            <w:hideMark/>
          </w:tcPr>
          <w:p w14:paraId="0A7474B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Other reserves</w:t>
            </w:r>
          </w:p>
        </w:tc>
        <w:tc>
          <w:tcPr>
            <w:tcW w:w="1080" w:type="dxa"/>
            <w:tcBorders>
              <w:top w:val="nil"/>
              <w:left w:val="nil"/>
              <w:bottom w:val="nil"/>
              <w:right w:val="nil"/>
            </w:tcBorders>
            <w:noWrap/>
            <w:vAlign w:val="center"/>
            <w:hideMark/>
          </w:tcPr>
          <w:p w14:paraId="30AF736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w:t>
            </w:r>
          </w:p>
        </w:tc>
        <w:tc>
          <w:tcPr>
            <w:tcW w:w="1080" w:type="dxa"/>
            <w:tcBorders>
              <w:top w:val="nil"/>
              <w:left w:val="nil"/>
              <w:bottom w:val="nil"/>
              <w:right w:val="nil"/>
            </w:tcBorders>
            <w:noWrap/>
            <w:vAlign w:val="center"/>
            <w:hideMark/>
          </w:tcPr>
          <w:p w14:paraId="55EB93E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-2,398.90</w:t>
            </w:r>
          </w:p>
        </w:tc>
        <w:tc>
          <w:tcPr>
            <w:tcW w:w="1080" w:type="dxa"/>
            <w:tcBorders>
              <w:top w:val="nil"/>
              <w:left w:val="nil"/>
              <w:bottom w:val="nil"/>
              <w:right w:val="nil"/>
            </w:tcBorders>
            <w:noWrap/>
            <w:vAlign w:val="center"/>
            <w:hideMark/>
          </w:tcPr>
          <w:p w14:paraId="4996026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-2,395.40</w:t>
            </w:r>
          </w:p>
        </w:tc>
        <w:tc>
          <w:tcPr>
            <w:tcW w:w="1080" w:type="dxa"/>
            <w:tcBorders>
              <w:top w:val="nil"/>
              <w:left w:val="nil"/>
              <w:bottom w:val="nil"/>
              <w:right w:val="nil"/>
            </w:tcBorders>
            <w:noWrap/>
            <w:vAlign w:val="center"/>
            <w:hideMark/>
          </w:tcPr>
          <w:p w14:paraId="1AE7CC9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-2,370.30</w:t>
            </w:r>
          </w:p>
        </w:tc>
        <w:tc>
          <w:tcPr>
            <w:tcW w:w="1080" w:type="dxa"/>
            <w:tcBorders>
              <w:top w:val="nil"/>
              <w:left w:val="nil"/>
              <w:bottom w:val="nil"/>
              <w:right w:val="nil"/>
            </w:tcBorders>
            <w:noWrap/>
            <w:vAlign w:val="center"/>
            <w:hideMark/>
          </w:tcPr>
          <w:p w14:paraId="49A0912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-2,377.20</w:t>
            </w:r>
          </w:p>
        </w:tc>
        <w:tc>
          <w:tcPr>
            <w:tcW w:w="1080" w:type="dxa"/>
            <w:tcBorders>
              <w:top w:val="nil"/>
              <w:left w:val="nil"/>
              <w:bottom w:val="nil"/>
              <w:right w:val="nil"/>
            </w:tcBorders>
            <w:noWrap/>
            <w:vAlign w:val="center"/>
            <w:hideMark/>
          </w:tcPr>
          <w:p w14:paraId="2FED45E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-2,385.60</w:t>
            </w:r>
          </w:p>
        </w:tc>
      </w:tr>
      <w:tr w:rsidR="00A62527" w:rsidRPr="00AD5635" w14:paraId="3E9E7E69" w14:textId="77777777" w:rsidTr="00A62527">
        <w:trPr>
          <w:trHeight w:val="264"/>
        </w:trPr>
        <w:tc>
          <w:tcPr>
            <w:tcW w:w="3912" w:type="dxa"/>
            <w:gridSpan w:val="2"/>
            <w:tcBorders>
              <w:top w:val="nil"/>
              <w:left w:val="nil"/>
              <w:bottom w:val="nil"/>
              <w:right w:val="nil"/>
            </w:tcBorders>
            <w:noWrap/>
            <w:vAlign w:val="center"/>
            <w:hideMark/>
          </w:tcPr>
          <w:p w14:paraId="54B20E12"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EQUITY</w:t>
            </w:r>
          </w:p>
        </w:tc>
        <w:tc>
          <w:tcPr>
            <w:tcW w:w="1080" w:type="dxa"/>
            <w:tcBorders>
              <w:top w:val="nil"/>
              <w:left w:val="nil"/>
              <w:bottom w:val="nil"/>
              <w:right w:val="nil"/>
            </w:tcBorders>
            <w:noWrap/>
            <w:vAlign w:val="center"/>
            <w:hideMark/>
          </w:tcPr>
          <w:p w14:paraId="4DD2B2B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3,519.40</w:t>
            </w:r>
          </w:p>
        </w:tc>
        <w:tc>
          <w:tcPr>
            <w:tcW w:w="1080" w:type="dxa"/>
            <w:tcBorders>
              <w:top w:val="nil"/>
              <w:left w:val="nil"/>
              <w:bottom w:val="nil"/>
              <w:right w:val="nil"/>
            </w:tcBorders>
            <w:noWrap/>
            <w:vAlign w:val="center"/>
            <w:hideMark/>
          </w:tcPr>
          <w:p w14:paraId="271ED8B8"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4,111.40</w:t>
            </w:r>
          </w:p>
        </w:tc>
        <w:tc>
          <w:tcPr>
            <w:tcW w:w="1080" w:type="dxa"/>
            <w:tcBorders>
              <w:top w:val="nil"/>
              <w:left w:val="nil"/>
              <w:bottom w:val="nil"/>
              <w:right w:val="nil"/>
            </w:tcBorders>
            <w:noWrap/>
            <w:vAlign w:val="center"/>
            <w:hideMark/>
          </w:tcPr>
          <w:p w14:paraId="656CD432"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4,119.00</w:t>
            </w:r>
          </w:p>
        </w:tc>
        <w:tc>
          <w:tcPr>
            <w:tcW w:w="1080" w:type="dxa"/>
            <w:tcBorders>
              <w:top w:val="nil"/>
              <w:left w:val="nil"/>
              <w:bottom w:val="nil"/>
              <w:right w:val="nil"/>
            </w:tcBorders>
            <w:noWrap/>
            <w:vAlign w:val="center"/>
            <w:hideMark/>
          </w:tcPr>
          <w:p w14:paraId="1B157BB3"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3,834.10</w:t>
            </w:r>
          </w:p>
        </w:tc>
        <w:tc>
          <w:tcPr>
            <w:tcW w:w="1080" w:type="dxa"/>
            <w:tcBorders>
              <w:top w:val="nil"/>
              <w:left w:val="nil"/>
              <w:bottom w:val="nil"/>
              <w:right w:val="nil"/>
            </w:tcBorders>
            <w:noWrap/>
            <w:vAlign w:val="center"/>
            <w:hideMark/>
          </w:tcPr>
          <w:p w14:paraId="22374D55"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3,748.80</w:t>
            </w:r>
          </w:p>
        </w:tc>
      </w:tr>
      <w:tr w:rsidR="00A62527" w:rsidRPr="00AD5635" w14:paraId="0426B644" w14:textId="77777777" w:rsidTr="00A62527">
        <w:trPr>
          <w:trHeight w:val="264"/>
        </w:trPr>
        <w:tc>
          <w:tcPr>
            <w:tcW w:w="3912" w:type="dxa"/>
            <w:gridSpan w:val="2"/>
            <w:tcBorders>
              <w:top w:val="nil"/>
              <w:left w:val="nil"/>
              <w:bottom w:val="nil"/>
              <w:right w:val="nil"/>
            </w:tcBorders>
            <w:noWrap/>
            <w:vAlign w:val="center"/>
            <w:hideMark/>
          </w:tcPr>
          <w:p w14:paraId="61645563"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TOTAL LIABILITIES AND EQUITY</w:t>
            </w:r>
          </w:p>
        </w:tc>
        <w:tc>
          <w:tcPr>
            <w:tcW w:w="1080" w:type="dxa"/>
            <w:tcBorders>
              <w:top w:val="nil"/>
              <w:left w:val="nil"/>
              <w:bottom w:val="nil"/>
              <w:right w:val="nil"/>
            </w:tcBorders>
            <w:noWrap/>
            <w:vAlign w:val="center"/>
            <w:hideMark/>
          </w:tcPr>
          <w:p w14:paraId="612CAF9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9,521.30</w:t>
            </w:r>
          </w:p>
        </w:tc>
        <w:tc>
          <w:tcPr>
            <w:tcW w:w="1080" w:type="dxa"/>
            <w:tcBorders>
              <w:top w:val="nil"/>
              <w:left w:val="nil"/>
              <w:bottom w:val="nil"/>
              <w:right w:val="nil"/>
            </w:tcBorders>
            <w:noWrap/>
            <w:vAlign w:val="center"/>
            <w:hideMark/>
          </w:tcPr>
          <w:p w14:paraId="0A596B5C"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9,942.80</w:t>
            </w:r>
          </w:p>
        </w:tc>
        <w:tc>
          <w:tcPr>
            <w:tcW w:w="1080" w:type="dxa"/>
            <w:tcBorders>
              <w:top w:val="nil"/>
              <w:left w:val="nil"/>
              <w:bottom w:val="nil"/>
              <w:right w:val="nil"/>
            </w:tcBorders>
            <w:noWrap/>
            <w:vAlign w:val="center"/>
            <w:hideMark/>
          </w:tcPr>
          <w:p w14:paraId="237855A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9,566.50</w:t>
            </w:r>
          </w:p>
        </w:tc>
        <w:tc>
          <w:tcPr>
            <w:tcW w:w="1080" w:type="dxa"/>
            <w:tcBorders>
              <w:top w:val="nil"/>
              <w:left w:val="nil"/>
              <w:bottom w:val="nil"/>
              <w:right w:val="nil"/>
            </w:tcBorders>
            <w:noWrap/>
            <w:vAlign w:val="center"/>
            <w:hideMark/>
          </w:tcPr>
          <w:p w14:paraId="5A7BC2F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8,798.60</w:t>
            </w:r>
          </w:p>
        </w:tc>
        <w:tc>
          <w:tcPr>
            <w:tcW w:w="1080" w:type="dxa"/>
            <w:tcBorders>
              <w:top w:val="nil"/>
              <w:left w:val="nil"/>
              <w:bottom w:val="nil"/>
              <w:right w:val="nil"/>
            </w:tcBorders>
            <w:noWrap/>
            <w:vAlign w:val="center"/>
            <w:hideMark/>
          </w:tcPr>
          <w:p w14:paraId="58F32D89"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r w:rsidRPr="00AD5635">
              <w:rPr>
                <w:rFonts w:ascii="Arial" w:eastAsia="Times New Roman" w:hAnsi="Arial" w:cs="Arial"/>
                <w:color w:val="000000" w:themeColor="text1"/>
                <w:kern w:val="0"/>
                <w:sz w:val="20"/>
                <w:szCs w:val="20"/>
                <w:lang w:eastAsia="en-IN"/>
                <w14:ligatures w14:val="none"/>
              </w:rPr>
              <w:t>7,825.50</w:t>
            </w:r>
          </w:p>
        </w:tc>
      </w:tr>
      <w:tr w:rsidR="00A62527" w:rsidRPr="00AD5635" w14:paraId="2EDA7E05" w14:textId="77777777" w:rsidTr="00A62527">
        <w:trPr>
          <w:trHeight w:val="264"/>
        </w:trPr>
        <w:tc>
          <w:tcPr>
            <w:tcW w:w="3912" w:type="dxa"/>
            <w:gridSpan w:val="2"/>
            <w:tcBorders>
              <w:top w:val="nil"/>
              <w:left w:val="nil"/>
              <w:bottom w:val="nil"/>
              <w:right w:val="nil"/>
            </w:tcBorders>
            <w:noWrap/>
            <w:vAlign w:val="center"/>
          </w:tcPr>
          <w:p w14:paraId="09F8B467"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p w14:paraId="76000D5F" w14:textId="77777777" w:rsidR="00A62527" w:rsidRPr="00AD5635" w:rsidRDefault="00A62527" w:rsidP="00A62527">
            <w:pPr>
              <w:spacing w:after="0" w:line="240" w:lineRule="auto"/>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7B0DEFCB"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60B5295E"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2100E746"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3AB5200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c>
          <w:tcPr>
            <w:tcW w:w="1080" w:type="dxa"/>
            <w:tcBorders>
              <w:top w:val="nil"/>
              <w:left w:val="nil"/>
              <w:bottom w:val="nil"/>
              <w:right w:val="nil"/>
            </w:tcBorders>
            <w:noWrap/>
            <w:vAlign w:val="center"/>
          </w:tcPr>
          <w:p w14:paraId="519A7DD7" w14:textId="77777777" w:rsidR="00A62527" w:rsidRPr="00AD5635" w:rsidRDefault="00A62527" w:rsidP="00A62527">
            <w:pPr>
              <w:spacing w:after="0" w:line="240" w:lineRule="auto"/>
              <w:jc w:val="right"/>
              <w:rPr>
                <w:rFonts w:ascii="Arial" w:eastAsia="Times New Roman" w:hAnsi="Arial" w:cs="Arial"/>
                <w:color w:val="000000" w:themeColor="text1"/>
                <w:kern w:val="0"/>
                <w:sz w:val="20"/>
                <w:szCs w:val="20"/>
                <w:lang w:eastAsia="en-IN"/>
                <w14:ligatures w14:val="none"/>
              </w:rPr>
            </w:pPr>
          </w:p>
        </w:tc>
      </w:tr>
    </w:tbl>
    <w:p w14:paraId="7EB2E656" w14:textId="77777777" w:rsidR="00AD5635" w:rsidRPr="00AD5635" w:rsidRDefault="00AD5635" w:rsidP="00A62527">
      <w:pPr>
        <w:rPr>
          <w:b/>
          <w:bCs/>
          <w:color w:val="000000" w:themeColor="text1"/>
          <w:sz w:val="24"/>
          <w:szCs w:val="24"/>
        </w:rPr>
      </w:pPr>
    </w:p>
    <w:p w14:paraId="71654C36" w14:textId="77777777" w:rsidR="00AD5635" w:rsidRPr="00AD5635" w:rsidRDefault="00AD5635" w:rsidP="00A62527">
      <w:pPr>
        <w:rPr>
          <w:b/>
          <w:bCs/>
          <w:color w:val="000000" w:themeColor="text1"/>
          <w:sz w:val="24"/>
          <w:szCs w:val="24"/>
        </w:rPr>
      </w:pPr>
    </w:p>
    <w:p w14:paraId="19C1A701" w14:textId="77777777" w:rsidR="00AD5635" w:rsidRPr="00AD5635" w:rsidRDefault="00AD5635" w:rsidP="00A62527">
      <w:pPr>
        <w:rPr>
          <w:b/>
          <w:bCs/>
          <w:color w:val="000000" w:themeColor="text1"/>
          <w:sz w:val="24"/>
          <w:szCs w:val="24"/>
        </w:rPr>
      </w:pPr>
    </w:p>
    <w:p w14:paraId="2583EE51" w14:textId="77777777" w:rsidR="00AD5635" w:rsidRPr="00AD5635" w:rsidRDefault="00AD5635" w:rsidP="00A62527">
      <w:pPr>
        <w:rPr>
          <w:b/>
          <w:bCs/>
          <w:color w:val="000000" w:themeColor="text1"/>
          <w:sz w:val="24"/>
          <w:szCs w:val="24"/>
        </w:rPr>
      </w:pPr>
    </w:p>
    <w:p w14:paraId="1383C638" w14:textId="77777777" w:rsidR="00AD5635" w:rsidRPr="00AD5635" w:rsidRDefault="00AD5635" w:rsidP="00A62527">
      <w:pPr>
        <w:rPr>
          <w:b/>
          <w:bCs/>
          <w:color w:val="000000" w:themeColor="text1"/>
          <w:sz w:val="24"/>
          <w:szCs w:val="24"/>
        </w:rPr>
      </w:pPr>
    </w:p>
    <w:p w14:paraId="6890BEB6" w14:textId="77777777" w:rsidR="00AD5635" w:rsidRPr="00AD5635" w:rsidRDefault="00AD5635" w:rsidP="00A62527">
      <w:pPr>
        <w:rPr>
          <w:b/>
          <w:bCs/>
          <w:color w:val="000000" w:themeColor="text1"/>
          <w:sz w:val="24"/>
          <w:szCs w:val="24"/>
        </w:rPr>
      </w:pPr>
    </w:p>
    <w:p w14:paraId="25E252D3" w14:textId="77777777" w:rsidR="00AD5635" w:rsidRPr="00AD5635" w:rsidRDefault="00AD5635" w:rsidP="00A62527">
      <w:pPr>
        <w:rPr>
          <w:b/>
          <w:bCs/>
          <w:color w:val="000000" w:themeColor="text1"/>
          <w:sz w:val="24"/>
          <w:szCs w:val="24"/>
        </w:rPr>
      </w:pPr>
    </w:p>
    <w:p w14:paraId="1345FC23" w14:textId="77777777" w:rsidR="00AD5635" w:rsidRPr="00AD5635" w:rsidRDefault="00AD5635" w:rsidP="00A62527">
      <w:pPr>
        <w:rPr>
          <w:b/>
          <w:bCs/>
          <w:color w:val="000000" w:themeColor="text1"/>
          <w:sz w:val="24"/>
          <w:szCs w:val="24"/>
        </w:rPr>
      </w:pPr>
    </w:p>
    <w:p w14:paraId="6A30BEBB" w14:textId="77777777" w:rsidR="00AD5635" w:rsidRPr="00AD5635" w:rsidRDefault="00AD5635" w:rsidP="00A62527">
      <w:pPr>
        <w:rPr>
          <w:b/>
          <w:bCs/>
          <w:color w:val="000000" w:themeColor="text1"/>
          <w:sz w:val="24"/>
          <w:szCs w:val="24"/>
        </w:rPr>
      </w:pPr>
    </w:p>
    <w:p w14:paraId="2C7A02A2" w14:textId="77777777" w:rsidR="00AD5635" w:rsidRPr="00AD5635" w:rsidRDefault="00AD5635" w:rsidP="00A62527">
      <w:pPr>
        <w:rPr>
          <w:b/>
          <w:bCs/>
          <w:color w:val="000000" w:themeColor="text1"/>
          <w:sz w:val="24"/>
          <w:szCs w:val="24"/>
        </w:rPr>
      </w:pPr>
    </w:p>
    <w:p w14:paraId="7134BA34" w14:textId="77777777" w:rsidR="00AD5635" w:rsidRPr="00AD5635" w:rsidRDefault="00AD5635" w:rsidP="00A62527">
      <w:pPr>
        <w:rPr>
          <w:b/>
          <w:bCs/>
          <w:color w:val="000000" w:themeColor="text1"/>
          <w:sz w:val="24"/>
          <w:szCs w:val="24"/>
        </w:rPr>
      </w:pPr>
    </w:p>
    <w:p w14:paraId="252D8AA4" w14:textId="151744CB" w:rsidR="00A62527" w:rsidRPr="00AD5635" w:rsidRDefault="00A62527" w:rsidP="00A62527">
      <w:pPr>
        <w:rPr>
          <w:b/>
          <w:bCs/>
          <w:color w:val="000000" w:themeColor="text1"/>
          <w:sz w:val="24"/>
          <w:szCs w:val="24"/>
        </w:rPr>
      </w:pPr>
      <w:r w:rsidRPr="00AD5635">
        <w:rPr>
          <w:b/>
          <w:bCs/>
          <w:color w:val="000000" w:themeColor="text1"/>
          <w:sz w:val="24"/>
          <w:szCs w:val="24"/>
        </w:rPr>
        <w:t xml:space="preserve">Table </w:t>
      </w:r>
      <w:proofErr w:type="gramStart"/>
      <w:r w:rsidR="00325CE8">
        <w:rPr>
          <w:b/>
          <w:bCs/>
          <w:color w:val="000000" w:themeColor="text1"/>
          <w:sz w:val="24"/>
          <w:szCs w:val="24"/>
        </w:rPr>
        <w:t>7</w:t>
      </w:r>
      <w:r w:rsidRPr="00AD5635">
        <w:rPr>
          <w:b/>
          <w:bCs/>
          <w:color w:val="000000" w:themeColor="text1"/>
          <w:sz w:val="24"/>
          <w:szCs w:val="24"/>
        </w:rPr>
        <w:t xml:space="preserve"> :</w:t>
      </w:r>
      <w:proofErr w:type="gramEnd"/>
      <w:r w:rsidRPr="00AD5635">
        <w:rPr>
          <w:b/>
          <w:bCs/>
          <w:color w:val="000000" w:themeColor="text1"/>
          <w:sz w:val="24"/>
          <w:szCs w:val="24"/>
        </w:rPr>
        <w:t xml:space="preserve"> Cash Flow Statement</w:t>
      </w:r>
    </w:p>
    <w:p w14:paraId="2D71DBA6" w14:textId="5DC4FF8F" w:rsidR="00A62527" w:rsidRDefault="00A62527" w:rsidP="00A62527">
      <w:pPr>
        <w:rPr>
          <w:b/>
          <w:bCs/>
          <w:color w:val="000000" w:themeColor="text1"/>
          <w:sz w:val="24"/>
          <w:szCs w:val="24"/>
        </w:rPr>
      </w:pPr>
      <w:r w:rsidRPr="00AD5635">
        <w:rPr>
          <w:b/>
          <w:bCs/>
          <w:noProof/>
          <w:color w:val="000000" w:themeColor="text1"/>
          <w:sz w:val="24"/>
          <w:szCs w:val="24"/>
        </w:rPr>
        <w:drawing>
          <wp:inline distT="0" distB="0" distL="0" distR="0" wp14:anchorId="698CEDEF" wp14:editId="6CD6F623">
            <wp:extent cx="5951220" cy="3848100"/>
            <wp:effectExtent l="0" t="0" r="0" b="0"/>
            <wp:docPr id="139192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22972" name=""/>
                    <pic:cNvPicPr/>
                  </pic:nvPicPr>
                  <pic:blipFill>
                    <a:blip r:embed="rId25"/>
                    <a:stretch>
                      <a:fillRect/>
                    </a:stretch>
                  </pic:blipFill>
                  <pic:spPr>
                    <a:xfrm>
                      <a:off x="0" y="0"/>
                      <a:ext cx="5951220" cy="3848100"/>
                    </a:xfrm>
                    <a:prstGeom prst="rect">
                      <a:avLst/>
                    </a:prstGeom>
                  </pic:spPr>
                </pic:pic>
              </a:graphicData>
            </a:graphic>
          </wp:inline>
        </w:drawing>
      </w:r>
    </w:p>
    <w:p w14:paraId="4562B475" w14:textId="77777777" w:rsidR="00FC05D7" w:rsidRDefault="00FC05D7" w:rsidP="00A62527">
      <w:pPr>
        <w:rPr>
          <w:b/>
          <w:bCs/>
          <w:color w:val="000000" w:themeColor="text1"/>
          <w:sz w:val="24"/>
          <w:szCs w:val="24"/>
        </w:rPr>
      </w:pPr>
    </w:p>
    <w:p w14:paraId="6A909B77" w14:textId="00BC4C0C" w:rsidR="00FC05D7" w:rsidRPr="00AD5635" w:rsidRDefault="00FC05D7" w:rsidP="00FC05D7">
      <w:pPr>
        <w:rPr>
          <w:color w:val="000000" w:themeColor="text1"/>
          <w:sz w:val="24"/>
          <w:szCs w:val="24"/>
        </w:rPr>
      </w:pPr>
      <w:r w:rsidRPr="00AD5635">
        <w:rPr>
          <w:b/>
          <w:bCs/>
          <w:color w:val="000000" w:themeColor="text1"/>
          <w:sz w:val="24"/>
          <w:szCs w:val="24"/>
        </w:rPr>
        <w:t xml:space="preserve">Table 8: Cash Conversion Cycle Components </w:t>
      </w:r>
    </w:p>
    <w:p w14:paraId="1CC55323" w14:textId="77777777" w:rsidR="00FC05D7" w:rsidRDefault="00FC05D7" w:rsidP="00A62527">
      <w:pPr>
        <w:rPr>
          <w:b/>
          <w:bCs/>
          <w:color w:val="000000" w:themeColor="text1"/>
          <w:sz w:val="24"/>
          <w:szCs w:val="24"/>
        </w:rPr>
      </w:pPr>
    </w:p>
    <w:p w14:paraId="4C1945B7" w14:textId="079A06B7" w:rsidR="00FC05D7" w:rsidRPr="00AD5635" w:rsidRDefault="00FC05D7" w:rsidP="00A62527">
      <w:pPr>
        <w:rPr>
          <w:b/>
          <w:bCs/>
          <w:color w:val="000000" w:themeColor="text1"/>
          <w:sz w:val="24"/>
          <w:szCs w:val="24"/>
        </w:rPr>
      </w:pPr>
      <w:r w:rsidRPr="00FC05D7">
        <w:rPr>
          <w:b/>
          <w:bCs/>
          <w:color w:val="000000" w:themeColor="text1"/>
          <w:sz w:val="24"/>
          <w:szCs w:val="24"/>
        </w:rPr>
        <w:drawing>
          <wp:inline distT="0" distB="0" distL="0" distR="0" wp14:anchorId="3B005E84" wp14:editId="1836C519">
            <wp:extent cx="3962743" cy="2537680"/>
            <wp:effectExtent l="0" t="0" r="0" b="0"/>
            <wp:docPr id="10548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9275" name=""/>
                    <pic:cNvPicPr/>
                  </pic:nvPicPr>
                  <pic:blipFill>
                    <a:blip r:embed="rId26"/>
                    <a:stretch>
                      <a:fillRect/>
                    </a:stretch>
                  </pic:blipFill>
                  <pic:spPr>
                    <a:xfrm>
                      <a:off x="0" y="0"/>
                      <a:ext cx="3962743" cy="2537680"/>
                    </a:xfrm>
                    <a:prstGeom prst="rect">
                      <a:avLst/>
                    </a:prstGeom>
                  </pic:spPr>
                </pic:pic>
              </a:graphicData>
            </a:graphic>
          </wp:inline>
        </w:drawing>
      </w:r>
    </w:p>
    <w:p w14:paraId="0C35A9C5" w14:textId="77777777" w:rsidR="00A62527" w:rsidRPr="00AD5635" w:rsidRDefault="00A62527" w:rsidP="00A62527">
      <w:pPr>
        <w:rPr>
          <w:b/>
          <w:bCs/>
          <w:color w:val="000000" w:themeColor="text1"/>
          <w:sz w:val="24"/>
          <w:szCs w:val="24"/>
        </w:rPr>
      </w:pPr>
    </w:p>
    <w:p w14:paraId="016B5406" w14:textId="16122377" w:rsidR="00B268F0" w:rsidRPr="00AD5635" w:rsidRDefault="00B268F0" w:rsidP="00232CC3">
      <w:pPr>
        <w:rPr>
          <w:b/>
          <w:bCs/>
          <w:color w:val="000000" w:themeColor="text1"/>
          <w:sz w:val="24"/>
          <w:szCs w:val="24"/>
        </w:rPr>
      </w:pPr>
    </w:p>
    <w:sectPr w:rsidR="00B268F0" w:rsidRPr="00AD5635" w:rsidSect="00E63F9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B2727" w14:textId="77777777" w:rsidR="00006D8F" w:rsidRDefault="00006D8F" w:rsidP="00AA6602">
      <w:pPr>
        <w:spacing w:after="0" w:line="240" w:lineRule="auto"/>
      </w:pPr>
      <w:r>
        <w:separator/>
      </w:r>
    </w:p>
  </w:endnote>
  <w:endnote w:type="continuationSeparator" w:id="0">
    <w:p w14:paraId="66912A3E" w14:textId="77777777" w:rsidR="00006D8F" w:rsidRDefault="00006D8F" w:rsidP="00AA6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4154B" w14:textId="77777777" w:rsidR="00044B2B" w:rsidRDefault="00044B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2937511"/>
      <w:docPartObj>
        <w:docPartGallery w:val="Page Numbers (Bottom of Page)"/>
        <w:docPartUnique/>
      </w:docPartObj>
    </w:sdtPr>
    <w:sdtEndPr>
      <w:rPr>
        <w:noProof/>
      </w:rPr>
    </w:sdtEndPr>
    <w:sdtContent>
      <w:p w14:paraId="4714E0CA" w14:textId="1BD8D886" w:rsidR="00AD5635" w:rsidRDefault="00AD56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B7C945" w14:textId="54BC3B12" w:rsidR="00AA6602" w:rsidRDefault="00AA6602" w:rsidP="00AA66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17487" w14:textId="77777777" w:rsidR="00044B2B" w:rsidRDefault="00044B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AB08C" w14:textId="77777777" w:rsidR="00006D8F" w:rsidRDefault="00006D8F" w:rsidP="00AA6602">
      <w:pPr>
        <w:spacing w:after="0" w:line="240" w:lineRule="auto"/>
      </w:pPr>
      <w:r>
        <w:separator/>
      </w:r>
    </w:p>
  </w:footnote>
  <w:footnote w:type="continuationSeparator" w:id="0">
    <w:p w14:paraId="03F6DDFD" w14:textId="77777777" w:rsidR="00006D8F" w:rsidRDefault="00006D8F" w:rsidP="00AA66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84FCE" w14:textId="77777777" w:rsidR="00044B2B" w:rsidRDefault="00044B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580A1" w14:textId="77777777" w:rsidR="00044B2B" w:rsidRDefault="00044B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61293" w14:textId="77777777" w:rsidR="00044B2B" w:rsidRDefault="00044B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D5D90"/>
    <w:multiLevelType w:val="multilevel"/>
    <w:tmpl w:val="5A78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E36C89"/>
    <w:multiLevelType w:val="multilevel"/>
    <w:tmpl w:val="34FCF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C50C5"/>
    <w:multiLevelType w:val="multilevel"/>
    <w:tmpl w:val="9C24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027AB"/>
    <w:multiLevelType w:val="multilevel"/>
    <w:tmpl w:val="185A8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BE5B68"/>
    <w:multiLevelType w:val="multilevel"/>
    <w:tmpl w:val="F488B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E60F8"/>
    <w:multiLevelType w:val="multilevel"/>
    <w:tmpl w:val="9948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606B69"/>
    <w:multiLevelType w:val="multilevel"/>
    <w:tmpl w:val="BC80FF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B7D2626"/>
    <w:multiLevelType w:val="multilevel"/>
    <w:tmpl w:val="89FCF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E70284"/>
    <w:multiLevelType w:val="multilevel"/>
    <w:tmpl w:val="46989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AC73DA"/>
    <w:multiLevelType w:val="multilevel"/>
    <w:tmpl w:val="759A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B68F7"/>
    <w:multiLevelType w:val="multilevel"/>
    <w:tmpl w:val="3DD4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470D5"/>
    <w:multiLevelType w:val="multilevel"/>
    <w:tmpl w:val="E4402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BD4B0D"/>
    <w:multiLevelType w:val="multilevel"/>
    <w:tmpl w:val="D6FAD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C6636B"/>
    <w:multiLevelType w:val="multilevel"/>
    <w:tmpl w:val="B0B0C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7AE07A1"/>
    <w:multiLevelType w:val="multilevel"/>
    <w:tmpl w:val="A7C83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F91406"/>
    <w:multiLevelType w:val="multilevel"/>
    <w:tmpl w:val="98F6A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5B7674"/>
    <w:multiLevelType w:val="multilevel"/>
    <w:tmpl w:val="4212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3D10F2"/>
    <w:multiLevelType w:val="multilevel"/>
    <w:tmpl w:val="7702E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712D5E"/>
    <w:multiLevelType w:val="multilevel"/>
    <w:tmpl w:val="42C84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6A0E75"/>
    <w:multiLevelType w:val="multilevel"/>
    <w:tmpl w:val="824AD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954709"/>
    <w:multiLevelType w:val="multilevel"/>
    <w:tmpl w:val="CBD2E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B51C4B"/>
    <w:multiLevelType w:val="multilevel"/>
    <w:tmpl w:val="64DA8D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5024595">
    <w:abstractNumId w:val="6"/>
  </w:num>
  <w:num w:numId="2" w16cid:durableId="278223668">
    <w:abstractNumId w:val="5"/>
  </w:num>
  <w:num w:numId="3" w16cid:durableId="827477592">
    <w:abstractNumId w:val="2"/>
  </w:num>
  <w:num w:numId="4" w16cid:durableId="1471171415">
    <w:abstractNumId w:val="15"/>
  </w:num>
  <w:num w:numId="5" w16cid:durableId="328605933">
    <w:abstractNumId w:val="17"/>
  </w:num>
  <w:num w:numId="6" w16cid:durableId="247350618">
    <w:abstractNumId w:val="9"/>
  </w:num>
  <w:num w:numId="7" w16cid:durableId="1209417780">
    <w:abstractNumId w:val="14"/>
  </w:num>
  <w:num w:numId="8" w16cid:durableId="1863086914">
    <w:abstractNumId w:val="8"/>
  </w:num>
  <w:num w:numId="9" w16cid:durableId="289437517">
    <w:abstractNumId w:val="21"/>
  </w:num>
  <w:num w:numId="10" w16cid:durableId="1120028738">
    <w:abstractNumId w:val="4"/>
  </w:num>
  <w:num w:numId="11" w16cid:durableId="396129207">
    <w:abstractNumId w:val="10"/>
  </w:num>
  <w:num w:numId="12" w16cid:durableId="416295817">
    <w:abstractNumId w:val="1"/>
  </w:num>
  <w:num w:numId="13" w16cid:durableId="225923943">
    <w:abstractNumId w:val="18"/>
  </w:num>
  <w:num w:numId="14" w16cid:durableId="1273980816">
    <w:abstractNumId w:val="16"/>
  </w:num>
  <w:num w:numId="15" w16cid:durableId="668673927">
    <w:abstractNumId w:val="19"/>
  </w:num>
  <w:num w:numId="16" w16cid:durableId="1522427119">
    <w:abstractNumId w:val="12"/>
  </w:num>
  <w:num w:numId="17" w16cid:durableId="733938342">
    <w:abstractNumId w:val="11"/>
  </w:num>
  <w:num w:numId="18" w16cid:durableId="1961375461">
    <w:abstractNumId w:val="13"/>
  </w:num>
  <w:num w:numId="19" w16cid:durableId="1093939730">
    <w:abstractNumId w:val="3"/>
  </w:num>
  <w:num w:numId="20" w16cid:durableId="1672296290">
    <w:abstractNumId w:val="7"/>
  </w:num>
  <w:num w:numId="21" w16cid:durableId="2015111173">
    <w:abstractNumId w:val="20"/>
  </w:num>
  <w:num w:numId="22" w16cid:durableId="2020355108">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602"/>
    <w:rsid w:val="00006D8F"/>
    <w:rsid w:val="00044B2B"/>
    <w:rsid w:val="00073A6A"/>
    <w:rsid w:val="00095FCB"/>
    <w:rsid w:val="001119F9"/>
    <w:rsid w:val="0015631F"/>
    <w:rsid w:val="001C051B"/>
    <w:rsid w:val="00232CC3"/>
    <w:rsid w:val="002C5179"/>
    <w:rsid w:val="00325CE8"/>
    <w:rsid w:val="00355A38"/>
    <w:rsid w:val="003A0E48"/>
    <w:rsid w:val="004A79DB"/>
    <w:rsid w:val="00540CAC"/>
    <w:rsid w:val="0056065D"/>
    <w:rsid w:val="005D6FA9"/>
    <w:rsid w:val="00633D99"/>
    <w:rsid w:val="0074471B"/>
    <w:rsid w:val="0076233B"/>
    <w:rsid w:val="00811456"/>
    <w:rsid w:val="008B3AEC"/>
    <w:rsid w:val="00A62527"/>
    <w:rsid w:val="00AA6602"/>
    <w:rsid w:val="00AD5635"/>
    <w:rsid w:val="00B268F0"/>
    <w:rsid w:val="00B72CC3"/>
    <w:rsid w:val="00D020AC"/>
    <w:rsid w:val="00E14F1B"/>
    <w:rsid w:val="00E63F9E"/>
    <w:rsid w:val="00FC05D7"/>
    <w:rsid w:val="00FD62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26BBE2"/>
  <w15:chartTrackingRefBased/>
  <w15:docId w15:val="{C5856FC9-ED0C-4476-B4B2-91346B9BC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527"/>
  </w:style>
  <w:style w:type="paragraph" w:styleId="Heading1">
    <w:name w:val="heading 1"/>
    <w:basedOn w:val="Normal"/>
    <w:next w:val="Normal"/>
    <w:link w:val="Heading1Char"/>
    <w:uiPriority w:val="9"/>
    <w:qFormat/>
    <w:rsid w:val="00AA66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66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66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6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6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6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6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6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6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6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66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66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6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6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6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6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6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602"/>
    <w:rPr>
      <w:rFonts w:eastAsiaTheme="majorEastAsia" w:cstheme="majorBidi"/>
      <w:color w:val="272727" w:themeColor="text1" w:themeTint="D8"/>
    </w:rPr>
  </w:style>
  <w:style w:type="paragraph" w:styleId="Title">
    <w:name w:val="Title"/>
    <w:basedOn w:val="Normal"/>
    <w:next w:val="Normal"/>
    <w:link w:val="TitleChar"/>
    <w:uiPriority w:val="10"/>
    <w:qFormat/>
    <w:rsid w:val="00AA66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6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6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6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602"/>
    <w:pPr>
      <w:spacing w:before="160"/>
      <w:jc w:val="center"/>
    </w:pPr>
    <w:rPr>
      <w:i/>
      <w:iCs/>
      <w:color w:val="404040" w:themeColor="text1" w:themeTint="BF"/>
    </w:rPr>
  </w:style>
  <w:style w:type="character" w:customStyle="1" w:styleId="QuoteChar">
    <w:name w:val="Quote Char"/>
    <w:basedOn w:val="DefaultParagraphFont"/>
    <w:link w:val="Quote"/>
    <w:uiPriority w:val="29"/>
    <w:rsid w:val="00AA6602"/>
    <w:rPr>
      <w:i/>
      <w:iCs/>
      <w:color w:val="404040" w:themeColor="text1" w:themeTint="BF"/>
    </w:rPr>
  </w:style>
  <w:style w:type="paragraph" w:styleId="ListParagraph">
    <w:name w:val="List Paragraph"/>
    <w:basedOn w:val="Normal"/>
    <w:uiPriority w:val="34"/>
    <w:qFormat/>
    <w:rsid w:val="00AA6602"/>
    <w:pPr>
      <w:ind w:left="720"/>
      <w:contextualSpacing/>
    </w:pPr>
  </w:style>
  <w:style w:type="character" w:styleId="IntenseEmphasis">
    <w:name w:val="Intense Emphasis"/>
    <w:basedOn w:val="DefaultParagraphFont"/>
    <w:uiPriority w:val="21"/>
    <w:qFormat/>
    <w:rsid w:val="00AA6602"/>
    <w:rPr>
      <w:i/>
      <w:iCs/>
      <w:color w:val="0F4761" w:themeColor="accent1" w:themeShade="BF"/>
    </w:rPr>
  </w:style>
  <w:style w:type="paragraph" w:styleId="IntenseQuote">
    <w:name w:val="Intense Quote"/>
    <w:basedOn w:val="Normal"/>
    <w:next w:val="Normal"/>
    <w:link w:val="IntenseQuoteChar"/>
    <w:uiPriority w:val="30"/>
    <w:qFormat/>
    <w:rsid w:val="00AA66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602"/>
    <w:rPr>
      <w:i/>
      <w:iCs/>
      <w:color w:val="0F4761" w:themeColor="accent1" w:themeShade="BF"/>
    </w:rPr>
  </w:style>
  <w:style w:type="character" w:styleId="IntenseReference">
    <w:name w:val="Intense Reference"/>
    <w:basedOn w:val="DefaultParagraphFont"/>
    <w:uiPriority w:val="32"/>
    <w:qFormat/>
    <w:rsid w:val="00AA6602"/>
    <w:rPr>
      <w:b/>
      <w:bCs/>
      <w:smallCaps/>
      <w:color w:val="0F4761" w:themeColor="accent1" w:themeShade="BF"/>
      <w:spacing w:val="5"/>
    </w:rPr>
  </w:style>
  <w:style w:type="paragraph" w:customStyle="1" w:styleId="msonormal0">
    <w:name w:val="msonormal"/>
    <w:basedOn w:val="Normal"/>
    <w:rsid w:val="00AA66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paragraph" w:customStyle="1" w:styleId="ds-markdown-paragraph">
    <w:name w:val="ds-markdown-paragraph"/>
    <w:basedOn w:val="Normal"/>
    <w:rsid w:val="00AA6602"/>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AA6602"/>
    <w:rPr>
      <w:b/>
      <w:bCs/>
    </w:rPr>
  </w:style>
  <w:style w:type="character" w:styleId="Emphasis">
    <w:name w:val="Emphasis"/>
    <w:basedOn w:val="DefaultParagraphFont"/>
    <w:uiPriority w:val="20"/>
    <w:qFormat/>
    <w:rsid w:val="00AA6602"/>
    <w:rPr>
      <w:i/>
      <w:iCs/>
    </w:rPr>
  </w:style>
  <w:style w:type="character" w:styleId="HTMLCode">
    <w:name w:val="HTML Code"/>
    <w:basedOn w:val="DefaultParagraphFont"/>
    <w:uiPriority w:val="99"/>
    <w:semiHidden/>
    <w:unhideWhenUsed/>
    <w:rsid w:val="00AA6602"/>
    <w:rPr>
      <w:rFonts w:ascii="Courier New" w:eastAsia="Times New Roman" w:hAnsi="Courier New" w:cs="Courier New"/>
      <w:sz w:val="20"/>
      <w:szCs w:val="20"/>
    </w:rPr>
  </w:style>
  <w:style w:type="paragraph" w:styleId="Header">
    <w:name w:val="header"/>
    <w:basedOn w:val="Normal"/>
    <w:link w:val="HeaderChar"/>
    <w:uiPriority w:val="99"/>
    <w:unhideWhenUsed/>
    <w:rsid w:val="00AA6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602"/>
  </w:style>
  <w:style w:type="paragraph" w:styleId="Footer">
    <w:name w:val="footer"/>
    <w:basedOn w:val="Normal"/>
    <w:link w:val="FooterChar"/>
    <w:uiPriority w:val="99"/>
    <w:unhideWhenUsed/>
    <w:rsid w:val="00AA6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6602"/>
  </w:style>
  <w:style w:type="paragraph" w:styleId="TOCHeading">
    <w:name w:val="TOC Heading"/>
    <w:basedOn w:val="Heading1"/>
    <w:next w:val="Normal"/>
    <w:uiPriority w:val="39"/>
    <w:unhideWhenUsed/>
    <w:qFormat/>
    <w:rsid w:val="00633D99"/>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1C051B"/>
    <w:rPr>
      <w:color w:val="467886" w:themeColor="hyperlink"/>
      <w:u w:val="single"/>
    </w:rPr>
  </w:style>
  <w:style w:type="character" w:styleId="UnresolvedMention">
    <w:name w:val="Unresolved Mention"/>
    <w:basedOn w:val="DefaultParagraphFont"/>
    <w:uiPriority w:val="99"/>
    <w:semiHidden/>
    <w:unhideWhenUsed/>
    <w:rsid w:val="001C05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annualreports.com/Company/whitbread-plc"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annualreports.com/Company/whitbread-plc" TargetMode="External"/><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hyperlink" Target="https://www.annualreports.com/Company/whitbread-plc"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annualreports.com/Company/whitbread-plc" TargetMode="External"/><Relationship Id="rId23" Type="http://schemas.openxmlformats.org/officeDocument/2006/relationships/image" Target="media/image5.png"/><Relationship Id="rId28"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annualreports.com/Company/whitbread-plc"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28D0C-C1D2-43D6-9093-6C1776DDD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26</Pages>
  <Words>5660</Words>
  <Characters>32262</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Harshil Ghanshyambhai Beladiya (2543506)</dc:creator>
  <cp:keywords/>
  <dc:description/>
  <cp:lastModifiedBy>Harshil Ghanshyambhai Beladiya (2543506)</cp:lastModifiedBy>
  <cp:revision>8</cp:revision>
  <dcterms:created xsi:type="dcterms:W3CDTF">2026-08-13T03:37:00Z</dcterms:created>
  <dcterms:modified xsi:type="dcterms:W3CDTF">2026-08-13T12:24:00Z</dcterms:modified>
</cp:coreProperties>
</file>