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6E1B46" w14:textId="4F5C26E5" w:rsidR="00DE33D7" w:rsidRPr="00467D8A" w:rsidRDefault="00467D8A" w:rsidP="00467D8A">
      <w:pPr>
        <w:pStyle w:val="Heading1"/>
        <w:rPr>
          <w:rFonts w:ascii="Aharoni" w:hAnsi="Aharoni" w:cs="Aharoni" w:hint="cs"/>
          <w:color w:val="auto"/>
        </w:rPr>
      </w:pPr>
      <w:r w:rsidRPr="00467D8A">
        <w:rPr>
          <w:rFonts w:ascii="Aharoni" w:hAnsi="Aharoni" w:cs="Aharoni" w:hint="cs"/>
          <w:color w:val="auto"/>
        </w:rPr>
        <w:t xml:space="preserve">EXAMINE THE CONCEPT OF DISHONESTY AND THE </w:t>
      </w:r>
      <w:r w:rsidRPr="00467D8A">
        <w:rPr>
          <w:rFonts w:ascii="Aharoni" w:hAnsi="Aharoni" w:cs="Aharoni"/>
          <w:color w:val="auto"/>
        </w:rPr>
        <w:t>ROLE IT</w:t>
      </w:r>
      <w:r w:rsidRPr="00467D8A">
        <w:rPr>
          <w:rFonts w:ascii="Aharoni" w:hAnsi="Aharoni" w:cs="Aharoni" w:hint="cs"/>
          <w:color w:val="auto"/>
        </w:rPr>
        <w:t xml:space="preserve"> PLAYS IN RELATION TO OFFENCES OF THEFT IN THE UK.</w:t>
      </w:r>
    </w:p>
    <w:p w14:paraId="40B6B789" w14:textId="77777777" w:rsidR="003A2A0E" w:rsidRDefault="00467D8A" w:rsidP="003A2A0E">
      <w:pPr>
        <w:pStyle w:val="NormalWeb"/>
        <w:shd w:val="clear" w:color="auto" w:fill="F9F9F9"/>
        <w:spacing w:before="0" w:beforeAutospacing="0" w:after="0" w:afterAutospacing="0"/>
        <w:rPr>
          <w:rFonts w:ascii="ADLaM Display" w:hAnsi="ADLaM Display" w:cs="ADLaM Display"/>
          <w:color w:val="111111"/>
        </w:rPr>
      </w:pPr>
      <w:r w:rsidRPr="00467D8A">
        <w:rPr>
          <w:rFonts w:ascii="ADLaM Display" w:hAnsi="ADLaM Display" w:cs="ADLaM Display"/>
          <w:color w:val="111111"/>
        </w:rPr>
        <w:t>Certainly! Let’s discuss dishonesty offenses related to theft in the United Kingdom.</w:t>
      </w:r>
    </w:p>
    <w:p w14:paraId="6D6563BD" w14:textId="7E7DF1EB" w:rsidR="003A2A0E" w:rsidRPr="003A2A0E" w:rsidRDefault="003A2A0E" w:rsidP="003A2A0E">
      <w:pPr>
        <w:pStyle w:val="NormalWeb"/>
        <w:shd w:val="clear" w:color="auto" w:fill="F9F9F9"/>
        <w:spacing w:before="0" w:beforeAutospacing="0" w:after="0" w:afterAutospacing="0"/>
        <w:rPr>
          <w:rFonts w:ascii="ADLaM Display" w:hAnsi="ADLaM Display" w:cs="ADLaM Display"/>
          <w:color w:val="111111"/>
        </w:rPr>
      </w:pPr>
      <w:r w:rsidRPr="003A2A0E">
        <w:rPr>
          <w:rFonts w:ascii="ADLaM Display" w:hAnsi="ADLaM Display" w:cs="ADLaM Display"/>
          <w:color w:val="111111"/>
        </w:rPr>
        <w:t>To be found guilty of committing theft, it must be proved that a person has acted dishonestly. While there is no statutory definition of dishonesty, the Theft Act does detail three instances when a person is not regarded as dishonest:</w:t>
      </w:r>
    </w:p>
    <w:p w14:paraId="65B02E96" w14:textId="77777777" w:rsidR="003A2A0E" w:rsidRPr="003A2A0E" w:rsidRDefault="003A2A0E" w:rsidP="003A2A0E">
      <w:pPr>
        <w:pStyle w:val="NormalWeb"/>
        <w:numPr>
          <w:ilvl w:val="0"/>
          <w:numId w:val="3"/>
        </w:numPr>
        <w:shd w:val="clear" w:color="auto" w:fill="F9F9F9"/>
        <w:spacing w:before="180" w:after="0" w:afterAutospacing="0"/>
        <w:rPr>
          <w:rFonts w:ascii="ADLaM Display" w:hAnsi="ADLaM Display" w:cs="ADLaM Display"/>
          <w:color w:val="111111"/>
        </w:rPr>
      </w:pPr>
      <w:r w:rsidRPr="003A2A0E">
        <w:rPr>
          <w:rFonts w:ascii="ADLaM Display" w:hAnsi="ADLaM Display" w:cs="ADLaM Display"/>
          <w:color w:val="111111"/>
        </w:rPr>
        <w:t>An individual takes possession of property believing they have a legal right to deprive others of it.</w:t>
      </w:r>
    </w:p>
    <w:p w14:paraId="32F8241C" w14:textId="77777777" w:rsidR="003A2A0E" w:rsidRPr="003A2A0E" w:rsidRDefault="003A2A0E" w:rsidP="003A2A0E">
      <w:pPr>
        <w:pStyle w:val="NormalWeb"/>
        <w:numPr>
          <w:ilvl w:val="0"/>
          <w:numId w:val="3"/>
        </w:numPr>
        <w:shd w:val="clear" w:color="auto" w:fill="F9F9F9"/>
        <w:spacing w:before="180" w:after="0" w:afterAutospacing="0"/>
        <w:rPr>
          <w:rFonts w:ascii="ADLaM Display" w:hAnsi="ADLaM Display" w:cs="ADLaM Display"/>
          <w:color w:val="111111"/>
        </w:rPr>
      </w:pPr>
      <w:r w:rsidRPr="003A2A0E">
        <w:rPr>
          <w:rFonts w:ascii="ADLaM Display" w:hAnsi="ADLaM Display" w:cs="ADLaM Display"/>
          <w:color w:val="111111"/>
        </w:rPr>
        <w:t>The property was appropriated in the belief that the person in question would have the other’s consent if the other knew of the appropriation and the circumstances.</w:t>
      </w:r>
    </w:p>
    <w:p w14:paraId="72A82E74" w14:textId="77777777" w:rsidR="0007589F" w:rsidRDefault="003A2A0E" w:rsidP="0007589F">
      <w:pPr>
        <w:pStyle w:val="NormalWeb"/>
        <w:numPr>
          <w:ilvl w:val="0"/>
          <w:numId w:val="3"/>
        </w:numPr>
        <w:shd w:val="clear" w:color="auto" w:fill="F9F9F9"/>
        <w:spacing w:before="180" w:after="0" w:afterAutospacing="0"/>
        <w:rPr>
          <w:rFonts w:ascii="ADLaM Display" w:hAnsi="ADLaM Display" w:cs="ADLaM Display"/>
          <w:color w:val="111111"/>
        </w:rPr>
      </w:pPr>
      <w:r w:rsidRPr="003A2A0E">
        <w:rPr>
          <w:rFonts w:ascii="ADLaM Display" w:hAnsi="ADLaM Display" w:cs="ADLaM Display"/>
          <w:color w:val="111111"/>
        </w:rPr>
        <w:t>A person appropriates the property in the belief that the owner, of which the property belongs, cannot be discovered by taking reasonable steps.</w:t>
      </w:r>
    </w:p>
    <w:p w14:paraId="0773C71F" w14:textId="1D408790" w:rsidR="000377F3" w:rsidRDefault="0007589F" w:rsidP="0007589F">
      <w:pPr>
        <w:pStyle w:val="NormalWeb"/>
        <w:shd w:val="clear" w:color="auto" w:fill="F9F9F9"/>
        <w:spacing w:before="180" w:after="0" w:afterAutospacing="0"/>
        <w:ind w:left="720"/>
        <w:rPr>
          <w:rFonts w:ascii="Amasis MT Pro Medium" w:hAnsi="Amasis MT Pro Medium"/>
          <w:color w:val="000000"/>
          <w:sz w:val="27"/>
          <w:szCs w:val="27"/>
        </w:rPr>
      </w:pPr>
      <w:r w:rsidRPr="0007589F">
        <w:rPr>
          <w:rFonts w:ascii="Verdana" w:hAnsi="Verdana"/>
          <w:color w:val="000000"/>
          <w:sz w:val="27"/>
          <w:szCs w:val="27"/>
        </w:rPr>
        <w:t xml:space="preserve">   </w:t>
      </w:r>
      <w:r w:rsidRPr="0007589F">
        <w:rPr>
          <w:rFonts w:ascii="Amasis MT Pro Medium" w:hAnsi="Amasis MT Pro Medium"/>
          <w:color w:val="000000"/>
          <w:sz w:val="27"/>
          <w:szCs w:val="27"/>
        </w:rPr>
        <w:t>The term ‘</w:t>
      </w:r>
      <w:r w:rsidRPr="0007589F">
        <w:rPr>
          <w:rFonts w:ascii="Amasis MT Pro Medium" w:hAnsi="Amasis MT Pro Medium"/>
          <w:color w:val="000000"/>
          <w:sz w:val="27"/>
          <w:szCs w:val="27"/>
        </w:rPr>
        <w:t>men’s</w:t>
      </w:r>
      <w:r w:rsidRPr="0007589F">
        <w:rPr>
          <w:rFonts w:ascii="Amasis MT Pro Medium" w:hAnsi="Amasis MT Pro Medium"/>
          <w:color w:val="000000"/>
          <w:sz w:val="27"/>
          <w:szCs w:val="27"/>
        </w:rPr>
        <w:t xml:space="preserve"> rea’ refers to the mental element of a crime, i.e., the intention or knowledge of </w:t>
      </w:r>
      <w:r w:rsidRPr="0007589F">
        <w:rPr>
          <w:rFonts w:ascii="Amasis MT Pro Medium" w:hAnsi="Amasis MT Pro Medium"/>
          <w:color w:val="000000"/>
          <w:sz w:val="27"/>
          <w:szCs w:val="27"/>
        </w:rPr>
        <w:t>wrongdoing.</w:t>
      </w:r>
    </w:p>
    <w:p w14:paraId="7D61E2C2" w14:textId="4278DCB1" w:rsidR="00961E5D" w:rsidRDefault="00961E5D" w:rsidP="00961E5D">
      <w:pPr>
        <w:pStyle w:val="NormalWeb"/>
        <w:shd w:val="clear" w:color="auto" w:fill="F9F9F9"/>
        <w:spacing w:before="180" w:after="0"/>
        <w:ind w:left="720"/>
        <w:rPr>
          <w:rFonts w:ascii="Amasis MT Pro Medium" w:hAnsi="Amasis MT Pro Medium" w:cs="ADLaM Display"/>
          <w:color w:val="111111"/>
        </w:rPr>
      </w:pPr>
      <w:r>
        <w:rPr>
          <w:rFonts w:ascii="Amasis MT Pro Medium" w:hAnsi="Amasis MT Pro Medium" w:cs="ADLaM Display"/>
          <w:color w:val="111111"/>
        </w:rPr>
        <w:t>The term A</w:t>
      </w:r>
      <w:r w:rsidRPr="00961E5D">
        <w:rPr>
          <w:rFonts w:ascii="Amasis MT Pro Medium" w:hAnsi="Amasis MT Pro Medium" w:cs="ADLaM Display"/>
          <w:color w:val="111111"/>
        </w:rPr>
        <w:t>ctus reus refers to the actual act of doing the illegal thing, with no reference to the</w:t>
      </w:r>
      <w:r>
        <w:rPr>
          <w:rFonts w:ascii="Amasis MT Pro Medium" w:hAnsi="Amasis MT Pro Medium" w:cs="ADLaM Display"/>
          <w:color w:val="111111"/>
        </w:rPr>
        <w:t xml:space="preserve"> </w:t>
      </w:r>
      <w:r w:rsidRPr="00961E5D">
        <w:rPr>
          <w:rFonts w:ascii="Amasis MT Pro Medium" w:hAnsi="Amasis MT Pro Medium" w:cs="ADLaM Display"/>
          <w:color w:val="111111"/>
        </w:rPr>
        <w:t>person’s mental state.</w:t>
      </w:r>
    </w:p>
    <w:p w14:paraId="6351EA6C" w14:textId="39B8B0C2" w:rsidR="000377F3" w:rsidRPr="0007589F" w:rsidRDefault="000377F3" w:rsidP="00961E5D">
      <w:pPr>
        <w:pStyle w:val="NormalWeb"/>
        <w:shd w:val="clear" w:color="auto" w:fill="F9F9F9"/>
        <w:spacing w:before="180" w:after="0"/>
        <w:ind w:left="720"/>
        <w:rPr>
          <w:rFonts w:ascii="Amasis MT Pro Medium" w:hAnsi="Amasis MT Pro Medium" w:cs="ADLaM Display"/>
          <w:color w:val="111111"/>
        </w:rPr>
      </w:pPr>
      <w:r w:rsidRPr="000377F3">
        <w:rPr>
          <w:rFonts w:ascii="Amasis MT Pro Medium" w:hAnsi="Amasis MT Pro Medium" w:cs="ADLaM Display"/>
          <w:color w:val="111111"/>
        </w:rPr>
        <w:t>In UK case law, the concept of dishonesty is a crucial element in theft and fraud cases. The legal test for dishonesty has been redefined and clarified in</w:t>
      </w:r>
      <w:r w:rsidR="0007589F" w:rsidRPr="0007589F">
        <w:rPr>
          <w:rFonts w:ascii="Amasis MT Pro Medium" w:hAnsi="Amasis MT Pro Medium" w:cs="ADLaM Display"/>
          <w:color w:val="111111"/>
        </w:rPr>
        <w:t xml:space="preserve"> </w:t>
      </w:r>
      <w:r w:rsidRPr="000377F3">
        <w:rPr>
          <w:rFonts w:ascii="Amasis MT Pro Medium" w:hAnsi="Amasis MT Pro Medium" w:cs="ADLaM Display"/>
          <w:color w:val="111111"/>
        </w:rPr>
        <w:t>several landmark cases:</w:t>
      </w:r>
    </w:p>
    <w:p w14:paraId="36E9665E" w14:textId="77777777" w:rsidR="00961E5D" w:rsidRDefault="0007589F" w:rsidP="0007589F">
      <w:pPr>
        <w:pStyle w:val="NormalWeb"/>
        <w:shd w:val="clear" w:color="auto" w:fill="F9F9F9"/>
        <w:spacing w:before="180"/>
        <w:rPr>
          <w:rFonts w:ascii="Amasis MT Pro Medium" w:hAnsi="Amasis MT Pro Medium" w:cs="ADLaM Display"/>
          <w:color w:val="111111"/>
        </w:rPr>
      </w:pPr>
      <w:r w:rsidRPr="0007589F">
        <w:rPr>
          <w:rFonts w:ascii="Amasis MT Pro Medium" w:hAnsi="Amasis MT Pro Medium" w:cs="ADLaM Display"/>
          <w:color w:val="111111"/>
        </w:rPr>
        <w:t>In the case of R v Ghosh, the defendant, Ghosh, was a locum consultant at a hospital who falsely claimed to have carried out a surgical operation in order to claim money when in fact that operation had been carried out by someone else under the National Health Service1. He was charged with attempting to procure the execution of a cheque by deception contrary of the Theft Act 1968 and obtaining money by deception unde</w:t>
      </w:r>
      <w:r w:rsidR="00961E5D">
        <w:rPr>
          <w:rFonts w:ascii="Amasis MT Pro Medium" w:hAnsi="Amasis MT Pro Medium" w:cs="ADLaM Display"/>
          <w:color w:val="111111"/>
        </w:rPr>
        <w:t>r</w:t>
      </w:r>
      <w:r w:rsidRPr="0007589F">
        <w:rPr>
          <w:rFonts w:ascii="Amasis MT Pro Medium" w:hAnsi="Amasis MT Pro Medium" w:cs="ADLaM Display"/>
          <w:color w:val="111111"/>
        </w:rPr>
        <w:t>. His defence was that there had been no deception as he was entitled to the money.</w:t>
      </w:r>
    </w:p>
    <w:p w14:paraId="1C801A6E" w14:textId="77777777" w:rsidR="00961E5D" w:rsidRPr="00961E5D" w:rsidRDefault="0007589F" w:rsidP="0007589F">
      <w:pPr>
        <w:pStyle w:val="NormalWeb"/>
        <w:shd w:val="clear" w:color="auto" w:fill="F9F9F9"/>
        <w:spacing w:before="180"/>
        <w:rPr>
          <w:rFonts w:ascii="Amasis MT Pro Medium" w:hAnsi="Amasis MT Pro Medium" w:cs="ADLaM Display"/>
          <w:color w:val="111111"/>
        </w:rPr>
      </w:pPr>
      <w:r w:rsidRPr="0007589F">
        <w:rPr>
          <w:rFonts w:ascii="Amasis MT Pro Medium" w:hAnsi="Amasis MT Pro Medium" w:cs="ADLaM Display"/>
          <w:color w:val="111111"/>
        </w:rPr>
        <w:t xml:space="preserve">The Court of Appeal held that ‘dishonesty’ was a state of mind, not a course of conduct1. The test for dishonesty under the 1968 Act was both subjective and objective1. First, the jury must decide whether the defendant’s conduct was dishonest according to the standards of reasonable and honest people (the objective test). If it was not, that would be the end of the matter. If it was dishonest by those standards, the jury then had to go on to decide whether the defendant </w:t>
      </w:r>
      <w:r w:rsidRPr="00961E5D">
        <w:rPr>
          <w:rFonts w:ascii="Amasis MT Pro Medium" w:hAnsi="Amasis MT Pro Medium" w:cs="ADLaM Display"/>
          <w:color w:val="111111"/>
        </w:rPr>
        <w:lastRenderedPageBreak/>
        <w:t>himself realized that what he was doing was dishonest by those standards (the subjective test).</w:t>
      </w:r>
    </w:p>
    <w:p w14:paraId="0E6C9933" w14:textId="35446915" w:rsidR="0007589F" w:rsidRPr="00961E5D" w:rsidRDefault="0007589F" w:rsidP="0007589F">
      <w:pPr>
        <w:pStyle w:val="NormalWeb"/>
        <w:shd w:val="clear" w:color="auto" w:fill="F9F9F9"/>
        <w:spacing w:before="180"/>
        <w:rPr>
          <w:rFonts w:ascii="Amasis MT Pro Medium" w:hAnsi="Amasis MT Pro Medium" w:cs="ADLaM Display"/>
          <w:color w:val="111111"/>
        </w:rPr>
      </w:pPr>
      <w:r w:rsidRPr="00961E5D">
        <w:rPr>
          <w:rFonts w:ascii="Amasis MT Pro Medium" w:hAnsi="Amasis MT Pro Medium" w:cs="ADLaM Display"/>
          <w:color w:val="111111"/>
        </w:rPr>
        <w:t>This case established a two-limb test for determining dishonesty under the Theft Act 1968</w:t>
      </w:r>
    </w:p>
    <w:p w14:paraId="589B2320" w14:textId="77777777" w:rsidR="000377F3" w:rsidRPr="000377F3" w:rsidRDefault="000377F3" w:rsidP="00961E5D">
      <w:pPr>
        <w:pStyle w:val="NormalWeb"/>
        <w:shd w:val="clear" w:color="auto" w:fill="F9F9F9"/>
        <w:spacing w:before="180"/>
        <w:rPr>
          <w:rFonts w:ascii="Amasis MT Pro Medium" w:hAnsi="Amasis MT Pro Medium" w:cs="ADLaM Display"/>
        </w:rPr>
      </w:pPr>
      <w:hyperlink r:id="rId8" w:tgtFrame="_blank" w:history="1">
        <w:r w:rsidRPr="000377F3">
          <w:rPr>
            <w:rStyle w:val="Hyperlink"/>
            <w:rFonts w:ascii="Amasis MT Pro Medium" w:hAnsi="Amasis MT Pro Medium" w:cs="ADLaM Display"/>
            <w:b/>
            <w:bCs/>
            <w:color w:val="auto"/>
          </w:rPr>
          <w:t>R v Ghosh [1982]</w:t>
        </w:r>
        <w:r w:rsidRPr="000377F3">
          <w:rPr>
            <w:rStyle w:val="Hyperlink"/>
            <w:rFonts w:ascii="Amasis MT Pro Medium" w:hAnsi="Amasis MT Pro Medium" w:cs="ADLaM Display"/>
            <w:color w:val="auto"/>
          </w:rPr>
          <w:t>: This case established a two-limb test for determining dishonesty under the Theft Act 1968</w:t>
        </w:r>
      </w:hyperlink>
      <w:hyperlink r:id="rId9" w:tgtFrame="_blank" w:history="1">
        <w:r w:rsidRPr="000377F3">
          <w:rPr>
            <w:rStyle w:val="Hyperlink"/>
            <w:rFonts w:ascii="Amasis MT Pro Medium" w:hAnsi="Amasis MT Pro Medium" w:cs="ADLaM Display"/>
            <w:color w:val="auto"/>
            <w:vertAlign w:val="superscript"/>
          </w:rPr>
          <w:t>1</w:t>
        </w:r>
      </w:hyperlink>
      <w:r w:rsidRPr="000377F3">
        <w:rPr>
          <w:rFonts w:ascii="Amasis MT Pro Medium" w:hAnsi="Amasis MT Pro Medium" w:cs="ADLaM Display"/>
        </w:rPr>
        <w:t>. The jury had to find that:</w:t>
      </w:r>
    </w:p>
    <w:p w14:paraId="529F600F" w14:textId="77777777" w:rsidR="000377F3" w:rsidRPr="000377F3" w:rsidRDefault="000377F3" w:rsidP="000377F3">
      <w:pPr>
        <w:pStyle w:val="NormalWeb"/>
        <w:numPr>
          <w:ilvl w:val="1"/>
          <w:numId w:val="6"/>
        </w:numPr>
        <w:shd w:val="clear" w:color="auto" w:fill="F9F9F9"/>
        <w:spacing w:before="180" w:beforeAutospacing="0" w:after="0" w:afterAutospacing="0"/>
        <w:rPr>
          <w:rFonts w:ascii="Amasis MT Pro Medium" w:hAnsi="Amasis MT Pro Medium" w:cs="ADLaM Display"/>
        </w:rPr>
      </w:pPr>
      <w:r w:rsidRPr="000377F3">
        <w:rPr>
          <w:rFonts w:ascii="Amasis MT Pro Medium" w:hAnsi="Amasis MT Pro Medium" w:cs="ADLaM Display"/>
        </w:rPr>
        <w:t>The defendant’s conduct was dishonest by the standards of ordinary, reasonable people.</w:t>
      </w:r>
    </w:p>
    <w:p w14:paraId="47350CB2" w14:textId="77777777" w:rsidR="000377F3" w:rsidRPr="000377F3" w:rsidRDefault="000377F3" w:rsidP="00961E5D">
      <w:pPr>
        <w:pStyle w:val="NormalWeb"/>
        <w:numPr>
          <w:ilvl w:val="1"/>
          <w:numId w:val="6"/>
        </w:numPr>
        <w:shd w:val="clear" w:color="auto" w:fill="F9F9F9"/>
        <w:spacing w:before="180" w:beforeAutospacing="0" w:afterAutospacing="0"/>
        <w:rPr>
          <w:rFonts w:ascii="Amasis MT Pro Medium" w:hAnsi="Amasis MT Pro Medium" w:cs="ADLaM Display"/>
        </w:rPr>
      </w:pPr>
      <w:hyperlink r:id="rId10" w:tgtFrame="_blank" w:history="1">
        <w:r w:rsidRPr="000377F3">
          <w:rPr>
            <w:rStyle w:val="Hyperlink"/>
            <w:rFonts w:ascii="Amasis MT Pro Medium" w:hAnsi="Amasis MT Pro Medium" w:cs="ADLaM Display"/>
            <w:color w:val="auto"/>
          </w:rPr>
          <w:t>The defendant appreciated that what he or she did was dishonest by the standards of those ordinary, reasonable people</w:t>
        </w:r>
      </w:hyperlink>
      <w:hyperlink r:id="rId11" w:tgtFrame="_blank" w:history="1">
        <w:r w:rsidRPr="000377F3">
          <w:rPr>
            <w:rStyle w:val="Hyperlink"/>
            <w:rFonts w:ascii="Amasis MT Pro Medium" w:hAnsi="Amasis MT Pro Medium" w:cs="ADLaM Display"/>
            <w:color w:val="auto"/>
            <w:vertAlign w:val="superscript"/>
          </w:rPr>
          <w:t>1</w:t>
        </w:r>
      </w:hyperlink>
      <w:r w:rsidRPr="000377F3">
        <w:rPr>
          <w:rFonts w:ascii="Amasis MT Pro Medium" w:hAnsi="Amasis MT Pro Medium" w:cs="ADLaM Display"/>
        </w:rPr>
        <w:t>.</w:t>
      </w:r>
    </w:p>
    <w:p w14:paraId="5BEB0BA8" w14:textId="754CF49F" w:rsidR="000377F3" w:rsidRPr="000377F3" w:rsidRDefault="000377F3" w:rsidP="00961E5D">
      <w:pPr>
        <w:pStyle w:val="NormalWeb"/>
        <w:shd w:val="clear" w:color="auto" w:fill="F9F9F9"/>
        <w:spacing w:before="180"/>
        <w:rPr>
          <w:rFonts w:ascii="Amasis MT Pro Medium" w:hAnsi="Amasis MT Pro Medium" w:cs="ADLaM Display"/>
          <w:color w:val="111111"/>
        </w:rPr>
      </w:pPr>
    </w:p>
    <w:p w14:paraId="6119261C" w14:textId="77777777" w:rsidR="003A2A0E" w:rsidRPr="00961E5D" w:rsidRDefault="003A2A0E" w:rsidP="00467D8A">
      <w:pPr>
        <w:pStyle w:val="NormalWeb"/>
        <w:shd w:val="clear" w:color="auto" w:fill="F9F9F9"/>
        <w:spacing w:before="180" w:beforeAutospacing="0" w:after="0" w:afterAutospacing="0"/>
        <w:rPr>
          <w:rFonts w:ascii="Amasis MT Pro Medium" w:hAnsi="Amasis MT Pro Medium" w:cs="ADLaM Display"/>
          <w:color w:val="111111"/>
        </w:rPr>
      </w:pPr>
    </w:p>
    <w:p w14:paraId="0659A72E" w14:textId="77777777" w:rsidR="003A2A0E" w:rsidRPr="00961E5D" w:rsidRDefault="003A2A0E" w:rsidP="00467D8A">
      <w:pPr>
        <w:pStyle w:val="NormalWeb"/>
        <w:shd w:val="clear" w:color="auto" w:fill="F9F9F9"/>
        <w:spacing w:before="180" w:beforeAutospacing="0" w:after="0" w:afterAutospacing="0"/>
        <w:rPr>
          <w:rFonts w:ascii="Amasis MT Pro Medium" w:hAnsi="Amasis MT Pro Medium" w:cs="ADLaM Display"/>
          <w:color w:val="111111"/>
        </w:rPr>
      </w:pPr>
    </w:p>
    <w:p w14:paraId="3DB3394B" w14:textId="77777777" w:rsidR="00467D8A" w:rsidRPr="00961E5D" w:rsidRDefault="00467D8A" w:rsidP="00467D8A">
      <w:pPr>
        <w:pStyle w:val="NormalWeb"/>
        <w:shd w:val="clear" w:color="auto" w:fill="F9F9F9"/>
        <w:spacing w:before="180" w:beforeAutospacing="0" w:after="0" w:afterAutospacing="0"/>
        <w:rPr>
          <w:rFonts w:ascii="Amasis MT Pro Medium" w:hAnsi="Amasis MT Pro Medium" w:cs="ADLaM Display"/>
          <w:color w:val="111111"/>
        </w:rPr>
      </w:pPr>
    </w:p>
    <w:p w14:paraId="28AA0E72" w14:textId="6F2C44B9" w:rsidR="00467D8A" w:rsidRDefault="00961E5D">
      <w:pPr>
        <w:rPr>
          <w:rFonts w:ascii="Amasis MT Pro Medium" w:hAnsi="Amasis MT Pro Medium"/>
        </w:rPr>
      </w:pPr>
      <w:r w:rsidRPr="00961E5D">
        <w:rPr>
          <w:rFonts w:ascii="Amasis MT Pro Medium" w:hAnsi="Amasis MT Pro Medium"/>
          <w:highlight w:val="yellow"/>
        </w:rPr>
        <w:t>legaldictionary.net</w:t>
      </w:r>
    </w:p>
    <w:p w14:paraId="39027EEE" w14:textId="480CBDA5" w:rsidR="00961E5D" w:rsidRPr="00961E5D" w:rsidRDefault="00961E5D">
      <w:pPr>
        <w:rPr>
          <w:rFonts w:ascii="Amasis MT Pro Medium" w:hAnsi="Amasis MT Pro Medium"/>
        </w:rPr>
      </w:pPr>
      <w:r w:rsidRPr="00961E5D">
        <w:rPr>
          <w:rFonts w:ascii="Amasis MT Pro Medium" w:hAnsi="Amasis MT Pro Medium"/>
          <w:highlight w:val="yellow"/>
        </w:rPr>
        <w:t>merriam-webster.com</w:t>
      </w:r>
      <w:r>
        <w:rPr>
          <w:rFonts w:ascii="Amasis MT Pro Medium" w:hAnsi="Amasis MT Pro Medium"/>
        </w:rPr>
        <w:t xml:space="preserve"> </w:t>
      </w:r>
    </w:p>
    <w:sectPr w:rsidR="00961E5D" w:rsidRPr="00961E5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haroni">
    <w:charset w:val="B1"/>
    <w:family w:val="auto"/>
    <w:pitch w:val="variable"/>
    <w:sig w:usb0="00000803" w:usb1="00000000" w:usb2="00000000" w:usb3="00000000" w:csb0="00000021" w:csb1="00000000"/>
  </w:font>
  <w:font w:name="ADLaM Display">
    <w:charset w:val="00"/>
    <w:family w:val="auto"/>
    <w:pitch w:val="variable"/>
    <w:sig w:usb0="8000206F" w:usb1="4200004A" w:usb2="00000000" w:usb3="00000000" w:csb0="00000001" w:csb1="00000000"/>
  </w:font>
  <w:font w:name="Verdana">
    <w:panose1 w:val="020B0604030504040204"/>
    <w:charset w:val="00"/>
    <w:family w:val="swiss"/>
    <w:pitch w:val="variable"/>
    <w:sig w:usb0="A00006FF" w:usb1="4000205B" w:usb2="00000010" w:usb3="00000000" w:csb0="0000019F" w:csb1="00000000"/>
  </w:font>
  <w:font w:name="Amasis MT Pro Medium">
    <w:charset w:val="00"/>
    <w:family w:val="roman"/>
    <w:pitch w:val="variable"/>
    <w:sig w:usb0="A00000AF" w:usb1="4000205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B578F"/>
    <w:multiLevelType w:val="multilevel"/>
    <w:tmpl w:val="970C4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E62441F"/>
    <w:multiLevelType w:val="multilevel"/>
    <w:tmpl w:val="427CE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0402E1"/>
    <w:multiLevelType w:val="hybridMultilevel"/>
    <w:tmpl w:val="2D1E6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076393"/>
    <w:multiLevelType w:val="hybridMultilevel"/>
    <w:tmpl w:val="AC6AD6FE"/>
    <w:lvl w:ilvl="0" w:tplc="08090001">
      <w:start w:val="1"/>
      <w:numFmt w:val="bullet"/>
      <w:lvlText w:val=""/>
      <w:lvlJc w:val="left"/>
      <w:pPr>
        <w:ind w:left="1510" w:hanging="360"/>
      </w:pPr>
      <w:rPr>
        <w:rFonts w:ascii="Symbol" w:hAnsi="Symbol" w:hint="default"/>
      </w:rPr>
    </w:lvl>
    <w:lvl w:ilvl="1" w:tplc="08090003" w:tentative="1">
      <w:start w:val="1"/>
      <w:numFmt w:val="bullet"/>
      <w:lvlText w:val="o"/>
      <w:lvlJc w:val="left"/>
      <w:pPr>
        <w:ind w:left="2230" w:hanging="360"/>
      </w:pPr>
      <w:rPr>
        <w:rFonts w:ascii="Courier New" w:hAnsi="Courier New" w:cs="Courier New" w:hint="default"/>
      </w:rPr>
    </w:lvl>
    <w:lvl w:ilvl="2" w:tplc="08090005" w:tentative="1">
      <w:start w:val="1"/>
      <w:numFmt w:val="bullet"/>
      <w:lvlText w:val=""/>
      <w:lvlJc w:val="left"/>
      <w:pPr>
        <w:ind w:left="2950" w:hanging="360"/>
      </w:pPr>
      <w:rPr>
        <w:rFonts w:ascii="Wingdings" w:hAnsi="Wingdings" w:hint="default"/>
      </w:rPr>
    </w:lvl>
    <w:lvl w:ilvl="3" w:tplc="08090001" w:tentative="1">
      <w:start w:val="1"/>
      <w:numFmt w:val="bullet"/>
      <w:lvlText w:val=""/>
      <w:lvlJc w:val="left"/>
      <w:pPr>
        <w:ind w:left="3670" w:hanging="360"/>
      </w:pPr>
      <w:rPr>
        <w:rFonts w:ascii="Symbol" w:hAnsi="Symbol" w:hint="default"/>
      </w:rPr>
    </w:lvl>
    <w:lvl w:ilvl="4" w:tplc="08090003" w:tentative="1">
      <w:start w:val="1"/>
      <w:numFmt w:val="bullet"/>
      <w:lvlText w:val="o"/>
      <w:lvlJc w:val="left"/>
      <w:pPr>
        <w:ind w:left="4390" w:hanging="360"/>
      </w:pPr>
      <w:rPr>
        <w:rFonts w:ascii="Courier New" w:hAnsi="Courier New" w:cs="Courier New" w:hint="default"/>
      </w:rPr>
    </w:lvl>
    <w:lvl w:ilvl="5" w:tplc="08090005" w:tentative="1">
      <w:start w:val="1"/>
      <w:numFmt w:val="bullet"/>
      <w:lvlText w:val=""/>
      <w:lvlJc w:val="left"/>
      <w:pPr>
        <w:ind w:left="5110" w:hanging="360"/>
      </w:pPr>
      <w:rPr>
        <w:rFonts w:ascii="Wingdings" w:hAnsi="Wingdings" w:hint="default"/>
      </w:rPr>
    </w:lvl>
    <w:lvl w:ilvl="6" w:tplc="08090001" w:tentative="1">
      <w:start w:val="1"/>
      <w:numFmt w:val="bullet"/>
      <w:lvlText w:val=""/>
      <w:lvlJc w:val="left"/>
      <w:pPr>
        <w:ind w:left="5830" w:hanging="360"/>
      </w:pPr>
      <w:rPr>
        <w:rFonts w:ascii="Symbol" w:hAnsi="Symbol" w:hint="default"/>
      </w:rPr>
    </w:lvl>
    <w:lvl w:ilvl="7" w:tplc="08090003" w:tentative="1">
      <w:start w:val="1"/>
      <w:numFmt w:val="bullet"/>
      <w:lvlText w:val="o"/>
      <w:lvlJc w:val="left"/>
      <w:pPr>
        <w:ind w:left="6550" w:hanging="360"/>
      </w:pPr>
      <w:rPr>
        <w:rFonts w:ascii="Courier New" w:hAnsi="Courier New" w:cs="Courier New" w:hint="default"/>
      </w:rPr>
    </w:lvl>
    <w:lvl w:ilvl="8" w:tplc="08090005" w:tentative="1">
      <w:start w:val="1"/>
      <w:numFmt w:val="bullet"/>
      <w:lvlText w:val=""/>
      <w:lvlJc w:val="left"/>
      <w:pPr>
        <w:ind w:left="7270" w:hanging="360"/>
      </w:pPr>
      <w:rPr>
        <w:rFonts w:ascii="Wingdings" w:hAnsi="Wingdings" w:hint="default"/>
      </w:rPr>
    </w:lvl>
  </w:abstractNum>
  <w:abstractNum w:abstractNumId="4" w15:restartNumberingAfterBreak="0">
    <w:nsid w:val="5EA34FFB"/>
    <w:multiLevelType w:val="hybridMultilevel"/>
    <w:tmpl w:val="22C09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0E09B6"/>
    <w:multiLevelType w:val="multilevel"/>
    <w:tmpl w:val="7E96BA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79461878">
    <w:abstractNumId w:val="2"/>
  </w:num>
  <w:num w:numId="2" w16cid:durableId="356198783">
    <w:abstractNumId w:val="3"/>
  </w:num>
  <w:num w:numId="3" w16cid:durableId="1342661241">
    <w:abstractNumId w:val="1"/>
  </w:num>
  <w:num w:numId="4" w16cid:durableId="1805388132">
    <w:abstractNumId w:val="0"/>
  </w:num>
  <w:num w:numId="5" w16cid:durableId="1430731354">
    <w:abstractNumId w:val="4"/>
  </w:num>
  <w:num w:numId="6" w16cid:durableId="212129005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D8A"/>
    <w:rsid w:val="000377F3"/>
    <w:rsid w:val="0007589F"/>
    <w:rsid w:val="003A2A0E"/>
    <w:rsid w:val="00467D8A"/>
    <w:rsid w:val="00961E5D"/>
    <w:rsid w:val="00DE33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EA728"/>
  <w15:chartTrackingRefBased/>
  <w15:docId w15:val="{529DBD18-ED25-4CE0-9C51-69CBF366A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7D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7D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7D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7D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7D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7D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7D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7D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7D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7D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7D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7D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7D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7D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7D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7D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7D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7D8A"/>
    <w:rPr>
      <w:rFonts w:eastAsiaTheme="majorEastAsia" w:cstheme="majorBidi"/>
      <w:color w:val="272727" w:themeColor="text1" w:themeTint="D8"/>
    </w:rPr>
  </w:style>
  <w:style w:type="paragraph" w:styleId="Title">
    <w:name w:val="Title"/>
    <w:basedOn w:val="Normal"/>
    <w:next w:val="Normal"/>
    <w:link w:val="TitleChar"/>
    <w:uiPriority w:val="10"/>
    <w:qFormat/>
    <w:rsid w:val="00467D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7D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7D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7D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7D8A"/>
    <w:pPr>
      <w:spacing w:before="160"/>
      <w:jc w:val="center"/>
    </w:pPr>
    <w:rPr>
      <w:i/>
      <w:iCs/>
      <w:color w:val="404040" w:themeColor="text1" w:themeTint="BF"/>
    </w:rPr>
  </w:style>
  <w:style w:type="character" w:customStyle="1" w:styleId="QuoteChar">
    <w:name w:val="Quote Char"/>
    <w:basedOn w:val="DefaultParagraphFont"/>
    <w:link w:val="Quote"/>
    <w:uiPriority w:val="29"/>
    <w:rsid w:val="00467D8A"/>
    <w:rPr>
      <w:i/>
      <w:iCs/>
      <w:color w:val="404040" w:themeColor="text1" w:themeTint="BF"/>
    </w:rPr>
  </w:style>
  <w:style w:type="paragraph" w:styleId="ListParagraph">
    <w:name w:val="List Paragraph"/>
    <w:basedOn w:val="Normal"/>
    <w:uiPriority w:val="34"/>
    <w:qFormat/>
    <w:rsid w:val="00467D8A"/>
    <w:pPr>
      <w:ind w:left="720"/>
      <w:contextualSpacing/>
    </w:pPr>
  </w:style>
  <w:style w:type="character" w:styleId="IntenseEmphasis">
    <w:name w:val="Intense Emphasis"/>
    <w:basedOn w:val="DefaultParagraphFont"/>
    <w:uiPriority w:val="21"/>
    <w:qFormat/>
    <w:rsid w:val="00467D8A"/>
    <w:rPr>
      <w:i/>
      <w:iCs/>
      <w:color w:val="0F4761" w:themeColor="accent1" w:themeShade="BF"/>
    </w:rPr>
  </w:style>
  <w:style w:type="paragraph" w:styleId="IntenseQuote">
    <w:name w:val="Intense Quote"/>
    <w:basedOn w:val="Normal"/>
    <w:next w:val="Normal"/>
    <w:link w:val="IntenseQuoteChar"/>
    <w:uiPriority w:val="30"/>
    <w:qFormat/>
    <w:rsid w:val="00467D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7D8A"/>
    <w:rPr>
      <w:i/>
      <w:iCs/>
      <w:color w:val="0F4761" w:themeColor="accent1" w:themeShade="BF"/>
    </w:rPr>
  </w:style>
  <w:style w:type="character" w:styleId="IntenseReference">
    <w:name w:val="Intense Reference"/>
    <w:basedOn w:val="DefaultParagraphFont"/>
    <w:uiPriority w:val="32"/>
    <w:qFormat/>
    <w:rsid w:val="00467D8A"/>
    <w:rPr>
      <w:b/>
      <w:bCs/>
      <w:smallCaps/>
      <w:color w:val="0F4761" w:themeColor="accent1" w:themeShade="BF"/>
      <w:spacing w:val="5"/>
    </w:rPr>
  </w:style>
  <w:style w:type="paragraph" w:styleId="NormalWeb">
    <w:name w:val="Normal (Web)"/>
    <w:basedOn w:val="Normal"/>
    <w:uiPriority w:val="99"/>
    <w:unhideWhenUsed/>
    <w:rsid w:val="00467D8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467D8A"/>
    <w:rPr>
      <w:b/>
      <w:bCs/>
    </w:rPr>
  </w:style>
  <w:style w:type="character" w:styleId="Emphasis">
    <w:name w:val="Emphasis"/>
    <w:basedOn w:val="DefaultParagraphFont"/>
    <w:uiPriority w:val="20"/>
    <w:qFormat/>
    <w:rsid w:val="000377F3"/>
    <w:rPr>
      <w:i/>
      <w:iCs/>
    </w:rPr>
  </w:style>
  <w:style w:type="character" w:styleId="Hyperlink">
    <w:name w:val="Hyperlink"/>
    <w:basedOn w:val="DefaultParagraphFont"/>
    <w:uiPriority w:val="99"/>
    <w:unhideWhenUsed/>
    <w:rsid w:val="000377F3"/>
    <w:rPr>
      <w:color w:val="467886" w:themeColor="hyperlink"/>
      <w:u w:val="single"/>
    </w:rPr>
  </w:style>
  <w:style w:type="character" w:styleId="UnresolvedMention">
    <w:name w:val="Unresolved Mention"/>
    <w:basedOn w:val="DefaultParagraphFont"/>
    <w:uiPriority w:val="99"/>
    <w:semiHidden/>
    <w:unhideWhenUsed/>
    <w:rsid w:val="000377F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8527570">
      <w:bodyDiv w:val="1"/>
      <w:marLeft w:val="0"/>
      <w:marRight w:val="0"/>
      <w:marTop w:val="0"/>
      <w:marBottom w:val="0"/>
      <w:divBdr>
        <w:top w:val="none" w:sz="0" w:space="0" w:color="auto"/>
        <w:left w:val="none" w:sz="0" w:space="0" w:color="auto"/>
        <w:bottom w:val="none" w:sz="0" w:space="0" w:color="auto"/>
        <w:right w:val="none" w:sz="0" w:space="0" w:color="auto"/>
      </w:divBdr>
    </w:div>
    <w:div w:id="425270100">
      <w:bodyDiv w:val="1"/>
      <w:marLeft w:val="0"/>
      <w:marRight w:val="0"/>
      <w:marTop w:val="0"/>
      <w:marBottom w:val="0"/>
      <w:divBdr>
        <w:top w:val="none" w:sz="0" w:space="0" w:color="auto"/>
        <w:left w:val="none" w:sz="0" w:space="0" w:color="auto"/>
        <w:bottom w:val="none" w:sz="0" w:space="0" w:color="auto"/>
        <w:right w:val="none" w:sz="0" w:space="0" w:color="auto"/>
      </w:divBdr>
    </w:div>
    <w:div w:id="1113986611">
      <w:bodyDiv w:val="1"/>
      <w:marLeft w:val="0"/>
      <w:marRight w:val="0"/>
      <w:marTop w:val="0"/>
      <w:marBottom w:val="0"/>
      <w:divBdr>
        <w:top w:val="none" w:sz="0" w:space="0" w:color="auto"/>
        <w:left w:val="none" w:sz="0" w:space="0" w:color="auto"/>
        <w:bottom w:val="none" w:sz="0" w:space="0" w:color="auto"/>
        <w:right w:val="none" w:sz="0" w:space="0" w:color="auto"/>
      </w:divBdr>
      <w:divsChild>
        <w:div w:id="1841580000">
          <w:marLeft w:val="0"/>
          <w:marRight w:val="0"/>
          <w:marTop w:val="0"/>
          <w:marBottom w:val="0"/>
          <w:divBdr>
            <w:top w:val="none" w:sz="0" w:space="0" w:color="auto"/>
            <w:left w:val="none" w:sz="0" w:space="0" w:color="auto"/>
            <w:bottom w:val="none" w:sz="0" w:space="0" w:color="auto"/>
            <w:right w:val="none" w:sz="0" w:space="0" w:color="auto"/>
          </w:divBdr>
        </w:div>
        <w:div w:id="54746102">
          <w:marLeft w:val="0"/>
          <w:marRight w:val="0"/>
          <w:marTop w:val="0"/>
          <w:marBottom w:val="0"/>
          <w:divBdr>
            <w:top w:val="none" w:sz="0" w:space="0" w:color="auto"/>
            <w:left w:val="none" w:sz="0" w:space="0" w:color="auto"/>
            <w:bottom w:val="none" w:sz="0" w:space="0" w:color="auto"/>
            <w:right w:val="none" w:sz="0" w:space="0" w:color="auto"/>
          </w:divBdr>
        </w:div>
        <w:div w:id="2129663313">
          <w:marLeft w:val="0"/>
          <w:marRight w:val="0"/>
          <w:marTop w:val="0"/>
          <w:marBottom w:val="0"/>
          <w:divBdr>
            <w:top w:val="none" w:sz="0" w:space="0" w:color="auto"/>
            <w:left w:val="none" w:sz="0" w:space="0" w:color="auto"/>
            <w:bottom w:val="none" w:sz="0" w:space="0" w:color="auto"/>
            <w:right w:val="none" w:sz="0" w:space="0" w:color="auto"/>
          </w:divBdr>
        </w:div>
        <w:div w:id="1269967810">
          <w:marLeft w:val="0"/>
          <w:marRight w:val="0"/>
          <w:marTop w:val="0"/>
          <w:marBottom w:val="0"/>
          <w:divBdr>
            <w:top w:val="none" w:sz="0" w:space="0" w:color="auto"/>
            <w:left w:val="none" w:sz="0" w:space="0" w:color="auto"/>
            <w:bottom w:val="none" w:sz="0" w:space="0" w:color="auto"/>
            <w:right w:val="none" w:sz="0" w:space="0" w:color="auto"/>
          </w:divBdr>
        </w:div>
        <w:div w:id="889147362">
          <w:marLeft w:val="0"/>
          <w:marRight w:val="0"/>
          <w:marTop w:val="0"/>
          <w:marBottom w:val="0"/>
          <w:divBdr>
            <w:top w:val="none" w:sz="0" w:space="0" w:color="auto"/>
            <w:left w:val="none" w:sz="0" w:space="0" w:color="auto"/>
            <w:bottom w:val="none" w:sz="0" w:space="0" w:color="auto"/>
            <w:right w:val="none" w:sz="0" w:space="0" w:color="auto"/>
          </w:divBdr>
        </w:div>
      </w:divsChild>
    </w:div>
    <w:div w:id="2076856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wteacher.net/cases/r-v-ghosh.php"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awteacher.net/cases/r-v-ghosh.php" TargetMode="External"/><Relationship Id="rId5" Type="http://schemas.openxmlformats.org/officeDocument/2006/relationships/styles" Target="styles.xml"/><Relationship Id="rId10" Type="http://schemas.openxmlformats.org/officeDocument/2006/relationships/hyperlink" Target="https://www.lawteacher.net/cases/r-v-ghosh.php" TargetMode="External"/><Relationship Id="rId4" Type="http://schemas.openxmlformats.org/officeDocument/2006/relationships/numbering" Target="numbering.xml"/><Relationship Id="rId9" Type="http://schemas.openxmlformats.org/officeDocument/2006/relationships/hyperlink" Target="https://www.lawteacher.net/cases/r-v-ghosh.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eed9533b4c981abdba5a4e6cbf8080ef">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cf857c505851eee28de28b6142c4a438"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79C05A3C-1FAA-4FF4-B1C2-008DF8DE1B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E3B0045-A295-4647-8F39-B2CB8CDC2790}">
  <ds:schemaRefs>
    <ds:schemaRef ds:uri="http://schemas.microsoft.com/sharepoint/v3/contenttype/forms"/>
  </ds:schemaRefs>
</ds:datastoreItem>
</file>

<file path=customXml/itemProps3.xml><?xml version="1.0" encoding="utf-8"?>
<ds:datastoreItem xmlns:ds="http://schemas.openxmlformats.org/officeDocument/2006/customXml" ds:itemID="{E3384DF1-0F24-479A-A567-7FF01E65449D}">
  <ds:schemaRefs>
    <ds:schemaRef ds:uri="http://www.w3.org/XML/1998/namespace"/>
    <ds:schemaRef ds:uri="http://schemas.microsoft.com/office/2006/metadata/properties"/>
    <ds:schemaRef ds:uri="http://purl.org/dc/terms/"/>
    <ds:schemaRef ds:uri="http://purl.org/dc/elements/1.1/"/>
    <ds:schemaRef ds:uri="http://schemas.microsoft.com/office/2006/documentManagement/types"/>
    <ds:schemaRef ds:uri="http://schemas.microsoft.com/office/infopath/2007/PartnerControls"/>
    <ds:schemaRef ds:uri="550816ce-8156-4f45-b1c4-24236a73d01f"/>
    <ds:schemaRef ds:uri="http://schemas.openxmlformats.org/package/2006/metadata/core-properties"/>
    <ds:schemaRef ds:uri="0ebdf10f-b5a3-45b6-acdb-7dc1eb398785"/>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2</Pages>
  <Words>462</Words>
  <Characters>2634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Kazdova (2326505)</dc:creator>
  <cp:keywords/>
  <dc:description/>
  <cp:lastModifiedBy>Vanesa Kazdova (2315419)</cp:lastModifiedBy>
  <cp:revision>1</cp:revision>
  <dcterms:created xsi:type="dcterms:W3CDTF">2024-05-02T21:08:00Z</dcterms:created>
  <dcterms:modified xsi:type="dcterms:W3CDTF">2024-05-02T22:28:00Z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