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EEFD9D" w14:textId="77777777" w:rsidR="007D10CF" w:rsidRDefault="007D10CF" w:rsidP="007D10CF">
      <w:pPr>
        <w:jc w:val="center"/>
        <w:rPr>
          <w:noProof/>
        </w:rPr>
      </w:pPr>
      <w:r>
        <w:rPr>
          <w:noProof/>
        </w:rPr>
        <w:t xml:space="preserve">Student name : Lyly Okita </w:t>
      </w:r>
    </w:p>
    <w:p w14:paraId="00843101" w14:textId="77777777" w:rsidR="007D10CF" w:rsidRDefault="007D10CF" w:rsidP="007D10CF">
      <w:pPr>
        <w:jc w:val="center"/>
        <w:rPr>
          <w:noProof/>
        </w:rPr>
      </w:pPr>
      <w:r>
        <w:rPr>
          <w:noProof/>
        </w:rPr>
        <w:t>Student ID: 2211984</w:t>
      </w:r>
    </w:p>
    <w:p w14:paraId="6A5892FB" w14:textId="77777777" w:rsidR="007D10CF" w:rsidRDefault="007D10CF" w:rsidP="007D10CF">
      <w:pPr>
        <w:jc w:val="center"/>
        <w:rPr>
          <w:noProof/>
        </w:rPr>
      </w:pPr>
      <w:r>
        <w:rPr>
          <w:noProof/>
        </w:rPr>
        <w:t xml:space="preserve">Module: Independent project </w:t>
      </w:r>
    </w:p>
    <w:p w14:paraId="630B9A0C" w14:textId="77777777" w:rsidR="007D10CF" w:rsidRDefault="007D10CF" w:rsidP="007D10CF">
      <w:pPr>
        <w:jc w:val="center"/>
        <w:rPr>
          <w:noProof/>
        </w:rPr>
      </w:pPr>
      <w:r>
        <w:rPr>
          <w:noProof/>
        </w:rPr>
        <w:t xml:space="preserve">Lecture: Joanne Davies </w:t>
      </w:r>
    </w:p>
    <w:p w14:paraId="41A4DC93" w14:textId="6FD6FADD" w:rsidR="00C31D85" w:rsidRPr="00C31D85" w:rsidRDefault="007D10CF" w:rsidP="007D10CF">
      <w:pPr>
        <w:jc w:val="center"/>
        <w:rPr>
          <w:rFonts w:ascii="Aptos" w:hAnsi="Aptos"/>
          <w:b/>
          <w:bCs/>
        </w:rPr>
        <w:sectPr w:rsidR="00C31D85" w:rsidRPr="00C31D85" w:rsidSect="00C31D85">
          <w:headerReference w:type="default" r:id="rId11"/>
          <w:headerReference w:type="first" r:id="rId12"/>
          <w:pgSz w:w="12240" w:h="15840" w:code="1"/>
          <w:pgMar w:top="720" w:right="576" w:bottom="720" w:left="720" w:header="432" w:footer="288" w:gutter="0"/>
          <w:cols w:space="720"/>
          <w:titlePg/>
          <w:docGrid w:linePitch="360"/>
        </w:sectPr>
      </w:pPr>
      <w:r>
        <w:rPr>
          <w:noProof/>
        </w:rPr>
        <w:t>Assignment Title: component 2</w:t>
      </w:r>
      <w:r w:rsidR="00CC0A8F"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1957F0">
        <w:trPr>
          <w:trHeight w:val="597"/>
        </w:trPr>
        <w:tc>
          <w:tcPr>
            <w:tcW w:w="14616" w:type="dxa"/>
            <w:gridSpan w:val="2"/>
            <w:shd w:val="clear" w:color="auto" w:fill="00B0F0"/>
            <w:vAlign w:val="center"/>
          </w:tcPr>
          <w:p w14:paraId="080E7EB0" w14:textId="29DE70D8" w:rsidR="00802FF1" w:rsidRPr="001957F0" w:rsidRDefault="00FB37F0" w:rsidP="001957F0">
            <w:pPr>
              <w:jc w:val="center"/>
              <w:rPr>
                <w:rFonts w:ascii="Aptos" w:hAnsi="Aptos"/>
                <w:b/>
                <w:bCs/>
                <w:sz w:val="36"/>
                <w:szCs w:val="36"/>
              </w:rPr>
            </w:pPr>
            <w:r w:rsidRPr="001957F0">
              <w:rPr>
                <w:rFonts w:ascii="Aptos" w:hAnsi="Aptos"/>
                <w:b/>
                <w:bCs/>
                <w:color w:val="002060"/>
                <w:sz w:val="36"/>
                <w:szCs w:val="36"/>
              </w:rPr>
              <w:t>Exploring the Psychological Impact of Long-Term Illness on Self-Identity Among Young Adults</w:t>
            </w:r>
          </w:p>
        </w:tc>
      </w:tr>
      <w:tr w:rsidR="00C31D85" w:rsidRPr="00C31D85" w14:paraId="51100EC3" w14:textId="77777777" w:rsidTr="00B448A4">
        <w:trPr>
          <w:trHeight w:val="1856"/>
        </w:trPr>
        <w:tc>
          <w:tcPr>
            <w:tcW w:w="7225" w:type="dxa"/>
            <w:shd w:val="clear" w:color="auto" w:fill="FFD966" w:themeFill="accent4" w:themeFillTint="99"/>
          </w:tcPr>
          <w:p w14:paraId="7D5ABB49" w14:textId="08D5D3D9" w:rsidR="00C31D85" w:rsidRPr="001957F0" w:rsidRDefault="001957F0" w:rsidP="00C46111">
            <w:pPr>
              <w:rPr>
                <w:rFonts w:ascii="Aptos" w:hAnsi="Aptos"/>
                <w:b/>
                <w:bCs/>
                <w:color w:val="2E74B5" w:themeColor="accent5" w:themeShade="BF"/>
              </w:rPr>
            </w:pPr>
            <w:r w:rsidRPr="001957F0">
              <w:rPr>
                <w:rFonts w:ascii="Aptos" w:hAnsi="Aptos"/>
                <w:b/>
                <w:bCs/>
                <w:color w:val="2E74B5" w:themeColor="accent5" w:themeShade="BF"/>
                <w:sz w:val="40"/>
                <w:szCs w:val="40"/>
              </w:rPr>
              <w:t>01</w:t>
            </w:r>
            <w:r w:rsidRPr="001957F0">
              <w:rPr>
                <w:rFonts w:ascii="Aptos" w:hAnsi="Aptos"/>
                <w:color w:val="2E74B5" w:themeColor="accent5" w:themeShade="BF"/>
              </w:rPr>
              <w:t xml:space="preserve"> </w:t>
            </w:r>
            <w:r w:rsidRPr="001957F0">
              <w:rPr>
                <w:rFonts w:ascii="Aptos" w:hAnsi="Aptos"/>
                <w:b/>
                <w:bCs/>
                <w:color w:val="2E74B5" w:themeColor="accent5" w:themeShade="BF"/>
              </w:rPr>
              <w:t xml:space="preserve">INTRODUCTION AND RESEARCH AIM </w:t>
            </w:r>
          </w:p>
          <w:p w14:paraId="54A2998B" w14:textId="0057F4EC" w:rsidR="000E56ED" w:rsidRPr="001957F0" w:rsidRDefault="001957F0" w:rsidP="001957F0">
            <w:pPr>
              <w:spacing w:line="276" w:lineRule="auto"/>
              <w:jc w:val="both"/>
              <w:rPr>
                <w:rFonts w:ascii="Aptos" w:hAnsi="Aptos"/>
                <w:sz w:val="20"/>
                <w:szCs w:val="20"/>
              </w:rPr>
            </w:pPr>
            <w:r w:rsidRPr="001957F0">
              <w:rPr>
                <w:rFonts w:ascii="Aptos" w:hAnsi="Aptos"/>
                <w:sz w:val="20"/>
                <w:szCs w:val="20"/>
              </w:rPr>
              <w:t>This study explores the effects of chronic illness on the self-identity of young adults, which is a pivotal time in life when a person acquires his or her social roles and self-identity. In other cases, chronic conditions interfere with this process resulting in emotional distress and confusion of identity</w:t>
            </w:r>
            <w:r w:rsidR="00B76486">
              <w:rPr>
                <w:rFonts w:ascii="Aptos" w:hAnsi="Aptos"/>
                <w:sz w:val="20"/>
                <w:szCs w:val="20"/>
              </w:rPr>
              <w:t xml:space="preserve"> (</w:t>
            </w:r>
            <w:r w:rsidR="00B76486" w:rsidRPr="00B76486">
              <w:rPr>
                <w:rFonts w:ascii="Aptos" w:hAnsi="Aptos"/>
                <w:sz w:val="20"/>
                <w:szCs w:val="20"/>
              </w:rPr>
              <w:t>Acoba, 2024).</w:t>
            </w:r>
            <w:r w:rsidRPr="001957F0">
              <w:rPr>
                <w:rFonts w:ascii="Aptos" w:hAnsi="Aptos"/>
                <w:sz w:val="20"/>
                <w:szCs w:val="20"/>
              </w:rPr>
              <w:t xml:space="preserve"> This paper seeks to address mental health and identity issues among young adults with long-term illnesses and how these individuals cope, who provide them with support, and how its role in gender and culture impacts them.</w:t>
            </w:r>
          </w:p>
          <w:p w14:paraId="4F873229" w14:textId="480CA368" w:rsidR="001957F0" w:rsidRPr="005F7D75" w:rsidRDefault="001957F0" w:rsidP="001957F0">
            <w:pPr>
              <w:spacing w:line="276" w:lineRule="auto"/>
              <w:jc w:val="both"/>
              <w:rPr>
                <w:rFonts w:ascii="Aptos" w:hAnsi="Aptos"/>
              </w:rPr>
            </w:pPr>
            <w:r w:rsidRPr="001957F0">
              <w:rPr>
                <w:rFonts w:ascii="Aptos" w:hAnsi="Aptos"/>
                <w:b/>
                <w:bCs/>
                <w:sz w:val="20"/>
                <w:szCs w:val="20"/>
              </w:rPr>
              <w:t>Aim:</w:t>
            </w:r>
            <w:r w:rsidRPr="001957F0">
              <w:rPr>
                <w:rFonts w:ascii="Aptos" w:hAnsi="Aptos"/>
                <w:sz w:val="20"/>
                <w:szCs w:val="20"/>
              </w:rPr>
              <w:t xml:space="preserve"> This study aims to examine the mental effects of long-term illness on young adults especially on how individuals’ feelings about themselves, friendships, well-being, and stress management change.</w:t>
            </w:r>
          </w:p>
        </w:tc>
        <w:tc>
          <w:tcPr>
            <w:tcW w:w="7391" w:type="dxa"/>
            <w:shd w:val="clear" w:color="auto" w:fill="DEEAF6" w:themeFill="accent5" w:themeFillTint="33"/>
          </w:tcPr>
          <w:p w14:paraId="512F9F0B" w14:textId="0EAA4F9D" w:rsidR="00C31D85" w:rsidRPr="001957F0" w:rsidRDefault="001957F0" w:rsidP="00C46111">
            <w:pPr>
              <w:rPr>
                <w:rFonts w:ascii="Aptos" w:hAnsi="Aptos"/>
                <w:color w:val="4472C4" w:themeColor="accent1"/>
              </w:rPr>
            </w:pPr>
            <w:r w:rsidRPr="001957F0">
              <w:rPr>
                <w:rFonts w:ascii="Aptos" w:hAnsi="Aptos"/>
                <w:b/>
                <w:bCs/>
                <w:color w:val="4472C4" w:themeColor="accent1"/>
                <w:sz w:val="40"/>
                <w:szCs w:val="40"/>
              </w:rPr>
              <w:t xml:space="preserve">02 </w:t>
            </w:r>
            <w:r w:rsidRPr="001957F0">
              <w:rPr>
                <w:rFonts w:ascii="Aptos" w:hAnsi="Aptos"/>
                <w:b/>
                <w:bCs/>
                <w:color w:val="4472C4" w:themeColor="accent1"/>
              </w:rPr>
              <w:t>SEARCH STRATEGY</w:t>
            </w:r>
            <w:r w:rsidRPr="001957F0">
              <w:rPr>
                <w:rFonts w:ascii="Aptos" w:hAnsi="Aptos"/>
                <w:color w:val="4472C4" w:themeColor="accent1"/>
              </w:rPr>
              <w:t xml:space="preserve"> </w:t>
            </w:r>
          </w:p>
          <w:p w14:paraId="109C23A4" w14:textId="45B2FEB0" w:rsidR="001957F0" w:rsidRPr="001957F0" w:rsidRDefault="001957F0" w:rsidP="001957F0">
            <w:pPr>
              <w:spacing w:line="276" w:lineRule="auto"/>
              <w:jc w:val="both"/>
              <w:rPr>
                <w:rFonts w:ascii="Aptos" w:hAnsi="Aptos"/>
                <w:lang w:val="en-GB"/>
              </w:rPr>
            </w:pPr>
            <w:r w:rsidRPr="001957F0">
              <w:rPr>
                <w:rFonts w:ascii="Aptos" w:hAnsi="Aptos"/>
                <w:lang w:val="en-GB"/>
              </w:rPr>
              <w:t>A search strategy or strategy in secondary research is a systematic method that is applied to get the literature and sources addressing a research topic. A comprehensive search methodology was used in this study whereby the scholarly articles of academic journals were included and books and other credible materials on the topic of chronic illness and identity</w:t>
            </w:r>
            <w:r w:rsidR="00B76486">
              <w:rPr>
                <w:rFonts w:ascii="Aptos" w:hAnsi="Aptos"/>
                <w:lang w:val="en-GB"/>
              </w:rPr>
              <w:t xml:space="preserve"> (</w:t>
            </w:r>
            <w:r w:rsidR="00B76486" w:rsidRPr="00B76486">
              <w:rPr>
                <w:rFonts w:ascii="Aptos" w:hAnsi="Aptos"/>
                <w:lang w:val="en-GB"/>
              </w:rPr>
              <w:t>Bonino</w:t>
            </w:r>
            <w:r w:rsidR="00B76486">
              <w:rPr>
                <w:rFonts w:ascii="Aptos" w:hAnsi="Aptos"/>
                <w:lang w:val="en-GB"/>
              </w:rPr>
              <w:t xml:space="preserve"> et al., 2025).</w:t>
            </w:r>
            <w:r w:rsidRPr="001957F0">
              <w:rPr>
                <w:rFonts w:ascii="Aptos" w:hAnsi="Aptos"/>
                <w:lang w:val="en-GB"/>
              </w:rPr>
              <w:t xml:space="preserve"> The databases such as PubMed, Scopus, and Google Scholar were used to access sources guaranteeing a wide but specific approach.</w:t>
            </w:r>
          </w:p>
        </w:tc>
      </w:tr>
      <w:tr w:rsidR="00C31D85" w:rsidRPr="00C31D85" w14:paraId="56FBFF17" w14:textId="77777777" w:rsidTr="001957F0">
        <w:trPr>
          <w:trHeight w:val="1856"/>
        </w:trPr>
        <w:tc>
          <w:tcPr>
            <w:tcW w:w="7225" w:type="dxa"/>
            <w:shd w:val="clear" w:color="auto" w:fill="F7CAAC" w:themeFill="accent2" w:themeFillTint="66"/>
          </w:tcPr>
          <w:p w14:paraId="30AEBD55" w14:textId="20675526" w:rsidR="00C31D85" w:rsidRPr="001957F0" w:rsidRDefault="001957F0" w:rsidP="00C46111">
            <w:pPr>
              <w:rPr>
                <w:rFonts w:ascii="Aptos" w:hAnsi="Aptos"/>
                <w:color w:val="2E74B5" w:themeColor="accent5" w:themeShade="BF"/>
              </w:rPr>
            </w:pPr>
            <w:r w:rsidRPr="001957F0">
              <w:rPr>
                <w:rFonts w:ascii="Aptos" w:hAnsi="Aptos"/>
                <w:b/>
                <w:bCs/>
                <w:color w:val="2E74B5" w:themeColor="accent5" w:themeShade="BF"/>
                <w:sz w:val="40"/>
                <w:szCs w:val="40"/>
              </w:rPr>
              <w:t>03</w:t>
            </w:r>
            <w:r w:rsidRPr="001957F0">
              <w:rPr>
                <w:rFonts w:ascii="Aptos" w:hAnsi="Aptos"/>
                <w:color w:val="2E74B5" w:themeColor="accent5" w:themeShade="BF"/>
              </w:rPr>
              <w:t xml:space="preserve"> </w:t>
            </w:r>
            <w:r w:rsidRPr="001957F0">
              <w:rPr>
                <w:rFonts w:ascii="Aptos" w:hAnsi="Aptos"/>
                <w:b/>
                <w:bCs/>
                <w:color w:val="2E74B5" w:themeColor="accent5" w:themeShade="BF"/>
              </w:rPr>
              <w:t>SEARCHING FOR INFORMATION</w:t>
            </w:r>
            <w:r w:rsidRPr="001957F0">
              <w:rPr>
                <w:rFonts w:ascii="Aptos" w:hAnsi="Aptos"/>
                <w:color w:val="2E74B5" w:themeColor="accent5" w:themeShade="BF"/>
              </w:rPr>
              <w:t xml:space="preserve"> </w:t>
            </w:r>
          </w:p>
          <w:p w14:paraId="701333EA" w14:textId="3CF8B22C" w:rsidR="001957F0" w:rsidRPr="001957F0" w:rsidRDefault="001957F0" w:rsidP="001957F0">
            <w:pPr>
              <w:spacing w:line="276" w:lineRule="auto"/>
              <w:jc w:val="both"/>
              <w:rPr>
                <w:rFonts w:ascii="Aptos" w:hAnsi="Aptos"/>
                <w:sz w:val="20"/>
                <w:szCs w:val="20"/>
                <w:lang w:val="en-GB"/>
              </w:rPr>
            </w:pPr>
            <w:r w:rsidRPr="001957F0">
              <w:rPr>
                <w:rFonts w:ascii="Aptos" w:hAnsi="Aptos"/>
                <w:sz w:val="20"/>
                <w:szCs w:val="20"/>
                <w:lang w:val="en-GB"/>
              </w:rPr>
              <w:t>This project started off by conducting research that identified terms like chronic illness, self-identity, mental health, and young adults as key terms. Having narrowed my search terms, I managed to find articles published not earlier than 2015 to guarantee the topicality of the data. I have given preference to peer-reviewed journal articles, as they contain the most accurate and current information. Search strategy was iterative in nature meaning that preliminary search findings informed subsequent searches to close the gaps in the literature</w:t>
            </w:r>
            <w:r w:rsidR="00C603F3">
              <w:rPr>
                <w:rFonts w:ascii="Aptos" w:hAnsi="Aptos"/>
                <w:sz w:val="20"/>
                <w:szCs w:val="20"/>
                <w:lang w:val="en-GB"/>
              </w:rPr>
              <w:t xml:space="preserve"> (</w:t>
            </w:r>
            <w:r w:rsidR="00B76486" w:rsidRPr="00B76486">
              <w:rPr>
                <w:rFonts w:ascii="Aptos" w:hAnsi="Aptos"/>
                <w:sz w:val="20"/>
                <w:szCs w:val="20"/>
                <w:lang w:val="en-GB"/>
              </w:rPr>
              <w:t>Sutton</w:t>
            </w:r>
            <w:r w:rsidR="00B76486">
              <w:rPr>
                <w:rFonts w:ascii="Aptos" w:hAnsi="Aptos"/>
                <w:sz w:val="20"/>
                <w:szCs w:val="20"/>
                <w:lang w:val="en-GB"/>
              </w:rPr>
              <w:t xml:space="preserve"> </w:t>
            </w:r>
            <w:r w:rsidR="00B76486" w:rsidRPr="00B76486">
              <w:rPr>
                <w:rFonts w:ascii="Aptos" w:hAnsi="Aptos"/>
                <w:sz w:val="20"/>
                <w:szCs w:val="20"/>
                <w:lang w:val="en-GB"/>
              </w:rPr>
              <w:t>and Austin, 2015).</w:t>
            </w:r>
          </w:p>
        </w:tc>
        <w:tc>
          <w:tcPr>
            <w:tcW w:w="7391" w:type="dxa"/>
            <w:shd w:val="clear" w:color="auto" w:fill="D779E7"/>
          </w:tcPr>
          <w:p w14:paraId="54995ADA" w14:textId="785A0595" w:rsidR="00C31D85" w:rsidRPr="001957F0" w:rsidRDefault="001957F0" w:rsidP="00C46111">
            <w:pPr>
              <w:rPr>
                <w:rFonts w:ascii="Aptos" w:hAnsi="Aptos"/>
                <w:color w:val="000000" w:themeColor="text1"/>
              </w:rPr>
            </w:pPr>
            <w:r w:rsidRPr="001957F0">
              <w:rPr>
                <w:rFonts w:ascii="Aptos" w:hAnsi="Aptos"/>
                <w:b/>
                <w:bCs/>
                <w:color w:val="000000" w:themeColor="text1"/>
                <w:sz w:val="40"/>
                <w:szCs w:val="40"/>
              </w:rPr>
              <w:t>04</w:t>
            </w:r>
            <w:r w:rsidRPr="001957F0">
              <w:rPr>
                <w:rFonts w:ascii="Aptos" w:hAnsi="Aptos"/>
                <w:color w:val="000000" w:themeColor="text1"/>
              </w:rPr>
              <w:t xml:space="preserve"> </w:t>
            </w:r>
            <w:r w:rsidRPr="001957F0">
              <w:rPr>
                <w:rFonts w:ascii="Aptos" w:hAnsi="Aptos"/>
                <w:b/>
                <w:bCs/>
                <w:color w:val="000000" w:themeColor="text1"/>
              </w:rPr>
              <w:t xml:space="preserve">VISUAL AID </w:t>
            </w:r>
          </w:p>
          <w:p w14:paraId="2BBB997C" w14:textId="1B9F2A8A" w:rsidR="001957F0" w:rsidRPr="001957F0" w:rsidRDefault="001957F0" w:rsidP="001957F0">
            <w:pPr>
              <w:spacing w:line="360" w:lineRule="auto"/>
              <w:jc w:val="both"/>
              <w:rPr>
                <w:rFonts w:ascii="Aptos" w:hAnsi="Aptos"/>
                <w:noProof/>
              </w:rPr>
            </w:pPr>
            <w:r>
              <w:rPr>
                <w:rFonts w:ascii="Aptos" w:hAnsi="Aptos"/>
                <w:noProof/>
              </w:rPr>
              <w:drawing>
                <wp:inline distT="0" distB="0" distL="0" distR="0" wp14:anchorId="54E39016" wp14:editId="06DE3A3D">
                  <wp:extent cx="1551766" cy="946297"/>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79084" cy="962956"/>
                          </a:xfrm>
                          <a:prstGeom prst="rect">
                            <a:avLst/>
                          </a:prstGeom>
                        </pic:spPr>
                      </pic:pic>
                    </a:graphicData>
                  </a:graphic>
                </wp:inline>
              </w:drawing>
            </w:r>
            <w:r>
              <w:rPr>
                <w:rFonts w:ascii="Aptos" w:hAnsi="Aptos"/>
                <w:noProof/>
              </w:rPr>
              <w:t xml:space="preserve">     </w:t>
            </w:r>
            <w:r>
              <w:rPr>
                <w:rFonts w:ascii="Aptos" w:hAnsi="Aptos"/>
                <w:noProof/>
              </w:rPr>
              <w:drawing>
                <wp:inline distT="0" distB="0" distL="0" distR="0" wp14:anchorId="18523AC1" wp14:editId="398A4DB4">
                  <wp:extent cx="1211869" cy="919027"/>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15363" cy="921677"/>
                          </a:xfrm>
                          <a:prstGeom prst="rect">
                            <a:avLst/>
                          </a:prstGeom>
                        </pic:spPr>
                      </pic:pic>
                    </a:graphicData>
                  </a:graphic>
                </wp:inline>
              </w:drawing>
            </w:r>
            <w:r>
              <w:rPr>
                <w:rFonts w:ascii="Aptos" w:hAnsi="Aptos"/>
                <w:noProof/>
              </w:rPr>
              <w:t xml:space="preserve">     </w:t>
            </w:r>
            <w:r>
              <w:rPr>
                <w:rFonts w:ascii="Aptos" w:hAnsi="Aptos"/>
                <w:noProof/>
              </w:rPr>
              <w:drawing>
                <wp:inline distT="0" distB="0" distL="0" distR="0" wp14:anchorId="502AF768" wp14:editId="739089CE">
                  <wp:extent cx="1436539" cy="92934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51031" cy="938715"/>
                          </a:xfrm>
                          <a:prstGeom prst="rect">
                            <a:avLst/>
                          </a:prstGeom>
                        </pic:spPr>
                      </pic:pic>
                    </a:graphicData>
                  </a:graphic>
                </wp:inline>
              </w:drawing>
            </w:r>
          </w:p>
        </w:tc>
      </w:tr>
      <w:tr w:rsidR="00C31D85" w:rsidRPr="00C31D85" w14:paraId="71279A0E" w14:textId="77777777" w:rsidTr="00B448A4">
        <w:trPr>
          <w:trHeight w:val="983"/>
        </w:trPr>
        <w:tc>
          <w:tcPr>
            <w:tcW w:w="14616" w:type="dxa"/>
            <w:gridSpan w:val="2"/>
            <w:shd w:val="clear" w:color="auto" w:fill="92D050"/>
          </w:tcPr>
          <w:p w14:paraId="559B5E23" w14:textId="5D1EE168" w:rsidR="00C31D85" w:rsidRPr="00B448A4" w:rsidRDefault="00B448A4" w:rsidP="00B448A4">
            <w:pPr>
              <w:jc w:val="center"/>
              <w:rPr>
                <w:rFonts w:ascii="Aptos" w:hAnsi="Aptos"/>
                <w:b/>
                <w:bCs/>
                <w:color w:val="002060"/>
              </w:rPr>
            </w:pPr>
            <w:r w:rsidRPr="00B448A4">
              <w:rPr>
                <w:rFonts w:ascii="Aptos" w:hAnsi="Aptos"/>
                <w:b/>
                <w:bCs/>
                <w:color w:val="002060"/>
                <w:sz w:val="40"/>
                <w:szCs w:val="40"/>
              </w:rPr>
              <w:t>05</w:t>
            </w:r>
            <w:r w:rsidRPr="00B448A4">
              <w:rPr>
                <w:rFonts w:ascii="Aptos" w:hAnsi="Aptos"/>
                <w:color w:val="002060"/>
              </w:rPr>
              <w:t xml:space="preserve"> </w:t>
            </w:r>
            <w:r w:rsidRPr="00B448A4">
              <w:rPr>
                <w:rFonts w:ascii="Aptos" w:hAnsi="Aptos"/>
                <w:b/>
                <w:bCs/>
                <w:color w:val="002060"/>
              </w:rPr>
              <w:t>RESEARCH VALIDATION AND ANALYSIS</w:t>
            </w:r>
          </w:p>
          <w:p w14:paraId="74898C06" w14:textId="471653CC" w:rsidR="00B448A4" w:rsidRPr="00B448A4" w:rsidRDefault="00B448A4" w:rsidP="00B448A4">
            <w:pPr>
              <w:jc w:val="both"/>
              <w:rPr>
                <w:rFonts w:ascii="Aptos" w:hAnsi="Aptos"/>
                <w:sz w:val="20"/>
                <w:szCs w:val="20"/>
                <w:lang w:val="en-GB"/>
              </w:rPr>
            </w:pPr>
            <w:r w:rsidRPr="00B448A4">
              <w:rPr>
                <w:rFonts w:ascii="Aptos" w:hAnsi="Aptos"/>
                <w:b/>
                <w:bCs/>
                <w:sz w:val="20"/>
                <w:szCs w:val="20"/>
                <w:lang w:val="en-GB"/>
              </w:rPr>
              <w:t>Secondary Research:</w:t>
            </w:r>
            <w:r w:rsidRPr="00B448A4">
              <w:rPr>
                <w:rFonts w:ascii="Aptos" w:hAnsi="Aptos"/>
                <w:sz w:val="20"/>
                <w:szCs w:val="20"/>
                <w:lang w:val="en-GB"/>
              </w:rPr>
              <w:t xml:space="preserve"> </w:t>
            </w:r>
            <w:r w:rsidRPr="00C603F3">
              <w:rPr>
                <w:rFonts w:ascii="Aptos" w:hAnsi="Aptos"/>
                <w:sz w:val="24"/>
                <w:szCs w:val="24"/>
                <w:lang w:val="en-GB"/>
              </w:rPr>
              <w:t>In this study, I was comparing sources according to their peer-reviewed nature, the credibility of authors and how the publication complies with the academic requirements.</w:t>
            </w:r>
          </w:p>
          <w:p w14:paraId="7454B819" w14:textId="75C961C9" w:rsidR="00516CC0" w:rsidRPr="00C603F3" w:rsidRDefault="00B448A4" w:rsidP="00B448A4">
            <w:pPr>
              <w:jc w:val="both"/>
              <w:rPr>
                <w:rFonts w:ascii="Aptos" w:hAnsi="Aptos"/>
                <w:b/>
                <w:bCs/>
                <w:lang w:val="en-GB"/>
              </w:rPr>
            </w:pPr>
            <w:r w:rsidRPr="00B448A4">
              <w:rPr>
                <w:rFonts w:ascii="Aptos" w:hAnsi="Aptos"/>
                <w:b/>
                <w:bCs/>
                <w:lang w:val="en-GB"/>
              </w:rPr>
              <w:t>Thematic Analysis:</w:t>
            </w:r>
            <w:r>
              <w:rPr>
                <w:rFonts w:ascii="Aptos" w:hAnsi="Aptos"/>
                <w:lang w:val="en-GB"/>
              </w:rPr>
              <w:t xml:space="preserve"> </w:t>
            </w:r>
            <w:r w:rsidRPr="00B448A4">
              <w:rPr>
                <w:rFonts w:ascii="Aptos" w:hAnsi="Aptos"/>
                <w:lang w:val="en-GB"/>
              </w:rPr>
              <w:t>The themes identified in the analysis are the disruption of identity, coping mechanisms and emotional effects of chronic illness. The most prominent themes were social isolation, depression, body image concerns and how cultural and gender norms affect the experiences of young adults living with chronic conditions</w:t>
            </w:r>
            <w:r w:rsidR="00C603F3">
              <w:rPr>
                <w:rFonts w:ascii="Aptos" w:hAnsi="Aptos"/>
                <w:lang w:val="en-GB"/>
              </w:rPr>
              <w:t xml:space="preserve"> (</w:t>
            </w:r>
            <w:r w:rsidR="00C603F3" w:rsidRPr="00C603F3">
              <w:rPr>
                <w:rFonts w:ascii="Aptos" w:hAnsi="Aptos"/>
                <w:lang w:val="en-GB"/>
              </w:rPr>
              <w:t>Taherdoost, 2022)</w:t>
            </w:r>
            <w:r w:rsidR="00C603F3">
              <w:rPr>
                <w:rFonts w:ascii="Aptos" w:hAnsi="Aptos"/>
                <w:lang w:val="en-GB"/>
              </w:rPr>
              <w:t>.</w:t>
            </w:r>
          </w:p>
        </w:tc>
      </w:tr>
      <w:tr w:rsidR="00AB5409" w:rsidRPr="00C31D85" w14:paraId="1159AF67" w14:textId="77777777" w:rsidTr="00C603F3">
        <w:trPr>
          <w:trHeight w:val="1856"/>
        </w:trPr>
        <w:tc>
          <w:tcPr>
            <w:tcW w:w="7225" w:type="dxa"/>
            <w:shd w:val="clear" w:color="auto" w:fill="9CC2E5" w:themeFill="accent5" w:themeFillTint="99"/>
          </w:tcPr>
          <w:p w14:paraId="398EE9B0" w14:textId="4C029844" w:rsidR="00AB5409" w:rsidRDefault="00AB5409" w:rsidP="00C46111">
            <w:pPr>
              <w:rPr>
                <w:rFonts w:ascii="Aptos" w:hAnsi="Aptos"/>
              </w:rPr>
            </w:pPr>
            <w:r w:rsidRPr="00AB5409">
              <w:rPr>
                <w:rFonts w:ascii="Aptos" w:hAnsi="Aptos"/>
                <w:b/>
                <w:bCs/>
                <w:sz w:val="40"/>
                <w:szCs w:val="40"/>
              </w:rPr>
              <w:t>06</w:t>
            </w:r>
            <w:r>
              <w:rPr>
                <w:rFonts w:ascii="Aptos" w:hAnsi="Aptos"/>
              </w:rPr>
              <w:t xml:space="preserve"> </w:t>
            </w:r>
            <w:r w:rsidR="00B448A4" w:rsidRPr="005F7D75">
              <w:rPr>
                <w:rFonts w:ascii="Aptos" w:hAnsi="Aptos"/>
                <w:b/>
                <w:bCs/>
              </w:rPr>
              <w:t>INCLUSION CRITERIA</w:t>
            </w:r>
            <w:r w:rsidR="00B448A4">
              <w:rPr>
                <w:rFonts w:ascii="Aptos" w:hAnsi="Aptos"/>
              </w:rPr>
              <w:t xml:space="preserve"> </w:t>
            </w:r>
          </w:p>
          <w:p w14:paraId="00628477" w14:textId="0A0CBC85" w:rsidR="00516CC0" w:rsidRPr="00C31D85" w:rsidRDefault="00B448A4" w:rsidP="00B448A4">
            <w:pPr>
              <w:spacing w:line="360" w:lineRule="auto"/>
              <w:contextualSpacing/>
              <w:jc w:val="both"/>
              <w:rPr>
                <w:rFonts w:ascii="Aptos" w:hAnsi="Aptos"/>
              </w:rPr>
            </w:pPr>
            <w:r>
              <w:rPr>
                <w:rFonts w:ascii="Aptos" w:hAnsi="Aptos"/>
                <w:noProof/>
              </w:rPr>
              <w:drawing>
                <wp:inline distT="0" distB="0" distL="0" distR="0" wp14:anchorId="25A8EF84" wp14:editId="30E49870">
                  <wp:extent cx="4384675" cy="1972945"/>
                  <wp:effectExtent l="0" t="12700" r="0" b="825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tc>
        <w:tc>
          <w:tcPr>
            <w:tcW w:w="7391" w:type="dxa"/>
            <w:shd w:val="clear" w:color="auto" w:fill="D779E7"/>
          </w:tcPr>
          <w:p w14:paraId="253F8839" w14:textId="7DDD20D3" w:rsidR="00516CC0" w:rsidRPr="00C603F3" w:rsidRDefault="00AB5409" w:rsidP="00C603F3">
            <w:pPr>
              <w:rPr>
                <w:rFonts w:ascii="Aptos" w:hAnsi="Aptos"/>
                <w:color w:val="D779E7"/>
              </w:rPr>
            </w:pPr>
            <w:r w:rsidRPr="00AB5409">
              <w:rPr>
                <w:rFonts w:ascii="Aptos" w:hAnsi="Aptos"/>
                <w:b/>
                <w:bCs/>
                <w:sz w:val="40"/>
                <w:szCs w:val="40"/>
              </w:rPr>
              <w:t>07</w:t>
            </w:r>
            <w:r>
              <w:rPr>
                <w:rFonts w:ascii="Aptos" w:hAnsi="Aptos"/>
              </w:rPr>
              <w:t xml:space="preserve"> </w:t>
            </w:r>
            <w:r w:rsidR="00C603F3" w:rsidRPr="005F7D75">
              <w:rPr>
                <w:rFonts w:ascii="Aptos" w:hAnsi="Aptos"/>
                <w:b/>
                <w:bCs/>
              </w:rPr>
              <w:t>EXCLUSION CRITERIA</w:t>
            </w:r>
            <w:r w:rsidR="00C603F3">
              <w:rPr>
                <w:rFonts w:ascii="Aptos" w:hAnsi="Aptos"/>
              </w:rPr>
              <w:t xml:space="preserve"> </w:t>
            </w:r>
            <w:r w:rsidR="00C603F3">
              <w:rPr>
                <w:rFonts w:ascii="Aptos" w:hAnsi="Aptos"/>
                <w:noProof/>
              </w:rPr>
              <w:drawing>
                <wp:inline distT="0" distB="0" distL="0" distR="0" wp14:anchorId="49B191F8" wp14:editId="3BFE8610">
                  <wp:extent cx="4421505" cy="2156347"/>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tc>
      </w:tr>
      <w:tr w:rsidR="00C31D85" w:rsidRPr="00C31D85" w14:paraId="583C9C87" w14:textId="77777777" w:rsidTr="00C603F3">
        <w:trPr>
          <w:trHeight w:val="1798"/>
        </w:trPr>
        <w:tc>
          <w:tcPr>
            <w:tcW w:w="14616" w:type="dxa"/>
            <w:gridSpan w:val="2"/>
            <w:shd w:val="clear" w:color="auto" w:fill="FFE599" w:themeFill="accent4" w:themeFillTint="66"/>
          </w:tcPr>
          <w:p w14:paraId="25F9BBF5" w14:textId="77777777" w:rsidR="00F52F83" w:rsidRPr="00C603F3" w:rsidRDefault="00C603F3" w:rsidP="00C603F3">
            <w:pPr>
              <w:jc w:val="center"/>
              <w:rPr>
                <w:rFonts w:ascii="Aptos" w:hAnsi="Aptos"/>
                <w:b/>
                <w:bCs/>
                <w:color w:val="1F3864" w:themeColor="accent1" w:themeShade="80"/>
                <w:sz w:val="24"/>
                <w:szCs w:val="24"/>
              </w:rPr>
            </w:pPr>
            <w:r w:rsidRPr="00C603F3">
              <w:rPr>
                <w:rFonts w:ascii="Aptos" w:hAnsi="Aptos"/>
                <w:b/>
                <w:bCs/>
                <w:color w:val="1F3864" w:themeColor="accent1" w:themeShade="80"/>
                <w:sz w:val="24"/>
                <w:szCs w:val="24"/>
              </w:rPr>
              <w:t>08</w:t>
            </w:r>
            <w:r w:rsidRPr="00C603F3">
              <w:rPr>
                <w:rFonts w:ascii="Aptos" w:hAnsi="Aptos"/>
                <w:color w:val="1F3864" w:themeColor="accent1" w:themeShade="80"/>
                <w:sz w:val="24"/>
                <w:szCs w:val="24"/>
              </w:rPr>
              <w:t xml:space="preserve"> </w:t>
            </w:r>
            <w:r w:rsidRPr="00C603F3">
              <w:rPr>
                <w:rFonts w:ascii="Aptos" w:hAnsi="Aptos"/>
                <w:b/>
                <w:bCs/>
                <w:color w:val="1F3864" w:themeColor="accent1" w:themeShade="80"/>
                <w:sz w:val="24"/>
                <w:szCs w:val="24"/>
              </w:rPr>
              <w:t>ETHICAL CONSIDERATIONS</w:t>
            </w:r>
          </w:p>
          <w:p w14:paraId="28D04039" w14:textId="1E033DB4" w:rsidR="00C603F3" w:rsidRPr="00C603F3" w:rsidRDefault="00C603F3" w:rsidP="00C603F3">
            <w:pPr>
              <w:jc w:val="both"/>
              <w:rPr>
                <w:rFonts w:ascii="Arial" w:hAnsi="Arial" w:cs="Arial"/>
              </w:rPr>
            </w:pPr>
            <w:r w:rsidRPr="00C603F3">
              <w:rPr>
                <w:rFonts w:ascii="Arial" w:hAnsi="Arial" w:cs="Arial"/>
              </w:rPr>
              <w:t>Ethics in secondary research is a guarantee that utilisation of available data is not an abuse of the privacy and confidentiality of individuals that were used in the original research</w:t>
            </w:r>
            <w:r w:rsidR="00B76486">
              <w:rPr>
                <w:rFonts w:ascii="Arial" w:hAnsi="Arial" w:cs="Arial"/>
              </w:rPr>
              <w:t xml:space="preserve"> (</w:t>
            </w:r>
            <w:r w:rsidR="00B76486" w:rsidRPr="00B76486">
              <w:rPr>
                <w:rFonts w:ascii="Arial" w:hAnsi="Arial" w:cs="Arial"/>
              </w:rPr>
              <w:t>Steinberg, 2020).</w:t>
            </w:r>
            <w:r w:rsidRPr="00C603F3">
              <w:rPr>
                <w:rFonts w:ascii="Arial" w:hAnsi="Arial" w:cs="Arial"/>
              </w:rPr>
              <w:t xml:space="preserve"> The study follows ethical consideration since the secondary data used in the study is publicly available and the study findings will not be detrimental to the anonymity of the participants. It is also not reliant on sources where informed consent might not have been well defined.</w:t>
            </w: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D11027">
      <w:pPr>
        <w:ind w:left="720"/>
      </w:pPr>
      <w:r w:rsidRPr="00ED1049">
        <w:rPr>
          <w:rFonts w:ascii="Arial" w:hAnsi="Arial" w:cs="Arial"/>
          <w:b/>
          <w:bCs/>
          <w:sz w:val="28"/>
          <w:szCs w:val="28"/>
        </w:rPr>
        <w:t>References</w:t>
      </w:r>
    </w:p>
    <w:p w14:paraId="5CD8D054" w14:textId="77777777" w:rsidR="00B76486" w:rsidRPr="00C603F3" w:rsidRDefault="00B76486" w:rsidP="00D11027">
      <w:pPr>
        <w:ind w:left="720"/>
        <w:rPr>
          <w:rFonts w:ascii="Arial" w:hAnsi="Arial" w:cs="Arial"/>
        </w:rPr>
      </w:pPr>
      <w:r w:rsidRPr="00C603F3">
        <w:rPr>
          <w:rFonts w:ascii="Arial" w:hAnsi="Arial" w:cs="Arial"/>
        </w:rPr>
        <w:t>Acoba, E.F. (2024). Social support and mental health: The mediating role of perceived stress. </w:t>
      </w:r>
      <w:r w:rsidRPr="00C603F3">
        <w:rPr>
          <w:rFonts w:ascii="Arial" w:hAnsi="Arial" w:cs="Arial"/>
          <w:i/>
          <w:iCs/>
        </w:rPr>
        <w:t>Frontiers in Psychology</w:t>
      </w:r>
      <w:r w:rsidRPr="00C603F3">
        <w:rPr>
          <w:rFonts w:ascii="Arial" w:hAnsi="Arial" w:cs="Arial"/>
        </w:rPr>
        <w:t xml:space="preserve">, [online] 15(15), pp.1–12. doi: </w:t>
      </w:r>
      <w:hyperlink r:id="rId26" w:history="1">
        <w:r w:rsidRPr="00C603F3">
          <w:rPr>
            <w:rStyle w:val="Hyperlink"/>
            <w:rFonts w:ascii="Arial" w:hAnsi="Arial" w:cs="Arial"/>
          </w:rPr>
          <w:t>https://doi.org/10.3389/fpsyg.2024.1330720</w:t>
        </w:r>
      </w:hyperlink>
      <w:r w:rsidRPr="00C603F3">
        <w:rPr>
          <w:rFonts w:ascii="Arial" w:hAnsi="Arial" w:cs="Arial"/>
        </w:rPr>
        <w:t xml:space="preserve">. </w:t>
      </w:r>
    </w:p>
    <w:p w14:paraId="04BD024F" w14:textId="77777777" w:rsidR="00B76486" w:rsidRPr="00C603F3" w:rsidRDefault="00B76486" w:rsidP="00D11027">
      <w:pPr>
        <w:ind w:left="720"/>
        <w:rPr>
          <w:rFonts w:ascii="Arial" w:hAnsi="Arial" w:cs="Arial"/>
        </w:rPr>
      </w:pPr>
      <w:r w:rsidRPr="00C603F3">
        <w:rPr>
          <w:rFonts w:ascii="Arial" w:hAnsi="Arial" w:cs="Arial"/>
        </w:rPr>
        <w:t>Bonino, S., Calandri, E. and Cattelino, E. (2025). Living with a chronic illness as a challenge to psychological development: The role of personal identity, sense of coherence and perceived self-efficacy. </w:t>
      </w:r>
      <w:r w:rsidRPr="00C603F3">
        <w:rPr>
          <w:rFonts w:ascii="Arial" w:hAnsi="Arial" w:cs="Arial"/>
          <w:i/>
          <w:iCs/>
        </w:rPr>
        <w:t>Social Sciences &amp; Humanities Open</w:t>
      </w:r>
      <w:r w:rsidRPr="00C603F3">
        <w:rPr>
          <w:rFonts w:ascii="Arial" w:hAnsi="Arial" w:cs="Arial"/>
        </w:rPr>
        <w:t xml:space="preserve">, 11, p.101620. doi: </w:t>
      </w:r>
      <w:hyperlink r:id="rId27" w:history="1">
        <w:r w:rsidRPr="00C603F3">
          <w:rPr>
            <w:rStyle w:val="Hyperlink"/>
            <w:rFonts w:ascii="Arial" w:hAnsi="Arial" w:cs="Arial"/>
          </w:rPr>
          <w:t>https://doi.org/10.1016/j.ssaho.2025.101620</w:t>
        </w:r>
      </w:hyperlink>
      <w:r w:rsidRPr="00C603F3">
        <w:rPr>
          <w:rFonts w:ascii="Arial" w:hAnsi="Arial" w:cs="Arial"/>
        </w:rPr>
        <w:t xml:space="preserve">. </w:t>
      </w:r>
    </w:p>
    <w:p w14:paraId="620E315E" w14:textId="77777777" w:rsidR="00B76486" w:rsidRPr="00C603F3" w:rsidRDefault="00B76486" w:rsidP="00D11027">
      <w:pPr>
        <w:ind w:left="720"/>
        <w:rPr>
          <w:rFonts w:ascii="Arial" w:hAnsi="Arial" w:cs="Arial"/>
        </w:rPr>
      </w:pPr>
      <w:r w:rsidRPr="00C603F3">
        <w:rPr>
          <w:rFonts w:ascii="Arial" w:hAnsi="Arial" w:cs="Arial"/>
        </w:rPr>
        <w:t>Steinberg, H. (2020). Distance and acceptance: Identity formation in young adults with chronic health conditions. </w:t>
      </w:r>
      <w:r w:rsidRPr="00C603F3">
        <w:rPr>
          <w:rFonts w:ascii="Arial" w:hAnsi="Arial" w:cs="Arial"/>
          <w:i/>
          <w:iCs/>
        </w:rPr>
        <w:t>Advances in Life Course Research</w:t>
      </w:r>
      <w:r w:rsidRPr="00C603F3">
        <w:rPr>
          <w:rFonts w:ascii="Arial" w:hAnsi="Arial" w:cs="Arial"/>
        </w:rPr>
        <w:t xml:space="preserve">, 44, p.100325. doi: </w:t>
      </w:r>
      <w:hyperlink r:id="rId28" w:history="1">
        <w:r w:rsidRPr="00C603F3">
          <w:rPr>
            <w:rStyle w:val="Hyperlink"/>
            <w:rFonts w:ascii="Arial" w:hAnsi="Arial" w:cs="Arial"/>
          </w:rPr>
          <w:t>https://doi.org/10.1016/j.alcr.2020.100325</w:t>
        </w:r>
      </w:hyperlink>
      <w:r w:rsidRPr="00C603F3">
        <w:rPr>
          <w:rFonts w:ascii="Arial" w:hAnsi="Arial" w:cs="Arial"/>
        </w:rPr>
        <w:t>.</w:t>
      </w:r>
    </w:p>
    <w:p w14:paraId="5588C47B" w14:textId="77777777" w:rsidR="00B76486" w:rsidRPr="00C603F3" w:rsidRDefault="00B76486" w:rsidP="00D11027">
      <w:pPr>
        <w:ind w:left="720"/>
        <w:rPr>
          <w:rFonts w:ascii="Arial" w:hAnsi="Arial" w:cs="Arial"/>
        </w:rPr>
      </w:pPr>
      <w:r w:rsidRPr="00C603F3">
        <w:rPr>
          <w:rFonts w:ascii="Arial" w:hAnsi="Arial" w:cs="Arial"/>
        </w:rPr>
        <w:t>Sutton, J. and Austin, Z. (2015). Qualitative Research: Data Collection, Analysis, and Management. </w:t>
      </w:r>
      <w:r w:rsidRPr="00C603F3">
        <w:rPr>
          <w:rFonts w:ascii="Arial" w:hAnsi="Arial" w:cs="Arial"/>
          <w:i/>
          <w:iCs/>
        </w:rPr>
        <w:t>The Canadian Journal of Hospital Pharmacy</w:t>
      </w:r>
      <w:r w:rsidRPr="00C603F3">
        <w:rPr>
          <w:rFonts w:ascii="Arial" w:hAnsi="Arial" w:cs="Arial"/>
        </w:rPr>
        <w:t xml:space="preserve">, 68(3), pp.226–231. doi: </w:t>
      </w:r>
      <w:hyperlink r:id="rId29" w:history="1">
        <w:r w:rsidRPr="00C603F3">
          <w:rPr>
            <w:rStyle w:val="Hyperlink"/>
            <w:rFonts w:ascii="Arial" w:hAnsi="Arial" w:cs="Arial"/>
          </w:rPr>
          <w:t>https://doi.org/10.4212/cjhp.v68i3.1456</w:t>
        </w:r>
      </w:hyperlink>
      <w:r w:rsidRPr="00C603F3">
        <w:rPr>
          <w:rFonts w:ascii="Arial" w:hAnsi="Arial" w:cs="Arial"/>
        </w:rPr>
        <w:t xml:space="preserve">. </w:t>
      </w:r>
    </w:p>
    <w:p w14:paraId="7AE67AA5" w14:textId="77777777" w:rsidR="00B76486" w:rsidRPr="00C603F3" w:rsidRDefault="00B76486" w:rsidP="00D11027">
      <w:pPr>
        <w:ind w:left="720"/>
        <w:rPr>
          <w:rFonts w:ascii="Arial" w:eastAsia="Calibri" w:hAnsi="Arial" w:cs="Arial"/>
        </w:rPr>
      </w:pPr>
      <w:r w:rsidRPr="00C603F3">
        <w:rPr>
          <w:rFonts w:ascii="Arial" w:hAnsi="Arial" w:cs="Arial"/>
        </w:rPr>
        <w:t xml:space="preserve"> </w:t>
      </w:r>
      <w:r w:rsidRPr="00C603F3">
        <w:rPr>
          <w:rFonts w:ascii="Arial" w:eastAsia="Calibri" w:hAnsi="Arial" w:cs="Arial"/>
        </w:rPr>
        <w:t>Taherdoost, H. (2022). </w:t>
      </w:r>
      <w:r w:rsidRPr="00C603F3">
        <w:rPr>
          <w:rFonts w:ascii="Arial" w:eastAsia="Calibri" w:hAnsi="Arial" w:cs="Arial"/>
          <w:i/>
          <w:iCs/>
        </w:rPr>
        <w:t>What are Different Research Approaches? Comprehensive Review of Qualitative, Quantitative, and Mixed Method Research, Their Applications, Types, and Limitations</w:t>
      </w:r>
      <w:r w:rsidRPr="00C603F3">
        <w:rPr>
          <w:rFonts w:ascii="Arial" w:eastAsia="Calibri" w:hAnsi="Arial" w:cs="Arial"/>
        </w:rPr>
        <w:t xml:space="preserve">. [online] papers.ssrn.com. Available at: </w:t>
      </w:r>
      <w:hyperlink r:id="rId30" w:history="1">
        <w:r w:rsidRPr="00C603F3">
          <w:rPr>
            <w:rFonts w:ascii="Arial" w:eastAsia="Calibri" w:hAnsi="Arial" w:cs="Arial"/>
            <w:color w:val="0563C1"/>
            <w:u w:val="single"/>
          </w:rPr>
          <w:t>https://papers.ssrn.com/sol3/papers.cfm?abstract_id=4178694</w:t>
        </w:r>
      </w:hyperlink>
      <w:r w:rsidRPr="00C603F3">
        <w:rPr>
          <w:rFonts w:ascii="Arial" w:eastAsia="Calibri" w:hAnsi="Arial" w:cs="Arial"/>
        </w:rPr>
        <w:t xml:space="preserve">. </w:t>
      </w:r>
    </w:p>
    <w:p w14:paraId="643C893F" w14:textId="77777777" w:rsidR="00C603F3" w:rsidRPr="00C603F3" w:rsidRDefault="00C603F3" w:rsidP="00C603F3">
      <w:pPr>
        <w:rPr>
          <w:rFonts w:ascii="Arial" w:eastAsia="Calibri" w:hAnsi="Arial" w:cs="Times New Roman"/>
        </w:rPr>
      </w:pPr>
    </w:p>
    <w:p w14:paraId="505D8FA9" w14:textId="165C4682" w:rsidR="00C603F3" w:rsidRPr="007E4BB1" w:rsidRDefault="00C603F3" w:rsidP="00C603F3"/>
    <w:p w14:paraId="787444DC" w14:textId="77777777" w:rsidR="00EB6F36" w:rsidRDefault="00EB6F36" w:rsidP="00C46111">
      <w:pPr>
        <w:rPr>
          <w:rFonts w:ascii="Arial" w:hAnsi="Arial" w:cs="Arial"/>
          <w:sz w:val="24"/>
          <w:szCs w:val="24"/>
        </w:rPr>
      </w:pPr>
    </w:p>
    <w:p w14:paraId="725FE163" w14:textId="0217A54B" w:rsidR="00EB6F36" w:rsidRDefault="00846694" w:rsidP="00C46111">
      <w:pPr>
        <w:rPr>
          <w:noProof/>
        </w:rPr>
      </w:pPr>
      <w:r w:rsidRPr="00846694">
        <w:rPr>
          <w:noProof/>
        </w:rPr>
        <w:t xml:space="preserve"> </w:t>
      </w:r>
    </w:p>
    <w:p w14:paraId="1117C621" w14:textId="77777777" w:rsidR="005F7D75" w:rsidRDefault="005F7D75" w:rsidP="00C46111">
      <w:pPr>
        <w:rPr>
          <w:noProof/>
        </w:rPr>
      </w:pP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2B1D5641" w14:textId="77777777" w:rsidR="005F7D75" w:rsidRDefault="005F7D75" w:rsidP="00C46111">
      <w:pPr>
        <w:rPr>
          <w:noProof/>
        </w:rPr>
      </w:pPr>
    </w:p>
    <w:p w14:paraId="75B17DEF" w14:textId="77777777" w:rsidR="005F7D75" w:rsidRDefault="005F7D75" w:rsidP="00C46111">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627B7AC3" w14:textId="77777777" w:rsidR="005F7D75" w:rsidRDefault="005F7D75" w:rsidP="00C46111">
      <w:pPr>
        <w:rPr>
          <w:noProof/>
        </w:rPr>
      </w:pPr>
    </w:p>
    <w:p w14:paraId="3D2E15B5" w14:textId="77777777" w:rsidR="005F7D75" w:rsidRDefault="005F7D75" w:rsidP="00C46111">
      <w:pPr>
        <w:rPr>
          <w:noProof/>
        </w:rPr>
      </w:pPr>
    </w:p>
    <w:p w14:paraId="0E66DCC4" w14:textId="77777777" w:rsidR="005F7D75" w:rsidRDefault="005F7D75" w:rsidP="00C46111">
      <w:pPr>
        <w:rPr>
          <w:noProof/>
        </w:rPr>
      </w:pPr>
    </w:p>
    <w:sectPr w:rsidR="005F7D75"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CE8594" w14:textId="77777777" w:rsidR="00EF55FB" w:rsidRDefault="00EF55FB" w:rsidP="00D210FA">
      <w:pPr>
        <w:spacing w:after="0"/>
      </w:pPr>
      <w:r>
        <w:separator/>
      </w:r>
    </w:p>
  </w:endnote>
  <w:endnote w:type="continuationSeparator" w:id="0">
    <w:p w14:paraId="4F29DFFA" w14:textId="77777777" w:rsidR="00EF55FB" w:rsidRDefault="00EF55FB"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CD4EF9" w14:textId="77777777" w:rsidR="00EF55FB" w:rsidRDefault="00EF55FB" w:rsidP="00D210FA">
      <w:pPr>
        <w:spacing w:after="0"/>
      </w:pPr>
      <w:r>
        <w:separator/>
      </w:r>
    </w:p>
  </w:footnote>
  <w:footnote w:type="continuationSeparator" w:id="0">
    <w:p w14:paraId="12EB5A12" w14:textId="77777777" w:rsidR="00EF55FB" w:rsidRDefault="00EF55FB"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91818572">
    <w:abstractNumId w:val="4"/>
  </w:num>
  <w:num w:numId="2" w16cid:durableId="1392846130">
    <w:abstractNumId w:val="3"/>
  </w:num>
  <w:num w:numId="3" w16cid:durableId="1765611689">
    <w:abstractNumId w:val="11"/>
  </w:num>
  <w:num w:numId="4" w16cid:durableId="1587835201">
    <w:abstractNumId w:val="12"/>
  </w:num>
  <w:num w:numId="5" w16cid:durableId="618992602">
    <w:abstractNumId w:val="7"/>
  </w:num>
  <w:num w:numId="6" w16cid:durableId="195192436">
    <w:abstractNumId w:val="6"/>
  </w:num>
  <w:num w:numId="7" w16cid:durableId="1757094686">
    <w:abstractNumId w:val="9"/>
  </w:num>
  <w:num w:numId="8" w16cid:durableId="528615162">
    <w:abstractNumId w:val="8"/>
  </w:num>
  <w:num w:numId="9" w16cid:durableId="1856841252">
    <w:abstractNumId w:val="2"/>
  </w:num>
  <w:num w:numId="10" w16cid:durableId="1062632330">
    <w:abstractNumId w:val="0"/>
  </w:num>
  <w:num w:numId="11" w16cid:durableId="1029406004">
    <w:abstractNumId w:val="5"/>
  </w:num>
  <w:num w:numId="12" w16cid:durableId="2128814015">
    <w:abstractNumId w:val="1"/>
  </w:num>
  <w:num w:numId="13" w16cid:durableId="164646822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movePersonalInformation/>
  <w:removeDateAndTime/>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E56ED"/>
    <w:rsid w:val="00106FC5"/>
    <w:rsid w:val="00120DEC"/>
    <w:rsid w:val="00123C19"/>
    <w:rsid w:val="001957F0"/>
    <w:rsid w:val="001A2DAB"/>
    <w:rsid w:val="001C55B6"/>
    <w:rsid w:val="001D6CC4"/>
    <w:rsid w:val="00206405"/>
    <w:rsid w:val="002341AD"/>
    <w:rsid w:val="00253267"/>
    <w:rsid w:val="002823CD"/>
    <w:rsid w:val="00287787"/>
    <w:rsid w:val="00291685"/>
    <w:rsid w:val="0029329C"/>
    <w:rsid w:val="002B0A3D"/>
    <w:rsid w:val="002F26AB"/>
    <w:rsid w:val="003007A7"/>
    <w:rsid w:val="003257E1"/>
    <w:rsid w:val="00325DEC"/>
    <w:rsid w:val="00346FFA"/>
    <w:rsid w:val="00385494"/>
    <w:rsid w:val="003A3069"/>
    <w:rsid w:val="003C20B5"/>
    <w:rsid w:val="003E545F"/>
    <w:rsid w:val="003F03D2"/>
    <w:rsid w:val="003F1E1A"/>
    <w:rsid w:val="004045E5"/>
    <w:rsid w:val="00421496"/>
    <w:rsid w:val="00422C27"/>
    <w:rsid w:val="0044367C"/>
    <w:rsid w:val="0044412C"/>
    <w:rsid w:val="004642F0"/>
    <w:rsid w:val="00500564"/>
    <w:rsid w:val="0051102B"/>
    <w:rsid w:val="00516CC0"/>
    <w:rsid w:val="005475F0"/>
    <w:rsid w:val="00582081"/>
    <w:rsid w:val="005838BC"/>
    <w:rsid w:val="005B57E1"/>
    <w:rsid w:val="005E61E0"/>
    <w:rsid w:val="005F0F31"/>
    <w:rsid w:val="005F7D75"/>
    <w:rsid w:val="006024ED"/>
    <w:rsid w:val="0061793F"/>
    <w:rsid w:val="0062123A"/>
    <w:rsid w:val="006605F8"/>
    <w:rsid w:val="006676A1"/>
    <w:rsid w:val="006833BD"/>
    <w:rsid w:val="006C11B2"/>
    <w:rsid w:val="006D2642"/>
    <w:rsid w:val="006E2D42"/>
    <w:rsid w:val="00720FEE"/>
    <w:rsid w:val="00744DE5"/>
    <w:rsid w:val="00764B6F"/>
    <w:rsid w:val="007C7319"/>
    <w:rsid w:val="007D10CF"/>
    <w:rsid w:val="007D43B3"/>
    <w:rsid w:val="007F20B4"/>
    <w:rsid w:val="007F525E"/>
    <w:rsid w:val="00802FF1"/>
    <w:rsid w:val="008127A7"/>
    <w:rsid w:val="0082695D"/>
    <w:rsid w:val="0083044C"/>
    <w:rsid w:val="00846694"/>
    <w:rsid w:val="0085182D"/>
    <w:rsid w:val="00867E5F"/>
    <w:rsid w:val="008709F5"/>
    <w:rsid w:val="00877A91"/>
    <w:rsid w:val="00884E86"/>
    <w:rsid w:val="00890534"/>
    <w:rsid w:val="00891124"/>
    <w:rsid w:val="008927FF"/>
    <w:rsid w:val="008B0F18"/>
    <w:rsid w:val="008B5B69"/>
    <w:rsid w:val="008C1616"/>
    <w:rsid w:val="008E3921"/>
    <w:rsid w:val="0090027B"/>
    <w:rsid w:val="00905238"/>
    <w:rsid w:val="0094702A"/>
    <w:rsid w:val="00967DAB"/>
    <w:rsid w:val="00990E76"/>
    <w:rsid w:val="00991A53"/>
    <w:rsid w:val="00996F4E"/>
    <w:rsid w:val="009A1A4E"/>
    <w:rsid w:val="009F71FE"/>
    <w:rsid w:val="00A27D8D"/>
    <w:rsid w:val="00A31F33"/>
    <w:rsid w:val="00A70A62"/>
    <w:rsid w:val="00A71DA8"/>
    <w:rsid w:val="00A90A7A"/>
    <w:rsid w:val="00AB1210"/>
    <w:rsid w:val="00AB5409"/>
    <w:rsid w:val="00AB770D"/>
    <w:rsid w:val="00AF2088"/>
    <w:rsid w:val="00AF5FB0"/>
    <w:rsid w:val="00B0080A"/>
    <w:rsid w:val="00B0538C"/>
    <w:rsid w:val="00B376E4"/>
    <w:rsid w:val="00B37AB8"/>
    <w:rsid w:val="00B418DE"/>
    <w:rsid w:val="00B448A4"/>
    <w:rsid w:val="00B47FE7"/>
    <w:rsid w:val="00B67824"/>
    <w:rsid w:val="00B76486"/>
    <w:rsid w:val="00BE15BA"/>
    <w:rsid w:val="00C20ED0"/>
    <w:rsid w:val="00C31D85"/>
    <w:rsid w:val="00C348A8"/>
    <w:rsid w:val="00C34FA0"/>
    <w:rsid w:val="00C46111"/>
    <w:rsid w:val="00C47DCC"/>
    <w:rsid w:val="00C603F3"/>
    <w:rsid w:val="00C83332"/>
    <w:rsid w:val="00C95E04"/>
    <w:rsid w:val="00CC0A8F"/>
    <w:rsid w:val="00CC24B6"/>
    <w:rsid w:val="00CD3A64"/>
    <w:rsid w:val="00CE08CD"/>
    <w:rsid w:val="00D0664A"/>
    <w:rsid w:val="00D11027"/>
    <w:rsid w:val="00D210FA"/>
    <w:rsid w:val="00D30F1D"/>
    <w:rsid w:val="00D57231"/>
    <w:rsid w:val="00D87B48"/>
    <w:rsid w:val="00D91203"/>
    <w:rsid w:val="00D94FD1"/>
    <w:rsid w:val="00E41692"/>
    <w:rsid w:val="00E55D74"/>
    <w:rsid w:val="00E81234"/>
    <w:rsid w:val="00E9037E"/>
    <w:rsid w:val="00EA120D"/>
    <w:rsid w:val="00EA49C3"/>
    <w:rsid w:val="00EB5E14"/>
    <w:rsid w:val="00EB6F36"/>
    <w:rsid w:val="00ED1049"/>
    <w:rsid w:val="00EE19D9"/>
    <w:rsid w:val="00EF26FC"/>
    <w:rsid w:val="00EF55FB"/>
    <w:rsid w:val="00F37523"/>
    <w:rsid w:val="00F50168"/>
    <w:rsid w:val="00F50D34"/>
    <w:rsid w:val="00F52F83"/>
    <w:rsid w:val="00F61360"/>
    <w:rsid w:val="00FA672B"/>
    <w:rsid w:val="00FB37F0"/>
    <w:rsid w:val="00FC538A"/>
    <w:rsid w:val="00FE2B9F"/>
    <w:rsid w:val="00FF3CF0"/>
    <w:rsid w:val="00FF4076"/>
    <w:rsid w:val="00FF43C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C603F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diagramQuickStyle" Target="diagrams/quickStyle1.xml"/><Relationship Id="rId26" Type="http://schemas.openxmlformats.org/officeDocument/2006/relationships/hyperlink" Target="https://doi.org/10.3389/fpsyg.2024.1330720" TargetMode="External"/><Relationship Id="rId3" Type="http://schemas.openxmlformats.org/officeDocument/2006/relationships/customXml" Target="../customXml/item3.xml"/><Relationship Id="rId21" Type="http://schemas.openxmlformats.org/officeDocument/2006/relationships/diagramData" Target="diagrams/data2.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diagramLayout" Target="diagrams/layout1.xml"/><Relationship Id="rId25" Type="http://schemas.microsoft.com/office/2007/relationships/diagramDrawing" Target="diagrams/drawing2.xml"/><Relationship Id="rId2" Type="http://schemas.openxmlformats.org/officeDocument/2006/relationships/customXml" Target="../customXml/item2.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hyperlink" Target="https://doi.org/10.4212/cjhp.v68i3.145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diagramColors" Target="diagrams/colors2.xm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diagramQuickStyle" Target="diagrams/quickStyle2.xml"/><Relationship Id="rId28" Type="http://schemas.openxmlformats.org/officeDocument/2006/relationships/hyperlink" Target="https://doi.org/10.1016/j.alcr.2020.100325" TargetMode="External"/><Relationship Id="rId10" Type="http://schemas.openxmlformats.org/officeDocument/2006/relationships/endnotes" Target="endnotes.xml"/><Relationship Id="rId19" Type="http://schemas.openxmlformats.org/officeDocument/2006/relationships/diagramColors" Target="diagrams/colors1.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diagramLayout" Target="diagrams/layout2.xml"/><Relationship Id="rId27" Type="http://schemas.openxmlformats.org/officeDocument/2006/relationships/hyperlink" Target="https://doi.org/10.1016/j.ssaho.2025.101620" TargetMode="External"/><Relationship Id="rId30" Type="http://schemas.openxmlformats.org/officeDocument/2006/relationships/hyperlink" Target="https://papers.ssrn.com/sol3/papers.cfm?abstract_id=4178694"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FA2EAD0-3C06-4945-929D-91E5FCD207AF}" type="doc">
      <dgm:prSet loTypeId="urn:microsoft.com/office/officeart/2005/8/layout/pyramid2" loCatId="list" qsTypeId="urn:microsoft.com/office/officeart/2005/8/quickstyle/simple1" qsCatId="simple" csTypeId="urn:microsoft.com/office/officeart/2005/8/colors/colorful4" csCatId="colorful" phldr="1"/>
      <dgm:spPr/>
    </dgm:pt>
    <dgm:pt modelId="{E840DFF2-A9A7-4925-A8A4-03C0E88E9C2C}">
      <dgm:prSet phldrT="[Text]" custT="1"/>
      <dgm:spPr/>
      <dgm:t>
        <a:bodyPr/>
        <a:lstStyle/>
        <a:p>
          <a:r>
            <a:rPr lang="en-US" sz="1000"/>
            <a:t>References that are not older than 10 years to make them relevant.</a:t>
          </a:r>
        </a:p>
      </dgm:t>
    </dgm:pt>
    <dgm:pt modelId="{D3B73663-0DEB-4C7A-B4AF-5E90C4A250B0}" type="parTrans" cxnId="{1E65D214-8F18-4C5F-A6BE-1DF1CE8D53BB}">
      <dgm:prSet/>
      <dgm:spPr/>
      <dgm:t>
        <a:bodyPr/>
        <a:lstStyle/>
        <a:p>
          <a:endParaRPr lang="en-US"/>
        </a:p>
      </dgm:t>
    </dgm:pt>
    <dgm:pt modelId="{F6954EF2-5732-48C5-988E-CE6B8D23659C}" type="sibTrans" cxnId="{1E65D214-8F18-4C5F-A6BE-1DF1CE8D53BB}">
      <dgm:prSet/>
      <dgm:spPr/>
      <dgm:t>
        <a:bodyPr/>
        <a:lstStyle/>
        <a:p>
          <a:endParaRPr lang="en-US"/>
        </a:p>
      </dgm:t>
    </dgm:pt>
    <dgm:pt modelId="{7CEA1727-B40F-4A9B-8403-64DC4D1FEDEA}">
      <dgm:prSet phldrT="[Text]"/>
      <dgm:spPr/>
      <dgm:t>
        <a:bodyPr/>
        <a:lstStyle/>
        <a:p>
          <a:r>
            <a:rPr lang="en-US"/>
            <a:t>Online, full-text articles, which are peer-reviewed articles.</a:t>
          </a:r>
        </a:p>
      </dgm:t>
    </dgm:pt>
    <dgm:pt modelId="{1D59CD69-8466-4EF4-B7E4-2FEEC0F1693A}" type="parTrans" cxnId="{19298B63-2975-4027-9F91-A19B46D63824}">
      <dgm:prSet/>
      <dgm:spPr/>
      <dgm:t>
        <a:bodyPr/>
        <a:lstStyle/>
        <a:p>
          <a:endParaRPr lang="en-US"/>
        </a:p>
      </dgm:t>
    </dgm:pt>
    <dgm:pt modelId="{96F73250-4691-4D8D-8D6B-B54E93660E8D}" type="sibTrans" cxnId="{19298B63-2975-4027-9F91-A19B46D63824}">
      <dgm:prSet/>
      <dgm:spPr/>
      <dgm:t>
        <a:bodyPr/>
        <a:lstStyle/>
        <a:p>
          <a:endParaRPr lang="en-US"/>
        </a:p>
      </dgm:t>
    </dgm:pt>
    <dgm:pt modelId="{1FCCF161-5632-43C5-B944-C35D36FA5B98}">
      <dgm:prSet custT="1"/>
      <dgm:spPr/>
      <dgm:t>
        <a:bodyPr/>
        <a:lstStyle/>
        <a:p>
          <a:r>
            <a:rPr lang="en-US" sz="900"/>
            <a:t>Research that involves young adults (18-30) with chronic conditions.</a:t>
          </a:r>
        </a:p>
      </dgm:t>
    </dgm:pt>
    <dgm:pt modelId="{245B2319-FFA4-47B7-A89F-D6F1E39ACC6B}" type="parTrans" cxnId="{A1F3F1FA-4213-4A78-B98D-71A43C0E89AC}">
      <dgm:prSet/>
      <dgm:spPr/>
      <dgm:t>
        <a:bodyPr/>
        <a:lstStyle/>
        <a:p>
          <a:endParaRPr lang="en-US"/>
        </a:p>
      </dgm:t>
    </dgm:pt>
    <dgm:pt modelId="{3DBCDC34-11C1-4B77-AE8D-DC02F5152F60}" type="sibTrans" cxnId="{A1F3F1FA-4213-4A78-B98D-71A43C0E89AC}">
      <dgm:prSet/>
      <dgm:spPr/>
      <dgm:t>
        <a:bodyPr/>
        <a:lstStyle/>
        <a:p>
          <a:endParaRPr lang="en-US"/>
        </a:p>
      </dgm:t>
    </dgm:pt>
    <dgm:pt modelId="{DFF807B3-5FC8-46BB-A1ED-34839ABA3A9D}" type="pres">
      <dgm:prSet presAssocID="{4FA2EAD0-3C06-4945-929D-91E5FCD207AF}" presName="compositeShape" presStyleCnt="0">
        <dgm:presLayoutVars>
          <dgm:dir/>
          <dgm:resizeHandles/>
        </dgm:presLayoutVars>
      </dgm:prSet>
      <dgm:spPr/>
    </dgm:pt>
    <dgm:pt modelId="{7BD2A482-BFE8-4C38-8A56-5C8A93897E90}" type="pres">
      <dgm:prSet presAssocID="{4FA2EAD0-3C06-4945-929D-91E5FCD207AF}" presName="pyramid" presStyleLbl="node1" presStyleIdx="0" presStyleCnt="1"/>
      <dgm:spPr/>
    </dgm:pt>
    <dgm:pt modelId="{21F072F3-F670-446C-8C0E-D0F37D194A1D}" type="pres">
      <dgm:prSet presAssocID="{4FA2EAD0-3C06-4945-929D-91E5FCD207AF}" presName="theList" presStyleCnt="0"/>
      <dgm:spPr/>
    </dgm:pt>
    <dgm:pt modelId="{74C1CB73-0A6C-40AF-A740-9C44DC70A8B1}" type="pres">
      <dgm:prSet presAssocID="{E840DFF2-A9A7-4925-A8A4-03C0E88E9C2C}" presName="aNode" presStyleLbl="fgAcc1" presStyleIdx="0" presStyleCnt="3" custScaleX="225889">
        <dgm:presLayoutVars>
          <dgm:bulletEnabled val="1"/>
        </dgm:presLayoutVars>
      </dgm:prSet>
      <dgm:spPr/>
    </dgm:pt>
    <dgm:pt modelId="{4B13966D-A66B-4914-8A0C-FF1A28320FF6}" type="pres">
      <dgm:prSet presAssocID="{E840DFF2-A9A7-4925-A8A4-03C0E88E9C2C}" presName="aSpace" presStyleCnt="0"/>
      <dgm:spPr/>
    </dgm:pt>
    <dgm:pt modelId="{9E33FBF0-70A7-4FF7-9943-18AFA972F0A0}" type="pres">
      <dgm:prSet presAssocID="{1FCCF161-5632-43C5-B944-C35D36FA5B98}" presName="aNode" presStyleLbl="fgAcc1" presStyleIdx="1" presStyleCnt="3" custScaleX="228303">
        <dgm:presLayoutVars>
          <dgm:bulletEnabled val="1"/>
        </dgm:presLayoutVars>
      </dgm:prSet>
      <dgm:spPr/>
    </dgm:pt>
    <dgm:pt modelId="{76FBCB3B-E053-43F9-9DDA-057C4FA42ACF}" type="pres">
      <dgm:prSet presAssocID="{1FCCF161-5632-43C5-B944-C35D36FA5B98}" presName="aSpace" presStyleCnt="0"/>
      <dgm:spPr/>
    </dgm:pt>
    <dgm:pt modelId="{4FED20A2-1CB6-4A75-9092-E4D49E1478BB}" type="pres">
      <dgm:prSet presAssocID="{7CEA1727-B40F-4A9B-8403-64DC4D1FEDEA}" presName="aNode" presStyleLbl="fgAcc1" presStyleIdx="2" presStyleCnt="3" custScaleX="227182">
        <dgm:presLayoutVars>
          <dgm:bulletEnabled val="1"/>
        </dgm:presLayoutVars>
      </dgm:prSet>
      <dgm:spPr/>
    </dgm:pt>
    <dgm:pt modelId="{34D15870-F88C-4F6F-8661-B08620969DE0}" type="pres">
      <dgm:prSet presAssocID="{7CEA1727-B40F-4A9B-8403-64DC4D1FEDEA}" presName="aSpace" presStyleCnt="0"/>
      <dgm:spPr/>
    </dgm:pt>
  </dgm:ptLst>
  <dgm:cxnLst>
    <dgm:cxn modelId="{1E65D214-8F18-4C5F-A6BE-1DF1CE8D53BB}" srcId="{4FA2EAD0-3C06-4945-929D-91E5FCD207AF}" destId="{E840DFF2-A9A7-4925-A8A4-03C0E88E9C2C}" srcOrd="0" destOrd="0" parTransId="{D3B73663-0DEB-4C7A-B4AF-5E90C4A250B0}" sibTransId="{F6954EF2-5732-48C5-988E-CE6B8D23659C}"/>
    <dgm:cxn modelId="{BAEFFB42-75C0-42D0-85C1-0D8061169085}" type="presOf" srcId="{7CEA1727-B40F-4A9B-8403-64DC4D1FEDEA}" destId="{4FED20A2-1CB6-4A75-9092-E4D49E1478BB}" srcOrd="0" destOrd="0" presId="urn:microsoft.com/office/officeart/2005/8/layout/pyramid2"/>
    <dgm:cxn modelId="{82259F59-65BE-464F-B192-2330CBD62D1B}" type="presOf" srcId="{1FCCF161-5632-43C5-B944-C35D36FA5B98}" destId="{9E33FBF0-70A7-4FF7-9943-18AFA972F0A0}" srcOrd="0" destOrd="0" presId="urn:microsoft.com/office/officeart/2005/8/layout/pyramid2"/>
    <dgm:cxn modelId="{19298B63-2975-4027-9F91-A19B46D63824}" srcId="{4FA2EAD0-3C06-4945-929D-91E5FCD207AF}" destId="{7CEA1727-B40F-4A9B-8403-64DC4D1FEDEA}" srcOrd="2" destOrd="0" parTransId="{1D59CD69-8466-4EF4-B7E4-2FEEC0F1693A}" sibTransId="{96F73250-4691-4D8D-8D6B-B54E93660E8D}"/>
    <dgm:cxn modelId="{BA44FD71-12A2-489D-82FA-65B5C1B556AC}" type="presOf" srcId="{E840DFF2-A9A7-4925-A8A4-03C0E88E9C2C}" destId="{74C1CB73-0A6C-40AF-A740-9C44DC70A8B1}" srcOrd="0" destOrd="0" presId="urn:microsoft.com/office/officeart/2005/8/layout/pyramid2"/>
    <dgm:cxn modelId="{BEC2C8D2-41D3-4084-9284-BE10A5809689}" type="presOf" srcId="{4FA2EAD0-3C06-4945-929D-91E5FCD207AF}" destId="{DFF807B3-5FC8-46BB-A1ED-34839ABA3A9D}" srcOrd="0" destOrd="0" presId="urn:microsoft.com/office/officeart/2005/8/layout/pyramid2"/>
    <dgm:cxn modelId="{A1F3F1FA-4213-4A78-B98D-71A43C0E89AC}" srcId="{4FA2EAD0-3C06-4945-929D-91E5FCD207AF}" destId="{1FCCF161-5632-43C5-B944-C35D36FA5B98}" srcOrd="1" destOrd="0" parTransId="{245B2319-FFA4-47B7-A89F-D6F1E39ACC6B}" sibTransId="{3DBCDC34-11C1-4B77-AE8D-DC02F5152F60}"/>
    <dgm:cxn modelId="{4B127140-C1A2-4A95-A0E5-4D6E919B8162}" type="presParOf" srcId="{DFF807B3-5FC8-46BB-A1ED-34839ABA3A9D}" destId="{7BD2A482-BFE8-4C38-8A56-5C8A93897E90}" srcOrd="0" destOrd="0" presId="urn:microsoft.com/office/officeart/2005/8/layout/pyramid2"/>
    <dgm:cxn modelId="{2817B270-B95A-4733-9983-19C76E9275A6}" type="presParOf" srcId="{DFF807B3-5FC8-46BB-A1ED-34839ABA3A9D}" destId="{21F072F3-F670-446C-8C0E-D0F37D194A1D}" srcOrd="1" destOrd="0" presId="urn:microsoft.com/office/officeart/2005/8/layout/pyramid2"/>
    <dgm:cxn modelId="{4B2EE979-915F-40D0-9099-6A0CDD1C964E}" type="presParOf" srcId="{21F072F3-F670-446C-8C0E-D0F37D194A1D}" destId="{74C1CB73-0A6C-40AF-A740-9C44DC70A8B1}" srcOrd="0" destOrd="0" presId="urn:microsoft.com/office/officeart/2005/8/layout/pyramid2"/>
    <dgm:cxn modelId="{1866C118-82EF-4E71-A525-95837011D76F}" type="presParOf" srcId="{21F072F3-F670-446C-8C0E-D0F37D194A1D}" destId="{4B13966D-A66B-4914-8A0C-FF1A28320FF6}" srcOrd="1" destOrd="0" presId="urn:microsoft.com/office/officeart/2005/8/layout/pyramid2"/>
    <dgm:cxn modelId="{C276B96C-2AC0-4768-9BAE-44A6B46D1B02}" type="presParOf" srcId="{21F072F3-F670-446C-8C0E-D0F37D194A1D}" destId="{9E33FBF0-70A7-4FF7-9943-18AFA972F0A0}" srcOrd="2" destOrd="0" presId="urn:microsoft.com/office/officeart/2005/8/layout/pyramid2"/>
    <dgm:cxn modelId="{BD419252-1E53-4CFF-92B3-81E8E9A2B575}" type="presParOf" srcId="{21F072F3-F670-446C-8C0E-D0F37D194A1D}" destId="{76FBCB3B-E053-43F9-9DDA-057C4FA42ACF}" srcOrd="3" destOrd="0" presId="urn:microsoft.com/office/officeart/2005/8/layout/pyramid2"/>
    <dgm:cxn modelId="{05F9EA15-01EF-49CC-9CB3-4DF31C39435E}" type="presParOf" srcId="{21F072F3-F670-446C-8C0E-D0F37D194A1D}" destId="{4FED20A2-1CB6-4A75-9092-E4D49E1478BB}" srcOrd="4" destOrd="0" presId="urn:microsoft.com/office/officeart/2005/8/layout/pyramid2"/>
    <dgm:cxn modelId="{2B7EE54F-0C39-4A03-A673-25AB266FCFAC}" type="presParOf" srcId="{21F072F3-F670-446C-8C0E-D0F37D194A1D}" destId="{34D15870-F88C-4F6F-8661-B08620969DE0}" srcOrd="5" destOrd="0" presId="urn:microsoft.com/office/officeart/2005/8/layout/pyramid2"/>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AFA52E1-854C-4267-A360-4FF88367D0EF}" type="doc">
      <dgm:prSet loTypeId="urn:microsoft.com/office/officeart/2008/layout/VerticalCurvedList" loCatId="list" qsTypeId="urn:microsoft.com/office/officeart/2005/8/quickstyle/simple1" qsCatId="simple" csTypeId="urn:microsoft.com/office/officeart/2005/8/colors/colorful4" csCatId="colorful" phldr="1"/>
      <dgm:spPr/>
      <dgm:t>
        <a:bodyPr/>
        <a:lstStyle/>
        <a:p>
          <a:endParaRPr lang="en-US"/>
        </a:p>
      </dgm:t>
    </dgm:pt>
    <dgm:pt modelId="{C806717C-F445-4EC2-9DC9-721B73D5BAAA}">
      <dgm:prSet phldrT="[Text]"/>
      <dgm:spPr/>
      <dgm:t>
        <a:bodyPr/>
        <a:lstStyle/>
        <a:p>
          <a:r>
            <a:rPr lang="en-US">
              <a:solidFill>
                <a:schemeClr val="bg2">
                  <a:lumMod val="10000"/>
                </a:schemeClr>
              </a:solidFill>
              <a:latin typeface="Arial" panose="020B0604020202020204" pitchFamily="34" charset="0"/>
              <a:cs typeface="Arial" panose="020B0604020202020204" pitchFamily="34" charset="0"/>
            </a:rPr>
            <a:t>Articles that are older than 10 years were used to eliminate the older ones to concentrate on the recent research patterns.</a:t>
          </a:r>
        </a:p>
      </dgm:t>
    </dgm:pt>
    <dgm:pt modelId="{A91C99BF-EF3D-4D7C-B9B7-AF9D43C2F043}" type="parTrans" cxnId="{AB955E11-37DC-44A9-9702-8FB88E02DC23}">
      <dgm:prSet/>
      <dgm:spPr/>
      <dgm:t>
        <a:bodyPr/>
        <a:lstStyle/>
        <a:p>
          <a:endParaRPr lang="en-US"/>
        </a:p>
      </dgm:t>
    </dgm:pt>
    <dgm:pt modelId="{2645405F-26C4-4C1E-87F8-98AB96076BAD}" type="sibTrans" cxnId="{AB955E11-37DC-44A9-9702-8FB88E02DC23}">
      <dgm:prSet/>
      <dgm:spPr/>
      <dgm:t>
        <a:bodyPr/>
        <a:lstStyle/>
        <a:p>
          <a:endParaRPr lang="en-US"/>
        </a:p>
      </dgm:t>
    </dgm:pt>
    <dgm:pt modelId="{2350B558-87DD-4063-9FC2-448E36495213}">
      <dgm:prSet phldrT="[Text]"/>
      <dgm:spPr/>
      <dgm:t>
        <a:bodyPr/>
        <a:lstStyle/>
        <a:p>
          <a:r>
            <a:rPr lang="en-US">
              <a:solidFill>
                <a:schemeClr val="bg2">
                  <a:lumMod val="10000"/>
                </a:schemeClr>
              </a:solidFill>
              <a:latin typeface="Arial" panose="020B0604020202020204" pitchFamily="34" charset="0"/>
              <a:cs typeface="Arial" panose="020B0604020202020204" pitchFamily="34" charset="0"/>
            </a:rPr>
            <a:t>The studies conducted in areas not in the global context were rejected, except in cases where cross-cultural studies were pertinent.</a:t>
          </a:r>
        </a:p>
      </dgm:t>
    </dgm:pt>
    <dgm:pt modelId="{630D7E73-C7E7-4785-8AD9-4F69E7565AF8}" type="parTrans" cxnId="{4123749B-0EA9-453C-B5F2-513F02DACBE7}">
      <dgm:prSet/>
      <dgm:spPr/>
      <dgm:t>
        <a:bodyPr/>
        <a:lstStyle/>
        <a:p>
          <a:endParaRPr lang="en-US"/>
        </a:p>
      </dgm:t>
    </dgm:pt>
    <dgm:pt modelId="{88924BD7-88A1-4928-88AA-5143FEFCB736}" type="sibTrans" cxnId="{4123749B-0EA9-453C-B5F2-513F02DACBE7}">
      <dgm:prSet/>
      <dgm:spPr/>
      <dgm:t>
        <a:bodyPr/>
        <a:lstStyle/>
        <a:p>
          <a:endParaRPr lang="en-US"/>
        </a:p>
      </dgm:t>
    </dgm:pt>
    <dgm:pt modelId="{7720E96D-3D5F-4A72-AF53-A91CD81CD21C}">
      <dgm:prSet phldrT="[Text]"/>
      <dgm:spPr/>
      <dgm:t>
        <a:bodyPr/>
        <a:lstStyle/>
        <a:p>
          <a:r>
            <a:rPr lang="en-US">
              <a:solidFill>
                <a:schemeClr val="bg2">
                  <a:lumMod val="10000"/>
                </a:schemeClr>
              </a:solidFill>
              <a:latin typeface="Arial" panose="020B0604020202020204" pitchFamily="34" charset="0"/>
              <a:cs typeface="Arial" panose="020B0604020202020204" pitchFamily="34" charset="0"/>
            </a:rPr>
            <a:t>Articles that were not easy to access using academic databases were also excluded.</a:t>
          </a:r>
        </a:p>
      </dgm:t>
    </dgm:pt>
    <dgm:pt modelId="{66B4E6F0-8BC9-48CA-9333-E33398F78D8A}" type="parTrans" cxnId="{3C1A05C3-D0AB-449F-8806-3EDD7704D884}">
      <dgm:prSet/>
      <dgm:spPr/>
      <dgm:t>
        <a:bodyPr/>
        <a:lstStyle/>
        <a:p>
          <a:endParaRPr lang="en-US"/>
        </a:p>
      </dgm:t>
    </dgm:pt>
    <dgm:pt modelId="{A2045F26-F99B-42B0-A888-46761339FD07}" type="sibTrans" cxnId="{3C1A05C3-D0AB-449F-8806-3EDD7704D884}">
      <dgm:prSet/>
      <dgm:spPr/>
      <dgm:t>
        <a:bodyPr/>
        <a:lstStyle/>
        <a:p>
          <a:endParaRPr lang="en-US"/>
        </a:p>
      </dgm:t>
    </dgm:pt>
    <dgm:pt modelId="{ACDF872B-AB14-4707-AAFA-B944D5544FB3}" type="pres">
      <dgm:prSet presAssocID="{BAFA52E1-854C-4267-A360-4FF88367D0EF}" presName="Name0" presStyleCnt="0">
        <dgm:presLayoutVars>
          <dgm:chMax val="7"/>
          <dgm:chPref val="7"/>
          <dgm:dir/>
        </dgm:presLayoutVars>
      </dgm:prSet>
      <dgm:spPr/>
    </dgm:pt>
    <dgm:pt modelId="{DE46A130-8DEA-47D0-93F2-7BDF93F17BE6}" type="pres">
      <dgm:prSet presAssocID="{BAFA52E1-854C-4267-A360-4FF88367D0EF}" presName="Name1" presStyleCnt="0"/>
      <dgm:spPr/>
    </dgm:pt>
    <dgm:pt modelId="{0299C26B-39FB-4844-B875-8AF7FE048930}" type="pres">
      <dgm:prSet presAssocID="{BAFA52E1-854C-4267-A360-4FF88367D0EF}" presName="cycle" presStyleCnt="0"/>
      <dgm:spPr/>
    </dgm:pt>
    <dgm:pt modelId="{2D6FE6CF-9796-4FA9-A8E4-A342559F9F0F}" type="pres">
      <dgm:prSet presAssocID="{BAFA52E1-854C-4267-A360-4FF88367D0EF}" presName="srcNode" presStyleLbl="node1" presStyleIdx="0" presStyleCnt="3"/>
      <dgm:spPr/>
    </dgm:pt>
    <dgm:pt modelId="{7E432A70-8631-4CEA-A78C-345C74FA7C4F}" type="pres">
      <dgm:prSet presAssocID="{BAFA52E1-854C-4267-A360-4FF88367D0EF}" presName="conn" presStyleLbl="parChTrans1D2" presStyleIdx="0" presStyleCnt="1"/>
      <dgm:spPr/>
    </dgm:pt>
    <dgm:pt modelId="{469E13AF-7558-4C67-B412-F7B2C6743514}" type="pres">
      <dgm:prSet presAssocID="{BAFA52E1-854C-4267-A360-4FF88367D0EF}" presName="extraNode" presStyleLbl="node1" presStyleIdx="0" presStyleCnt="3"/>
      <dgm:spPr/>
    </dgm:pt>
    <dgm:pt modelId="{04E3882D-487E-40C1-888F-2003B25843DC}" type="pres">
      <dgm:prSet presAssocID="{BAFA52E1-854C-4267-A360-4FF88367D0EF}" presName="dstNode" presStyleLbl="node1" presStyleIdx="0" presStyleCnt="3"/>
      <dgm:spPr/>
    </dgm:pt>
    <dgm:pt modelId="{56855E94-D821-4342-B588-399E9111B890}" type="pres">
      <dgm:prSet presAssocID="{C806717C-F445-4EC2-9DC9-721B73D5BAAA}" presName="text_1" presStyleLbl="node1" presStyleIdx="0" presStyleCnt="3">
        <dgm:presLayoutVars>
          <dgm:bulletEnabled val="1"/>
        </dgm:presLayoutVars>
      </dgm:prSet>
      <dgm:spPr/>
    </dgm:pt>
    <dgm:pt modelId="{82AF9D3C-225C-4ADE-B2D9-DB4BFCFBDFE9}" type="pres">
      <dgm:prSet presAssocID="{C806717C-F445-4EC2-9DC9-721B73D5BAAA}" presName="accent_1" presStyleCnt="0"/>
      <dgm:spPr/>
    </dgm:pt>
    <dgm:pt modelId="{08B3FB4B-C514-4F34-8802-49F50BAD3C6B}" type="pres">
      <dgm:prSet presAssocID="{C806717C-F445-4EC2-9DC9-721B73D5BAAA}" presName="accentRepeatNode" presStyleLbl="solidFgAcc1" presStyleIdx="0" presStyleCnt="3"/>
      <dgm:spPr>
        <a:solidFill>
          <a:srgbClr val="00B050"/>
        </a:solidFill>
      </dgm:spPr>
    </dgm:pt>
    <dgm:pt modelId="{2F13B330-0845-4D57-B72F-E404E7F0AE36}" type="pres">
      <dgm:prSet presAssocID="{2350B558-87DD-4063-9FC2-448E36495213}" presName="text_2" presStyleLbl="node1" presStyleIdx="1" presStyleCnt="3">
        <dgm:presLayoutVars>
          <dgm:bulletEnabled val="1"/>
        </dgm:presLayoutVars>
      </dgm:prSet>
      <dgm:spPr/>
    </dgm:pt>
    <dgm:pt modelId="{4B261510-5CE2-489B-B1F3-8F4C6853DF46}" type="pres">
      <dgm:prSet presAssocID="{2350B558-87DD-4063-9FC2-448E36495213}" presName="accent_2" presStyleCnt="0"/>
      <dgm:spPr/>
    </dgm:pt>
    <dgm:pt modelId="{6625C448-8D87-44F8-BC00-3AF3569430AB}" type="pres">
      <dgm:prSet presAssocID="{2350B558-87DD-4063-9FC2-448E36495213}" presName="accentRepeatNode" presStyleLbl="solidFgAcc1" presStyleIdx="1" presStyleCnt="3"/>
      <dgm:spPr>
        <a:solidFill>
          <a:srgbClr val="00B050"/>
        </a:solidFill>
      </dgm:spPr>
    </dgm:pt>
    <dgm:pt modelId="{F2C215C4-8770-4464-A3B0-D2D8DD60DBBD}" type="pres">
      <dgm:prSet presAssocID="{7720E96D-3D5F-4A72-AF53-A91CD81CD21C}" presName="text_3" presStyleLbl="node1" presStyleIdx="2" presStyleCnt="3">
        <dgm:presLayoutVars>
          <dgm:bulletEnabled val="1"/>
        </dgm:presLayoutVars>
      </dgm:prSet>
      <dgm:spPr/>
    </dgm:pt>
    <dgm:pt modelId="{2FE4977E-32C4-4E95-97F7-D6AC638EA6B4}" type="pres">
      <dgm:prSet presAssocID="{7720E96D-3D5F-4A72-AF53-A91CD81CD21C}" presName="accent_3" presStyleCnt="0"/>
      <dgm:spPr/>
    </dgm:pt>
    <dgm:pt modelId="{DE4AFBAD-DD68-4D27-967E-F43D63008609}" type="pres">
      <dgm:prSet presAssocID="{7720E96D-3D5F-4A72-AF53-A91CD81CD21C}" presName="accentRepeatNode" presStyleLbl="solidFgAcc1" presStyleIdx="2" presStyleCnt="3"/>
      <dgm:spPr>
        <a:solidFill>
          <a:srgbClr val="00B050"/>
        </a:solidFill>
      </dgm:spPr>
    </dgm:pt>
  </dgm:ptLst>
  <dgm:cxnLst>
    <dgm:cxn modelId="{9E903206-D264-4957-8330-7D91B590B02E}" type="presOf" srcId="{2350B558-87DD-4063-9FC2-448E36495213}" destId="{2F13B330-0845-4D57-B72F-E404E7F0AE36}" srcOrd="0" destOrd="0" presId="urn:microsoft.com/office/officeart/2008/layout/VerticalCurvedList"/>
    <dgm:cxn modelId="{AB955E11-37DC-44A9-9702-8FB88E02DC23}" srcId="{BAFA52E1-854C-4267-A360-4FF88367D0EF}" destId="{C806717C-F445-4EC2-9DC9-721B73D5BAAA}" srcOrd="0" destOrd="0" parTransId="{A91C99BF-EF3D-4D7C-B9B7-AF9D43C2F043}" sibTransId="{2645405F-26C4-4C1E-87F8-98AB96076BAD}"/>
    <dgm:cxn modelId="{790B1C2F-1E83-4D81-B567-CE3EB93A0B62}" type="presOf" srcId="{2645405F-26C4-4C1E-87F8-98AB96076BAD}" destId="{7E432A70-8631-4CEA-A78C-345C74FA7C4F}" srcOrd="0" destOrd="0" presId="urn:microsoft.com/office/officeart/2008/layout/VerticalCurvedList"/>
    <dgm:cxn modelId="{7528A871-A992-469E-9F7D-1A0F4A9BEA4C}" type="presOf" srcId="{BAFA52E1-854C-4267-A360-4FF88367D0EF}" destId="{ACDF872B-AB14-4707-AAFA-B944D5544FB3}" srcOrd="0" destOrd="0" presId="urn:microsoft.com/office/officeart/2008/layout/VerticalCurvedList"/>
    <dgm:cxn modelId="{18F9F297-56A0-40E1-89B4-3817986693F2}" type="presOf" srcId="{7720E96D-3D5F-4A72-AF53-A91CD81CD21C}" destId="{F2C215C4-8770-4464-A3B0-D2D8DD60DBBD}" srcOrd="0" destOrd="0" presId="urn:microsoft.com/office/officeart/2008/layout/VerticalCurvedList"/>
    <dgm:cxn modelId="{4123749B-0EA9-453C-B5F2-513F02DACBE7}" srcId="{BAFA52E1-854C-4267-A360-4FF88367D0EF}" destId="{2350B558-87DD-4063-9FC2-448E36495213}" srcOrd="1" destOrd="0" parTransId="{630D7E73-C7E7-4785-8AD9-4F69E7565AF8}" sibTransId="{88924BD7-88A1-4928-88AA-5143FEFCB736}"/>
    <dgm:cxn modelId="{3C1A05C3-D0AB-449F-8806-3EDD7704D884}" srcId="{BAFA52E1-854C-4267-A360-4FF88367D0EF}" destId="{7720E96D-3D5F-4A72-AF53-A91CD81CD21C}" srcOrd="2" destOrd="0" parTransId="{66B4E6F0-8BC9-48CA-9333-E33398F78D8A}" sibTransId="{A2045F26-F99B-42B0-A888-46761339FD07}"/>
    <dgm:cxn modelId="{C37E46FD-E6E1-4911-9CD1-F068185D4AAB}" type="presOf" srcId="{C806717C-F445-4EC2-9DC9-721B73D5BAAA}" destId="{56855E94-D821-4342-B588-399E9111B890}" srcOrd="0" destOrd="0" presId="urn:microsoft.com/office/officeart/2008/layout/VerticalCurvedList"/>
    <dgm:cxn modelId="{3F0E287F-D243-4795-BD21-449EE0FE17CA}" type="presParOf" srcId="{ACDF872B-AB14-4707-AAFA-B944D5544FB3}" destId="{DE46A130-8DEA-47D0-93F2-7BDF93F17BE6}" srcOrd="0" destOrd="0" presId="urn:microsoft.com/office/officeart/2008/layout/VerticalCurvedList"/>
    <dgm:cxn modelId="{7509D139-84D7-45A0-A4EA-4BAE4D30890B}" type="presParOf" srcId="{DE46A130-8DEA-47D0-93F2-7BDF93F17BE6}" destId="{0299C26B-39FB-4844-B875-8AF7FE048930}" srcOrd="0" destOrd="0" presId="urn:microsoft.com/office/officeart/2008/layout/VerticalCurvedList"/>
    <dgm:cxn modelId="{B514FEF0-6EE0-4660-A4C3-A15533C53998}" type="presParOf" srcId="{0299C26B-39FB-4844-B875-8AF7FE048930}" destId="{2D6FE6CF-9796-4FA9-A8E4-A342559F9F0F}" srcOrd="0" destOrd="0" presId="urn:microsoft.com/office/officeart/2008/layout/VerticalCurvedList"/>
    <dgm:cxn modelId="{D3A48E6C-9459-4215-BC85-EE4925CC5504}" type="presParOf" srcId="{0299C26B-39FB-4844-B875-8AF7FE048930}" destId="{7E432A70-8631-4CEA-A78C-345C74FA7C4F}" srcOrd="1" destOrd="0" presId="urn:microsoft.com/office/officeart/2008/layout/VerticalCurvedList"/>
    <dgm:cxn modelId="{B9627503-E9B3-4643-898A-4DDD89417451}" type="presParOf" srcId="{0299C26B-39FB-4844-B875-8AF7FE048930}" destId="{469E13AF-7558-4C67-B412-F7B2C6743514}" srcOrd="2" destOrd="0" presId="urn:microsoft.com/office/officeart/2008/layout/VerticalCurvedList"/>
    <dgm:cxn modelId="{16D038E8-51B0-4D44-9DDD-1F1B9EED229F}" type="presParOf" srcId="{0299C26B-39FB-4844-B875-8AF7FE048930}" destId="{04E3882D-487E-40C1-888F-2003B25843DC}" srcOrd="3" destOrd="0" presId="urn:microsoft.com/office/officeart/2008/layout/VerticalCurvedList"/>
    <dgm:cxn modelId="{ACEEA4A4-7FB1-4D60-8F6D-1FD9348B0D50}" type="presParOf" srcId="{DE46A130-8DEA-47D0-93F2-7BDF93F17BE6}" destId="{56855E94-D821-4342-B588-399E9111B890}" srcOrd="1" destOrd="0" presId="urn:microsoft.com/office/officeart/2008/layout/VerticalCurvedList"/>
    <dgm:cxn modelId="{BE344706-B95F-4F71-81CC-067E3074D5AE}" type="presParOf" srcId="{DE46A130-8DEA-47D0-93F2-7BDF93F17BE6}" destId="{82AF9D3C-225C-4ADE-B2D9-DB4BFCFBDFE9}" srcOrd="2" destOrd="0" presId="urn:microsoft.com/office/officeart/2008/layout/VerticalCurvedList"/>
    <dgm:cxn modelId="{B1C09082-48E5-4956-B78F-97D7D86DF789}" type="presParOf" srcId="{82AF9D3C-225C-4ADE-B2D9-DB4BFCFBDFE9}" destId="{08B3FB4B-C514-4F34-8802-49F50BAD3C6B}" srcOrd="0" destOrd="0" presId="urn:microsoft.com/office/officeart/2008/layout/VerticalCurvedList"/>
    <dgm:cxn modelId="{94332AA3-02EA-424D-8154-7600BCA4EDB5}" type="presParOf" srcId="{DE46A130-8DEA-47D0-93F2-7BDF93F17BE6}" destId="{2F13B330-0845-4D57-B72F-E404E7F0AE36}" srcOrd="3" destOrd="0" presId="urn:microsoft.com/office/officeart/2008/layout/VerticalCurvedList"/>
    <dgm:cxn modelId="{C3D8498E-6E6D-47A3-8C0F-E37086EAF31B}" type="presParOf" srcId="{DE46A130-8DEA-47D0-93F2-7BDF93F17BE6}" destId="{4B261510-5CE2-489B-B1F3-8F4C6853DF46}" srcOrd="4" destOrd="0" presId="urn:microsoft.com/office/officeart/2008/layout/VerticalCurvedList"/>
    <dgm:cxn modelId="{F1472A63-60BA-432E-A105-7834B60B98D9}" type="presParOf" srcId="{4B261510-5CE2-489B-B1F3-8F4C6853DF46}" destId="{6625C448-8D87-44F8-BC00-3AF3569430AB}" srcOrd="0" destOrd="0" presId="urn:microsoft.com/office/officeart/2008/layout/VerticalCurvedList"/>
    <dgm:cxn modelId="{C93DE4E8-ADC8-43F1-BE5D-90CA25DA0B4F}" type="presParOf" srcId="{DE46A130-8DEA-47D0-93F2-7BDF93F17BE6}" destId="{F2C215C4-8770-4464-A3B0-D2D8DD60DBBD}" srcOrd="5" destOrd="0" presId="urn:microsoft.com/office/officeart/2008/layout/VerticalCurvedList"/>
    <dgm:cxn modelId="{C13CB6D4-7902-4072-872A-A018C8F0802E}" type="presParOf" srcId="{DE46A130-8DEA-47D0-93F2-7BDF93F17BE6}" destId="{2FE4977E-32C4-4E95-97F7-D6AC638EA6B4}" srcOrd="6" destOrd="0" presId="urn:microsoft.com/office/officeart/2008/layout/VerticalCurvedList"/>
    <dgm:cxn modelId="{A49C03D4-45D0-4347-8CA4-89D4E365B2E1}" type="presParOf" srcId="{2FE4977E-32C4-4E95-97F7-D6AC638EA6B4}" destId="{DE4AFBAD-DD68-4D27-967E-F43D63008609}" srcOrd="0" destOrd="0" presId="urn:microsoft.com/office/officeart/2008/layout/VerticalCurvedList"/>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D2A482-BFE8-4C38-8A56-5C8A93897E90}">
      <dsp:nvSpPr>
        <dsp:cNvPr id="0" name=""/>
        <dsp:cNvSpPr/>
      </dsp:nvSpPr>
      <dsp:spPr>
        <a:xfrm>
          <a:off x="646550" y="0"/>
          <a:ext cx="1972945" cy="1972945"/>
        </a:xfrm>
        <a:prstGeom prst="triangl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4C1CB73-0A6C-40AF-A740-9C44DC70A8B1}">
      <dsp:nvSpPr>
        <dsp:cNvPr id="0" name=""/>
        <dsp:cNvSpPr/>
      </dsp:nvSpPr>
      <dsp:spPr>
        <a:xfrm>
          <a:off x="825813" y="198354"/>
          <a:ext cx="2896832" cy="467033"/>
        </a:xfrm>
        <a:prstGeom prst="round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kern="1200"/>
            <a:t>References that are not older than 10 years to make them relevant.</a:t>
          </a:r>
        </a:p>
      </dsp:txBody>
      <dsp:txXfrm>
        <a:off x="848612" y="221153"/>
        <a:ext cx="2851234" cy="421435"/>
      </dsp:txXfrm>
    </dsp:sp>
    <dsp:sp modelId="{9E33FBF0-70A7-4FF7-9943-18AFA972F0A0}">
      <dsp:nvSpPr>
        <dsp:cNvPr id="0" name=""/>
        <dsp:cNvSpPr/>
      </dsp:nvSpPr>
      <dsp:spPr>
        <a:xfrm>
          <a:off x="810334" y="723766"/>
          <a:ext cx="2927790" cy="467033"/>
        </a:xfrm>
        <a:prstGeom prst="roundRect">
          <a:avLst/>
        </a:prstGeom>
        <a:solidFill>
          <a:schemeClr val="lt1">
            <a:alpha val="90000"/>
            <a:hueOff val="0"/>
            <a:satOff val="0"/>
            <a:lumOff val="0"/>
            <a:alphaOff val="0"/>
          </a:schemeClr>
        </a:solidFill>
        <a:ln w="12700" cap="flat" cmpd="sng" algn="ctr">
          <a:solidFill>
            <a:schemeClr val="accent4">
              <a:hueOff val="4900445"/>
              <a:satOff val="-20388"/>
              <a:lumOff val="480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Research that involves young adults (18-30) with chronic conditions.</a:t>
          </a:r>
        </a:p>
      </dsp:txBody>
      <dsp:txXfrm>
        <a:off x="833133" y="746565"/>
        <a:ext cx="2882192" cy="421435"/>
      </dsp:txXfrm>
    </dsp:sp>
    <dsp:sp modelId="{4FED20A2-1CB6-4A75-9092-E4D49E1478BB}">
      <dsp:nvSpPr>
        <dsp:cNvPr id="0" name=""/>
        <dsp:cNvSpPr/>
      </dsp:nvSpPr>
      <dsp:spPr>
        <a:xfrm>
          <a:off x="817522" y="1249178"/>
          <a:ext cx="2913414" cy="467033"/>
        </a:xfrm>
        <a:prstGeom prst="roundRect">
          <a:avLst/>
        </a:prstGeom>
        <a:solidFill>
          <a:schemeClr val="lt1">
            <a:alpha val="90000"/>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Online, full-text articles, which are peer-reviewed articles.</a:t>
          </a:r>
        </a:p>
      </dsp:txBody>
      <dsp:txXfrm>
        <a:off x="840321" y="1271977"/>
        <a:ext cx="2867816" cy="42143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432A70-8631-4CEA-A78C-345C74FA7C4F}">
      <dsp:nvSpPr>
        <dsp:cNvPr id="0" name=""/>
        <dsp:cNvSpPr/>
      </dsp:nvSpPr>
      <dsp:spPr>
        <a:xfrm>
          <a:off x="-2436051" y="-376291"/>
          <a:ext cx="2908930" cy="2908930"/>
        </a:xfrm>
        <a:prstGeom prst="blockArc">
          <a:avLst>
            <a:gd name="adj1" fmla="val 18900000"/>
            <a:gd name="adj2" fmla="val 2700000"/>
            <a:gd name="adj3" fmla="val 743"/>
          </a:avLst>
        </a:pr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855E94-D821-4342-B588-399E9111B890}">
      <dsp:nvSpPr>
        <dsp:cNvPr id="0" name=""/>
        <dsp:cNvSpPr/>
      </dsp:nvSpPr>
      <dsp:spPr>
        <a:xfrm>
          <a:off x="304001" y="215634"/>
          <a:ext cx="4092446" cy="431269"/>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320" tIns="22860" rIns="22860" bIns="22860" numCol="1" spcCol="1270" anchor="ctr" anchorCtr="0">
          <a:noAutofit/>
        </a:bodyPr>
        <a:lstStyle/>
        <a:p>
          <a:pPr marL="0" lvl="0" indent="0" algn="l" defTabSz="400050">
            <a:lnSpc>
              <a:spcPct val="90000"/>
            </a:lnSpc>
            <a:spcBef>
              <a:spcPct val="0"/>
            </a:spcBef>
            <a:spcAft>
              <a:spcPct val="35000"/>
            </a:spcAft>
            <a:buNone/>
          </a:pPr>
          <a:r>
            <a:rPr lang="en-US" sz="900" kern="1200">
              <a:solidFill>
                <a:schemeClr val="bg2">
                  <a:lumMod val="10000"/>
                </a:schemeClr>
              </a:solidFill>
              <a:latin typeface="Arial" panose="020B0604020202020204" pitchFamily="34" charset="0"/>
              <a:cs typeface="Arial" panose="020B0604020202020204" pitchFamily="34" charset="0"/>
            </a:rPr>
            <a:t>Articles that are older than 10 years were used to eliminate the older ones to concentrate on the recent research patterns.</a:t>
          </a:r>
        </a:p>
      </dsp:txBody>
      <dsp:txXfrm>
        <a:off x="304001" y="215634"/>
        <a:ext cx="4092446" cy="431269"/>
      </dsp:txXfrm>
    </dsp:sp>
    <dsp:sp modelId="{08B3FB4B-C514-4F34-8802-49F50BAD3C6B}">
      <dsp:nvSpPr>
        <dsp:cNvPr id="0" name=""/>
        <dsp:cNvSpPr/>
      </dsp:nvSpPr>
      <dsp:spPr>
        <a:xfrm>
          <a:off x="34457" y="161726"/>
          <a:ext cx="539086" cy="539086"/>
        </a:xfrm>
        <a:prstGeom prst="ellipse">
          <a:avLst/>
        </a:prstGeom>
        <a:solidFill>
          <a:srgbClr val="00B050"/>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F13B330-0845-4D57-B72F-E404E7F0AE36}">
      <dsp:nvSpPr>
        <dsp:cNvPr id="0" name=""/>
        <dsp:cNvSpPr/>
      </dsp:nvSpPr>
      <dsp:spPr>
        <a:xfrm>
          <a:off x="460767" y="862538"/>
          <a:ext cx="3935680" cy="431269"/>
        </a:xfrm>
        <a:prstGeom prst="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320" tIns="22860" rIns="22860" bIns="22860" numCol="1" spcCol="1270" anchor="ctr" anchorCtr="0">
          <a:noAutofit/>
        </a:bodyPr>
        <a:lstStyle/>
        <a:p>
          <a:pPr marL="0" lvl="0" indent="0" algn="l" defTabSz="400050">
            <a:lnSpc>
              <a:spcPct val="90000"/>
            </a:lnSpc>
            <a:spcBef>
              <a:spcPct val="0"/>
            </a:spcBef>
            <a:spcAft>
              <a:spcPct val="35000"/>
            </a:spcAft>
            <a:buNone/>
          </a:pPr>
          <a:r>
            <a:rPr lang="en-US" sz="900" kern="1200">
              <a:solidFill>
                <a:schemeClr val="bg2">
                  <a:lumMod val="10000"/>
                </a:schemeClr>
              </a:solidFill>
              <a:latin typeface="Arial" panose="020B0604020202020204" pitchFamily="34" charset="0"/>
              <a:cs typeface="Arial" panose="020B0604020202020204" pitchFamily="34" charset="0"/>
            </a:rPr>
            <a:t>The studies conducted in areas not in the global context were rejected, except in cases where cross-cultural studies were pertinent.</a:t>
          </a:r>
        </a:p>
      </dsp:txBody>
      <dsp:txXfrm>
        <a:off x="460767" y="862538"/>
        <a:ext cx="3935680" cy="431269"/>
      </dsp:txXfrm>
    </dsp:sp>
    <dsp:sp modelId="{6625C448-8D87-44F8-BC00-3AF3569430AB}">
      <dsp:nvSpPr>
        <dsp:cNvPr id="0" name=""/>
        <dsp:cNvSpPr/>
      </dsp:nvSpPr>
      <dsp:spPr>
        <a:xfrm>
          <a:off x="191224" y="808630"/>
          <a:ext cx="539086" cy="539086"/>
        </a:xfrm>
        <a:prstGeom prst="ellipse">
          <a:avLst/>
        </a:prstGeom>
        <a:solidFill>
          <a:srgbClr val="00B050"/>
        </a:solidFill>
        <a:ln w="12700" cap="flat" cmpd="sng" algn="ctr">
          <a:solidFill>
            <a:schemeClr val="accent4">
              <a:hueOff val="4900445"/>
              <a:satOff val="-20388"/>
              <a:lumOff val="4804"/>
              <a:alphaOff val="0"/>
            </a:schemeClr>
          </a:solidFill>
          <a:prstDash val="solid"/>
          <a:miter lim="800000"/>
        </a:ln>
        <a:effectLst/>
      </dsp:spPr>
      <dsp:style>
        <a:lnRef idx="2">
          <a:scrgbClr r="0" g="0" b="0"/>
        </a:lnRef>
        <a:fillRef idx="1">
          <a:scrgbClr r="0" g="0" b="0"/>
        </a:fillRef>
        <a:effectRef idx="0">
          <a:scrgbClr r="0" g="0" b="0"/>
        </a:effectRef>
        <a:fontRef idx="minor"/>
      </dsp:style>
    </dsp:sp>
    <dsp:sp modelId="{F2C215C4-8770-4464-A3B0-D2D8DD60DBBD}">
      <dsp:nvSpPr>
        <dsp:cNvPr id="0" name=""/>
        <dsp:cNvSpPr/>
      </dsp:nvSpPr>
      <dsp:spPr>
        <a:xfrm>
          <a:off x="304001" y="1509442"/>
          <a:ext cx="4092446" cy="431269"/>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320" tIns="22860" rIns="22860" bIns="22860" numCol="1" spcCol="1270" anchor="ctr" anchorCtr="0">
          <a:noAutofit/>
        </a:bodyPr>
        <a:lstStyle/>
        <a:p>
          <a:pPr marL="0" lvl="0" indent="0" algn="l" defTabSz="400050">
            <a:lnSpc>
              <a:spcPct val="90000"/>
            </a:lnSpc>
            <a:spcBef>
              <a:spcPct val="0"/>
            </a:spcBef>
            <a:spcAft>
              <a:spcPct val="35000"/>
            </a:spcAft>
            <a:buNone/>
          </a:pPr>
          <a:r>
            <a:rPr lang="en-US" sz="900" kern="1200">
              <a:solidFill>
                <a:schemeClr val="bg2">
                  <a:lumMod val="10000"/>
                </a:schemeClr>
              </a:solidFill>
              <a:latin typeface="Arial" panose="020B0604020202020204" pitchFamily="34" charset="0"/>
              <a:cs typeface="Arial" panose="020B0604020202020204" pitchFamily="34" charset="0"/>
            </a:rPr>
            <a:t>Articles that were not easy to access using academic databases were also excluded.</a:t>
          </a:r>
        </a:p>
      </dsp:txBody>
      <dsp:txXfrm>
        <a:off x="304001" y="1509442"/>
        <a:ext cx="4092446" cy="431269"/>
      </dsp:txXfrm>
    </dsp:sp>
    <dsp:sp modelId="{DE4AFBAD-DD68-4D27-967E-F43D63008609}">
      <dsp:nvSpPr>
        <dsp:cNvPr id="0" name=""/>
        <dsp:cNvSpPr/>
      </dsp:nvSpPr>
      <dsp:spPr>
        <a:xfrm>
          <a:off x="34457" y="1455534"/>
          <a:ext cx="539086" cy="539086"/>
        </a:xfrm>
        <a:prstGeom prst="ellipse">
          <a:avLst/>
        </a:prstGeom>
        <a:solidFill>
          <a:srgbClr val="00B050"/>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www.w3.org/2000/xmlns/"/>
    <ds:schemaRef ds:uri="71af3243-3dd4-4a8d-8c0d-dd76da1f02a5"/>
    <ds:schemaRef ds:uri="http://www.w3.org/2001/XMLSchema-instance"/>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0/xmlns/"/>
    <ds:schemaRef ds:uri="http://www.w3.org/2001/XMLSchema"/>
    <ds:schemaRef ds:uri="71af3243-3dd4-4a8d-8c0d-dd76da1f02a5"/>
    <ds:schemaRef ds:uri="16c05727-aa75-4e4a-9b5f-8a80a1165891"/>
  </ds:schemaRefs>
</ds:datastoreItem>
</file>

<file path=docProps/app.xml><?xml version="1.0" encoding="utf-8"?>
<Properties xmlns="http://schemas.openxmlformats.org/officeDocument/2006/extended-properties" xmlns:vt="http://schemas.openxmlformats.org/officeDocument/2006/docPropsVTypes">
  <Template>Education%20brochure.dotx</Template>
  <TotalTime>0</TotalTime>
  <Pages>1</Pages>
  <Words>726</Words>
  <Characters>4139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2025-10-23T22:29:00Z</dcterms:created>
  <dcterms:modified xsi:type="dcterms:W3CDTF">2025-10-23T22:29:00Z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