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08A30" w14:textId="50BD7A40" w:rsidR="00D16E1B" w:rsidRPr="00BE0585" w:rsidRDefault="00000000" w:rsidP="00BE0585">
      <w:pPr>
        <w:spacing w:line="360" w:lineRule="auto"/>
        <w:jc w:val="center"/>
        <w:rPr>
          <w:rFonts w:ascii="Arial" w:hAnsi="Arial" w:cs="Arial"/>
          <w:b/>
          <w:bCs/>
          <w:sz w:val="40"/>
          <w:szCs w:val="40"/>
        </w:rPr>
      </w:pPr>
      <w:r w:rsidRPr="00BE0585">
        <w:rPr>
          <w:rFonts w:ascii="Arial" w:hAnsi="Arial" w:cs="Arial"/>
          <w:b/>
          <w:bCs/>
          <w:sz w:val="40"/>
          <w:szCs w:val="40"/>
        </w:rPr>
        <w:t>International Financial Management</w:t>
      </w:r>
    </w:p>
    <w:p w14:paraId="7420FFE0" w14:textId="062D77E3" w:rsidR="00CB3D84" w:rsidRPr="00BE0585" w:rsidRDefault="00000000" w:rsidP="00BE0585">
      <w:pPr>
        <w:spacing w:line="360" w:lineRule="auto"/>
        <w:jc w:val="center"/>
        <w:rPr>
          <w:rFonts w:ascii="Arial" w:hAnsi="Arial" w:cs="Arial"/>
          <w:b/>
          <w:bCs/>
          <w:sz w:val="40"/>
          <w:szCs w:val="40"/>
        </w:rPr>
      </w:pPr>
      <w:r w:rsidRPr="00BE0585">
        <w:rPr>
          <w:rFonts w:ascii="Arial" w:hAnsi="Arial" w:cs="Arial"/>
          <w:b/>
          <w:bCs/>
          <w:sz w:val="40"/>
          <w:szCs w:val="40"/>
        </w:rPr>
        <w:t xml:space="preserve">Student </w:t>
      </w:r>
      <w:proofErr w:type="spellStart"/>
      <w:r w:rsidRPr="00BE0585">
        <w:rPr>
          <w:rFonts w:ascii="Arial" w:hAnsi="Arial" w:cs="Arial"/>
          <w:b/>
          <w:bCs/>
          <w:sz w:val="40"/>
          <w:szCs w:val="40"/>
        </w:rPr>
        <w:t>name:</w:t>
      </w:r>
      <w:r w:rsidR="003C6052">
        <w:rPr>
          <w:rFonts w:ascii="Arial" w:hAnsi="Arial" w:cs="Arial"/>
          <w:b/>
          <w:bCs/>
          <w:sz w:val="40"/>
          <w:szCs w:val="40"/>
        </w:rPr>
        <w:t>Silvia</w:t>
      </w:r>
      <w:proofErr w:type="spellEnd"/>
      <w:r w:rsidR="003C6052">
        <w:rPr>
          <w:rFonts w:ascii="Arial" w:hAnsi="Arial" w:cs="Arial"/>
          <w:b/>
          <w:bCs/>
          <w:sz w:val="40"/>
          <w:szCs w:val="40"/>
        </w:rPr>
        <w:t xml:space="preserve"> </w:t>
      </w:r>
      <w:proofErr w:type="spellStart"/>
      <w:r w:rsidR="003C6052">
        <w:rPr>
          <w:rFonts w:ascii="Arial" w:hAnsi="Arial" w:cs="Arial"/>
          <w:b/>
          <w:bCs/>
          <w:sz w:val="40"/>
          <w:szCs w:val="40"/>
        </w:rPr>
        <w:t>Mihaela</w:t>
      </w:r>
      <w:proofErr w:type="spellEnd"/>
      <w:r w:rsidR="003C6052">
        <w:rPr>
          <w:rFonts w:ascii="Arial" w:hAnsi="Arial" w:cs="Arial"/>
          <w:b/>
          <w:bCs/>
          <w:sz w:val="40"/>
          <w:szCs w:val="40"/>
        </w:rPr>
        <w:t xml:space="preserve"> </w:t>
      </w:r>
      <w:proofErr w:type="spellStart"/>
      <w:r w:rsidR="003C6052">
        <w:rPr>
          <w:rFonts w:ascii="Arial" w:hAnsi="Arial" w:cs="Arial"/>
          <w:b/>
          <w:bCs/>
          <w:sz w:val="40"/>
          <w:szCs w:val="40"/>
        </w:rPr>
        <w:t>Tanache</w:t>
      </w:r>
      <w:proofErr w:type="spellEnd"/>
    </w:p>
    <w:p w14:paraId="465BA82A" w14:textId="27E64F20" w:rsidR="00CB3D84" w:rsidRDefault="00000000" w:rsidP="00BE0585">
      <w:pPr>
        <w:spacing w:line="360" w:lineRule="auto"/>
        <w:jc w:val="center"/>
        <w:rPr>
          <w:rFonts w:ascii="Arial" w:hAnsi="Arial" w:cs="Arial"/>
          <w:b/>
          <w:bCs/>
          <w:sz w:val="40"/>
          <w:szCs w:val="40"/>
        </w:rPr>
      </w:pPr>
      <w:r w:rsidRPr="00BE0585">
        <w:rPr>
          <w:rFonts w:ascii="Arial" w:hAnsi="Arial" w:cs="Arial"/>
          <w:b/>
          <w:bCs/>
          <w:sz w:val="40"/>
          <w:szCs w:val="40"/>
        </w:rPr>
        <w:t>Student ID:</w:t>
      </w:r>
      <w:r w:rsidR="003C6052">
        <w:rPr>
          <w:rFonts w:ascii="Arial" w:hAnsi="Arial" w:cs="Arial"/>
          <w:b/>
          <w:bCs/>
          <w:sz w:val="40"/>
          <w:szCs w:val="40"/>
        </w:rPr>
        <w:t>2122649</w:t>
      </w:r>
    </w:p>
    <w:p w14:paraId="5A217670" w14:textId="5E24C688" w:rsidR="003C6052" w:rsidRPr="00BE0585" w:rsidRDefault="003C6052" w:rsidP="00BE0585">
      <w:pPr>
        <w:spacing w:line="360" w:lineRule="auto"/>
        <w:jc w:val="center"/>
        <w:rPr>
          <w:rFonts w:ascii="Arial" w:hAnsi="Arial" w:cs="Arial"/>
          <w:b/>
          <w:bCs/>
          <w:sz w:val="40"/>
          <w:szCs w:val="40"/>
        </w:rPr>
      </w:pPr>
      <w:proofErr w:type="spellStart"/>
      <w:r>
        <w:rPr>
          <w:rFonts w:ascii="Arial" w:hAnsi="Arial" w:cs="Arial"/>
          <w:b/>
          <w:bCs/>
          <w:sz w:val="40"/>
          <w:szCs w:val="40"/>
        </w:rPr>
        <w:t>Lecturer:Zainab</w:t>
      </w:r>
      <w:proofErr w:type="spellEnd"/>
      <w:r>
        <w:rPr>
          <w:rFonts w:ascii="Arial" w:hAnsi="Arial" w:cs="Arial"/>
          <w:b/>
          <w:bCs/>
          <w:sz w:val="40"/>
          <w:szCs w:val="40"/>
        </w:rPr>
        <w:t xml:space="preserve"> Atta</w:t>
      </w:r>
    </w:p>
    <w:p w14:paraId="0BF18D51" w14:textId="77777777" w:rsidR="00CB3D84" w:rsidRPr="00BE0585" w:rsidRDefault="00000000" w:rsidP="00BE0585">
      <w:pPr>
        <w:spacing w:line="360" w:lineRule="auto"/>
        <w:jc w:val="left"/>
        <w:rPr>
          <w:rFonts w:ascii="Arial" w:hAnsi="Arial" w:cs="Arial"/>
          <w:b/>
          <w:bCs/>
          <w:sz w:val="40"/>
          <w:szCs w:val="40"/>
        </w:rPr>
      </w:pPr>
      <w:r w:rsidRPr="00BE0585">
        <w:rPr>
          <w:rFonts w:ascii="Arial" w:hAnsi="Arial" w:cs="Arial"/>
          <w:b/>
          <w:bCs/>
          <w:sz w:val="40"/>
          <w:szCs w:val="40"/>
        </w:rPr>
        <w:br w:type="page"/>
      </w:r>
    </w:p>
    <w:p w14:paraId="29607F54" w14:textId="760175D4" w:rsidR="007D4618" w:rsidRPr="00BE0585" w:rsidRDefault="00000000" w:rsidP="00BE0585">
      <w:pPr>
        <w:spacing w:line="360" w:lineRule="auto"/>
        <w:jc w:val="center"/>
        <w:rPr>
          <w:rFonts w:ascii="Arial" w:hAnsi="Arial" w:cs="Arial"/>
          <w:b/>
          <w:bCs/>
        </w:rPr>
      </w:pPr>
      <w:r w:rsidRPr="00BE0585">
        <w:rPr>
          <w:rFonts w:ascii="Arial" w:hAnsi="Arial" w:cs="Arial"/>
          <w:b/>
          <w:bCs/>
        </w:rPr>
        <w:lastRenderedPageBreak/>
        <w:t>Executive summary</w:t>
      </w:r>
    </w:p>
    <w:p w14:paraId="5CF15246" w14:textId="77777777" w:rsidR="00002873" w:rsidRPr="00BE0585" w:rsidRDefault="00000000" w:rsidP="00BE0585">
      <w:pPr>
        <w:spacing w:line="360" w:lineRule="auto"/>
        <w:rPr>
          <w:rFonts w:ascii="Arial" w:hAnsi="Arial" w:cs="Arial"/>
        </w:rPr>
      </w:pPr>
      <w:r w:rsidRPr="00BE0585">
        <w:rPr>
          <w:rFonts w:ascii="Arial" w:hAnsi="Arial" w:cs="Arial"/>
        </w:rPr>
        <w:t xml:space="preserve">This report mainly presented a detailed overview of international financial management. The definition of IFM has been highlighted by also adding up its </w:t>
      </w:r>
      <w:r w:rsidR="00CF5F4E" w:rsidRPr="00BE0585">
        <w:rPr>
          <w:rFonts w:ascii="Arial" w:hAnsi="Arial" w:cs="Arial"/>
        </w:rPr>
        <w:t>importance</w:t>
      </w:r>
      <w:r w:rsidR="001B6C66" w:rsidRPr="00BE0585">
        <w:rPr>
          <w:rFonts w:ascii="Arial" w:hAnsi="Arial" w:cs="Arial"/>
        </w:rPr>
        <w:t>. Moving ahead, the</w:t>
      </w:r>
      <w:r w:rsidR="001176D4" w:rsidRPr="00BE0585">
        <w:rPr>
          <w:rFonts w:ascii="Arial" w:hAnsi="Arial" w:cs="Arial"/>
        </w:rPr>
        <w:t xml:space="preserve">re are </w:t>
      </w:r>
      <w:r w:rsidR="00FE4A48" w:rsidRPr="00BE0585">
        <w:rPr>
          <w:rFonts w:ascii="Arial" w:hAnsi="Arial" w:cs="Arial"/>
        </w:rPr>
        <w:t xml:space="preserve">explanations of </w:t>
      </w:r>
      <w:r w:rsidR="00555D48" w:rsidRPr="00BE0585">
        <w:rPr>
          <w:rFonts w:ascii="Arial" w:hAnsi="Arial" w:cs="Arial"/>
        </w:rPr>
        <w:t xml:space="preserve">different types of IFM theories that have been addressed. </w:t>
      </w:r>
      <w:r w:rsidR="008F57D6" w:rsidRPr="00BE0585">
        <w:rPr>
          <w:rFonts w:ascii="Arial" w:hAnsi="Arial" w:cs="Arial"/>
        </w:rPr>
        <w:t xml:space="preserve">There are also </w:t>
      </w:r>
      <w:r w:rsidR="00C21E64" w:rsidRPr="00BE0585">
        <w:rPr>
          <w:rFonts w:ascii="Arial" w:hAnsi="Arial" w:cs="Arial"/>
        </w:rPr>
        <w:t xml:space="preserve">detailed </w:t>
      </w:r>
      <w:r w:rsidR="0013295C" w:rsidRPr="00BE0585">
        <w:rPr>
          <w:rFonts w:ascii="Arial" w:hAnsi="Arial" w:cs="Arial"/>
        </w:rPr>
        <w:t xml:space="preserve">explanations </w:t>
      </w:r>
      <w:r w:rsidR="00D61627" w:rsidRPr="00BE0585">
        <w:rPr>
          <w:rFonts w:ascii="Arial" w:hAnsi="Arial" w:cs="Arial"/>
        </w:rPr>
        <w:t xml:space="preserve">of the various strategies or approaches by </w:t>
      </w:r>
      <w:r w:rsidR="00CA4606" w:rsidRPr="00BE0585">
        <w:rPr>
          <w:rFonts w:ascii="Arial" w:hAnsi="Arial" w:cs="Arial"/>
        </w:rPr>
        <w:t>MNCs with examples has been prepared.</w:t>
      </w:r>
    </w:p>
    <w:p w14:paraId="3C25B2BA" w14:textId="77777777" w:rsidR="00002873" w:rsidRPr="00BE0585" w:rsidRDefault="00002873" w:rsidP="00BE0585">
      <w:pPr>
        <w:spacing w:line="360" w:lineRule="auto"/>
        <w:jc w:val="left"/>
        <w:rPr>
          <w:rFonts w:ascii="Arial" w:hAnsi="Arial" w:cs="Arial"/>
        </w:rPr>
      </w:pPr>
      <w:r w:rsidRPr="00BE0585">
        <w:rPr>
          <w:rFonts w:ascii="Arial" w:hAnsi="Arial" w:cs="Arial"/>
        </w:rPr>
        <w:br w:type="page"/>
      </w:r>
    </w:p>
    <w:sdt>
      <w:sdtPr>
        <w:rPr>
          <w:rFonts w:ascii="Arial" w:eastAsiaTheme="minorHAnsi" w:hAnsi="Arial" w:cs="Arial"/>
          <w:color w:val="auto"/>
          <w:sz w:val="24"/>
          <w:szCs w:val="22"/>
          <w:lang w:val="en-GB"/>
        </w:rPr>
        <w:id w:val="-1246100977"/>
        <w:docPartObj>
          <w:docPartGallery w:val="Table of Contents"/>
          <w:docPartUnique/>
        </w:docPartObj>
      </w:sdtPr>
      <w:sdtEndPr>
        <w:rPr>
          <w:b/>
          <w:bCs/>
          <w:noProof/>
        </w:rPr>
      </w:sdtEndPr>
      <w:sdtContent>
        <w:p w14:paraId="0E1BCDA2" w14:textId="51EF0D49" w:rsidR="00002873" w:rsidRPr="00BE0585" w:rsidRDefault="00002873" w:rsidP="00BE0585">
          <w:pPr>
            <w:pStyle w:val="TOCHeading"/>
            <w:spacing w:line="360" w:lineRule="auto"/>
            <w:rPr>
              <w:rFonts w:ascii="Arial" w:hAnsi="Arial" w:cs="Arial"/>
            </w:rPr>
          </w:pPr>
          <w:r w:rsidRPr="00BE0585">
            <w:rPr>
              <w:rFonts w:ascii="Arial" w:hAnsi="Arial" w:cs="Arial"/>
            </w:rPr>
            <w:t>Table of Contents</w:t>
          </w:r>
        </w:p>
        <w:p w14:paraId="0E55299D" w14:textId="32180FC3" w:rsidR="00002873" w:rsidRPr="00BE0585" w:rsidRDefault="00002873" w:rsidP="00BE0585">
          <w:pPr>
            <w:pStyle w:val="TOC1"/>
            <w:tabs>
              <w:tab w:val="right" w:leader="dot" w:pos="9350"/>
            </w:tabs>
            <w:spacing w:line="360" w:lineRule="auto"/>
            <w:rPr>
              <w:rFonts w:ascii="Arial" w:hAnsi="Arial" w:cs="Arial"/>
              <w:noProof/>
            </w:rPr>
          </w:pPr>
          <w:r w:rsidRPr="00BE0585">
            <w:rPr>
              <w:rFonts w:ascii="Arial" w:hAnsi="Arial" w:cs="Arial"/>
            </w:rPr>
            <w:fldChar w:fldCharType="begin"/>
          </w:r>
          <w:r w:rsidRPr="00BE0585">
            <w:rPr>
              <w:rFonts w:ascii="Arial" w:hAnsi="Arial" w:cs="Arial"/>
            </w:rPr>
            <w:instrText xml:space="preserve"> TOC \o "1-3" \h \z \u </w:instrText>
          </w:r>
          <w:r w:rsidRPr="00BE0585">
            <w:rPr>
              <w:rFonts w:ascii="Arial" w:hAnsi="Arial" w:cs="Arial"/>
            </w:rPr>
            <w:fldChar w:fldCharType="separate"/>
          </w:r>
          <w:hyperlink w:anchor="_Toc162392918" w:history="1">
            <w:r w:rsidRPr="00BE0585">
              <w:rPr>
                <w:rStyle w:val="Hyperlink"/>
                <w:rFonts w:ascii="Arial" w:hAnsi="Arial" w:cs="Arial"/>
                <w:noProof/>
              </w:rPr>
              <w:t>Introduction</w:t>
            </w:r>
            <w:r w:rsidRPr="00BE0585">
              <w:rPr>
                <w:rFonts w:ascii="Arial" w:hAnsi="Arial" w:cs="Arial"/>
                <w:noProof/>
                <w:webHidden/>
              </w:rPr>
              <w:tab/>
            </w:r>
            <w:r w:rsidRPr="00BE0585">
              <w:rPr>
                <w:rFonts w:ascii="Arial" w:hAnsi="Arial" w:cs="Arial"/>
                <w:noProof/>
                <w:webHidden/>
              </w:rPr>
              <w:fldChar w:fldCharType="begin"/>
            </w:r>
            <w:r w:rsidRPr="00BE0585">
              <w:rPr>
                <w:rFonts w:ascii="Arial" w:hAnsi="Arial" w:cs="Arial"/>
                <w:noProof/>
                <w:webHidden/>
              </w:rPr>
              <w:instrText xml:space="preserve"> PAGEREF _Toc162392918 \h </w:instrText>
            </w:r>
            <w:r w:rsidRPr="00BE0585">
              <w:rPr>
                <w:rFonts w:ascii="Arial" w:hAnsi="Arial" w:cs="Arial"/>
                <w:noProof/>
                <w:webHidden/>
              </w:rPr>
            </w:r>
            <w:r w:rsidRPr="00BE0585">
              <w:rPr>
                <w:rFonts w:ascii="Arial" w:hAnsi="Arial" w:cs="Arial"/>
                <w:noProof/>
                <w:webHidden/>
              </w:rPr>
              <w:fldChar w:fldCharType="separate"/>
            </w:r>
            <w:r w:rsidRPr="00BE0585">
              <w:rPr>
                <w:rFonts w:ascii="Arial" w:hAnsi="Arial" w:cs="Arial"/>
                <w:noProof/>
                <w:webHidden/>
              </w:rPr>
              <w:t>4</w:t>
            </w:r>
            <w:r w:rsidRPr="00BE0585">
              <w:rPr>
                <w:rFonts w:ascii="Arial" w:hAnsi="Arial" w:cs="Arial"/>
                <w:noProof/>
                <w:webHidden/>
              </w:rPr>
              <w:fldChar w:fldCharType="end"/>
            </w:r>
          </w:hyperlink>
        </w:p>
        <w:p w14:paraId="742A1A57" w14:textId="77E7A713" w:rsidR="00002873" w:rsidRPr="00BE0585" w:rsidRDefault="00000000" w:rsidP="00BE0585">
          <w:pPr>
            <w:pStyle w:val="TOC1"/>
            <w:tabs>
              <w:tab w:val="right" w:leader="dot" w:pos="9350"/>
            </w:tabs>
            <w:spacing w:line="360" w:lineRule="auto"/>
            <w:rPr>
              <w:rFonts w:ascii="Arial" w:hAnsi="Arial" w:cs="Arial"/>
              <w:noProof/>
            </w:rPr>
          </w:pPr>
          <w:hyperlink w:anchor="_Toc162392919" w:history="1">
            <w:r w:rsidR="00002873" w:rsidRPr="00BE0585">
              <w:rPr>
                <w:rStyle w:val="Hyperlink"/>
                <w:rFonts w:ascii="Arial" w:hAnsi="Arial" w:cs="Arial"/>
                <w:noProof/>
              </w:rPr>
              <w:t>Explaining the concept and various factors of International Financial Management</w:t>
            </w:r>
            <w:r w:rsidR="00002873" w:rsidRPr="00BE0585">
              <w:rPr>
                <w:rFonts w:ascii="Arial" w:hAnsi="Arial" w:cs="Arial"/>
                <w:noProof/>
                <w:webHidden/>
              </w:rPr>
              <w:tab/>
            </w:r>
            <w:r w:rsidR="00002873" w:rsidRPr="00BE0585">
              <w:rPr>
                <w:rFonts w:ascii="Arial" w:hAnsi="Arial" w:cs="Arial"/>
                <w:noProof/>
                <w:webHidden/>
              </w:rPr>
              <w:fldChar w:fldCharType="begin"/>
            </w:r>
            <w:r w:rsidR="00002873" w:rsidRPr="00BE0585">
              <w:rPr>
                <w:rFonts w:ascii="Arial" w:hAnsi="Arial" w:cs="Arial"/>
                <w:noProof/>
                <w:webHidden/>
              </w:rPr>
              <w:instrText xml:space="preserve"> PAGEREF _Toc162392919 \h </w:instrText>
            </w:r>
            <w:r w:rsidR="00002873" w:rsidRPr="00BE0585">
              <w:rPr>
                <w:rFonts w:ascii="Arial" w:hAnsi="Arial" w:cs="Arial"/>
                <w:noProof/>
                <w:webHidden/>
              </w:rPr>
            </w:r>
            <w:r w:rsidR="00002873" w:rsidRPr="00BE0585">
              <w:rPr>
                <w:rFonts w:ascii="Arial" w:hAnsi="Arial" w:cs="Arial"/>
                <w:noProof/>
                <w:webHidden/>
              </w:rPr>
              <w:fldChar w:fldCharType="separate"/>
            </w:r>
            <w:r w:rsidR="00002873" w:rsidRPr="00BE0585">
              <w:rPr>
                <w:rFonts w:ascii="Arial" w:hAnsi="Arial" w:cs="Arial"/>
                <w:noProof/>
                <w:webHidden/>
              </w:rPr>
              <w:t>5</w:t>
            </w:r>
            <w:r w:rsidR="00002873" w:rsidRPr="00BE0585">
              <w:rPr>
                <w:rFonts w:ascii="Arial" w:hAnsi="Arial" w:cs="Arial"/>
                <w:noProof/>
                <w:webHidden/>
              </w:rPr>
              <w:fldChar w:fldCharType="end"/>
            </w:r>
          </w:hyperlink>
        </w:p>
        <w:p w14:paraId="0E415F30" w14:textId="5F355AC1" w:rsidR="00002873" w:rsidRPr="00BE0585" w:rsidRDefault="00000000" w:rsidP="00BE0585">
          <w:pPr>
            <w:pStyle w:val="TOC2"/>
            <w:tabs>
              <w:tab w:val="right" w:leader="dot" w:pos="9350"/>
            </w:tabs>
            <w:spacing w:line="360" w:lineRule="auto"/>
            <w:rPr>
              <w:rFonts w:ascii="Arial" w:hAnsi="Arial" w:cs="Arial"/>
              <w:noProof/>
            </w:rPr>
          </w:pPr>
          <w:hyperlink w:anchor="_Toc162392920" w:history="1">
            <w:r w:rsidR="00002873" w:rsidRPr="00BE0585">
              <w:rPr>
                <w:rStyle w:val="Hyperlink"/>
                <w:rFonts w:ascii="Arial" w:hAnsi="Arial" w:cs="Arial"/>
                <w:noProof/>
                <w:lang w:val="en-US" w:eastAsia="en-IN"/>
              </w:rPr>
              <w:t xml:space="preserve">Defining </w:t>
            </w:r>
            <w:r w:rsidR="00002873" w:rsidRPr="00BE0585">
              <w:rPr>
                <w:rStyle w:val="Hyperlink"/>
                <w:rFonts w:ascii="Arial" w:hAnsi="Arial" w:cs="Arial"/>
                <w:noProof/>
              </w:rPr>
              <w:t>International Financial Management</w:t>
            </w:r>
            <w:r w:rsidR="00002873" w:rsidRPr="00BE0585">
              <w:rPr>
                <w:rFonts w:ascii="Arial" w:hAnsi="Arial" w:cs="Arial"/>
                <w:noProof/>
                <w:webHidden/>
              </w:rPr>
              <w:tab/>
            </w:r>
            <w:r w:rsidR="00002873" w:rsidRPr="00BE0585">
              <w:rPr>
                <w:rFonts w:ascii="Arial" w:hAnsi="Arial" w:cs="Arial"/>
                <w:noProof/>
                <w:webHidden/>
              </w:rPr>
              <w:fldChar w:fldCharType="begin"/>
            </w:r>
            <w:r w:rsidR="00002873" w:rsidRPr="00BE0585">
              <w:rPr>
                <w:rFonts w:ascii="Arial" w:hAnsi="Arial" w:cs="Arial"/>
                <w:noProof/>
                <w:webHidden/>
              </w:rPr>
              <w:instrText xml:space="preserve"> PAGEREF _Toc162392920 \h </w:instrText>
            </w:r>
            <w:r w:rsidR="00002873" w:rsidRPr="00BE0585">
              <w:rPr>
                <w:rFonts w:ascii="Arial" w:hAnsi="Arial" w:cs="Arial"/>
                <w:noProof/>
                <w:webHidden/>
              </w:rPr>
            </w:r>
            <w:r w:rsidR="00002873" w:rsidRPr="00BE0585">
              <w:rPr>
                <w:rFonts w:ascii="Arial" w:hAnsi="Arial" w:cs="Arial"/>
                <w:noProof/>
                <w:webHidden/>
              </w:rPr>
              <w:fldChar w:fldCharType="separate"/>
            </w:r>
            <w:r w:rsidR="00002873" w:rsidRPr="00BE0585">
              <w:rPr>
                <w:rFonts w:ascii="Arial" w:hAnsi="Arial" w:cs="Arial"/>
                <w:noProof/>
                <w:webHidden/>
              </w:rPr>
              <w:t>5</w:t>
            </w:r>
            <w:r w:rsidR="00002873" w:rsidRPr="00BE0585">
              <w:rPr>
                <w:rFonts w:ascii="Arial" w:hAnsi="Arial" w:cs="Arial"/>
                <w:noProof/>
                <w:webHidden/>
              </w:rPr>
              <w:fldChar w:fldCharType="end"/>
            </w:r>
          </w:hyperlink>
        </w:p>
        <w:p w14:paraId="7CED7758" w14:textId="58BF277F" w:rsidR="00002873" w:rsidRPr="00BE0585" w:rsidRDefault="00000000" w:rsidP="00BE0585">
          <w:pPr>
            <w:pStyle w:val="TOC2"/>
            <w:tabs>
              <w:tab w:val="right" w:leader="dot" w:pos="9350"/>
            </w:tabs>
            <w:spacing w:line="360" w:lineRule="auto"/>
            <w:rPr>
              <w:rFonts w:ascii="Arial" w:hAnsi="Arial" w:cs="Arial"/>
              <w:noProof/>
            </w:rPr>
          </w:pPr>
          <w:hyperlink w:anchor="_Toc162392921" w:history="1">
            <w:r w:rsidR="00002873" w:rsidRPr="00BE0585">
              <w:rPr>
                <w:rStyle w:val="Hyperlink"/>
                <w:rFonts w:ascii="Arial" w:hAnsi="Arial" w:cs="Arial"/>
                <w:noProof/>
              </w:rPr>
              <w:t>Explaining various theories of International Financial Management</w:t>
            </w:r>
            <w:r w:rsidR="00002873" w:rsidRPr="00BE0585">
              <w:rPr>
                <w:rFonts w:ascii="Arial" w:hAnsi="Arial" w:cs="Arial"/>
                <w:noProof/>
                <w:webHidden/>
              </w:rPr>
              <w:tab/>
            </w:r>
            <w:r w:rsidR="00002873" w:rsidRPr="00BE0585">
              <w:rPr>
                <w:rFonts w:ascii="Arial" w:hAnsi="Arial" w:cs="Arial"/>
                <w:noProof/>
                <w:webHidden/>
              </w:rPr>
              <w:fldChar w:fldCharType="begin"/>
            </w:r>
            <w:r w:rsidR="00002873" w:rsidRPr="00BE0585">
              <w:rPr>
                <w:rFonts w:ascii="Arial" w:hAnsi="Arial" w:cs="Arial"/>
                <w:noProof/>
                <w:webHidden/>
              </w:rPr>
              <w:instrText xml:space="preserve"> PAGEREF _Toc162392921 \h </w:instrText>
            </w:r>
            <w:r w:rsidR="00002873" w:rsidRPr="00BE0585">
              <w:rPr>
                <w:rFonts w:ascii="Arial" w:hAnsi="Arial" w:cs="Arial"/>
                <w:noProof/>
                <w:webHidden/>
              </w:rPr>
            </w:r>
            <w:r w:rsidR="00002873" w:rsidRPr="00BE0585">
              <w:rPr>
                <w:rFonts w:ascii="Arial" w:hAnsi="Arial" w:cs="Arial"/>
                <w:noProof/>
                <w:webHidden/>
              </w:rPr>
              <w:fldChar w:fldCharType="separate"/>
            </w:r>
            <w:r w:rsidR="00002873" w:rsidRPr="00BE0585">
              <w:rPr>
                <w:rFonts w:ascii="Arial" w:hAnsi="Arial" w:cs="Arial"/>
                <w:noProof/>
                <w:webHidden/>
              </w:rPr>
              <w:t>6</w:t>
            </w:r>
            <w:r w:rsidR="00002873" w:rsidRPr="00BE0585">
              <w:rPr>
                <w:rFonts w:ascii="Arial" w:hAnsi="Arial" w:cs="Arial"/>
                <w:noProof/>
                <w:webHidden/>
              </w:rPr>
              <w:fldChar w:fldCharType="end"/>
            </w:r>
          </w:hyperlink>
        </w:p>
        <w:p w14:paraId="3D08730A" w14:textId="3670AC2D" w:rsidR="00002873" w:rsidRPr="00BE0585" w:rsidRDefault="00000000" w:rsidP="00BE0585">
          <w:pPr>
            <w:pStyle w:val="TOC2"/>
            <w:tabs>
              <w:tab w:val="right" w:leader="dot" w:pos="9350"/>
            </w:tabs>
            <w:spacing w:line="360" w:lineRule="auto"/>
            <w:rPr>
              <w:rFonts w:ascii="Arial" w:hAnsi="Arial" w:cs="Arial"/>
              <w:noProof/>
            </w:rPr>
          </w:pPr>
          <w:hyperlink w:anchor="_Toc162392922" w:history="1">
            <w:r w:rsidR="00002873" w:rsidRPr="00BE0585">
              <w:rPr>
                <w:rStyle w:val="Hyperlink"/>
                <w:rFonts w:ascii="Arial" w:hAnsi="Arial" w:cs="Arial"/>
                <w:noProof/>
              </w:rPr>
              <w:t>Evaluating the different strategies that multinational corporations often adopt to manage exposure to foreign exchange risks</w:t>
            </w:r>
            <w:r w:rsidR="00002873" w:rsidRPr="00BE0585">
              <w:rPr>
                <w:rFonts w:ascii="Arial" w:hAnsi="Arial" w:cs="Arial"/>
                <w:noProof/>
                <w:webHidden/>
              </w:rPr>
              <w:tab/>
            </w:r>
            <w:r w:rsidR="00002873" w:rsidRPr="00BE0585">
              <w:rPr>
                <w:rFonts w:ascii="Arial" w:hAnsi="Arial" w:cs="Arial"/>
                <w:noProof/>
                <w:webHidden/>
              </w:rPr>
              <w:fldChar w:fldCharType="begin"/>
            </w:r>
            <w:r w:rsidR="00002873" w:rsidRPr="00BE0585">
              <w:rPr>
                <w:rFonts w:ascii="Arial" w:hAnsi="Arial" w:cs="Arial"/>
                <w:noProof/>
                <w:webHidden/>
              </w:rPr>
              <w:instrText xml:space="preserve"> PAGEREF _Toc162392922 \h </w:instrText>
            </w:r>
            <w:r w:rsidR="00002873" w:rsidRPr="00BE0585">
              <w:rPr>
                <w:rFonts w:ascii="Arial" w:hAnsi="Arial" w:cs="Arial"/>
                <w:noProof/>
                <w:webHidden/>
              </w:rPr>
            </w:r>
            <w:r w:rsidR="00002873" w:rsidRPr="00BE0585">
              <w:rPr>
                <w:rFonts w:ascii="Arial" w:hAnsi="Arial" w:cs="Arial"/>
                <w:noProof/>
                <w:webHidden/>
              </w:rPr>
              <w:fldChar w:fldCharType="separate"/>
            </w:r>
            <w:r w:rsidR="00002873" w:rsidRPr="00BE0585">
              <w:rPr>
                <w:rFonts w:ascii="Arial" w:hAnsi="Arial" w:cs="Arial"/>
                <w:noProof/>
                <w:webHidden/>
              </w:rPr>
              <w:t>8</w:t>
            </w:r>
            <w:r w:rsidR="00002873" w:rsidRPr="00BE0585">
              <w:rPr>
                <w:rFonts w:ascii="Arial" w:hAnsi="Arial" w:cs="Arial"/>
                <w:noProof/>
                <w:webHidden/>
              </w:rPr>
              <w:fldChar w:fldCharType="end"/>
            </w:r>
          </w:hyperlink>
        </w:p>
        <w:p w14:paraId="08321B15" w14:textId="32EE3283" w:rsidR="00002873" w:rsidRPr="00BE0585" w:rsidRDefault="00000000" w:rsidP="00BE0585">
          <w:pPr>
            <w:pStyle w:val="TOC1"/>
            <w:tabs>
              <w:tab w:val="right" w:leader="dot" w:pos="9350"/>
            </w:tabs>
            <w:spacing w:line="360" w:lineRule="auto"/>
            <w:rPr>
              <w:rFonts w:ascii="Arial" w:hAnsi="Arial" w:cs="Arial"/>
              <w:noProof/>
            </w:rPr>
          </w:pPr>
          <w:hyperlink w:anchor="_Toc162392923" w:history="1">
            <w:r w:rsidR="00002873" w:rsidRPr="00BE0585">
              <w:rPr>
                <w:rStyle w:val="Hyperlink"/>
                <w:rFonts w:ascii="Arial" w:hAnsi="Arial" w:cs="Arial"/>
                <w:noProof/>
              </w:rPr>
              <w:t>Conclusion</w:t>
            </w:r>
            <w:r w:rsidR="00002873" w:rsidRPr="00BE0585">
              <w:rPr>
                <w:rFonts w:ascii="Arial" w:hAnsi="Arial" w:cs="Arial"/>
                <w:noProof/>
                <w:webHidden/>
              </w:rPr>
              <w:tab/>
            </w:r>
            <w:r w:rsidR="00002873" w:rsidRPr="00BE0585">
              <w:rPr>
                <w:rFonts w:ascii="Arial" w:hAnsi="Arial" w:cs="Arial"/>
                <w:noProof/>
                <w:webHidden/>
              </w:rPr>
              <w:fldChar w:fldCharType="begin"/>
            </w:r>
            <w:r w:rsidR="00002873" w:rsidRPr="00BE0585">
              <w:rPr>
                <w:rFonts w:ascii="Arial" w:hAnsi="Arial" w:cs="Arial"/>
                <w:noProof/>
                <w:webHidden/>
              </w:rPr>
              <w:instrText xml:space="preserve"> PAGEREF _Toc162392923 \h </w:instrText>
            </w:r>
            <w:r w:rsidR="00002873" w:rsidRPr="00BE0585">
              <w:rPr>
                <w:rFonts w:ascii="Arial" w:hAnsi="Arial" w:cs="Arial"/>
                <w:noProof/>
                <w:webHidden/>
              </w:rPr>
            </w:r>
            <w:r w:rsidR="00002873" w:rsidRPr="00BE0585">
              <w:rPr>
                <w:rFonts w:ascii="Arial" w:hAnsi="Arial" w:cs="Arial"/>
                <w:noProof/>
                <w:webHidden/>
              </w:rPr>
              <w:fldChar w:fldCharType="separate"/>
            </w:r>
            <w:r w:rsidR="00002873" w:rsidRPr="00BE0585">
              <w:rPr>
                <w:rFonts w:ascii="Arial" w:hAnsi="Arial" w:cs="Arial"/>
                <w:noProof/>
                <w:webHidden/>
              </w:rPr>
              <w:t>10</w:t>
            </w:r>
            <w:r w:rsidR="00002873" w:rsidRPr="00BE0585">
              <w:rPr>
                <w:rFonts w:ascii="Arial" w:hAnsi="Arial" w:cs="Arial"/>
                <w:noProof/>
                <w:webHidden/>
              </w:rPr>
              <w:fldChar w:fldCharType="end"/>
            </w:r>
          </w:hyperlink>
        </w:p>
        <w:p w14:paraId="05459CF2" w14:textId="6F4A1CF4" w:rsidR="00002873" w:rsidRPr="00BE0585" w:rsidRDefault="00000000" w:rsidP="00BE0585">
          <w:pPr>
            <w:pStyle w:val="TOC1"/>
            <w:tabs>
              <w:tab w:val="right" w:leader="dot" w:pos="9350"/>
            </w:tabs>
            <w:spacing w:line="360" w:lineRule="auto"/>
            <w:rPr>
              <w:rFonts w:ascii="Arial" w:hAnsi="Arial" w:cs="Arial"/>
              <w:noProof/>
            </w:rPr>
          </w:pPr>
          <w:hyperlink w:anchor="_Toc162392924" w:history="1">
            <w:r w:rsidR="00002873" w:rsidRPr="00BE0585">
              <w:rPr>
                <w:rStyle w:val="Hyperlink"/>
                <w:rFonts w:ascii="Arial" w:hAnsi="Arial" w:cs="Arial"/>
                <w:noProof/>
              </w:rPr>
              <w:t>References</w:t>
            </w:r>
            <w:r w:rsidR="00002873" w:rsidRPr="00BE0585">
              <w:rPr>
                <w:rFonts w:ascii="Arial" w:hAnsi="Arial" w:cs="Arial"/>
                <w:noProof/>
                <w:webHidden/>
              </w:rPr>
              <w:tab/>
            </w:r>
            <w:r w:rsidR="00002873" w:rsidRPr="00BE0585">
              <w:rPr>
                <w:rFonts w:ascii="Arial" w:hAnsi="Arial" w:cs="Arial"/>
                <w:noProof/>
                <w:webHidden/>
              </w:rPr>
              <w:fldChar w:fldCharType="begin"/>
            </w:r>
            <w:r w:rsidR="00002873" w:rsidRPr="00BE0585">
              <w:rPr>
                <w:rFonts w:ascii="Arial" w:hAnsi="Arial" w:cs="Arial"/>
                <w:noProof/>
                <w:webHidden/>
              </w:rPr>
              <w:instrText xml:space="preserve"> PAGEREF _Toc162392924 \h </w:instrText>
            </w:r>
            <w:r w:rsidR="00002873" w:rsidRPr="00BE0585">
              <w:rPr>
                <w:rFonts w:ascii="Arial" w:hAnsi="Arial" w:cs="Arial"/>
                <w:noProof/>
                <w:webHidden/>
              </w:rPr>
            </w:r>
            <w:r w:rsidR="00002873" w:rsidRPr="00BE0585">
              <w:rPr>
                <w:rFonts w:ascii="Arial" w:hAnsi="Arial" w:cs="Arial"/>
                <w:noProof/>
                <w:webHidden/>
              </w:rPr>
              <w:fldChar w:fldCharType="separate"/>
            </w:r>
            <w:r w:rsidR="00002873" w:rsidRPr="00BE0585">
              <w:rPr>
                <w:rFonts w:ascii="Arial" w:hAnsi="Arial" w:cs="Arial"/>
                <w:noProof/>
                <w:webHidden/>
              </w:rPr>
              <w:t>11</w:t>
            </w:r>
            <w:r w:rsidR="00002873" w:rsidRPr="00BE0585">
              <w:rPr>
                <w:rFonts w:ascii="Arial" w:hAnsi="Arial" w:cs="Arial"/>
                <w:noProof/>
                <w:webHidden/>
              </w:rPr>
              <w:fldChar w:fldCharType="end"/>
            </w:r>
          </w:hyperlink>
        </w:p>
        <w:p w14:paraId="5BAC67A3" w14:textId="0945B2F5" w:rsidR="00002873" w:rsidRPr="00BE0585" w:rsidRDefault="00002873" w:rsidP="00BE0585">
          <w:pPr>
            <w:spacing w:line="360" w:lineRule="auto"/>
            <w:rPr>
              <w:rFonts w:ascii="Arial" w:hAnsi="Arial" w:cs="Arial"/>
            </w:rPr>
          </w:pPr>
          <w:r w:rsidRPr="00BE0585">
            <w:rPr>
              <w:rFonts w:ascii="Arial" w:hAnsi="Arial" w:cs="Arial"/>
              <w:b/>
              <w:bCs/>
              <w:noProof/>
            </w:rPr>
            <w:fldChar w:fldCharType="end"/>
          </w:r>
        </w:p>
      </w:sdtContent>
    </w:sdt>
    <w:p w14:paraId="26617567" w14:textId="30EE2C49" w:rsidR="00DA276D" w:rsidRPr="00BE0585" w:rsidRDefault="00000000" w:rsidP="00BE0585">
      <w:pPr>
        <w:spacing w:line="360" w:lineRule="auto"/>
        <w:rPr>
          <w:rFonts w:ascii="Arial" w:hAnsi="Arial" w:cs="Arial"/>
        </w:rPr>
      </w:pPr>
      <w:r w:rsidRPr="00BE0585">
        <w:rPr>
          <w:rFonts w:ascii="Arial" w:hAnsi="Arial" w:cs="Arial"/>
        </w:rPr>
        <w:br w:type="page"/>
      </w:r>
    </w:p>
    <w:p w14:paraId="505FA3AC" w14:textId="0016E929" w:rsidR="00F061E9" w:rsidRPr="00BE0585" w:rsidRDefault="00000000" w:rsidP="00BE0585">
      <w:pPr>
        <w:pStyle w:val="Heading1"/>
        <w:spacing w:line="360" w:lineRule="auto"/>
        <w:rPr>
          <w:rFonts w:ascii="Arial" w:hAnsi="Arial"/>
          <w:sz w:val="22"/>
          <w:szCs w:val="22"/>
        </w:rPr>
      </w:pPr>
      <w:bookmarkStart w:id="0" w:name="_Toc162392918"/>
      <w:r w:rsidRPr="00BE0585">
        <w:rPr>
          <w:rFonts w:ascii="Arial" w:hAnsi="Arial"/>
          <w:sz w:val="22"/>
          <w:szCs w:val="22"/>
        </w:rPr>
        <w:lastRenderedPageBreak/>
        <w:t>Introduction</w:t>
      </w:r>
      <w:bookmarkEnd w:id="0"/>
      <w:r w:rsidRPr="00BE0585">
        <w:rPr>
          <w:rFonts w:ascii="Arial" w:hAnsi="Arial"/>
          <w:sz w:val="22"/>
          <w:szCs w:val="22"/>
        </w:rPr>
        <w:t xml:space="preserve"> </w:t>
      </w:r>
    </w:p>
    <w:p w14:paraId="6B1098B5" w14:textId="23CACDD6" w:rsidR="005E0E90" w:rsidRPr="00BE0585" w:rsidRDefault="00000000" w:rsidP="00BE0585">
      <w:pPr>
        <w:spacing w:line="360" w:lineRule="auto"/>
        <w:rPr>
          <w:rFonts w:ascii="Arial" w:hAnsi="Arial" w:cs="Arial"/>
          <w:sz w:val="22"/>
          <w:lang w:val="en-US" w:eastAsia="en-IN"/>
        </w:rPr>
      </w:pPr>
      <w:r w:rsidRPr="00BE0585">
        <w:rPr>
          <w:rFonts w:ascii="Arial" w:hAnsi="Arial" w:cs="Arial"/>
          <w:sz w:val="22"/>
          <w:lang w:val="en-US" w:eastAsia="en-IN"/>
        </w:rPr>
        <w:t>The concept of financial management mainly includes the process of planning, directing, and organising followed by controlling businesses' financial operations in order to increase the wealth of shareholders. Hence, it consists of activities such as risk management, financial analysis, financing strategy, and budgeting followed by investment decisions. Now the key focus of this upcoming report is to develop an understanding of International Financial Management. There are various concepts, theories are presented which will also be evaluated in a significant manner. the explanation will also highlight various strategies that MNCs or multinational corporations often incorporate in order to manage their exposure to the exchange risk in foreign markets.</w:t>
      </w:r>
      <w:r w:rsidRPr="00BE0585">
        <w:rPr>
          <w:rFonts w:ascii="Arial" w:hAnsi="Arial" w:cs="Arial"/>
          <w:sz w:val="22"/>
          <w:lang w:val="en-US" w:eastAsia="en-IN"/>
        </w:rPr>
        <w:br w:type="page"/>
      </w:r>
    </w:p>
    <w:p w14:paraId="4AD9B352" w14:textId="6BD0FCB1" w:rsidR="00F061E9" w:rsidRPr="00BE0585" w:rsidRDefault="00000000" w:rsidP="00BE0585">
      <w:pPr>
        <w:pStyle w:val="Heading1"/>
        <w:spacing w:line="360" w:lineRule="auto"/>
        <w:rPr>
          <w:rFonts w:ascii="Arial" w:hAnsi="Arial"/>
          <w:sz w:val="22"/>
          <w:szCs w:val="22"/>
        </w:rPr>
      </w:pPr>
      <w:bookmarkStart w:id="1" w:name="_Toc162392919"/>
      <w:r w:rsidRPr="00BE0585">
        <w:rPr>
          <w:rFonts w:ascii="Arial" w:hAnsi="Arial"/>
          <w:sz w:val="22"/>
          <w:szCs w:val="22"/>
        </w:rPr>
        <w:lastRenderedPageBreak/>
        <w:t>Explaining</w:t>
      </w:r>
      <w:r w:rsidR="001708D9" w:rsidRPr="00BE0585">
        <w:rPr>
          <w:rFonts w:ascii="Arial" w:hAnsi="Arial"/>
          <w:sz w:val="22"/>
          <w:szCs w:val="22"/>
        </w:rPr>
        <w:t xml:space="preserve"> the concept </w:t>
      </w:r>
      <w:r w:rsidRPr="00BE0585">
        <w:rPr>
          <w:rFonts w:ascii="Arial" w:hAnsi="Arial"/>
          <w:sz w:val="22"/>
          <w:szCs w:val="22"/>
        </w:rPr>
        <w:t xml:space="preserve">and various </w:t>
      </w:r>
      <w:r w:rsidR="006605F0" w:rsidRPr="00BE0585">
        <w:rPr>
          <w:rFonts w:ascii="Arial" w:hAnsi="Arial"/>
          <w:sz w:val="22"/>
          <w:szCs w:val="22"/>
        </w:rPr>
        <w:t xml:space="preserve">factors </w:t>
      </w:r>
      <w:r w:rsidR="001708D9" w:rsidRPr="00BE0585">
        <w:rPr>
          <w:rFonts w:ascii="Arial" w:hAnsi="Arial"/>
          <w:sz w:val="22"/>
          <w:szCs w:val="22"/>
        </w:rPr>
        <w:t>of International Financial Management</w:t>
      </w:r>
      <w:bookmarkEnd w:id="1"/>
    </w:p>
    <w:p w14:paraId="3F86C35A" w14:textId="444D6979" w:rsidR="00057C57" w:rsidRPr="00BE0585" w:rsidRDefault="00000000" w:rsidP="00BE0585">
      <w:pPr>
        <w:pStyle w:val="Heading2"/>
        <w:spacing w:line="360" w:lineRule="auto"/>
        <w:rPr>
          <w:rFonts w:ascii="Arial" w:hAnsi="Arial" w:cs="Arial"/>
          <w:sz w:val="22"/>
          <w:szCs w:val="22"/>
        </w:rPr>
      </w:pPr>
      <w:bookmarkStart w:id="2" w:name="_Toc162392920"/>
      <w:r w:rsidRPr="00BE0585">
        <w:rPr>
          <w:rFonts w:ascii="Arial" w:hAnsi="Arial" w:cs="Arial"/>
          <w:sz w:val="22"/>
          <w:szCs w:val="22"/>
          <w:lang w:val="en-US" w:eastAsia="en-IN"/>
        </w:rPr>
        <w:t xml:space="preserve">Defining </w:t>
      </w:r>
      <w:r w:rsidRPr="00BE0585">
        <w:rPr>
          <w:rFonts w:ascii="Arial" w:hAnsi="Arial" w:cs="Arial"/>
          <w:sz w:val="22"/>
          <w:szCs w:val="22"/>
        </w:rPr>
        <w:t>International Financial Management</w:t>
      </w:r>
      <w:bookmarkEnd w:id="2"/>
    </w:p>
    <w:p w14:paraId="2437E67B" w14:textId="4B163D37" w:rsidR="006605F0" w:rsidRPr="00BE0585" w:rsidRDefault="00000000" w:rsidP="00BE0585">
      <w:pPr>
        <w:spacing w:line="360" w:lineRule="auto"/>
        <w:rPr>
          <w:rFonts w:ascii="Arial" w:hAnsi="Arial" w:cs="Arial"/>
          <w:b/>
          <w:bCs/>
          <w:i/>
          <w:iCs/>
          <w:sz w:val="22"/>
          <w:u w:val="single"/>
        </w:rPr>
      </w:pPr>
      <w:r w:rsidRPr="00BE0585">
        <w:rPr>
          <w:rFonts w:ascii="Arial" w:hAnsi="Arial" w:cs="Arial"/>
          <w:b/>
          <w:bCs/>
          <w:i/>
          <w:iCs/>
          <w:sz w:val="22"/>
          <w:u w:val="single"/>
        </w:rPr>
        <w:t>Definition of international financial management:</w:t>
      </w:r>
    </w:p>
    <w:p w14:paraId="76906084" w14:textId="39518F2D" w:rsidR="002A6A60" w:rsidRPr="00BE0585" w:rsidRDefault="00000000" w:rsidP="00BE0585">
      <w:pPr>
        <w:spacing w:line="360" w:lineRule="auto"/>
        <w:rPr>
          <w:rFonts w:ascii="Arial" w:hAnsi="Arial" w:cs="Arial"/>
          <w:sz w:val="22"/>
        </w:rPr>
      </w:pPr>
      <w:r w:rsidRPr="00BE0585">
        <w:rPr>
          <w:rFonts w:ascii="Arial" w:hAnsi="Arial" w:cs="Arial"/>
          <w:sz w:val="22"/>
        </w:rPr>
        <w:t>The particular phase of international financial management basically includes managing financial operations or activities of a company which are financing, investment as well and risk across borders. It also encompasses the evaluation of foreign exchange markets, and economic risks, followed by assessing political fears</w:t>
      </w:r>
      <w:r w:rsidR="00CC5AAE" w:rsidRPr="00BE0585">
        <w:rPr>
          <w:rFonts w:ascii="Arial" w:hAnsi="Arial" w:cs="Arial"/>
          <w:sz w:val="22"/>
        </w:rPr>
        <w:t xml:space="preserve"> (</w:t>
      </w:r>
      <w:r w:rsidR="00CC5AAE" w:rsidRPr="00BE0585">
        <w:rPr>
          <w:rFonts w:ascii="Arial" w:hAnsi="Arial" w:cs="Arial"/>
          <w:sz w:val="22"/>
          <w:shd w:val="clear" w:color="auto" w:fill="FFFFFF"/>
        </w:rPr>
        <w:t>Madura</w:t>
      </w:r>
      <w:r w:rsidR="00CC5AAE" w:rsidRPr="00BE0585">
        <w:rPr>
          <w:rFonts w:ascii="Arial" w:hAnsi="Arial" w:cs="Arial"/>
          <w:sz w:val="22"/>
        </w:rPr>
        <w:t xml:space="preserve"> </w:t>
      </w:r>
      <w:r w:rsidR="00CC5AAE" w:rsidRPr="00BE0585">
        <w:rPr>
          <w:rFonts w:ascii="Arial" w:hAnsi="Arial" w:cs="Arial"/>
          <w:i/>
          <w:iCs/>
          <w:sz w:val="22"/>
        </w:rPr>
        <w:t xml:space="preserve">et al., </w:t>
      </w:r>
      <w:r w:rsidR="00CC5AAE" w:rsidRPr="00BE0585">
        <w:rPr>
          <w:rFonts w:ascii="Arial" w:hAnsi="Arial" w:cs="Arial"/>
          <w:sz w:val="22"/>
          <w:shd w:val="clear" w:color="auto" w:fill="FFFFFF"/>
        </w:rPr>
        <w:t>2018)</w:t>
      </w:r>
      <w:r w:rsidRPr="00BE0585">
        <w:rPr>
          <w:rFonts w:ascii="Arial" w:hAnsi="Arial" w:cs="Arial"/>
          <w:sz w:val="22"/>
        </w:rPr>
        <w:t>. The optimization of capital structure, navigating different types of regulatory frameworks in order to maximize the value of shareholders of a company, as well as mitigating the international financial risks for the sake of multinational investors and corporations.</w:t>
      </w:r>
    </w:p>
    <w:p w14:paraId="22BE6EA8" w14:textId="02472E81" w:rsidR="002A6A60" w:rsidRPr="00BE0585" w:rsidRDefault="00000000" w:rsidP="00BE0585">
      <w:pPr>
        <w:spacing w:line="360" w:lineRule="auto"/>
        <w:rPr>
          <w:rFonts w:ascii="Arial" w:hAnsi="Arial" w:cs="Arial"/>
          <w:b/>
          <w:bCs/>
          <w:i/>
          <w:iCs/>
          <w:sz w:val="22"/>
          <w:u w:val="single"/>
        </w:rPr>
      </w:pPr>
      <w:r w:rsidRPr="00BE0585">
        <w:rPr>
          <w:rFonts w:ascii="Arial" w:hAnsi="Arial" w:cs="Arial"/>
          <w:b/>
          <w:bCs/>
          <w:i/>
          <w:iCs/>
          <w:sz w:val="22"/>
          <w:u w:val="single"/>
        </w:rPr>
        <w:t>Importance of international financial management:</w:t>
      </w:r>
    </w:p>
    <w:p w14:paraId="5EC04D0C" w14:textId="18C352F7" w:rsidR="002A6A60" w:rsidRPr="00BE0585" w:rsidRDefault="00000000" w:rsidP="00BE0585">
      <w:pPr>
        <w:spacing w:line="360" w:lineRule="auto"/>
        <w:rPr>
          <w:rFonts w:ascii="Arial" w:hAnsi="Arial" w:cs="Arial"/>
          <w:sz w:val="22"/>
        </w:rPr>
      </w:pPr>
      <w:r w:rsidRPr="00BE0585">
        <w:rPr>
          <w:rFonts w:ascii="Arial" w:hAnsi="Arial" w:cs="Arial"/>
          <w:sz w:val="22"/>
          <w:lang w:val="en-US"/>
        </w:rPr>
        <w:t xml:space="preserve">1. </w:t>
      </w:r>
      <w:r w:rsidR="00626550" w:rsidRPr="00BE0585">
        <w:rPr>
          <w:rFonts w:ascii="Arial" w:hAnsi="Arial" w:cs="Arial"/>
          <w:sz w:val="22"/>
          <w:lang w:val="en-US"/>
        </w:rPr>
        <w:t>IFM is one of the most essential frameworks for different types of companies in order to globalize their operational impacts. For example, different types of United Kingdom businesses can get access towards diverse markets and risks as well as optimi</w:t>
      </w:r>
      <w:r w:rsidR="007F7A5E" w:rsidRPr="00BE0585">
        <w:rPr>
          <w:rFonts w:ascii="Arial" w:hAnsi="Arial" w:cs="Arial"/>
          <w:sz w:val="22"/>
          <w:lang w:val="en-US"/>
        </w:rPr>
        <w:t>s</w:t>
      </w:r>
      <w:r w:rsidR="00626550" w:rsidRPr="00BE0585">
        <w:rPr>
          <w:rFonts w:ascii="Arial" w:hAnsi="Arial" w:cs="Arial"/>
          <w:sz w:val="22"/>
          <w:lang w:val="en-US"/>
        </w:rPr>
        <w:t>e resources of finances in an effective manner.</w:t>
      </w:r>
      <w:r w:rsidR="00171429" w:rsidRPr="00BE0585">
        <w:rPr>
          <w:rFonts w:ascii="Arial" w:hAnsi="Arial" w:cs="Arial"/>
          <w:sz w:val="22"/>
          <w:lang w:val="en-US"/>
        </w:rPr>
        <w:t xml:space="preserve"> </w:t>
      </w:r>
      <w:r w:rsidR="005C293F" w:rsidRPr="00BE0585">
        <w:rPr>
          <w:rFonts w:ascii="Arial" w:hAnsi="Arial" w:cs="Arial"/>
          <w:sz w:val="22"/>
          <w:lang w:val="en-US"/>
        </w:rPr>
        <w:t>British multinational organizations, which includes Unilever, request to manage the regulatory references as well as currency fluctuations across the diverse marketplaces in order to operate their activities. It helps this kind of business to maintain its sustainability as well as profitability for a long-term period</w:t>
      </w:r>
      <w:r w:rsidR="00CC5AAE" w:rsidRPr="00BE0585">
        <w:rPr>
          <w:rFonts w:ascii="Arial" w:hAnsi="Arial" w:cs="Arial"/>
          <w:sz w:val="22"/>
          <w:lang w:val="en-US"/>
        </w:rPr>
        <w:t xml:space="preserve"> (</w:t>
      </w:r>
      <w:r w:rsidR="00CC5AAE" w:rsidRPr="00BE0585">
        <w:rPr>
          <w:rFonts w:ascii="Arial" w:hAnsi="Arial" w:cs="Arial"/>
          <w:sz w:val="22"/>
          <w:shd w:val="clear" w:color="auto" w:fill="FFFFFF"/>
        </w:rPr>
        <w:t>Eun</w:t>
      </w:r>
      <w:r w:rsidR="00CC5AAE" w:rsidRPr="00BE0585">
        <w:rPr>
          <w:rFonts w:ascii="Arial" w:hAnsi="Arial" w:cs="Arial"/>
          <w:sz w:val="22"/>
        </w:rPr>
        <w:t xml:space="preserve"> </w:t>
      </w:r>
      <w:r w:rsidR="00CC5AAE" w:rsidRPr="00BE0585">
        <w:rPr>
          <w:rFonts w:ascii="Arial" w:hAnsi="Arial" w:cs="Arial"/>
          <w:i/>
          <w:iCs/>
          <w:sz w:val="22"/>
        </w:rPr>
        <w:t xml:space="preserve">et al., </w:t>
      </w:r>
      <w:r w:rsidR="00CC5AAE" w:rsidRPr="00BE0585">
        <w:rPr>
          <w:rFonts w:ascii="Arial" w:hAnsi="Arial" w:cs="Arial"/>
          <w:sz w:val="22"/>
          <w:shd w:val="clear" w:color="auto" w:fill="FFFFFF"/>
        </w:rPr>
        <w:t>2021).</w:t>
      </w:r>
      <w:r w:rsidR="005C293F" w:rsidRPr="00BE0585">
        <w:rPr>
          <w:rFonts w:ascii="Arial" w:hAnsi="Arial" w:cs="Arial"/>
          <w:sz w:val="22"/>
          <w:lang w:val="en-US"/>
        </w:rPr>
        <w:t xml:space="preserve"> </w:t>
      </w:r>
    </w:p>
    <w:p w14:paraId="052BCDA9" w14:textId="2D0D918E" w:rsidR="007A14C5" w:rsidRPr="00BE0585" w:rsidRDefault="00000000" w:rsidP="00BE0585">
      <w:pPr>
        <w:spacing w:line="360" w:lineRule="auto"/>
        <w:rPr>
          <w:rFonts w:ascii="Arial" w:hAnsi="Arial" w:cs="Arial"/>
          <w:sz w:val="22"/>
        </w:rPr>
      </w:pPr>
      <w:r w:rsidRPr="00BE0585">
        <w:rPr>
          <w:rFonts w:ascii="Arial" w:hAnsi="Arial" w:cs="Arial"/>
          <w:sz w:val="22"/>
          <w:lang w:val="en-US"/>
        </w:rPr>
        <w:t xml:space="preserve">2. </w:t>
      </w:r>
      <w:r w:rsidR="00356720" w:rsidRPr="00BE0585">
        <w:rPr>
          <w:rFonts w:ascii="Arial" w:hAnsi="Arial" w:cs="Arial"/>
          <w:sz w:val="22"/>
          <w:lang w:val="en-US"/>
        </w:rPr>
        <w:t xml:space="preserve">Businesses like </w:t>
      </w:r>
      <w:r w:rsidR="00986C0D" w:rsidRPr="00BE0585">
        <w:rPr>
          <w:rFonts w:ascii="Arial" w:hAnsi="Arial" w:cs="Arial"/>
          <w:sz w:val="22"/>
          <w:lang w:val="en-US"/>
        </w:rPr>
        <w:t>HSBC</w:t>
      </w:r>
      <w:r w:rsidR="00356720" w:rsidRPr="00BE0585">
        <w:rPr>
          <w:rFonts w:ascii="Arial" w:hAnsi="Arial" w:cs="Arial"/>
          <w:sz w:val="22"/>
          <w:lang w:val="en-US"/>
        </w:rPr>
        <w:t xml:space="preserve"> Holdings Plc are also conducting their operations in various countries by depending on international financial management frameworks in order to allocate their capital resources in a more efficient manner</w:t>
      </w:r>
      <w:r w:rsidR="00F00A2E" w:rsidRPr="00BE0585">
        <w:rPr>
          <w:rFonts w:ascii="Arial" w:hAnsi="Arial" w:cs="Arial"/>
          <w:sz w:val="22"/>
          <w:lang w:val="en-US"/>
        </w:rPr>
        <w:t>. It also helps in</w:t>
      </w:r>
      <w:r w:rsidR="00356720" w:rsidRPr="00BE0585">
        <w:rPr>
          <w:rFonts w:ascii="Arial" w:hAnsi="Arial" w:cs="Arial"/>
          <w:sz w:val="22"/>
          <w:lang w:val="en-US"/>
        </w:rPr>
        <w:t xml:space="preserve"> mitigating any kind of geopolitical risks, as well as compiling with different types of regulatory frameworks.</w:t>
      </w:r>
      <w:r w:rsidR="006D5276" w:rsidRPr="00BE0585">
        <w:rPr>
          <w:rFonts w:ascii="Arial" w:hAnsi="Arial" w:cs="Arial"/>
          <w:sz w:val="22"/>
          <w:lang w:val="en-US"/>
        </w:rPr>
        <w:t xml:space="preserve"> </w:t>
      </w:r>
      <w:r w:rsidR="00E84CE7" w:rsidRPr="00BE0585">
        <w:rPr>
          <w:rFonts w:ascii="Arial" w:hAnsi="Arial" w:cs="Arial"/>
          <w:sz w:val="22"/>
          <w:lang w:val="en-US"/>
        </w:rPr>
        <w:t xml:space="preserve">Moreover, failure to manage this particular financial framework can lead the businesses to face significant losses which has been seen </w:t>
      </w:r>
      <w:r w:rsidR="001A1A54" w:rsidRPr="00BE0585">
        <w:rPr>
          <w:rFonts w:ascii="Arial" w:hAnsi="Arial" w:cs="Arial"/>
          <w:sz w:val="22"/>
          <w:lang w:val="en-US"/>
        </w:rPr>
        <w:t xml:space="preserve">in the UK during the time of Brexit where </w:t>
      </w:r>
      <w:r w:rsidR="006A5BB5" w:rsidRPr="00BE0585">
        <w:rPr>
          <w:rFonts w:ascii="Arial" w:hAnsi="Arial" w:cs="Arial"/>
          <w:sz w:val="22"/>
          <w:lang w:val="en-US"/>
        </w:rPr>
        <w:t xml:space="preserve">UK businesses have experienced adverse impacts because of the </w:t>
      </w:r>
      <w:r w:rsidR="000B4BB2" w:rsidRPr="00BE0585">
        <w:rPr>
          <w:rFonts w:ascii="Arial" w:hAnsi="Arial" w:cs="Arial"/>
          <w:sz w:val="22"/>
          <w:lang w:val="en-US"/>
        </w:rPr>
        <w:t>uncertain situation within the currency markets and trader unions</w:t>
      </w:r>
      <w:r w:rsidR="00CC5AAE" w:rsidRPr="00BE0585">
        <w:rPr>
          <w:rFonts w:ascii="Arial" w:hAnsi="Arial" w:cs="Arial"/>
          <w:sz w:val="22"/>
          <w:lang w:val="en-US"/>
        </w:rPr>
        <w:t xml:space="preserve"> (</w:t>
      </w:r>
      <w:r w:rsidR="00CC5AAE" w:rsidRPr="00BE0585">
        <w:rPr>
          <w:rFonts w:ascii="Arial" w:hAnsi="Arial" w:cs="Arial"/>
          <w:sz w:val="22"/>
          <w:shd w:val="clear" w:color="auto" w:fill="FFFFFF"/>
        </w:rPr>
        <w:t>Shapiro</w:t>
      </w:r>
      <w:r w:rsidR="006024AD" w:rsidRPr="00BE0585">
        <w:rPr>
          <w:rFonts w:ascii="Arial" w:hAnsi="Arial" w:cs="Arial"/>
          <w:sz w:val="22"/>
        </w:rPr>
        <w:t xml:space="preserve"> </w:t>
      </w:r>
      <w:r w:rsidR="00CC5AAE" w:rsidRPr="00BE0585">
        <w:rPr>
          <w:rFonts w:ascii="Arial" w:hAnsi="Arial" w:cs="Arial"/>
          <w:sz w:val="22"/>
          <w:shd w:val="clear" w:color="auto" w:fill="FFFFFF"/>
        </w:rPr>
        <w:t>and Hanouna,</w:t>
      </w:r>
      <w:r w:rsidR="00CC5AAE" w:rsidRPr="00BE0585">
        <w:rPr>
          <w:rFonts w:ascii="Arial" w:hAnsi="Arial" w:cs="Arial"/>
          <w:sz w:val="22"/>
        </w:rPr>
        <w:t xml:space="preserve"> </w:t>
      </w:r>
      <w:r w:rsidR="00CC5AAE" w:rsidRPr="00BE0585">
        <w:rPr>
          <w:rFonts w:ascii="Arial" w:hAnsi="Arial" w:cs="Arial"/>
          <w:sz w:val="22"/>
          <w:shd w:val="clear" w:color="auto" w:fill="FFFFFF"/>
        </w:rPr>
        <w:t>2019)</w:t>
      </w:r>
      <w:r w:rsidR="000B4BB2" w:rsidRPr="00BE0585">
        <w:rPr>
          <w:rFonts w:ascii="Arial" w:hAnsi="Arial" w:cs="Arial"/>
          <w:sz w:val="22"/>
          <w:lang w:val="en-US"/>
        </w:rPr>
        <w:t xml:space="preserve">. </w:t>
      </w:r>
    </w:p>
    <w:p w14:paraId="75379205" w14:textId="412DD4D0" w:rsidR="00D969F6" w:rsidRPr="00BE0585" w:rsidRDefault="00000000" w:rsidP="00BE0585">
      <w:pPr>
        <w:pStyle w:val="Heading2"/>
        <w:spacing w:line="360" w:lineRule="auto"/>
        <w:rPr>
          <w:rFonts w:ascii="Arial" w:hAnsi="Arial" w:cs="Arial"/>
          <w:sz w:val="22"/>
          <w:szCs w:val="22"/>
        </w:rPr>
      </w:pPr>
      <w:bookmarkStart w:id="3" w:name="_Toc162392921"/>
      <w:r w:rsidRPr="00BE0585">
        <w:rPr>
          <w:rFonts w:ascii="Arial" w:hAnsi="Arial" w:cs="Arial"/>
          <w:sz w:val="22"/>
          <w:szCs w:val="22"/>
        </w:rPr>
        <w:t>Explaining various theories of International Financial Management</w:t>
      </w:r>
      <w:bookmarkEnd w:id="3"/>
    </w:p>
    <w:p w14:paraId="0350B7AF" w14:textId="579C5CDC" w:rsidR="00D969F6" w:rsidRPr="00BE0585" w:rsidRDefault="00000000" w:rsidP="00BE0585">
      <w:pPr>
        <w:spacing w:line="360" w:lineRule="auto"/>
        <w:rPr>
          <w:rFonts w:ascii="Arial" w:hAnsi="Arial" w:cs="Arial"/>
          <w:b/>
          <w:bCs/>
          <w:i/>
          <w:iCs/>
          <w:sz w:val="22"/>
          <w:u w:val="single"/>
        </w:rPr>
      </w:pPr>
      <w:r w:rsidRPr="00BE0585">
        <w:rPr>
          <w:rFonts w:ascii="Arial" w:hAnsi="Arial" w:cs="Arial"/>
          <w:b/>
          <w:bCs/>
          <w:i/>
          <w:iCs/>
          <w:sz w:val="22"/>
          <w:u w:val="single"/>
        </w:rPr>
        <w:t>Exchange rate theories:</w:t>
      </w:r>
    </w:p>
    <w:p w14:paraId="655A1308" w14:textId="35480547" w:rsidR="00130B20" w:rsidRPr="00BE0585" w:rsidRDefault="00000000" w:rsidP="00BE0585">
      <w:pPr>
        <w:spacing w:line="360" w:lineRule="auto"/>
        <w:rPr>
          <w:rFonts w:ascii="Arial" w:hAnsi="Arial" w:cs="Arial"/>
          <w:sz w:val="22"/>
        </w:rPr>
      </w:pPr>
      <w:r w:rsidRPr="00BE0585">
        <w:rPr>
          <w:rFonts w:ascii="Arial" w:hAnsi="Arial" w:cs="Arial"/>
          <w:sz w:val="22"/>
        </w:rPr>
        <w:t>The particular theories of the exchange rate are mainly attempted in order to explain different aspects, which influence currency exchange rates.</w:t>
      </w:r>
      <w:r w:rsidR="00EC7E0A" w:rsidRPr="00BE0585">
        <w:rPr>
          <w:rFonts w:ascii="Arial" w:hAnsi="Arial" w:cs="Arial"/>
          <w:sz w:val="22"/>
        </w:rPr>
        <w:t xml:space="preserve"> These merely include the purchasing power of party balance of payments as well as interest rate party theories. The main purpose of this </w:t>
      </w:r>
      <w:r w:rsidR="00EC7E0A" w:rsidRPr="00BE0585">
        <w:rPr>
          <w:rFonts w:ascii="Arial" w:hAnsi="Arial" w:cs="Arial"/>
          <w:sz w:val="22"/>
        </w:rPr>
        <w:lastRenderedPageBreak/>
        <w:t>particular theory is to analy</w:t>
      </w:r>
      <w:r w:rsidR="00695BB2" w:rsidRPr="00BE0585">
        <w:rPr>
          <w:rFonts w:ascii="Arial" w:hAnsi="Arial" w:cs="Arial"/>
          <w:sz w:val="22"/>
        </w:rPr>
        <w:t>s</w:t>
      </w:r>
      <w:r w:rsidR="00EC7E0A" w:rsidRPr="00BE0585">
        <w:rPr>
          <w:rFonts w:ascii="Arial" w:hAnsi="Arial" w:cs="Arial"/>
          <w:sz w:val="22"/>
        </w:rPr>
        <w:t xml:space="preserve">e economic fundamentals, policy interventions, and market expectations in order to predict as well as understand different types of fluctuations that occur within the exchange rates between countries' currencies. Therefore, in this section, a critical analysis of these three main theories has been provided. </w:t>
      </w:r>
    </w:p>
    <w:p w14:paraId="743347FA" w14:textId="7FDCB84F" w:rsidR="004F39BC" w:rsidRPr="00BE0585" w:rsidRDefault="00000000" w:rsidP="00BE0585">
      <w:pPr>
        <w:spacing w:line="360" w:lineRule="auto"/>
        <w:rPr>
          <w:rFonts w:ascii="Arial" w:hAnsi="Arial" w:cs="Arial"/>
          <w:sz w:val="22"/>
        </w:rPr>
      </w:pPr>
      <w:r w:rsidRPr="00BE0585">
        <w:rPr>
          <w:rFonts w:ascii="Arial" w:hAnsi="Arial" w:cs="Arial"/>
          <w:b/>
          <w:bCs/>
          <w:i/>
          <w:iCs/>
          <w:sz w:val="22"/>
          <w:u w:val="single"/>
        </w:rPr>
        <w:t>Purchasing Power Parity (PPP)</w:t>
      </w:r>
      <w:r w:rsidRPr="00BE0585">
        <w:rPr>
          <w:rFonts w:ascii="Arial" w:hAnsi="Arial" w:cs="Arial"/>
          <w:sz w:val="22"/>
        </w:rPr>
        <w:t>:</w:t>
      </w:r>
      <w:r w:rsidR="0084685D" w:rsidRPr="00BE0585">
        <w:rPr>
          <w:rFonts w:ascii="Arial" w:hAnsi="Arial" w:cs="Arial"/>
          <w:sz w:val="22"/>
        </w:rPr>
        <w:t xml:space="preserve"> </w:t>
      </w:r>
      <w:r w:rsidR="00E032BC" w:rsidRPr="00BE0585">
        <w:rPr>
          <w:rFonts w:ascii="Arial" w:hAnsi="Arial" w:cs="Arial"/>
          <w:sz w:val="22"/>
        </w:rPr>
        <w:t xml:space="preserve">The particular theory of </w:t>
      </w:r>
      <w:r w:rsidR="00C4341D" w:rsidRPr="00BE0585">
        <w:rPr>
          <w:rFonts w:ascii="Arial" w:hAnsi="Arial" w:cs="Arial"/>
          <w:sz w:val="22"/>
        </w:rPr>
        <w:t>P</w:t>
      </w:r>
      <w:r w:rsidR="00E032BC" w:rsidRPr="00BE0585">
        <w:rPr>
          <w:rFonts w:ascii="Arial" w:hAnsi="Arial" w:cs="Arial"/>
          <w:sz w:val="22"/>
        </w:rPr>
        <w:t xml:space="preserve">urchasing </w:t>
      </w:r>
      <w:r w:rsidR="00C4341D" w:rsidRPr="00BE0585">
        <w:rPr>
          <w:rFonts w:ascii="Arial" w:hAnsi="Arial" w:cs="Arial"/>
          <w:sz w:val="22"/>
        </w:rPr>
        <w:t>P</w:t>
      </w:r>
      <w:r w:rsidR="00E032BC" w:rsidRPr="00BE0585">
        <w:rPr>
          <w:rFonts w:ascii="Arial" w:hAnsi="Arial" w:cs="Arial"/>
          <w:sz w:val="22"/>
        </w:rPr>
        <w:t xml:space="preserve">ower </w:t>
      </w:r>
      <w:r w:rsidR="00C4341D" w:rsidRPr="00BE0585">
        <w:rPr>
          <w:rFonts w:ascii="Arial" w:hAnsi="Arial" w:cs="Arial"/>
          <w:sz w:val="22"/>
        </w:rPr>
        <w:t>P</w:t>
      </w:r>
      <w:r w:rsidR="00E032BC" w:rsidRPr="00BE0585">
        <w:rPr>
          <w:rFonts w:ascii="Arial" w:hAnsi="Arial" w:cs="Arial"/>
          <w:sz w:val="22"/>
        </w:rPr>
        <w:t>arty mainly consists of the idea of wrecks of exchange of a particular country needs to adjust to equali</w:t>
      </w:r>
      <w:r w:rsidR="00F875E1" w:rsidRPr="00BE0585">
        <w:rPr>
          <w:rFonts w:ascii="Arial" w:hAnsi="Arial" w:cs="Arial"/>
          <w:sz w:val="22"/>
        </w:rPr>
        <w:t>s</w:t>
      </w:r>
      <w:r w:rsidR="00E032BC" w:rsidRPr="00BE0585">
        <w:rPr>
          <w:rFonts w:ascii="Arial" w:hAnsi="Arial" w:cs="Arial"/>
          <w:sz w:val="22"/>
        </w:rPr>
        <w:t xml:space="preserve">e the level of prices of different types of identical commodities in various countries. For example, the cost of a Big Mac is </w:t>
      </w:r>
      <w:r w:rsidR="00BD02DE" w:rsidRPr="00BE0585">
        <w:rPr>
          <w:rFonts w:ascii="Arial" w:hAnsi="Arial" w:cs="Arial"/>
          <w:sz w:val="22"/>
        </w:rPr>
        <w:t>£</w:t>
      </w:r>
      <w:r w:rsidR="00C17080" w:rsidRPr="00BE0585">
        <w:rPr>
          <w:rFonts w:ascii="Arial" w:hAnsi="Arial" w:cs="Arial"/>
          <w:sz w:val="22"/>
        </w:rPr>
        <w:t xml:space="preserve"> </w:t>
      </w:r>
      <w:r w:rsidR="00191635" w:rsidRPr="00BE0585">
        <w:rPr>
          <w:rFonts w:ascii="Arial" w:hAnsi="Arial" w:cs="Arial"/>
          <w:sz w:val="22"/>
        </w:rPr>
        <w:t xml:space="preserve">3 within the UK </w:t>
      </w:r>
      <w:r w:rsidR="002B4A78" w:rsidRPr="00BE0585">
        <w:rPr>
          <w:rFonts w:ascii="Arial" w:hAnsi="Arial" w:cs="Arial"/>
          <w:sz w:val="22"/>
        </w:rPr>
        <w:t xml:space="preserve">and in the US it becomes </w:t>
      </w:r>
      <w:r w:rsidR="00236DD5" w:rsidRPr="00BE0585">
        <w:rPr>
          <w:rFonts w:ascii="Arial" w:hAnsi="Arial" w:cs="Arial"/>
          <w:sz w:val="22"/>
        </w:rPr>
        <w:t xml:space="preserve">$4 therefore, PPP mainly suggests </w:t>
      </w:r>
      <w:r w:rsidR="00492AD8" w:rsidRPr="00BE0585">
        <w:rPr>
          <w:rFonts w:ascii="Arial" w:hAnsi="Arial" w:cs="Arial"/>
          <w:sz w:val="22"/>
        </w:rPr>
        <w:t xml:space="preserve">that the specific rate of exchange is required to be </w:t>
      </w:r>
      <w:r w:rsidR="0097044F" w:rsidRPr="00BE0585">
        <w:rPr>
          <w:rFonts w:ascii="Arial" w:hAnsi="Arial" w:cs="Arial"/>
          <w:sz w:val="22"/>
        </w:rPr>
        <w:t xml:space="preserve">£ 1 = </w:t>
      </w:r>
      <w:r w:rsidR="001A3780" w:rsidRPr="00BE0585">
        <w:rPr>
          <w:rFonts w:ascii="Arial" w:hAnsi="Arial" w:cs="Arial"/>
          <w:sz w:val="22"/>
        </w:rPr>
        <w:t>$1.33</w:t>
      </w:r>
      <w:r w:rsidR="008B0B5A" w:rsidRPr="00BE0585">
        <w:rPr>
          <w:rFonts w:ascii="Arial" w:hAnsi="Arial" w:cs="Arial"/>
          <w:sz w:val="22"/>
        </w:rPr>
        <w:t xml:space="preserve">. </w:t>
      </w:r>
      <w:r w:rsidR="00C7533F" w:rsidRPr="00BE0585">
        <w:rPr>
          <w:rFonts w:ascii="Arial" w:hAnsi="Arial" w:cs="Arial"/>
          <w:sz w:val="22"/>
        </w:rPr>
        <w:t xml:space="preserve">Therefore, companies like </w:t>
      </w:r>
      <w:r w:rsidR="00656120" w:rsidRPr="00BE0585">
        <w:rPr>
          <w:rFonts w:ascii="Arial" w:hAnsi="Arial" w:cs="Arial"/>
          <w:sz w:val="22"/>
        </w:rPr>
        <w:t>M</w:t>
      </w:r>
      <w:r w:rsidR="00C7533F" w:rsidRPr="00BE0585">
        <w:rPr>
          <w:rFonts w:ascii="Arial" w:hAnsi="Arial" w:cs="Arial"/>
          <w:sz w:val="22"/>
        </w:rPr>
        <w:t>cDonald’s or Tesco also monitor PPP in order to assess their strategies of pricing, as well as international plans for expansion. This helps them stay reinsured regarding competitiveness within the marketing place</w:t>
      </w:r>
      <w:sdt>
        <w:sdtPr>
          <w:rPr>
            <w:rFonts w:ascii="Arial" w:hAnsi="Arial" w:cs="Arial"/>
            <w:sz w:val="22"/>
          </w:rPr>
          <w:id w:val="151565499"/>
          <w:citation/>
        </w:sdtPr>
        <w:sdtContent>
          <w:r w:rsidR="00C10812" w:rsidRPr="00BE0585">
            <w:rPr>
              <w:rFonts w:ascii="Arial" w:hAnsi="Arial" w:cs="Arial"/>
              <w:sz w:val="22"/>
            </w:rPr>
            <w:fldChar w:fldCharType="begin"/>
          </w:r>
          <w:r w:rsidR="00C10812" w:rsidRPr="00BE0585">
            <w:rPr>
              <w:rFonts w:ascii="Arial" w:hAnsi="Arial" w:cs="Arial"/>
              <w:sz w:val="22"/>
              <w:lang w:val="en-US"/>
            </w:rPr>
            <w:instrText xml:space="preserve"> CITATION oec24 \l 1033 </w:instrText>
          </w:r>
          <w:r w:rsidR="00C10812" w:rsidRPr="00BE0585">
            <w:rPr>
              <w:rFonts w:ascii="Arial" w:hAnsi="Arial" w:cs="Arial"/>
              <w:sz w:val="22"/>
            </w:rPr>
            <w:fldChar w:fldCharType="separate"/>
          </w:r>
          <w:r w:rsidR="00C10812" w:rsidRPr="00BE0585">
            <w:rPr>
              <w:rFonts w:ascii="Arial" w:hAnsi="Arial" w:cs="Arial"/>
              <w:noProof/>
              <w:sz w:val="22"/>
              <w:lang w:val="en-US"/>
            </w:rPr>
            <w:t xml:space="preserve"> (oecd, 2024)</w:t>
          </w:r>
          <w:r w:rsidR="00C10812" w:rsidRPr="00BE0585">
            <w:rPr>
              <w:rFonts w:ascii="Arial" w:hAnsi="Arial" w:cs="Arial"/>
              <w:sz w:val="22"/>
            </w:rPr>
            <w:fldChar w:fldCharType="end"/>
          </w:r>
        </w:sdtContent>
      </w:sdt>
      <w:r w:rsidR="00C7533F" w:rsidRPr="00BE0585">
        <w:rPr>
          <w:rFonts w:ascii="Arial" w:hAnsi="Arial" w:cs="Arial"/>
          <w:sz w:val="22"/>
        </w:rPr>
        <w:t>.</w:t>
      </w:r>
    </w:p>
    <w:p w14:paraId="6027D94E" w14:textId="034E85F3" w:rsidR="0029087F" w:rsidRPr="00BE0585" w:rsidRDefault="00000000" w:rsidP="00BE0585">
      <w:pPr>
        <w:spacing w:line="360" w:lineRule="auto"/>
        <w:rPr>
          <w:rFonts w:ascii="Arial" w:hAnsi="Arial" w:cs="Arial"/>
          <w:sz w:val="22"/>
        </w:rPr>
      </w:pPr>
      <w:r w:rsidRPr="00BE0585">
        <w:rPr>
          <w:rFonts w:ascii="Arial" w:hAnsi="Arial" w:cs="Arial"/>
          <w:b/>
          <w:bCs/>
          <w:i/>
          <w:iCs/>
          <w:sz w:val="22"/>
          <w:u w:val="single"/>
        </w:rPr>
        <w:t>Interest Rate Parity (IRP)</w:t>
      </w:r>
      <w:r w:rsidRPr="00BE0585">
        <w:rPr>
          <w:rFonts w:ascii="Arial" w:hAnsi="Arial" w:cs="Arial"/>
          <w:sz w:val="22"/>
        </w:rPr>
        <w:t>:</w:t>
      </w:r>
      <w:r w:rsidR="003A0059" w:rsidRPr="00BE0585">
        <w:rPr>
          <w:rFonts w:ascii="Arial" w:hAnsi="Arial" w:cs="Arial"/>
          <w:sz w:val="22"/>
        </w:rPr>
        <w:t xml:space="preserve"> </w:t>
      </w:r>
      <w:r w:rsidR="005B7F75" w:rsidRPr="00BE0585">
        <w:rPr>
          <w:rFonts w:ascii="Arial" w:hAnsi="Arial" w:cs="Arial"/>
          <w:sz w:val="22"/>
        </w:rPr>
        <w:t>The next strategy of international financial management is interest rate parity</w:t>
      </w:r>
      <w:r w:rsidR="00512D00" w:rsidRPr="00BE0585">
        <w:rPr>
          <w:rFonts w:ascii="Arial" w:hAnsi="Arial" w:cs="Arial"/>
          <w:sz w:val="22"/>
        </w:rPr>
        <w:t xml:space="preserve"> Which states that the actual difference in the rates of interest between two countries is required to be offset</w:t>
      </w:r>
      <w:r w:rsidR="00210FB5" w:rsidRPr="00BE0585">
        <w:rPr>
          <w:rFonts w:ascii="Arial" w:hAnsi="Arial" w:cs="Arial"/>
          <w:sz w:val="22"/>
        </w:rPr>
        <w:t xml:space="preserve"> o</w:t>
      </w:r>
      <w:r w:rsidR="00512D00" w:rsidRPr="00BE0585">
        <w:rPr>
          <w:rFonts w:ascii="Arial" w:hAnsi="Arial" w:cs="Arial"/>
          <w:sz w:val="22"/>
        </w:rPr>
        <w:t>n the basis of the forecasted change in the rates of exchange.</w:t>
      </w:r>
      <w:r w:rsidR="004A1056" w:rsidRPr="00BE0585">
        <w:rPr>
          <w:rFonts w:ascii="Arial" w:hAnsi="Arial" w:cs="Arial"/>
          <w:sz w:val="22"/>
        </w:rPr>
        <w:t xml:space="preserve"> </w:t>
      </w:r>
      <w:r w:rsidR="006A7C72" w:rsidRPr="00BE0585">
        <w:rPr>
          <w:rFonts w:ascii="Arial" w:hAnsi="Arial" w:cs="Arial"/>
          <w:sz w:val="22"/>
        </w:rPr>
        <w:t xml:space="preserve">For example, if the rates of interest within the United Kingdom are higher in comparison to us, then the value of the pound in future time. Is expected to fall to compensate. Therefore, businesses like HSBC or Barclays, which are banking institutions, may develop or employ </w:t>
      </w:r>
      <w:r w:rsidR="00B3663E" w:rsidRPr="00BE0585">
        <w:rPr>
          <w:rFonts w:ascii="Arial" w:hAnsi="Arial" w:cs="Arial"/>
          <w:sz w:val="22"/>
        </w:rPr>
        <w:t>IRP</w:t>
      </w:r>
      <w:r w:rsidR="006A7C72" w:rsidRPr="00BE0585">
        <w:rPr>
          <w:rFonts w:ascii="Arial" w:hAnsi="Arial" w:cs="Arial"/>
          <w:sz w:val="22"/>
        </w:rPr>
        <w:t xml:space="preserve"> </w:t>
      </w:r>
      <w:r w:rsidR="00B3663E" w:rsidRPr="00BE0585">
        <w:rPr>
          <w:rFonts w:ascii="Arial" w:hAnsi="Arial" w:cs="Arial"/>
          <w:sz w:val="22"/>
        </w:rPr>
        <w:t xml:space="preserve">theory </w:t>
      </w:r>
      <w:r w:rsidR="00782B29" w:rsidRPr="00BE0585">
        <w:rPr>
          <w:rFonts w:ascii="Arial" w:hAnsi="Arial" w:cs="Arial"/>
          <w:sz w:val="22"/>
        </w:rPr>
        <w:t>f</w:t>
      </w:r>
      <w:r w:rsidR="006A7C72" w:rsidRPr="00BE0585">
        <w:rPr>
          <w:rFonts w:ascii="Arial" w:hAnsi="Arial" w:cs="Arial"/>
          <w:sz w:val="22"/>
        </w:rPr>
        <w:t>or the sake of managing their international portfolios of investment.</w:t>
      </w:r>
      <w:r w:rsidR="00B360CC" w:rsidRPr="00BE0585">
        <w:rPr>
          <w:rFonts w:ascii="Arial" w:hAnsi="Arial" w:cs="Arial"/>
          <w:sz w:val="22"/>
        </w:rPr>
        <w:t xml:space="preserve"> It also helps them in hedging against their risks related to the currency</w:t>
      </w:r>
      <w:sdt>
        <w:sdtPr>
          <w:rPr>
            <w:rFonts w:ascii="Arial" w:hAnsi="Arial" w:cs="Arial"/>
            <w:sz w:val="22"/>
          </w:rPr>
          <w:id w:val="-2116362061"/>
          <w:citation/>
        </w:sdtPr>
        <w:sdtContent>
          <w:r w:rsidR="00E67D25" w:rsidRPr="00BE0585">
            <w:rPr>
              <w:rFonts w:ascii="Arial" w:hAnsi="Arial" w:cs="Arial"/>
              <w:sz w:val="22"/>
            </w:rPr>
            <w:fldChar w:fldCharType="begin"/>
          </w:r>
          <w:r w:rsidR="00E67D25" w:rsidRPr="00BE0585">
            <w:rPr>
              <w:rFonts w:ascii="Arial" w:hAnsi="Arial" w:cs="Arial"/>
              <w:sz w:val="22"/>
              <w:lang w:val="en-US"/>
            </w:rPr>
            <w:instrText xml:space="preserve"> CITATION cor2443 \l 1033 </w:instrText>
          </w:r>
          <w:r w:rsidR="00E67D25" w:rsidRPr="00BE0585">
            <w:rPr>
              <w:rFonts w:ascii="Arial" w:hAnsi="Arial" w:cs="Arial"/>
              <w:sz w:val="22"/>
            </w:rPr>
            <w:fldChar w:fldCharType="separate"/>
          </w:r>
          <w:r w:rsidR="00E67D25" w:rsidRPr="00BE0585">
            <w:rPr>
              <w:rFonts w:ascii="Arial" w:hAnsi="Arial" w:cs="Arial"/>
              <w:noProof/>
              <w:sz w:val="22"/>
              <w:lang w:val="en-US"/>
            </w:rPr>
            <w:t xml:space="preserve"> (corporatefinanceinstitute, 2024)</w:t>
          </w:r>
          <w:r w:rsidR="00E67D25" w:rsidRPr="00BE0585">
            <w:rPr>
              <w:rFonts w:ascii="Arial" w:hAnsi="Arial" w:cs="Arial"/>
              <w:sz w:val="22"/>
            </w:rPr>
            <w:fldChar w:fldCharType="end"/>
          </w:r>
        </w:sdtContent>
      </w:sdt>
      <w:r w:rsidR="00B360CC" w:rsidRPr="00BE0585">
        <w:rPr>
          <w:rFonts w:ascii="Arial" w:hAnsi="Arial" w:cs="Arial"/>
          <w:sz w:val="22"/>
        </w:rPr>
        <w:t>.</w:t>
      </w:r>
      <w:r w:rsidR="008008F1" w:rsidRPr="00BE0585">
        <w:rPr>
          <w:rFonts w:ascii="Arial" w:hAnsi="Arial" w:cs="Arial"/>
          <w:sz w:val="22"/>
        </w:rPr>
        <w:t xml:space="preserve"> </w:t>
      </w:r>
    </w:p>
    <w:p w14:paraId="1EA04987" w14:textId="7A91D22E" w:rsidR="0029087F" w:rsidRPr="00BE0585" w:rsidRDefault="00000000" w:rsidP="00BE0585">
      <w:pPr>
        <w:spacing w:line="360" w:lineRule="auto"/>
        <w:rPr>
          <w:rFonts w:ascii="Arial" w:hAnsi="Arial" w:cs="Arial"/>
          <w:sz w:val="22"/>
        </w:rPr>
      </w:pPr>
      <w:r w:rsidRPr="00BE0585">
        <w:rPr>
          <w:rFonts w:ascii="Arial" w:hAnsi="Arial" w:cs="Arial"/>
          <w:b/>
          <w:bCs/>
          <w:i/>
          <w:iCs/>
          <w:sz w:val="22"/>
          <w:u w:val="single"/>
        </w:rPr>
        <w:t>Balance of Payment Theory (BOP)</w:t>
      </w:r>
      <w:r w:rsidRPr="00BE0585">
        <w:rPr>
          <w:rFonts w:ascii="Arial" w:hAnsi="Arial" w:cs="Arial"/>
          <w:sz w:val="22"/>
        </w:rPr>
        <w:t>:</w:t>
      </w:r>
      <w:r w:rsidR="006E2142" w:rsidRPr="00BE0585">
        <w:rPr>
          <w:rFonts w:ascii="Arial" w:hAnsi="Arial" w:cs="Arial"/>
          <w:sz w:val="22"/>
        </w:rPr>
        <w:t xml:space="preserve"> </w:t>
      </w:r>
      <w:r w:rsidR="00D51C1D" w:rsidRPr="00BE0585">
        <w:rPr>
          <w:rFonts w:ascii="Arial" w:hAnsi="Arial" w:cs="Arial"/>
          <w:sz w:val="22"/>
        </w:rPr>
        <w:t>The balance of payment theory mainly concentrates on a nation's transactions of economic within the rest of the world. This mainly includes investment, trading, and capital flows. It also assists that a deficit or surplus within the payments of balance will also impact the rates of exchange of a country. For example, if the respective country United Kingdom exports more than it imports, then it is possible that the demand for the pound of this particular country may increase. As a result, it may appreciate the value of their pound. Now, businesses like GlaxoSmithKline, as well as BP plc, also consider this particular theory at the time of examining their exposure to fluctuations of currency as well as international dynamics of trading</w:t>
      </w:r>
      <w:sdt>
        <w:sdtPr>
          <w:rPr>
            <w:rFonts w:ascii="Arial" w:hAnsi="Arial" w:cs="Arial"/>
            <w:sz w:val="22"/>
          </w:rPr>
          <w:id w:val="-177353559"/>
          <w:citation/>
        </w:sdtPr>
        <w:sdtContent>
          <w:r w:rsidR="004A0C47" w:rsidRPr="00BE0585">
            <w:rPr>
              <w:rFonts w:ascii="Arial" w:hAnsi="Arial" w:cs="Arial"/>
              <w:sz w:val="22"/>
            </w:rPr>
            <w:fldChar w:fldCharType="begin"/>
          </w:r>
          <w:r w:rsidR="004A0C47" w:rsidRPr="00BE0585">
            <w:rPr>
              <w:rFonts w:ascii="Arial" w:hAnsi="Arial" w:cs="Arial"/>
              <w:sz w:val="22"/>
              <w:lang w:val="en-US"/>
            </w:rPr>
            <w:instrText xml:space="preserve"> CITATION jst24 \l 1033 </w:instrText>
          </w:r>
          <w:r w:rsidR="004A0C47" w:rsidRPr="00BE0585">
            <w:rPr>
              <w:rFonts w:ascii="Arial" w:hAnsi="Arial" w:cs="Arial"/>
              <w:sz w:val="22"/>
            </w:rPr>
            <w:fldChar w:fldCharType="separate"/>
          </w:r>
          <w:r w:rsidR="004A0C47" w:rsidRPr="00BE0585">
            <w:rPr>
              <w:rFonts w:ascii="Arial" w:hAnsi="Arial" w:cs="Arial"/>
              <w:noProof/>
              <w:sz w:val="22"/>
              <w:lang w:val="en-US"/>
            </w:rPr>
            <w:t xml:space="preserve"> (jstor, 2024)</w:t>
          </w:r>
          <w:r w:rsidR="004A0C47" w:rsidRPr="00BE0585">
            <w:rPr>
              <w:rFonts w:ascii="Arial" w:hAnsi="Arial" w:cs="Arial"/>
              <w:sz w:val="22"/>
            </w:rPr>
            <w:fldChar w:fldCharType="end"/>
          </w:r>
        </w:sdtContent>
      </w:sdt>
      <w:r w:rsidR="00D51C1D" w:rsidRPr="00BE0585">
        <w:rPr>
          <w:rFonts w:ascii="Arial" w:hAnsi="Arial" w:cs="Arial"/>
          <w:sz w:val="22"/>
        </w:rPr>
        <w:t>.</w:t>
      </w:r>
    </w:p>
    <w:p w14:paraId="02966205" w14:textId="48CD5606" w:rsidR="009548DD" w:rsidRPr="00BE0585" w:rsidRDefault="00000000" w:rsidP="00BE0585">
      <w:pPr>
        <w:spacing w:line="360" w:lineRule="auto"/>
        <w:rPr>
          <w:rFonts w:ascii="Arial" w:hAnsi="Arial" w:cs="Arial"/>
          <w:b/>
          <w:bCs/>
          <w:i/>
          <w:iCs/>
          <w:sz w:val="22"/>
          <w:u w:val="single"/>
        </w:rPr>
      </w:pPr>
      <w:r w:rsidRPr="00BE0585">
        <w:rPr>
          <w:rFonts w:ascii="Arial" w:hAnsi="Arial" w:cs="Arial"/>
          <w:b/>
          <w:bCs/>
          <w:i/>
          <w:iCs/>
          <w:sz w:val="22"/>
          <w:u w:val="single"/>
        </w:rPr>
        <w:t>Other essential theories:</w:t>
      </w:r>
    </w:p>
    <w:p w14:paraId="6611CE2D" w14:textId="740268CC" w:rsidR="009548DD" w:rsidRPr="00BE0585" w:rsidRDefault="00000000" w:rsidP="00BE0585">
      <w:pPr>
        <w:spacing w:line="360" w:lineRule="auto"/>
        <w:rPr>
          <w:rFonts w:ascii="Arial" w:hAnsi="Arial" w:cs="Arial"/>
          <w:sz w:val="22"/>
        </w:rPr>
      </w:pPr>
      <w:r w:rsidRPr="00BE0585">
        <w:rPr>
          <w:rFonts w:ascii="Arial" w:hAnsi="Arial" w:cs="Arial"/>
          <w:b/>
          <w:bCs/>
          <w:i/>
          <w:iCs/>
          <w:sz w:val="22"/>
          <w:u w:val="single"/>
        </w:rPr>
        <w:t>Optimum Currency Area (OCA)</w:t>
      </w:r>
      <w:r w:rsidRPr="00BE0585">
        <w:rPr>
          <w:rFonts w:ascii="Arial" w:hAnsi="Arial" w:cs="Arial"/>
          <w:sz w:val="22"/>
        </w:rPr>
        <w:t>:</w:t>
      </w:r>
      <w:r w:rsidR="004C0B6A" w:rsidRPr="00BE0585">
        <w:rPr>
          <w:rFonts w:ascii="Arial" w:hAnsi="Arial" w:cs="Arial"/>
          <w:sz w:val="22"/>
        </w:rPr>
        <w:t xml:space="preserve"> </w:t>
      </w:r>
      <w:r w:rsidR="000A490F" w:rsidRPr="00BE0585">
        <w:rPr>
          <w:rFonts w:ascii="Arial" w:hAnsi="Arial" w:cs="Arial"/>
          <w:sz w:val="22"/>
        </w:rPr>
        <w:t xml:space="preserve">The specific theory of optimum currency area, or OCA, mainly helps in identifying the conditions </w:t>
      </w:r>
      <w:r w:rsidR="00852EEF" w:rsidRPr="00BE0585">
        <w:rPr>
          <w:rFonts w:ascii="Arial" w:hAnsi="Arial" w:cs="Arial"/>
          <w:sz w:val="22"/>
        </w:rPr>
        <w:t>that rely on which specific countries benefit from sharin</w:t>
      </w:r>
      <w:r w:rsidR="0003200B" w:rsidRPr="00BE0585">
        <w:rPr>
          <w:rFonts w:ascii="Arial" w:hAnsi="Arial" w:cs="Arial"/>
          <w:sz w:val="22"/>
        </w:rPr>
        <w:t>g</w:t>
      </w:r>
      <w:r w:rsidR="00852EEF" w:rsidRPr="00BE0585">
        <w:rPr>
          <w:rFonts w:ascii="Arial" w:hAnsi="Arial" w:cs="Arial"/>
          <w:sz w:val="22"/>
        </w:rPr>
        <w:t xml:space="preserve"> </w:t>
      </w:r>
      <w:r w:rsidR="00852EEF" w:rsidRPr="00BE0585">
        <w:rPr>
          <w:rFonts w:ascii="Arial" w:hAnsi="Arial" w:cs="Arial"/>
          <w:sz w:val="22"/>
        </w:rPr>
        <w:lastRenderedPageBreak/>
        <w:t xml:space="preserve">common rates of currency. </w:t>
      </w:r>
      <w:r w:rsidR="00EB741C" w:rsidRPr="00BE0585">
        <w:rPr>
          <w:rFonts w:ascii="Arial" w:hAnsi="Arial" w:cs="Arial"/>
          <w:sz w:val="22"/>
        </w:rPr>
        <w:t>However, the particular criteria included within this particular theory are price and wage flexibility, labo</w:t>
      </w:r>
      <w:r w:rsidR="000C59B8" w:rsidRPr="00BE0585">
        <w:rPr>
          <w:rFonts w:ascii="Arial" w:hAnsi="Arial" w:cs="Arial"/>
          <w:sz w:val="22"/>
        </w:rPr>
        <w:t>u</w:t>
      </w:r>
      <w:r w:rsidR="00EB741C" w:rsidRPr="00BE0585">
        <w:rPr>
          <w:rFonts w:ascii="Arial" w:hAnsi="Arial" w:cs="Arial"/>
          <w:sz w:val="22"/>
        </w:rPr>
        <w:t xml:space="preserve">r mobility as well as fiscal integration. For example, if The United Kingdom participate within the EMU or European monetary union can serve advantages </w:t>
      </w:r>
      <w:r w:rsidR="0018162B" w:rsidRPr="00BE0585">
        <w:rPr>
          <w:rFonts w:ascii="Arial" w:hAnsi="Arial" w:cs="Arial"/>
          <w:sz w:val="22"/>
        </w:rPr>
        <w:t xml:space="preserve">including </w:t>
      </w:r>
      <w:r w:rsidR="000C13E9" w:rsidRPr="00BE0585">
        <w:rPr>
          <w:rFonts w:ascii="Arial" w:hAnsi="Arial" w:cs="Arial"/>
          <w:sz w:val="22"/>
        </w:rPr>
        <w:t xml:space="preserve">decreased </w:t>
      </w:r>
      <w:r w:rsidR="005D3382" w:rsidRPr="00BE0585">
        <w:rPr>
          <w:rFonts w:ascii="Arial" w:hAnsi="Arial" w:cs="Arial"/>
          <w:sz w:val="22"/>
        </w:rPr>
        <w:t>costs of transactions</w:t>
      </w:r>
      <w:r w:rsidR="00EB741C" w:rsidRPr="00BE0585">
        <w:rPr>
          <w:rFonts w:ascii="Arial" w:hAnsi="Arial" w:cs="Arial"/>
          <w:sz w:val="22"/>
        </w:rPr>
        <w:t xml:space="preserve"> </w:t>
      </w:r>
      <w:r w:rsidR="005D3382" w:rsidRPr="00BE0585">
        <w:rPr>
          <w:rFonts w:ascii="Arial" w:hAnsi="Arial" w:cs="Arial"/>
          <w:sz w:val="22"/>
        </w:rPr>
        <w:t>as well as</w:t>
      </w:r>
      <w:r w:rsidR="0052557F" w:rsidRPr="00BE0585">
        <w:rPr>
          <w:rFonts w:ascii="Arial" w:hAnsi="Arial" w:cs="Arial"/>
          <w:sz w:val="22"/>
        </w:rPr>
        <w:t xml:space="preserve"> stability within the rates of exchange for businesses like </w:t>
      </w:r>
      <w:r w:rsidR="00895E70" w:rsidRPr="00BE0585">
        <w:rPr>
          <w:rFonts w:ascii="Arial" w:hAnsi="Arial" w:cs="Arial"/>
          <w:sz w:val="22"/>
        </w:rPr>
        <w:t>Rolls-Royce</w:t>
      </w:r>
      <w:sdt>
        <w:sdtPr>
          <w:rPr>
            <w:rFonts w:ascii="Arial" w:hAnsi="Arial" w:cs="Arial"/>
            <w:sz w:val="22"/>
          </w:rPr>
          <w:id w:val="-1376853948"/>
          <w:citation/>
        </w:sdtPr>
        <w:sdtContent>
          <w:r w:rsidR="002127B1" w:rsidRPr="00BE0585">
            <w:rPr>
              <w:rFonts w:ascii="Arial" w:hAnsi="Arial" w:cs="Arial"/>
              <w:sz w:val="22"/>
            </w:rPr>
            <w:fldChar w:fldCharType="begin"/>
          </w:r>
          <w:r w:rsidR="002127B1" w:rsidRPr="00BE0585">
            <w:rPr>
              <w:rFonts w:ascii="Arial" w:hAnsi="Arial" w:cs="Arial"/>
              <w:sz w:val="22"/>
              <w:lang w:val="en-US"/>
            </w:rPr>
            <w:instrText xml:space="preserve"> CITATION Wal24 \l 1033 </w:instrText>
          </w:r>
          <w:r w:rsidR="002127B1" w:rsidRPr="00BE0585">
            <w:rPr>
              <w:rFonts w:ascii="Arial" w:hAnsi="Arial" w:cs="Arial"/>
              <w:sz w:val="22"/>
            </w:rPr>
            <w:fldChar w:fldCharType="separate"/>
          </w:r>
          <w:r w:rsidR="002127B1" w:rsidRPr="00BE0585">
            <w:rPr>
              <w:rFonts w:ascii="Arial" w:hAnsi="Arial" w:cs="Arial"/>
              <w:noProof/>
              <w:sz w:val="22"/>
              <w:lang w:val="en-US"/>
            </w:rPr>
            <w:t xml:space="preserve"> (Schelkle, 2024)</w:t>
          </w:r>
          <w:r w:rsidR="002127B1" w:rsidRPr="00BE0585">
            <w:rPr>
              <w:rFonts w:ascii="Arial" w:hAnsi="Arial" w:cs="Arial"/>
              <w:sz w:val="22"/>
            </w:rPr>
            <w:fldChar w:fldCharType="end"/>
          </w:r>
        </w:sdtContent>
      </w:sdt>
      <w:r w:rsidR="0039236B" w:rsidRPr="00BE0585">
        <w:rPr>
          <w:rFonts w:ascii="Arial" w:hAnsi="Arial" w:cs="Arial"/>
          <w:sz w:val="22"/>
        </w:rPr>
        <w:t xml:space="preserve">. </w:t>
      </w:r>
    </w:p>
    <w:p w14:paraId="31B67040" w14:textId="10F871AA" w:rsidR="00714E7F" w:rsidRPr="00BE0585" w:rsidRDefault="00000000" w:rsidP="00BE0585">
      <w:pPr>
        <w:spacing w:line="360" w:lineRule="auto"/>
        <w:rPr>
          <w:rFonts w:ascii="Arial" w:hAnsi="Arial" w:cs="Arial"/>
          <w:sz w:val="22"/>
        </w:rPr>
      </w:pPr>
      <w:r w:rsidRPr="00BE0585">
        <w:rPr>
          <w:rFonts w:ascii="Arial" w:hAnsi="Arial" w:cs="Arial"/>
          <w:b/>
          <w:bCs/>
          <w:i/>
          <w:iCs/>
          <w:sz w:val="22"/>
          <w:u w:val="single"/>
        </w:rPr>
        <w:t>International Fisher Effect (IFE)</w:t>
      </w:r>
      <w:r w:rsidRPr="00BE0585">
        <w:rPr>
          <w:rFonts w:ascii="Arial" w:hAnsi="Arial" w:cs="Arial"/>
          <w:sz w:val="22"/>
        </w:rPr>
        <w:t>:</w:t>
      </w:r>
      <w:r w:rsidR="006F5F99" w:rsidRPr="00BE0585">
        <w:rPr>
          <w:rFonts w:ascii="Arial" w:hAnsi="Arial" w:cs="Arial"/>
          <w:sz w:val="22"/>
        </w:rPr>
        <w:t xml:space="preserve"> </w:t>
      </w:r>
      <w:r w:rsidR="00E51F62" w:rsidRPr="00BE0585">
        <w:rPr>
          <w:rFonts w:ascii="Arial" w:hAnsi="Arial" w:cs="Arial"/>
          <w:sz w:val="22"/>
        </w:rPr>
        <w:t>The specific theory of international fisher effect mainly highlights that the nominal rate of interest may create differentiation between two countries, which needs to be offset by the corresponding shifts within the rate of exchange.</w:t>
      </w:r>
      <w:r w:rsidR="003210AF" w:rsidRPr="00BE0585">
        <w:rPr>
          <w:rFonts w:ascii="Arial" w:hAnsi="Arial" w:cs="Arial"/>
          <w:sz w:val="22"/>
        </w:rPr>
        <w:t xml:space="preserve"> </w:t>
      </w:r>
      <w:r w:rsidR="00AA3EE1" w:rsidRPr="00BE0585">
        <w:rPr>
          <w:rFonts w:ascii="Arial" w:hAnsi="Arial" w:cs="Arial"/>
          <w:sz w:val="22"/>
        </w:rPr>
        <w:t xml:space="preserve">For example, if the rate of interest of this specific country United Kingdom is 5% and for </w:t>
      </w:r>
      <w:r w:rsidR="004D63C3" w:rsidRPr="00BE0585">
        <w:rPr>
          <w:rFonts w:ascii="Arial" w:hAnsi="Arial" w:cs="Arial"/>
          <w:sz w:val="22"/>
        </w:rPr>
        <w:t>the US</w:t>
      </w:r>
      <w:r w:rsidR="00AA3EE1" w:rsidRPr="00BE0585">
        <w:rPr>
          <w:rFonts w:ascii="Arial" w:hAnsi="Arial" w:cs="Arial"/>
          <w:sz w:val="22"/>
        </w:rPr>
        <w:t>, it becomes 3% then the future value of the pound is required to be depreciated at the rate of 2% in comparison to the dollar.</w:t>
      </w:r>
      <w:r w:rsidR="00BE770E" w:rsidRPr="00BE0585">
        <w:rPr>
          <w:rFonts w:ascii="Arial" w:hAnsi="Arial" w:cs="Arial"/>
          <w:sz w:val="22"/>
        </w:rPr>
        <w:t xml:space="preserve"> </w:t>
      </w:r>
      <w:r w:rsidR="003B6655" w:rsidRPr="00BE0585">
        <w:rPr>
          <w:rFonts w:ascii="Arial" w:hAnsi="Arial" w:cs="Arial"/>
          <w:sz w:val="22"/>
        </w:rPr>
        <w:t xml:space="preserve">Therefore, businesses like Unilever use this mentioned theory </w:t>
      </w:r>
      <w:r w:rsidR="001A6466" w:rsidRPr="00BE0585">
        <w:rPr>
          <w:rFonts w:ascii="Arial" w:hAnsi="Arial" w:cs="Arial"/>
          <w:sz w:val="22"/>
        </w:rPr>
        <w:t xml:space="preserve">at the time of </w:t>
      </w:r>
      <w:r w:rsidR="00BE0E3F" w:rsidRPr="00BE0585">
        <w:rPr>
          <w:rFonts w:ascii="Arial" w:hAnsi="Arial" w:cs="Arial"/>
          <w:sz w:val="22"/>
        </w:rPr>
        <w:t>making any kind of long-term decisions of finances</w:t>
      </w:r>
      <w:sdt>
        <w:sdtPr>
          <w:rPr>
            <w:rFonts w:ascii="Arial" w:hAnsi="Arial" w:cs="Arial"/>
            <w:sz w:val="22"/>
          </w:rPr>
          <w:id w:val="-1170413926"/>
          <w:citation/>
        </w:sdtPr>
        <w:sdtContent>
          <w:r w:rsidR="00941155" w:rsidRPr="00BE0585">
            <w:rPr>
              <w:rFonts w:ascii="Arial" w:hAnsi="Arial" w:cs="Arial"/>
              <w:sz w:val="22"/>
            </w:rPr>
            <w:fldChar w:fldCharType="begin"/>
          </w:r>
          <w:r w:rsidR="00941155" w:rsidRPr="00BE0585">
            <w:rPr>
              <w:rFonts w:ascii="Arial" w:hAnsi="Arial" w:cs="Arial"/>
              <w:sz w:val="22"/>
              <w:lang w:val="en-US"/>
            </w:rPr>
            <w:instrText xml:space="preserve"> CITATION cor2444 \l 1033 </w:instrText>
          </w:r>
          <w:r w:rsidR="00941155" w:rsidRPr="00BE0585">
            <w:rPr>
              <w:rFonts w:ascii="Arial" w:hAnsi="Arial" w:cs="Arial"/>
              <w:sz w:val="22"/>
            </w:rPr>
            <w:fldChar w:fldCharType="separate"/>
          </w:r>
          <w:r w:rsidR="00941155" w:rsidRPr="00BE0585">
            <w:rPr>
              <w:rFonts w:ascii="Arial" w:hAnsi="Arial" w:cs="Arial"/>
              <w:noProof/>
              <w:sz w:val="22"/>
              <w:lang w:val="en-US"/>
            </w:rPr>
            <w:t xml:space="preserve"> (corporatefinanceinstitute, 2024)</w:t>
          </w:r>
          <w:r w:rsidR="00941155" w:rsidRPr="00BE0585">
            <w:rPr>
              <w:rFonts w:ascii="Arial" w:hAnsi="Arial" w:cs="Arial"/>
              <w:sz w:val="22"/>
            </w:rPr>
            <w:fldChar w:fldCharType="end"/>
          </w:r>
        </w:sdtContent>
      </w:sdt>
      <w:r w:rsidR="002348AD" w:rsidRPr="00BE0585">
        <w:rPr>
          <w:rFonts w:ascii="Arial" w:hAnsi="Arial" w:cs="Arial"/>
          <w:sz w:val="22"/>
        </w:rPr>
        <w:t xml:space="preserve">. </w:t>
      </w:r>
    </w:p>
    <w:p w14:paraId="1DCD1016" w14:textId="5FF77C9C" w:rsidR="00E64BA0" w:rsidRPr="00BE0585" w:rsidRDefault="00000000" w:rsidP="00BE0585">
      <w:pPr>
        <w:pStyle w:val="Heading2"/>
        <w:spacing w:line="360" w:lineRule="auto"/>
        <w:rPr>
          <w:rFonts w:ascii="Arial" w:hAnsi="Arial" w:cs="Arial"/>
          <w:sz w:val="22"/>
          <w:szCs w:val="22"/>
        </w:rPr>
      </w:pPr>
      <w:bookmarkStart w:id="4" w:name="_Toc162392922"/>
      <w:r w:rsidRPr="00BE0585">
        <w:rPr>
          <w:rFonts w:ascii="Arial" w:hAnsi="Arial" w:cs="Arial"/>
          <w:sz w:val="22"/>
          <w:szCs w:val="22"/>
        </w:rPr>
        <w:t>Evaluating the different strategies that multinational corporations often adopt to manage exposure to foreign exchange risks</w:t>
      </w:r>
      <w:bookmarkEnd w:id="4"/>
    </w:p>
    <w:p w14:paraId="184D1C4B" w14:textId="4F6F2E66" w:rsidR="008E7502" w:rsidRPr="00BE0585" w:rsidRDefault="00000000" w:rsidP="00BE0585">
      <w:pPr>
        <w:spacing w:line="360" w:lineRule="auto"/>
        <w:rPr>
          <w:rFonts w:ascii="Arial" w:hAnsi="Arial" w:cs="Arial"/>
          <w:sz w:val="22"/>
        </w:rPr>
      </w:pPr>
      <w:r w:rsidRPr="00BE0585">
        <w:rPr>
          <w:rFonts w:ascii="Arial" w:hAnsi="Arial" w:cs="Arial"/>
          <w:b/>
          <w:bCs/>
          <w:i/>
          <w:iCs/>
          <w:sz w:val="22"/>
          <w:u w:val="single"/>
        </w:rPr>
        <w:t>Natural hedging:</w:t>
      </w:r>
      <w:r w:rsidR="00CC21FD" w:rsidRPr="00BE0585">
        <w:rPr>
          <w:rFonts w:ascii="Arial" w:hAnsi="Arial" w:cs="Arial"/>
          <w:sz w:val="22"/>
        </w:rPr>
        <w:t xml:space="preserve"> </w:t>
      </w:r>
      <w:r w:rsidR="001A7368" w:rsidRPr="00BE0585">
        <w:rPr>
          <w:rFonts w:ascii="Arial" w:hAnsi="Arial" w:cs="Arial"/>
          <w:sz w:val="22"/>
        </w:rPr>
        <w:t xml:space="preserve">Multinational corporations can strategically locate their manufacturing facilities or different types of sources of revenues in various countries in order to offset their risks, which naturally occur due to </w:t>
      </w:r>
      <w:r w:rsidR="00853D76" w:rsidRPr="00BE0585">
        <w:rPr>
          <w:rFonts w:ascii="Arial" w:hAnsi="Arial" w:cs="Arial"/>
          <w:sz w:val="22"/>
        </w:rPr>
        <w:t>FX</w:t>
      </w:r>
      <w:r w:rsidR="001A7368" w:rsidRPr="00BE0585">
        <w:rPr>
          <w:rFonts w:ascii="Arial" w:hAnsi="Arial" w:cs="Arial"/>
          <w:sz w:val="22"/>
        </w:rPr>
        <w:t xml:space="preserve">. For example, within the companies based in the United Kingdom, the generation of revenue within euros, as well as also has expenditure in euros. It develops a natural hedge in comparison against </w:t>
      </w:r>
      <w:r w:rsidR="00052C7B" w:rsidRPr="00BE0585">
        <w:rPr>
          <w:rFonts w:ascii="Arial" w:hAnsi="Arial" w:cs="Arial"/>
          <w:sz w:val="22"/>
        </w:rPr>
        <w:t xml:space="preserve">fluctuations </w:t>
      </w:r>
      <w:r w:rsidR="00837A8D" w:rsidRPr="00BE0585">
        <w:rPr>
          <w:rFonts w:ascii="Arial" w:hAnsi="Arial" w:cs="Arial"/>
          <w:sz w:val="22"/>
        </w:rPr>
        <w:t>in the exchange rate of EUR or GBP</w:t>
      </w:r>
      <w:r w:rsidR="0016641F" w:rsidRPr="00BE0585">
        <w:rPr>
          <w:rFonts w:ascii="Arial" w:hAnsi="Arial" w:cs="Arial"/>
          <w:sz w:val="22"/>
        </w:rPr>
        <w:t xml:space="preserve"> (</w:t>
      </w:r>
      <w:r w:rsidR="0016641F" w:rsidRPr="00BE0585">
        <w:rPr>
          <w:rFonts w:ascii="Arial" w:hAnsi="Arial" w:cs="Arial"/>
          <w:sz w:val="22"/>
          <w:shd w:val="clear" w:color="auto" w:fill="FFFFFF"/>
        </w:rPr>
        <w:t xml:space="preserve">Mazur </w:t>
      </w:r>
      <w:r w:rsidR="0016641F" w:rsidRPr="00BE0585">
        <w:rPr>
          <w:rFonts w:ascii="Arial" w:hAnsi="Arial" w:cs="Arial"/>
          <w:i/>
          <w:iCs/>
          <w:sz w:val="22"/>
          <w:shd w:val="clear" w:color="auto" w:fill="FFFFFF"/>
        </w:rPr>
        <w:t xml:space="preserve">et al., </w:t>
      </w:r>
      <w:r w:rsidR="0016641F" w:rsidRPr="00BE0585">
        <w:rPr>
          <w:rFonts w:ascii="Arial" w:hAnsi="Arial" w:cs="Arial"/>
          <w:sz w:val="22"/>
          <w:shd w:val="clear" w:color="auto" w:fill="FFFFFF"/>
        </w:rPr>
        <w:t>2021)</w:t>
      </w:r>
      <w:r w:rsidR="0016641F" w:rsidRPr="00BE0585">
        <w:rPr>
          <w:rFonts w:ascii="Arial" w:hAnsi="Arial" w:cs="Arial"/>
          <w:sz w:val="22"/>
        </w:rPr>
        <w:t>.</w:t>
      </w:r>
    </w:p>
    <w:p w14:paraId="57D9F435" w14:textId="12153352" w:rsidR="003B330D" w:rsidRPr="00BE0585" w:rsidRDefault="00000000" w:rsidP="00BE0585">
      <w:pPr>
        <w:spacing w:line="360" w:lineRule="auto"/>
        <w:rPr>
          <w:rFonts w:ascii="Arial" w:hAnsi="Arial" w:cs="Arial"/>
          <w:sz w:val="22"/>
        </w:rPr>
      </w:pPr>
      <w:r w:rsidRPr="00BE0585">
        <w:rPr>
          <w:rFonts w:ascii="Arial" w:hAnsi="Arial" w:cs="Arial"/>
          <w:b/>
          <w:bCs/>
          <w:i/>
          <w:iCs/>
          <w:sz w:val="22"/>
          <w:u w:val="single"/>
        </w:rPr>
        <w:t>Financial hedging</w:t>
      </w:r>
      <w:r w:rsidRPr="00BE0585">
        <w:rPr>
          <w:rFonts w:ascii="Arial" w:hAnsi="Arial" w:cs="Arial"/>
          <w:sz w:val="22"/>
        </w:rPr>
        <w:t>:</w:t>
      </w:r>
      <w:r w:rsidR="005E3C98" w:rsidRPr="00BE0585">
        <w:rPr>
          <w:rFonts w:ascii="Arial" w:hAnsi="Arial" w:cs="Arial"/>
          <w:sz w:val="22"/>
        </w:rPr>
        <w:t xml:space="preserve"> </w:t>
      </w:r>
      <w:r w:rsidR="00076159" w:rsidRPr="00BE0585">
        <w:rPr>
          <w:rFonts w:ascii="Arial" w:hAnsi="Arial" w:cs="Arial"/>
          <w:sz w:val="22"/>
        </w:rPr>
        <w:t>Financial hedging basically includes the usage of financial tools or instruments that are forward contracts, options, futures as well and swaps to hedge against FX risks.</w:t>
      </w:r>
      <w:r w:rsidR="00364D04" w:rsidRPr="00BE0585">
        <w:rPr>
          <w:rFonts w:ascii="Arial" w:hAnsi="Arial" w:cs="Arial"/>
          <w:sz w:val="22"/>
        </w:rPr>
        <w:t xml:space="preserve"> </w:t>
      </w:r>
      <w:r w:rsidR="00E441BE" w:rsidRPr="00BE0585">
        <w:rPr>
          <w:rFonts w:ascii="Arial" w:hAnsi="Arial" w:cs="Arial"/>
          <w:sz w:val="22"/>
        </w:rPr>
        <w:t>For example, MNC businesses based in US</w:t>
      </w:r>
      <w:r w:rsidR="002169B9" w:rsidRPr="00BE0585">
        <w:rPr>
          <w:rFonts w:ascii="Arial" w:hAnsi="Arial" w:cs="Arial"/>
          <w:sz w:val="22"/>
        </w:rPr>
        <w:t xml:space="preserve"> </w:t>
      </w:r>
      <w:r w:rsidR="004729DF" w:rsidRPr="00BE0585">
        <w:rPr>
          <w:rFonts w:ascii="Arial" w:hAnsi="Arial" w:cs="Arial"/>
          <w:sz w:val="22"/>
        </w:rPr>
        <w:t xml:space="preserve">are expects to </w:t>
      </w:r>
      <w:r w:rsidR="009E7EFC" w:rsidRPr="00BE0585">
        <w:rPr>
          <w:rFonts w:ascii="Arial" w:hAnsi="Arial" w:cs="Arial"/>
          <w:sz w:val="22"/>
        </w:rPr>
        <w:t xml:space="preserve">receive payments </w:t>
      </w:r>
      <w:r w:rsidR="00FF0FE7" w:rsidRPr="00BE0585">
        <w:rPr>
          <w:rFonts w:ascii="Arial" w:hAnsi="Arial" w:cs="Arial"/>
          <w:sz w:val="22"/>
        </w:rPr>
        <w:t xml:space="preserve">in terms of </w:t>
      </w:r>
    </w:p>
    <w:p w14:paraId="3822A647" w14:textId="48E57B74" w:rsidR="00E12C92" w:rsidRPr="00BE0585" w:rsidRDefault="00000000" w:rsidP="00BE0585">
      <w:pPr>
        <w:tabs>
          <w:tab w:val="left" w:pos="1596"/>
        </w:tabs>
        <w:spacing w:line="360" w:lineRule="auto"/>
        <w:rPr>
          <w:rFonts w:ascii="Arial" w:hAnsi="Arial" w:cs="Arial"/>
          <w:sz w:val="22"/>
        </w:rPr>
      </w:pPr>
      <w:r w:rsidRPr="00BE0585">
        <w:rPr>
          <w:rFonts w:ascii="Arial" w:hAnsi="Arial" w:cs="Arial"/>
          <w:b/>
          <w:bCs/>
          <w:i/>
          <w:iCs/>
          <w:sz w:val="22"/>
          <w:u w:val="single"/>
        </w:rPr>
        <w:t>Netting</w:t>
      </w:r>
      <w:r w:rsidRPr="00BE0585">
        <w:rPr>
          <w:rFonts w:ascii="Arial" w:hAnsi="Arial" w:cs="Arial"/>
          <w:sz w:val="22"/>
        </w:rPr>
        <w:t>:</w:t>
      </w:r>
      <w:r w:rsidR="00384060" w:rsidRPr="00BE0585">
        <w:rPr>
          <w:rFonts w:ascii="Arial" w:hAnsi="Arial" w:cs="Arial"/>
          <w:sz w:val="22"/>
        </w:rPr>
        <w:t xml:space="preserve"> The multinational companies by having activities in various countries can also offset receivables as well as payables denominated in various currencies</w:t>
      </w:r>
      <w:r w:rsidR="005A34B1" w:rsidRPr="00BE0585">
        <w:rPr>
          <w:rFonts w:ascii="Arial" w:hAnsi="Arial" w:cs="Arial"/>
          <w:sz w:val="22"/>
        </w:rPr>
        <w:t>. This mainly reduces the exposure of FX.</w:t>
      </w:r>
      <w:r w:rsidR="00460C83" w:rsidRPr="00BE0585">
        <w:rPr>
          <w:rFonts w:ascii="Arial" w:hAnsi="Arial" w:cs="Arial"/>
          <w:sz w:val="22"/>
        </w:rPr>
        <w:t xml:space="preserve"> Hence by consolidating the setting knit amounts as well as cash flow within the home currency companies like Shell plc can streamline the risk management process of  FX.</w:t>
      </w:r>
      <w:r w:rsidR="00FF0FE7" w:rsidRPr="00BE0585">
        <w:rPr>
          <w:rFonts w:ascii="Arial" w:hAnsi="Arial" w:cs="Arial"/>
          <w:sz w:val="22"/>
        </w:rPr>
        <w:tab/>
      </w:r>
    </w:p>
    <w:p w14:paraId="4D4933FC" w14:textId="2E89EC84" w:rsidR="00E12C92" w:rsidRPr="00BE0585" w:rsidRDefault="00000000" w:rsidP="00BE0585">
      <w:pPr>
        <w:spacing w:line="360" w:lineRule="auto"/>
        <w:rPr>
          <w:rFonts w:ascii="Arial" w:hAnsi="Arial" w:cs="Arial"/>
          <w:sz w:val="22"/>
        </w:rPr>
      </w:pPr>
      <w:r w:rsidRPr="00BE0585">
        <w:rPr>
          <w:rFonts w:ascii="Arial" w:hAnsi="Arial" w:cs="Arial"/>
          <w:b/>
          <w:bCs/>
          <w:i/>
          <w:iCs/>
          <w:sz w:val="22"/>
          <w:u w:val="single"/>
        </w:rPr>
        <w:t>Leading and lagging</w:t>
      </w:r>
      <w:r w:rsidRPr="00BE0585">
        <w:rPr>
          <w:rFonts w:ascii="Arial" w:hAnsi="Arial" w:cs="Arial"/>
          <w:sz w:val="22"/>
        </w:rPr>
        <w:t>:</w:t>
      </w:r>
      <w:r w:rsidR="00460C83" w:rsidRPr="00BE0585">
        <w:rPr>
          <w:rFonts w:ascii="Arial" w:hAnsi="Arial" w:cs="Arial"/>
          <w:sz w:val="22"/>
        </w:rPr>
        <w:t xml:space="preserve"> </w:t>
      </w:r>
      <w:r w:rsidR="001765BE" w:rsidRPr="00BE0585">
        <w:rPr>
          <w:rFonts w:ascii="Arial" w:hAnsi="Arial" w:cs="Arial"/>
          <w:sz w:val="22"/>
        </w:rPr>
        <w:t xml:space="preserve">Multinational companies also strategically adjust the Actual timing for receipts as well as payments in order to take benefit of anticipated movements of currency. For example, if a particular company in the United Kingdom expects the rate of GBP to appreciate in comparison to the USD, then it may be required to delay the payment process of invoices </w:t>
      </w:r>
      <w:r w:rsidR="001765BE" w:rsidRPr="00BE0585">
        <w:rPr>
          <w:rFonts w:ascii="Arial" w:hAnsi="Arial" w:cs="Arial"/>
          <w:sz w:val="22"/>
        </w:rPr>
        <w:lastRenderedPageBreak/>
        <w:t>denominated the dollar currenc</w:t>
      </w:r>
      <w:r w:rsidR="00152B2C" w:rsidRPr="00BE0585">
        <w:rPr>
          <w:rFonts w:ascii="Arial" w:hAnsi="Arial" w:cs="Arial"/>
          <w:sz w:val="22"/>
        </w:rPr>
        <w:t xml:space="preserve">ies. This can be done at the time of accelerating the rate </w:t>
      </w:r>
      <w:r w:rsidR="008A174B" w:rsidRPr="00BE0585">
        <w:rPr>
          <w:rFonts w:ascii="Arial" w:hAnsi="Arial" w:cs="Arial"/>
          <w:sz w:val="22"/>
        </w:rPr>
        <w:t>of revenue receipts of USD</w:t>
      </w:r>
      <w:r w:rsidR="0016641F" w:rsidRPr="00BE0585">
        <w:rPr>
          <w:rFonts w:ascii="Arial" w:hAnsi="Arial" w:cs="Arial"/>
          <w:sz w:val="22"/>
        </w:rPr>
        <w:t xml:space="preserve"> (</w:t>
      </w:r>
      <w:r w:rsidR="0016641F" w:rsidRPr="00BE0585">
        <w:rPr>
          <w:rFonts w:ascii="Arial" w:hAnsi="Arial" w:cs="Arial"/>
          <w:sz w:val="22"/>
          <w:shd w:val="clear" w:color="auto" w:fill="FFFFFF"/>
        </w:rPr>
        <w:t xml:space="preserve">Mazur </w:t>
      </w:r>
      <w:r w:rsidR="0016641F" w:rsidRPr="00BE0585">
        <w:rPr>
          <w:rFonts w:ascii="Arial" w:hAnsi="Arial" w:cs="Arial"/>
          <w:i/>
          <w:iCs/>
          <w:sz w:val="22"/>
          <w:shd w:val="clear" w:color="auto" w:fill="FFFFFF"/>
        </w:rPr>
        <w:t xml:space="preserve">et al., </w:t>
      </w:r>
      <w:r w:rsidR="0016641F" w:rsidRPr="00BE0585">
        <w:rPr>
          <w:rFonts w:ascii="Arial" w:hAnsi="Arial" w:cs="Arial"/>
          <w:sz w:val="22"/>
          <w:shd w:val="clear" w:color="auto" w:fill="FFFFFF"/>
        </w:rPr>
        <w:t>2021)</w:t>
      </w:r>
      <w:r w:rsidR="008A174B" w:rsidRPr="00BE0585">
        <w:rPr>
          <w:rFonts w:ascii="Arial" w:hAnsi="Arial" w:cs="Arial"/>
          <w:sz w:val="22"/>
        </w:rPr>
        <w:t>.</w:t>
      </w:r>
    </w:p>
    <w:p w14:paraId="671272AE" w14:textId="77777777" w:rsidR="00964B39" w:rsidRPr="00BE0585" w:rsidRDefault="00964B39" w:rsidP="00BE0585">
      <w:pPr>
        <w:spacing w:line="360" w:lineRule="auto"/>
        <w:rPr>
          <w:rFonts w:ascii="Arial" w:hAnsi="Arial" w:cs="Arial"/>
          <w:sz w:val="22"/>
        </w:rPr>
      </w:pPr>
    </w:p>
    <w:p w14:paraId="78CE4482" w14:textId="4423464F" w:rsidR="00473B2C" w:rsidRPr="00BE0585" w:rsidRDefault="00000000" w:rsidP="00BE0585">
      <w:pPr>
        <w:spacing w:line="360" w:lineRule="auto"/>
        <w:jc w:val="left"/>
        <w:rPr>
          <w:rFonts w:ascii="Arial" w:hAnsi="Arial" w:cs="Arial"/>
          <w:sz w:val="22"/>
        </w:rPr>
      </w:pPr>
      <w:r w:rsidRPr="00BE0585">
        <w:rPr>
          <w:rFonts w:ascii="Arial" w:hAnsi="Arial" w:cs="Arial"/>
          <w:sz w:val="22"/>
        </w:rPr>
        <w:br w:type="page"/>
      </w:r>
    </w:p>
    <w:p w14:paraId="78789A64" w14:textId="7BCF12FF" w:rsidR="00460D3C" w:rsidRPr="00BE0585" w:rsidRDefault="00000000" w:rsidP="00BE0585">
      <w:pPr>
        <w:pStyle w:val="Heading1"/>
        <w:spacing w:line="360" w:lineRule="auto"/>
        <w:rPr>
          <w:rFonts w:ascii="Arial" w:hAnsi="Arial"/>
          <w:sz w:val="22"/>
          <w:szCs w:val="22"/>
        </w:rPr>
      </w:pPr>
      <w:bookmarkStart w:id="5" w:name="_Toc162392923"/>
      <w:r w:rsidRPr="00BE0585">
        <w:rPr>
          <w:rFonts w:ascii="Arial" w:hAnsi="Arial"/>
          <w:sz w:val="22"/>
          <w:szCs w:val="22"/>
        </w:rPr>
        <w:lastRenderedPageBreak/>
        <w:t>Conclusion</w:t>
      </w:r>
      <w:bookmarkEnd w:id="5"/>
      <w:r w:rsidRPr="00BE0585">
        <w:rPr>
          <w:rFonts w:ascii="Arial" w:hAnsi="Arial"/>
          <w:sz w:val="22"/>
          <w:szCs w:val="22"/>
        </w:rPr>
        <w:t xml:space="preserve"> </w:t>
      </w:r>
    </w:p>
    <w:p w14:paraId="0323C416" w14:textId="3634DAAA" w:rsidR="00A438DC" w:rsidRPr="00BE0585" w:rsidRDefault="00000000" w:rsidP="00BE0585">
      <w:pPr>
        <w:spacing w:line="360" w:lineRule="auto"/>
        <w:rPr>
          <w:rFonts w:ascii="Arial" w:hAnsi="Arial" w:cs="Arial"/>
          <w:sz w:val="22"/>
          <w:lang w:val="en-US" w:eastAsia="en-IN"/>
        </w:rPr>
      </w:pPr>
      <w:r w:rsidRPr="00BE0585">
        <w:rPr>
          <w:rFonts w:ascii="Arial" w:hAnsi="Arial" w:cs="Arial"/>
          <w:sz w:val="22"/>
          <w:lang w:val="en-US" w:eastAsia="en-IN"/>
        </w:rPr>
        <w:t>The accurate information of financial management was critically established in this report. The importance of international financial management has been highlighted on the basis of which it has been understood that it not only guides a company to expand its business on an international platform effectively but also reduces the level of risks. There are different theories of International financial management presented which were highlighted significantly. For example, some theories related to exchange rates were demonstrated which are Purchasing Power Parity, Interest Rate Parity, Balance of Payment Theory</w:t>
      </w:r>
      <w:r w:rsidR="00FB5466" w:rsidRPr="00BE0585">
        <w:rPr>
          <w:rFonts w:ascii="Arial" w:hAnsi="Arial" w:cs="Arial"/>
          <w:sz w:val="22"/>
          <w:lang w:val="en-US" w:eastAsia="en-IN"/>
        </w:rPr>
        <w:t xml:space="preserve"> and many more. </w:t>
      </w:r>
      <w:r w:rsidRPr="00BE0585">
        <w:rPr>
          <w:rFonts w:ascii="Arial" w:hAnsi="Arial" w:cs="Arial"/>
          <w:sz w:val="22"/>
          <w:lang w:val="en-US" w:eastAsia="en-IN"/>
        </w:rPr>
        <w:br w:type="page"/>
      </w:r>
    </w:p>
    <w:p w14:paraId="047C753F" w14:textId="48D47E50" w:rsidR="00A438DC" w:rsidRPr="00BE0585" w:rsidRDefault="00000000" w:rsidP="00BE0585">
      <w:pPr>
        <w:pStyle w:val="Heading1"/>
        <w:spacing w:line="360" w:lineRule="auto"/>
        <w:rPr>
          <w:rFonts w:ascii="Arial" w:hAnsi="Arial"/>
          <w:sz w:val="22"/>
          <w:szCs w:val="22"/>
        </w:rPr>
      </w:pPr>
      <w:bookmarkStart w:id="6" w:name="_Toc162392924"/>
      <w:r w:rsidRPr="00BE0585">
        <w:rPr>
          <w:rFonts w:ascii="Arial" w:hAnsi="Arial"/>
          <w:sz w:val="22"/>
          <w:szCs w:val="22"/>
        </w:rPr>
        <w:lastRenderedPageBreak/>
        <w:t>References</w:t>
      </w:r>
      <w:bookmarkEnd w:id="6"/>
      <w:r w:rsidRPr="00BE0585">
        <w:rPr>
          <w:rFonts w:ascii="Arial" w:hAnsi="Arial"/>
          <w:sz w:val="22"/>
          <w:szCs w:val="22"/>
        </w:rPr>
        <w:t xml:space="preserve"> </w:t>
      </w:r>
    </w:p>
    <w:p w14:paraId="11F286F4" w14:textId="77777777" w:rsidR="00F06079" w:rsidRPr="00BE0585" w:rsidRDefault="00000000" w:rsidP="00BE0585">
      <w:pPr>
        <w:spacing w:line="360" w:lineRule="auto"/>
        <w:rPr>
          <w:rFonts w:ascii="Arial" w:hAnsi="Arial" w:cs="Arial"/>
          <w:sz w:val="22"/>
        </w:rPr>
      </w:pPr>
      <w:bookmarkStart w:id="7" w:name="_Hlk162392121"/>
      <w:r w:rsidRPr="00BE0585">
        <w:rPr>
          <w:rFonts w:ascii="Arial" w:hAnsi="Arial" w:cs="Arial"/>
          <w:sz w:val="22"/>
        </w:rPr>
        <w:t>corporatefinanceinstitute, (2024). Interest Rate Parity (IRP). [Online] Available at: https://corporatefinanceinstitute.com/resources/derivatives/interest-rate-parity-irp/ [Accessed 24 March 2024].</w:t>
      </w:r>
    </w:p>
    <w:p w14:paraId="202FFF28" w14:textId="77777777" w:rsidR="00F06079" w:rsidRPr="00BE0585" w:rsidRDefault="00000000" w:rsidP="00BE0585">
      <w:pPr>
        <w:spacing w:line="360" w:lineRule="auto"/>
        <w:rPr>
          <w:rFonts w:ascii="Arial" w:hAnsi="Arial" w:cs="Arial"/>
          <w:sz w:val="22"/>
        </w:rPr>
      </w:pPr>
      <w:r w:rsidRPr="00BE0585">
        <w:rPr>
          <w:rFonts w:ascii="Arial" w:hAnsi="Arial" w:cs="Arial"/>
          <w:sz w:val="22"/>
        </w:rPr>
        <w:t>corporatefinanceinstitute, (2024). International Fisher Effect (IFE). [Online] Available at: https://corporatefinanceinstitute.com/resources/economics/international-fisher-effect-ife/ [Accessed 24 March 2024].</w:t>
      </w:r>
    </w:p>
    <w:p w14:paraId="6C5C6411" w14:textId="77777777" w:rsidR="00F06079" w:rsidRPr="00BE0585" w:rsidRDefault="00000000" w:rsidP="00BE0585">
      <w:pPr>
        <w:spacing w:line="360" w:lineRule="auto"/>
        <w:rPr>
          <w:rFonts w:ascii="Arial" w:hAnsi="Arial" w:cs="Arial"/>
          <w:sz w:val="22"/>
          <w:shd w:val="clear" w:color="auto" w:fill="FFFFFF"/>
        </w:rPr>
      </w:pPr>
      <w:r w:rsidRPr="00BE0585">
        <w:rPr>
          <w:rFonts w:ascii="Arial" w:hAnsi="Arial" w:cs="Arial"/>
          <w:sz w:val="22"/>
          <w:shd w:val="clear" w:color="auto" w:fill="FFFFFF"/>
        </w:rPr>
        <w:t>Eun, C.S., Resnick, B.G. and Chuluun, T., (2021). </w:t>
      </w:r>
      <w:r w:rsidRPr="00BE0585">
        <w:rPr>
          <w:rFonts w:ascii="Arial" w:hAnsi="Arial" w:cs="Arial"/>
          <w:i/>
          <w:iCs/>
          <w:sz w:val="22"/>
          <w:shd w:val="clear" w:color="auto" w:fill="FFFFFF"/>
        </w:rPr>
        <w:t>International financial management</w:t>
      </w:r>
      <w:r w:rsidRPr="00BE0585">
        <w:rPr>
          <w:rFonts w:ascii="Arial" w:hAnsi="Arial" w:cs="Arial"/>
          <w:sz w:val="22"/>
          <w:shd w:val="clear" w:color="auto" w:fill="FFFFFF"/>
        </w:rPr>
        <w:t>. McGraw-Hill.</w:t>
      </w:r>
    </w:p>
    <w:p w14:paraId="2F77C568" w14:textId="77777777" w:rsidR="00F06079" w:rsidRPr="00BE0585" w:rsidRDefault="00000000" w:rsidP="00BE0585">
      <w:pPr>
        <w:spacing w:line="360" w:lineRule="auto"/>
        <w:rPr>
          <w:rFonts w:ascii="Arial" w:hAnsi="Arial" w:cs="Arial"/>
          <w:sz w:val="22"/>
        </w:rPr>
      </w:pPr>
      <w:r w:rsidRPr="00BE0585">
        <w:rPr>
          <w:rFonts w:ascii="Arial" w:hAnsi="Arial" w:cs="Arial"/>
          <w:sz w:val="22"/>
        </w:rPr>
        <w:t>jstor, (2024). Balance-of-Payments Theory. [Online] Available at: https://www.jstor.org/stable/272014 [Accessed 24 March 2024].</w:t>
      </w:r>
    </w:p>
    <w:p w14:paraId="20DCE98B" w14:textId="77777777" w:rsidR="00F06079" w:rsidRPr="00BE0585" w:rsidRDefault="00000000" w:rsidP="00BE0585">
      <w:pPr>
        <w:spacing w:line="360" w:lineRule="auto"/>
        <w:rPr>
          <w:rFonts w:ascii="Arial" w:hAnsi="Arial" w:cs="Arial"/>
          <w:sz w:val="22"/>
          <w:shd w:val="clear" w:color="auto" w:fill="FFFFFF"/>
        </w:rPr>
      </w:pPr>
      <w:r w:rsidRPr="00BE0585">
        <w:rPr>
          <w:rFonts w:ascii="Arial" w:hAnsi="Arial" w:cs="Arial"/>
          <w:sz w:val="22"/>
          <w:shd w:val="clear" w:color="auto" w:fill="FFFFFF"/>
        </w:rPr>
        <w:t>Madura, J., Hoque, A. and Krishnamrti, C., (2018). </w:t>
      </w:r>
      <w:r w:rsidRPr="00BE0585">
        <w:rPr>
          <w:rFonts w:ascii="Arial" w:hAnsi="Arial" w:cs="Arial"/>
          <w:i/>
          <w:iCs/>
          <w:sz w:val="22"/>
          <w:shd w:val="clear" w:color="auto" w:fill="FFFFFF"/>
        </w:rPr>
        <w:t>International financial management</w:t>
      </w:r>
      <w:r w:rsidRPr="00BE0585">
        <w:rPr>
          <w:rFonts w:ascii="Arial" w:hAnsi="Arial" w:cs="Arial"/>
          <w:sz w:val="22"/>
          <w:shd w:val="clear" w:color="auto" w:fill="FFFFFF"/>
        </w:rPr>
        <w:t>. Cengage AU.</w:t>
      </w:r>
    </w:p>
    <w:p w14:paraId="55F84D44" w14:textId="77777777" w:rsidR="00F06079" w:rsidRPr="00BE0585" w:rsidRDefault="00000000" w:rsidP="00BE0585">
      <w:pPr>
        <w:spacing w:line="360" w:lineRule="auto"/>
        <w:rPr>
          <w:rFonts w:ascii="Arial" w:hAnsi="Arial" w:cs="Arial"/>
          <w:sz w:val="22"/>
          <w:shd w:val="clear" w:color="auto" w:fill="FFFFFF"/>
        </w:rPr>
      </w:pPr>
      <w:r w:rsidRPr="00BE0585">
        <w:rPr>
          <w:rFonts w:ascii="Arial" w:hAnsi="Arial" w:cs="Arial"/>
          <w:sz w:val="22"/>
          <w:shd w:val="clear" w:color="auto" w:fill="FFFFFF"/>
        </w:rPr>
        <w:t>Mazur, N., Khrystenko, L., Pásztorová, J., Zos-Kior, M., Hnatenko, I., Puzyrova, P. and Rubezhanska, V., (2021). Improvement of controlling in the financial management of enterprises. </w:t>
      </w:r>
      <w:r w:rsidRPr="00BE0585">
        <w:rPr>
          <w:rFonts w:ascii="Arial" w:hAnsi="Arial" w:cs="Arial"/>
          <w:i/>
          <w:iCs/>
          <w:sz w:val="22"/>
          <w:shd w:val="clear" w:color="auto" w:fill="FFFFFF"/>
        </w:rPr>
        <w:t>TEM Journal-Technology, Education, Management, Informatics</w:t>
      </w:r>
      <w:r w:rsidRPr="00BE0585">
        <w:rPr>
          <w:rFonts w:ascii="Arial" w:hAnsi="Arial" w:cs="Arial"/>
          <w:sz w:val="22"/>
          <w:shd w:val="clear" w:color="auto" w:fill="FFFFFF"/>
        </w:rPr>
        <w:t>.</w:t>
      </w:r>
    </w:p>
    <w:p w14:paraId="31B90664" w14:textId="77777777" w:rsidR="00F06079" w:rsidRPr="00BE0585" w:rsidRDefault="00000000" w:rsidP="00BE0585">
      <w:pPr>
        <w:spacing w:line="360" w:lineRule="auto"/>
        <w:rPr>
          <w:rFonts w:ascii="Arial" w:hAnsi="Arial" w:cs="Arial"/>
          <w:sz w:val="22"/>
        </w:rPr>
      </w:pPr>
      <w:r w:rsidRPr="00BE0585">
        <w:rPr>
          <w:rFonts w:ascii="Arial" w:hAnsi="Arial" w:cs="Arial"/>
          <w:sz w:val="22"/>
        </w:rPr>
        <w:t>oecd, (2024). Purchasing Power Parities - Frequently Asked Questions (FAQs). [Online] Available at: https://www.oecd.org/sdd/prices-ppp/purchasingpowerparities-frequentlyaskedquestionsfaqs.htm#:~:text=1.-,What%20are%20PPPs%3F,in%20price%20levels%20between%20countries. [Accessed 24 March 2024].</w:t>
      </w:r>
    </w:p>
    <w:p w14:paraId="2236F841" w14:textId="77777777" w:rsidR="00F06079" w:rsidRPr="00BE0585" w:rsidRDefault="00000000" w:rsidP="00BE0585">
      <w:pPr>
        <w:spacing w:line="360" w:lineRule="auto"/>
        <w:rPr>
          <w:rFonts w:ascii="Arial" w:hAnsi="Arial" w:cs="Arial"/>
          <w:sz w:val="22"/>
        </w:rPr>
      </w:pPr>
      <w:r w:rsidRPr="00BE0585">
        <w:rPr>
          <w:rFonts w:ascii="Arial" w:hAnsi="Arial" w:cs="Arial"/>
          <w:sz w:val="22"/>
        </w:rPr>
        <w:t>Schelkle, W., (2024). optimum currency area. [Online] Available at: https://www.britannica.com/money/optimum-currency-area [Accessed 24 March 2024].</w:t>
      </w:r>
    </w:p>
    <w:p w14:paraId="31DEABDB" w14:textId="77777777" w:rsidR="00F06079" w:rsidRPr="00BE0585" w:rsidRDefault="00000000" w:rsidP="00BE0585">
      <w:pPr>
        <w:spacing w:line="360" w:lineRule="auto"/>
        <w:rPr>
          <w:rFonts w:ascii="Arial" w:hAnsi="Arial" w:cs="Arial"/>
          <w:sz w:val="22"/>
          <w:shd w:val="clear" w:color="auto" w:fill="FFFFFF"/>
        </w:rPr>
      </w:pPr>
      <w:r w:rsidRPr="00BE0585">
        <w:rPr>
          <w:rFonts w:ascii="Arial" w:hAnsi="Arial" w:cs="Arial"/>
          <w:sz w:val="22"/>
          <w:shd w:val="clear" w:color="auto" w:fill="FFFFFF"/>
        </w:rPr>
        <w:t>Shapiro, A.C. and Hanouna, P., (2019). </w:t>
      </w:r>
      <w:r w:rsidRPr="00BE0585">
        <w:rPr>
          <w:rFonts w:ascii="Arial" w:hAnsi="Arial" w:cs="Arial"/>
          <w:i/>
          <w:iCs/>
          <w:sz w:val="22"/>
          <w:shd w:val="clear" w:color="auto" w:fill="FFFFFF"/>
        </w:rPr>
        <w:t>Multinational financial management</w:t>
      </w:r>
      <w:r w:rsidRPr="00BE0585">
        <w:rPr>
          <w:rFonts w:ascii="Arial" w:hAnsi="Arial" w:cs="Arial"/>
          <w:sz w:val="22"/>
          <w:shd w:val="clear" w:color="auto" w:fill="FFFFFF"/>
        </w:rPr>
        <w:t>. John Wiley &amp; Sons.</w:t>
      </w:r>
    </w:p>
    <w:p w14:paraId="4673CD05" w14:textId="77777777" w:rsidR="00F06079" w:rsidRPr="00BE0585" w:rsidRDefault="00000000" w:rsidP="00BE0585">
      <w:pPr>
        <w:spacing w:line="360" w:lineRule="auto"/>
        <w:rPr>
          <w:rFonts w:ascii="Arial" w:hAnsi="Arial" w:cs="Arial"/>
          <w:sz w:val="22"/>
          <w:shd w:val="clear" w:color="auto" w:fill="FFFFFF"/>
        </w:rPr>
      </w:pPr>
      <w:r w:rsidRPr="00BE0585">
        <w:rPr>
          <w:rFonts w:ascii="Arial" w:hAnsi="Arial" w:cs="Arial"/>
          <w:sz w:val="22"/>
          <w:shd w:val="clear" w:color="auto" w:fill="FFFFFF"/>
        </w:rPr>
        <w:t>Shapiro, A.C., Hanouna, P. and Sarin, A., (2024). </w:t>
      </w:r>
      <w:r w:rsidRPr="00BE0585">
        <w:rPr>
          <w:rFonts w:ascii="Arial" w:hAnsi="Arial" w:cs="Arial"/>
          <w:i/>
          <w:iCs/>
          <w:sz w:val="22"/>
          <w:shd w:val="clear" w:color="auto" w:fill="FFFFFF"/>
        </w:rPr>
        <w:t>Multinational financial management</w:t>
      </w:r>
      <w:r w:rsidRPr="00BE0585">
        <w:rPr>
          <w:rFonts w:ascii="Arial" w:hAnsi="Arial" w:cs="Arial"/>
          <w:sz w:val="22"/>
          <w:shd w:val="clear" w:color="auto" w:fill="FFFFFF"/>
        </w:rPr>
        <w:t xml:space="preserve">. John Wiley &amp; Sons. </w:t>
      </w:r>
    </w:p>
    <w:bookmarkEnd w:id="7"/>
    <w:p w14:paraId="31C8B229" w14:textId="77777777" w:rsidR="00991EE3" w:rsidRPr="00BE0585" w:rsidRDefault="00991EE3" w:rsidP="00BE0585">
      <w:pPr>
        <w:spacing w:line="360" w:lineRule="auto"/>
        <w:rPr>
          <w:rFonts w:ascii="Arial" w:hAnsi="Arial" w:cs="Arial"/>
          <w:lang w:val="en-US" w:eastAsia="en-IN"/>
        </w:rPr>
      </w:pPr>
    </w:p>
    <w:sectPr w:rsidR="00991EE3" w:rsidRPr="00BE0585" w:rsidSect="00DF7B95">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DB043" w14:textId="77777777" w:rsidR="00DF7B95" w:rsidRDefault="00DF7B95">
      <w:pPr>
        <w:spacing w:after="0" w:line="240" w:lineRule="auto"/>
      </w:pPr>
      <w:r>
        <w:separator/>
      </w:r>
    </w:p>
  </w:endnote>
  <w:endnote w:type="continuationSeparator" w:id="0">
    <w:p w14:paraId="50356975" w14:textId="77777777" w:rsidR="00DF7B95" w:rsidRDefault="00DF7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6420"/>
      <w:docPartObj>
        <w:docPartGallery w:val="Page Numbers (Bottom of Page)"/>
        <w:docPartUnique/>
      </w:docPartObj>
    </w:sdtPr>
    <w:sdtContent>
      <w:sdt>
        <w:sdtPr>
          <w:id w:val="-1769616900"/>
          <w:docPartObj>
            <w:docPartGallery w:val="Page Numbers (Top of Page)"/>
            <w:docPartUnique/>
          </w:docPartObj>
        </w:sdtPr>
        <w:sdtContent>
          <w:p w14:paraId="0854A2D7" w14:textId="0BCADB21" w:rsidR="00A513D2"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DF53354" w14:textId="77777777" w:rsidR="00A513D2" w:rsidRDefault="00A51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F93AD" w14:textId="77777777" w:rsidR="00DF7B95" w:rsidRDefault="00DF7B95">
      <w:pPr>
        <w:spacing w:after="0" w:line="240" w:lineRule="auto"/>
      </w:pPr>
      <w:r>
        <w:separator/>
      </w:r>
    </w:p>
  </w:footnote>
  <w:footnote w:type="continuationSeparator" w:id="0">
    <w:p w14:paraId="5DC88043" w14:textId="77777777" w:rsidR="00DF7B95" w:rsidRDefault="00DF7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5E25" w14:textId="525C8E96" w:rsidR="00A513D2" w:rsidRDefault="00000000" w:rsidP="00A513D2">
    <w:pPr>
      <w:jc w:val="right"/>
    </w:pPr>
    <w:r w:rsidRPr="00CB3D84">
      <w:t>International Financial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8FC"/>
    <w:rsid w:val="00002873"/>
    <w:rsid w:val="00007ACF"/>
    <w:rsid w:val="000109D8"/>
    <w:rsid w:val="0003200B"/>
    <w:rsid w:val="000519EF"/>
    <w:rsid w:val="00052C7B"/>
    <w:rsid w:val="00057C57"/>
    <w:rsid w:val="00066800"/>
    <w:rsid w:val="0007021E"/>
    <w:rsid w:val="00076159"/>
    <w:rsid w:val="000A490F"/>
    <w:rsid w:val="000B4BB2"/>
    <w:rsid w:val="000C13E9"/>
    <w:rsid w:val="000C59B8"/>
    <w:rsid w:val="00105B05"/>
    <w:rsid w:val="001176D4"/>
    <w:rsid w:val="00125AE2"/>
    <w:rsid w:val="00130B20"/>
    <w:rsid w:val="00131949"/>
    <w:rsid w:val="0013295C"/>
    <w:rsid w:val="00143866"/>
    <w:rsid w:val="00146D88"/>
    <w:rsid w:val="00152B2C"/>
    <w:rsid w:val="0016641F"/>
    <w:rsid w:val="001708D9"/>
    <w:rsid w:val="00171429"/>
    <w:rsid w:val="00175FFA"/>
    <w:rsid w:val="001765BE"/>
    <w:rsid w:val="0018162B"/>
    <w:rsid w:val="00191635"/>
    <w:rsid w:val="001A1A54"/>
    <w:rsid w:val="001A3780"/>
    <w:rsid w:val="001A4151"/>
    <w:rsid w:val="001A6466"/>
    <w:rsid w:val="001A7368"/>
    <w:rsid w:val="001B6C66"/>
    <w:rsid w:val="00210FB5"/>
    <w:rsid w:val="002127B1"/>
    <w:rsid w:val="002169B9"/>
    <w:rsid w:val="002171D9"/>
    <w:rsid w:val="002348AD"/>
    <w:rsid w:val="00236DD5"/>
    <w:rsid w:val="0024126E"/>
    <w:rsid w:val="0025636C"/>
    <w:rsid w:val="00275603"/>
    <w:rsid w:val="002804BD"/>
    <w:rsid w:val="0029087F"/>
    <w:rsid w:val="00292FCF"/>
    <w:rsid w:val="002A6A60"/>
    <w:rsid w:val="002B4A78"/>
    <w:rsid w:val="002D08FC"/>
    <w:rsid w:val="002F6EE6"/>
    <w:rsid w:val="00316201"/>
    <w:rsid w:val="003210AF"/>
    <w:rsid w:val="00351B33"/>
    <w:rsid w:val="00356720"/>
    <w:rsid w:val="00364D04"/>
    <w:rsid w:val="00366D20"/>
    <w:rsid w:val="0037152A"/>
    <w:rsid w:val="003838A2"/>
    <w:rsid w:val="00384060"/>
    <w:rsid w:val="0039236B"/>
    <w:rsid w:val="003A0059"/>
    <w:rsid w:val="003A64AD"/>
    <w:rsid w:val="003B330D"/>
    <w:rsid w:val="003B6655"/>
    <w:rsid w:val="003C2A58"/>
    <w:rsid w:val="003C6052"/>
    <w:rsid w:val="003E7B36"/>
    <w:rsid w:val="004056F1"/>
    <w:rsid w:val="004368B6"/>
    <w:rsid w:val="00447BC6"/>
    <w:rsid w:val="00455A6C"/>
    <w:rsid w:val="00455D70"/>
    <w:rsid w:val="00460AD3"/>
    <w:rsid w:val="00460C83"/>
    <w:rsid w:val="00460D3C"/>
    <w:rsid w:val="004729DF"/>
    <w:rsid w:val="00473B2C"/>
    <w:rsid w:val="00480247"/>
    <w:rsid w:val="00482526"/>
    <w:rsid w:val="00492AD8"/>
    <w:rsid w:val="00493251"/>
    <w:rsid w:val="004A0C47"/>
    <w:rsid w:val="004A1056"/>
    <w:rsid w:val="004A316A"/>
    <w:rsid w:val="004B0AE4"/>
    <w:rsid w:val="004B4858"/>
    <w:rsid w:val="004B6D9F"/>
    <w:rsid w:val="004C0B6A"/>
    <w:rsid w:val="004D63C3"/>
    <w:rsid w:val="004F0D3F"/>
    <w:rsid w:val="004F39BC"/>
    <w:rsid w:val="004F3BBA"/>
    <w:rsid w:val="005002DD"/>
    <w:rsid w:val="00512D00"/>
    <w:rsid w:val="0052557F"/>
    <w:rsid w:val="005310D7"/>
    <w:rsid w:val="00555D48"/>
    <w:rsid w:val="00561BD1"/>
    <w:rsid w:val="005621F6"/>
    <w:rsid w:val="00586560"/>
    <w:rsid w:val="005922A1"/>
    <w:rsid w:val="005A34B1"/>
    <w:rsid w:val="005B7F75"/>
    <w:rsid w:val="005C293F"/>
    <w:rsid w:val="005C45BF"/>
    <w:rsid w:val="005D3382"/>
    <w:rsid w:val="005D59AF"/>
    <w:rsid w:val="005E0E90"/>
    <w:rsid w:val="005E1ADD"/>
    <w:rsid w:val="005E3C98"/>
    <w:rsid w:val="0060112B"/>
    <w:rsid w:val="006024AD"/>
    <w:rsid w:val="006056F7"/>
    <w:rsid w:val="006233CD"/>
    <w:rsid w:val="00626550"/>
    <w:rsid w:val="00635F0D"/>
    <w:rsid w:val="0065049E"/>
    <w:rsid w:val="00656120"/>
    <w:rsid w:val="006605F0"/>
    <w:rsid w:val="0066743B"/>
    <w:rsid w:val="00695BB2"/>
    <w:rsid w:val="00695FC8"/>
    <w:rsid w:val="006A5BB5"/>
    <w:rsid w:val="006A7C72"/>
    <w:rsid w:val="006C09FF"/>
    <w:rsid w:val="006D5276"/>
    <w:rsid w:val="006E2142"/>
    <w:rsid w:val="006F2772"/>
    <w:rsid w:val="006F348B"/>
    <w:rsid w:val="006F49A2"/>
    <w:rsid w:val="006F5F99"/>
    <w:rsid w:val="007051E2"/>
    <w:rsid w:val="007067C3"/>
    <w:rsid w:val="007132D5"/>
    <w:rsid w:val="00714E7F"/>
    <w:rsid w:val="00773423"/>
    <w:rsid w:val="00782B29"/>
    <w:rsid w:val="00785792"/>
    <w:rsid w:val="007A14C5"/>
    <w:rsid w:val="007B1C8B"/>
    <w:rsid w:val="007D4618"/>
    <w:rsid w:val="007F554B"/>
    <w:rsid w:val="007F6468"/>
    <w:rsid w:val="007F7A5E"/>
    <w:rsid w:val="008008F1"/>
    <w:rsid w:val="00802279"/>
    <w:rsid w:val="0082122E"/>
    <w:rsid w:val="00837A8D"/>
    <w:rsid w:val="0084685D"/>
    <w:rsid w:val="00852EEF"/>
    <w:rsid w:val="00853D76"/>
    <w:rsid w:val="00895E70"/>
    <w:rsid w:val="008A174B"/>
    <w:rsid w:val="008B0B5A"/>
    <w:rsid w:val="008B46F3"/>
    <w:rsid w:val="008D33AC"/>
    <w:rsid w:val="008E7502"/>
    <w:rsid w:val="008F57D6"/>
    <w:rsid w:val="009026E5"/>
    <w:rsid w:val="00926DC4"/>
    <w:rsid w:val="009316F6"/>
    <w:rsid w:val="00941155"/>
    <w:rsid w:val="009548DD"/>
    <w:rsid w:val="00964B39"/>
    <w:rsid w:val="0097044F"/>
    <w:rsid w:val="00986C0D"/>
    <w:rsid w:val="00991EE3"/>
    <w:rsid w:val="009C3811"/>
    <w:rsid w:val="009E7EFC"/>
    <w:rsid w:val="009F2831"/>
    <w:rsid w:val="00A06A1C"/>
    <w:rsid w:val="00A375C6"/>
    <w:rsid w:val="00A438DC"/>
    <w:rsid w:val="00A513D2"/>
    <w:rsid w:val="00A6485C"/>
    <w:rsid w:val="00A64948"/>
    <w:rsid w:val="00A741F1"/>
    <w:rsid w:val="00AA3EE1"/>
    <w:rsid w:val="00AB3F78"/>
    <w:rsid w:val="00AC0540"/>
    <w:rsid w:val="00B360CC"/>
    <w:rsid w:val="00B3663E"/>
    <w:rsid w:val="00B54163"/>
    <w:rsid w:val="00B6512D"/>
    <w:rsid w:val="00B72F4C"/>
    <w:rsid w:val="00B83FA2"/>
    <w:rsid w:val="00B851D1"/>
    <w:rsid w:val="00B879C2"/>
    <w:rsid w:val="00BB46AE"/>
    <w:rsid w:val="00BB63A3"/>
    <w:rsid w:val="00BD02DE"/>
    <w:rsid w:val="00BE0585"/>
    <w:rsid w:val="00BE0E3F"/>
    <w:rsid w:val="00BE770E"/>
    <w:rsid w:val="00BF5F7A"/>
    <w:rsid w:val="00C01C6A"/>
    <w:rsid w:val="00C07688"/>
    <w:rsid w:val="00C10812"/>
    <w:rsid w:val="00C17080"/>
    <w:rsid w:val="00C21E64"/>
    <w:rsid w:val="00C26EA1"/>
    <w:rsid w:val="00C34ACF"/>
    <w:rsid w:val="00C367E0"/>
    <w:rsid w:val="00C4341D"/>
    <w:rsid w:val="00C54CF5"/>
    <w:rsid w:val="00C7533F"/>
    <w:rsid w:val="00C83E0C"/>
    <w:rsid w:val="00CA0C8B"/>
    <w:rsid w:val="00CA4606"/>
    <w:rsid w:val="00CA7FD7"/>
    <w:rsid w:val="00CB3564"/>
    <w:rsid w:val="00CB3D84"/>
    <w:rsid w:val="00CB43BD"/>
    <w:rsid w:val="00CC21FD"/>
    <w:rsid w:val="00CC3BA3"/>
    <w:rsid w:val="00CC5AAE"/>
    <w:rsid w:val="00CD4580"/>
    <w:rsid w:val="00CE4DFE"/>
    <w:rsid w:val="00CF5F4E"/>
    <w:rsid w:val="00D16E1B"/>
    <w:rsid w:val="00D26EA6"/>
    <w:rsid w:val="00D51C1D"/>
    <w:rsid w:val="00D5324C"/>
    <w:rsid w:val="00D61627"/>
    <w:rsid w:val="00D93C72"/>
    <w:rsid w:val="00D94834"/>
    <w:rsid w:val="00D969F6"/>
    <w:rsid w:val="00DA276D"/>
    <w:rsid w:val="00DD0ECC"/>
    <w:rsid w:val="00DE135B"/>
    <w:rsid w:val="00DF2E4B"/>
    <w:rsid w:val="00DF476D"/>
    <w:rsid w:val="00DF7B95"/>
    <w:rsid w:val="00E032BC"/>
    <w:rsid w:val="00E12C92"/>
    <w:rsid w:val="00E35849"/>
    <w:rsid w:val="00E441BE"/>
    <w:rsid w:val="00E4459B"/>
    <w:rsid w:val="00E51F62"/>
    <w:rsid w:val="00E64BA0"/>
    <w:rsid w:val="00E67D25"/>
    <w:rsid w:val="00E716B3"/>
    <w:rsid w:val="00E84CE7"/>
    <w:rsid w:val="00EA63A1"/>
    <w:rsid w:val="00EB741C"/>
    <w:rsid w:val="00EC2C87"/>
    <w:rsid w:val="00EC7E0A"/>
    <w:rsid w:val="00EE25DB"/>
    <w:rsid w:val="00EE552C"/>
    <w:rsid w:val="00F00A2E"/>
    <w:rsid w:val="00F06079"/>
    <w:rsid w:val="00F061E9"/>
    <w:rsid w:val="00F17DF7"/>
    <w:rsid w:val="00F555BA"/>
    <w:rsid w:val="00F61D6D"/>
    <w:rsid w:val="00F71AFA"/>
    <w:rsid w:val="00F766D1"/>
    <w:rsid w:val="00F875E1"/>
    <w:rsid w:val="00FA34EB"/>
    <w:rsid w:val="00FB14F3"/>
    <w:rsid w:val="00FB5466"/>
    <w:rsid w:val="00FD719B"/>
    <w:rsid w:val="00FE4A48"/>
    <w:rsid w:val="00FF095C"/>
    <w:rsid w:val="00FF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478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9B"/>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D5324C"/>
    <w:pPr>
      <w:keepNext/>
      <w:keepLines/>
      <w:spacing w:before="400" w:after="120"/>
      <w:outlineLvl w:val="0"/>
    </w:pPr>
    <w:rPr>
      <w:rFonts w:cs="Arial"/>
      <w:b/>
      <w:bCs/>
      <w:sz w:val="28"/>
      <w:szCs w:val="24"/>
      <w:lang w:val="en-US" w:eastAsia="en-IN"/>
    </w:rPr>
  </w:style>
  <w:style w:type="paragraph" w:styleId="Heading2">
    <w:name w:val="heading 2"/>
    <w:basedOn w:val="Normal"/>
    <w:next w:val="Normal"/>
    <w:link w:val="Heading2Char"/>
    <w:uiPriority w:val="9"/>
    <w:unhideWhenUsed/>
    <w:qFormat/>
    <w:rsid w:val="00C83E0C"/>
    <w:pPr>
      <w:keepNext/>
      <w:keepLines/>
      <w:overflowPunct w:val="0"/>
      <w:autoSpaceDN w:val="0"/>
      <w:spacing w:before="40" w:after="0"/>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autoRedefine/>
    <w:uiPriority w:val="9"/>
    <w:unhideWhenUsed/>
    <w:qFormat/>
    <w:rsid w:val="000109D8"/>
    <w:pPr>
      <w:keepNext/>
      <w:keepLines/>
      <w:spacing w:before="320" w:after="80"/>
      <w:outlineLvl w:val="2"/>
    </w:pPr>
    <w:rPr>
      <w:b/>
      <w:color w:val="000000" w:themeColor="text1"/>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E0C"/>
    <w:rPr>
      <w:rFonts w:ascii="Times New Roman" w:eastAsiaTheme="majorEastAsia" w:hAnsi="Times New Roman" w:cstheme="majorBidi"/>
      <w:b/>
      <w:sz w:val="26"/>
      <w:szCs w:val="26"/>
      <w:lang w:val="en-GB"/>
    </w:rPr>
  </w:style>
  <w:style w:type="character" w:customStyle="1" w:styleId="Heading1Char">
    <w:name w:val="Heading 1 Char"/>
    <w:basedOn w:val="DefaultParagraphFont"/>
    <w:link w:val="Heading1"/>
    <w:uiPriority w:val="9"/>
    <w:rsid w:val="00D5324C"/>
    <w:rPr>
      <w:rFonts w:ascii="Times New Roman" w:hAnsi="Times New Roman" w:cs="Arial"/>
      <w:b/>
      <w:bCs/>
      <w:kern w:val="0"/>
      <w:sz w:val="28"/>
      <w:szCs w:val="24"/>
      <w:lang w:eastAsia="en-IN"/>
      <w14:ligatures w14:val="none"/>
    </w:rPr>
  </w:style>
  <w:style w:type="paragraph" w:styleId="NoSpacing">
    <w:name w:val="No Spacing"/>
    <w:uiPriority w:val="1"/>
    <w:qFormat/>
    <w:rsid w:val="009F2831"/>
    <w:pPr>
      <w:spacing w:after="0" w:line="480" w:lineRule="auto"/>
      <w:jc w:val="both"/>
    </w:pPr>
    <w:rPr>
      <w:rFonts w:ascii="Times New Roman" w:eastAsia="Arial" w:hAnsi="Times New Roman" w:cs="Arial"/>
      <w:kern w:val="0"/>
      <w:sz w:val="24"/>
      <w:lang w:val="en" w:eastAsia="en-IN"/>
      <w14:ligatures w14:val="none"/>
    </w:rPr>
  </w:style>
  <w:style w:type="character" w:customStyle="1" w:styleId="Heading3Char">
    <w:name w:val="Heading 3 Char"/>
    <w:basedOn w:val="DefaultParagraphFont"/>
    <w:link w:val="Heading3"/>
    <w:uiPriority w:val="9"/>
    <w:rsid w:val="000109D8"/>
    <w:rPr>
      <w:rFonts w:ascii="Times New Roman" w:hAnsi="Times New Roman" w:cs="Arial"/>
      <w:b/>
      <w:color w:val="000000" w:themeColor="text1"/>
      <w:kern w:val="0"/>
      <w:sz w:val="26"/>
      <w:szCs w:val="28"/>
      <w:lang w:val="en" w:eastAsia="en-IN"/>
      <w14:ligatures w14:val="none"/>
    </w:rPr>
  </w:style>
  <w:style w:type="paragraph" w:styleId="Header">
    <w:name w:val="header"/>
    <w:basedOn w:val="Normal"/>
    <w:link w:val="HeaderChar"/>
    <w:uiPriority w:val="99"/>
    <w:unhideWhenUsed/>
    <w:rsid w:val="00A51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13D2"/>
    <w:rPr>
      <w:rFonts w:ascii="Times New Roman" w:hAnsi="Times New Roman"/>
      <w:kern w:val="0"/>
      <w:sz w:val="24"/>
      <w:lang w:val="en-GB"/>
      <w14:ligatures w14:val="none"/>
    </w:rPr>
  </w:style>
  <w:style w:type="paragraph" w:styleId="Footer">
    <w:name w:val="footer"/>
    <w:basedOn w:val="Normal"/>
    <w:link w:val="FooterChar"/>
    <w:uiPriority w:val="99"/>
    <w:unhideWhenUsed/>
    <w:rsid w:val="00A51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3D2"/>
    <w:rPr>
      <w:rFonts w:ascii="Times New Roman" w:hAnsi="Times New Roman"/>
      <w:kern w:val="0"/>
      <w:sz w:val="24"/>
      <w:lang w:val="en-GB"/>
      <w14:ligatures w14:val="none"/>
    </w:rPr>
  </w:style>
  <w:style w:type="paragraph" w:styleId="ListParagraph">
    <w:name w:val="List Paragraph"/>
    <w:basedOn w:val="Normal"/>
    <w:uiPriority w:val="34"/>
    <w:qFormat/>
    <w:rsid w:val="00455A6C"/>
    <w:pPr>
      <w:ind w:left="720"/>
      <w:contextualSpacing/>
    </w:pPr>
  </w:style>
  <w:style w:type="character" w:styleId="Strong">
    <w:name w:val="Strong"/>
    <w:basedOn w:val="DefaultParagraphFont"/>
    <w:uiPriority w:val="22"/>
    <w:qFormat/>
    <w:rsid w:val="00714E7F"/>
    <w:rPr>
      <w:b/>
      <w:bCs/>
    </w:rPr>
  </w:style>
  <w:style w:type="paragraph" w:styleId="Bibliography">
    <w:name w:val="Bibliography"/>
    <w:basedOn w:val="Normal"/>
    <w:next w:val="Normal"/>
    <w:uiPriority w:val="37"/>
    <w:unhideWhenUsed/>
    <w:rsid w:val="00BF5F7A"/>
  </w:style>
  <w:style w:type="character" w:styleId="Hyperlink">
    <w:name w:val="Hyperlink"/>
    <w:basedOn w:val="DefaultParagraphFont"/>
    <w:uiPriority w:val="99"/>
    <w:unhideWhenUsed/>
    <w:rsid w:val="00BF5F7A"/>
    <w:rPr>
      <w:color w:val="0563C1" w:themeColor="hyperlink"/>
      <w:u w:val="single"/>
    </w:rPr>
  </w:style>
  <w:style w:type="character" w:styleId="UnresolvedMention">
    <w:name w:val="Unresolved Mention"/>
    <w:basedOn w:val="DefaultParagraphFont"/>
    <w:uiPriority w:val="99"/>
    <w:semiHidden/>
    <w:unhideWhenUsed/>
    <w:rsid w:val="00BF5F7A"/>
    <w:rPr>
      <w:color w:val="605E5C"/>
      <w:shd w:val="clear" w:color="auto" w:fill="E1DFDD"/>
    </w:rPr>
  </w:style>
  <w:style w:type="paragraph" w:styleId="TOCHeading">
    <w:name w:val="TOC Heading"/>
    <w:basedOn w:val="Heading1"/>
    <w:next w:val="Normal"/>
    <w:uiPriority w:val="39"/>
    <w:unhideWhenUsed/>
    <w:qFormat/>
    <w:rsid w:val="00002873"/>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eastAsia="en-US"/>
    </w:rPr>
  </w:style>
  <w:style w:type="paragraph" w:styleId="TOC1">
    <w:name w:val="toc 1"/>
    <w:basedOn w:val="Normal"/>
    <w:next w:val="Normal"/>
    <w:autoRedefine/>
    <w:uiPriority w:val="39"/>
    <w:unhideWhenUsed/>
    <w:rsid w:val="00002873"/>
    <w:pPr>
      <w:spacing w:after="100"/>
    </w:pPr>
  </w:style>
  <w:style w:type="paragraph" w:styleId="TOC2">
    <w:name w:val="toc 2"/>
    <w:basedOn w:val="Normal"/>
    <w:next w:val="Normal"/>
    <w:autoRedefine/>
    <w:uiPriority w:val="39"/>
    <w:unhideWhenUsed/>
    <w:rsid w:val="0000287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oec24</b:Tag>
    <b:SourceType>InternetSite</b:SourceType>
    <b:Guid>{820556C4-04A9-469A-9548-4AD423F116D6}</b:Guid>
    <b:Author>
      <b:Author>
        <b:Corporate>oecd</b:Corporate>
      </b:Author>
    </b:Author>
    <b:Title>Purchasing Power Parities - Frequently Asked Questions (FAQs)</b:Title>
    <b:Year>2024</b:Year>
    <b:YearAccessed>2024</b:YearAccessed>
    <b:MonthAccessed>March </b:MonthAccessed>
    <b:DayAccessed>24</b:DayAccessed>
    <b:URL>https://www.oecd.org/sdd/prices-ppp/purchasingpowerparities-frequentlyaskedquestionsfaqs.htm#:~:text=1.-,What%20are%20PPPs%3F,in%20price%20levels%20between%20countries.</b:URL>
    <b:RefOrder>1</b:RefOrder>
  </b:Source>
  <b:Source>
    <b:Tag>cor2443</b:Tag>
    <b:SourceType>InternetSite</b:SourceType>
    <b:Guid>{71655140-8B16-4B21-8A9C-56200CD7DEBD}</b:Guid>
    <b:Author>
      <b:Author>
        <b:Corporate>corporatefinanceinstitute</b:Corporate>
      </b:Author>
    </b:Author>
    <b:Title>Interest Rate Parity (IRP)</b:Title>
    <b:Year>2024</b:Year>
    <b:YearAccessed>2024</b:YearAccessed>
    <b:MonthAccessed>March </b:MonthAccessed>
    <b:DayAccessed>24</b:DayAccessed>
    <b:URL>https://corporatefinanceinstitute.com/resources/derivatives/interest-rate-parity-irp/</b:URL>
    <b:RefOrder>2</b:RefOrder>
  </b:Source>
  <b:Source>
    <b:Tag>jst24</b:Tag>
    <b:SourceType>InternetSite</b:SourceType>
    <b:Guid>{1E11F14C-54AB-4F14-8EF6-774D5EE47935}</b:Guid>
    <b:Author>
      <b:Author>
        <b:Corporate>jstor</b:Corporate>
      </b:Author>
    </b:Author>
    <b:Title>Balance-of-Payments Theory</b:Title>
    <b:Year>2024</b:Year>
    <b:YearAccessed>2024</b:YearAccessed>
    <b:MonthAccessed>March </b:MonthAccessed>
    <b:DayAccessed>24</b:DayAccessed>
    <b:URL>https://www.jstor.org/stable/2720148</b:URL>
    <b:RefOrder>3</b:RefOrder>
  </b:Source>
  <b:Source>
    <b:Tag>Wal24</b:Tag>
    <b:SourceType>InternetSite</b:SourceType>
    <b:Guid>{28B57066-7780-410C-93A4-BC8D56915263}</b:Guid>
    <b:Author>
      <b:Author>
        <b:NameList>
          <b:Person>
            <b:Last>Schelkle</b:Last>
            <b:First>Waltraud</b:First>
          </b:Person>
        </b:NameList>
      </b:Author>
    </b:Author>
    <b:Title>optimum currency area</b:Title>
    <b:Year>2024</b:Year>
    <b:YearAccessed>2024</b:YearAccessed>
    <b:MonthAccessed>March </b:MonthAccessed>
    <b:DayAccessed>24</b:DayAccessed>
    <b:URL>https://www.britannica.com/money/optimum-currency-area</b:URL>
    <b:RefOrder>4</b:RefOrder>
  </b:Source>
  <b:Source>
    <b:Tag>cor2444</b:Tag>
    <b:SourceType>InternetSite</b:SourceType>
    <b:Guid>{0949D0C3-E1BD-412D-807C-C54826D6333A}</b:Guid>
    <b:Author>
      <b:Author>
        <b:Corporate>corporatefinanceinstitute</b:Corporate>
      </b:Author>
    </b:Author>
    <b:Title>International Fisher Effect (IFE)</b:Title>
    <b:Year>2024</b:Year>
    <b:YearAccessed>2024</b:YearAccessed>
    <b:MonthAccessed>March </b:MonthAccessed>
    <b:DayAccessed>24</b:DayAccessed>
    <b:URL>https://corporatefinanceinstitute.com/resources/economics/international-fisher-effect-ife/</b:URL>
    <b:RefOrder>5</b:RefOrder>
  </b:Source>
</b:Sources>
</file>

<file path=customXml/itemProps1.xml><?xml version="1.0" encoding="utf-8"?>
<ds:datastoreItem xmlns:ds="http://schemas.openxmlformats.org/officeDocument/2006/customXml" ds:itemID="{E6E59E88-0F59-4454-8DF9-EC70651431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1907</Words>
  <Characters>10870</Characters>
  <Application>Microsoft Office Word</Application>
  <DocSecurity>0</DocSecurity>
  <Lines>90</Lines>
  <Paragraphs>25</Paragraphs>
  <ScaleCrop>false</ScaleCrop>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2024-03-26T19:18:00Z</dcterms:created>
  <dcterms:modified xsi:type="dcterms:W3CDTF">2024-04-01T11:37:00Z</dcterms:modified>
</cp:coreProperties>
</file>