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4BF04D1" w14:textId="1344B690" w:rsidR="00937388" w:rsidRDefault="00937388">
      <w:pPr>
        <w:spacing w:after="500"/>
        <w:jc w:val="center"/>
        <w:rPr>
          <w:b/>
          <w:bCs/>
          <w:color w:val="9A1B32"/>
          <w:spacing w:val="30"/>
          <w:sz w:val="30"/>
          <w:szCs w:val="30"/>
        </w:rPr>
      </w:pPr>
      <w:r>
        <w:rPr>
          <w:b/>
          <w:bCs/>
          <w:noProof/>
          <w:color w:val="9A1B32"/>
          <w:spacing w:val="30"/>
          <w:sz w:val="30"/>
          <w:szCs w:val="30"/>
        </w:rPr>
        <w:drawing>
          <wp:inline distT="0" distB="0" distL="0" distR="0" wp14:anchorId="4E1C6E2E" wp14:editId="5BF231FE">
            <wp:extent cx="6188710" cy="2187018"/>
            <wp:effectExtent l="0" t="0" r="0" b="0"/>
            <wp:docPr id="16636021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3602138" name="Picture 1663602138"/>
                    <pic:cNvPicPr/>
                  </pic:nvPicPr>
                  <pic:blipFill>
                    <a:blip r:embed="rId7" cstate="print">
                      <a:extLst>
                        <a:ext uri="{28A0092B-C50C-407E-A947-70E740481C1C}">
                          <a14:useLocalDpi xmlns:a14="http://schemas.microsoft.com/office/drawing/2010/main" val="0"/>
                        </a:ext>
                      </a:extLst>
                    </a:blip>
                    <a:stretch>
                      <a:fillRect/>
                    </a:stretch>
                  </pic:blipFill>
                  <pic:spPr>
                    <a:xfrm>
                      <a:off x="0" y="0"/>
                      <a:ext cx="6222685" cy="2199024"/>
                    </a:xfrm>
                    <a:prstGeom prst="rect">
                      <a:avLst/>
                    </a:prstGeom>
                  </pic:spPr>
                </pic:pic>
              </a:graphicData>
            </a:graphic>
          </wp:inline>
        </w:drawing>
      </w:r>
    </w:p>
    <w:p w14:paraId="250B9208" w14:textId="77777777" w:rsidR="00937388" w:rsidRDefault="00937388">
      <w:pPr>
        <w:spacing w:after="500"/>
        <w:jc w:val="center"/>
        <w:rPr>
          <w:b/>
          <w:bCs/>
          <w:color w:val="9A1B32"/>
          <w:spacing w:val="30"/>
          <w:sz w:val="30"/>
          <w:szCs w:val="30"/>
        </w:rPr>
      </w:pPr>
    </w:p>
    <w:p w14:paraId="4BCB7B0F" w14:textId="3D349381" w:rsidR="000451D7" w:rsidRDefault="00FD5316">
      <w:pPr>
        <w:spacing w:after="500"/>
        <w:jc w:val="center"/>
      </w:pPr>
      <w:r>
        <w:rPr>
          <w:b/>
          <w:bCs/>
          <w:color w:val="1B2A4A"/>
          <w:sz w:val="40"/>
          <w:szCs w:val="40"/>
        </w:rPr>
        <w:t>Methods of Contracting in Project Management: Turnkey, Multi-Contracting, Do-it-Yourself and Multi-Contract + DIY</w:t>
      </w:r>
    </w:p>
    <w:p w14:paraId="583CD2A1" w14:textId="77777777" w:rsidR="000451D7" w:rsidRDefault="00FD5316">
      <w:pPr>
        <w:spacing w:after="900"/>
        <w:jc w:val="center"/>
      </w:pPr>
      <w:r>
        <w:rPr>
          <w:i/>
          <w:iCs/>
          <w:color w:val="5B6472"/>
          <w:sz w:val="23"/>
          <w:szCs w:val="23"/>
        </w:rPr>
        <w:t>An explanation of the four methods of contracting in project management and their relative advantages and disadvantages, illustrated with reference to the construction of a new regional hospital.</w:t>
      </w:r>
    </w:p>
    <w:p w14:paraId="30693EB5" w14:textId="77777777" w:rsidR="000451D7" w:rsidRDefault="00FD5316">
      <w:pPr>
        <w:spacing w:after="100"/>
        <w:jc w:val="center"/>
      </w:pPr>
      <w:r>
        <w:rPr>
          <w:b/>
          <w:bCs/>
          <w:sz w:val="24"/>
          <w:szCs w:val="24"/>
        </w:rPr>
        <w:t>Prepared by: Kremena Petrova Nedelcheva</w:t>
      </w:r>
    </w:p>
    <w:p w14:paraId="509785E3" w14:textId="77777777" w:rsidR="000451D7" w:rsidRDefault="00FD5316">
      <w:pPr>
        <w:spacing w:after="100"/>
        <w:jc w:val="center"/>
        <w:rPr>
          <w:sz w:val="24"/>
          <w:szCs w:val="24"/>
        </w:rPr>
      </w:pPr>
      <w:r>
        <w:rPr>
          <w:sz w:val="24"/>
          <w:szCs w:val="24"/>
        </w:rPr>
        <w:t>Student Number: 2336425</w:t>
      </w:r>
    </w:p>
    <w:p w14:paraId="4A0B82FB" w14:textId="0493104F" w:rsidR="0050423B" w:rsidRDefault="0050423B">
      <w:pPr>
        <w:spacing w:after="100"/>
        <w:jc w:val="center"/>
        <w:rPr>
          <w:sz w:val="24"/>
          <w:szCs w:val="24"/>
        </w:rPr>
      </w:pPr>
      <w:r>
        <w:t>Lecturer: Dr Zainab Atta</w:t>
      </w:r>
    </w:p>
    <w:p w14:paraId="2FCD1886" w14:textId="7E3F65E5" w:rsidR="0050423B" w:rsidRDefault="0050423B">
      <w:pPr>
        <w:spacing w:after="100"/>
        <w:jc w:val="center"/>
      </w:pPr>
      <w:r>
        <w:rPr>
          <w:sz w:val="24"/>
          <w:szCs w:val="24"/>
        </w:rPr>
        <w:t>Module: Project Management LCBB6006</w:t>
      </w:r>
    </w:p>
    <w:p w14:paraId="4F7DB208" w14:textId="77777777" w:rsidR="000451D7" w:rsidRDefault="00FD5316">
      <w:pPr>
        <w:spacing w:after="100"/>
        <w:jc w:val="center"/>
      </w:pPr>
      <w:r>
        <w:rPr>
          <w:sz w:val="24"/>
          <w:szCs w:val="24"/>
        </w:rPr>
        <w:t>Date: 4 July 2026</w:t>
      </w:r>
    </w:p>
    <w:p w14:paraId="2423CA9A" w14:textId="77777777" w:rsidR="000451D7" w:rsidRDefault="00FD5316">
      <w:r>
        <w:br w:type="page"/>
      </w:r>
    </w:p>
    <w:p w14:paraId="0C204CCA" w14:textId="77777777" w:rsidR="000451D7" w:rsidRDefault="00FD5316">
      <w:pPr>
        <w:pStyle w:val="Heading1"/>
        <w:spacing w:after="240"/>
      </w:pPr>
      <w:bookmarkStart w:id="0" w:name="_Toc234055912"/>
      <w:r>
        <w:lastRenderedPageBreak/>
        <w:t>Table of Contents</w:t>
      </w:r>
      <w:bookmarkEnd w:id="0"/>
    </w:p>
    <w:sdt>
      <w:sdtPr>
        <w:alias w:val="Table of Contents"/>
        <w:id w:val="-179430344"/>
      </w:sdtPr>
      <w:sdtEndPr/>
      <w:sdtContent>
        <w:p w14:paraId="4E2EA8DD" w14:textId="77777777" w:rsidR="0050423B" w:rsidRDefault="00FD5316">
          <w:pPr>
            <w:pStyle w:val="TOC1"/>
            <w:tabs>
              <w:tab w:val="right" w:leader="dot" w:pos="9736"/>
            </w:tabs>
            <w:rPr>
              <w:noProof/>
            </w:rPr>
          </w:pPr>
          <w:r>
            <w:fldChar w:fldCharType="begin"/>
          </w:r>
          <w:r>
            <w:instrText>TOC \h \o "1-2"</w:instrText>
          </w:r>
          <w:r>
            <w:fldChar w:fldCharType="separate"/>
          </w:r>
          <w:hyperlink w:anchor="_Toc234055912" w:history="1">
            <w:r w:rsidR="0050423B" w:rsidRPr="0095363E">
              <w:rPr>
                <w:rStyle w:val="Hyperlink"/>
                <w:noProof/>
              </w:rPr>
              <w:t>Table of Contents</w:t>
            </w:r>
            <w:r w:rsidR="0050423B">
              <w:rPr>
                <w:noProof/>
              </w:rPr>
              <w:tab/>
            </w:r>
            <w:r w:rsidR="0050423B">
              <w:rPr>
                <w:noProof/>
              </w:rPr>
              <w:fldChar w:fldCharType="begin"/>
            </w:r>
            <w:r w:rsidR="0050423B">
              <w:rPr>
                <w:noProof/>
              </w:rPr>
              <w:instrText xml:space="preserve"> PAGEREF _Toc234055912 \h </w:instrText>
            </w:r>
            <w:r w:rsidR="0050423B">
              <w:rPr>
                <w:noProof/>
              </w:rPr>
            </w:r>
            <w:r w:rsidR="0050423B">
              <w:rPr>
                <w:noProof/>
              </w:rPr>
              <w:fldChar w:fldCharType="separate"/>
            </w:r>
            <w:r w:rsidR="0050423B">
              <w:rPr>
                <w:noProof/>
              </w:rPr>
              <w:t>2</w:t>
            </w:r>
            <w:r w:rsidR="0050423B">
              <w:rPr>
                <w:noProof/>
              </w:rPr>
              <w:fldChar w:fldCharType="end"/>
            </w:r>
          </w:hyperlink>
        </w:p>
        <w:p w14:paraId="6F110B10" w14:textId="77777777" w:rsidR="0050423B" w:rsidRDefault="0050423B">
          <w:pPr>
            <w:pStyle w:val="TOC1"/>
            <w:tabs>
              <w:tab w:val="right" w:leader="dot" w:pos="9736"/>
            </w:tabs>
            <w:rPr>
              <w:noProof/>
            </w:rPr>
          </w:pPr>
          <w:hyperlink w:anchor="_Toc234055913" w:history="1">
            <w:r w:rsidRPr="0095363E">
              <w:rPr>
                <w:rStyle w:val="Hyperlink"/>
                <w:noProof/>
              </w:rPr>
              <w:t>1. Introduction</w:t>
            </w:r>
            <w:r>
              <w:rPr>
                <w:noProof/>
              </w:rPr>
              <w:tab/>
            </w:r>
            <w:r>
              <w:rPr>
                <w:noProof/>
              </w:rPr>
              <w:fldChar w:fldCharType="begin"/>
            </w:r>
            <w:r>
              <w:rPr>
                <w:noProof/>
              </w:rPr>
              <w:instrText xml:space="preserve"> PAGEREF _Toc234055913 \h </w:instrText>
            </w:r>
            <w:r>
              <w:rPr>
                <w:noProof/>
              </w:rPr>
            </w:r>
            <w:r>
              <w:rPr>
                <w:noProof/>
              </w:rPr>
              <w:fldChar w:fldCharType="separate"/>
            </w:r>
            <w:r>
              <w:rPr>
                <w:noProof/>
              </w:rPr>
              <w:t>3</w:t>
            </w:r>
            <w:r>
              <w:rPr>
                <w:noProof/>
              </w:rPr>
              <w:fldChar w:fldCharType="end"/>
            </w:r>
          </w:hyperlink>
        </w:p>
        <w:p w14:paraId="7BE24A69" w14:textId="77777777" w:rsidR="0050423B" w:rsidRDefault="0050423B">
          <w:pPr>
            <w:pStyle w:val="TOC1"/>
            <w:tabs>
              <w:tab w:val="right" w:leader="dot" w:pos="9736"/>
            </w:tabs>
            <w:rPr>
              <w:noProof/>
            </w:rPr>
          </w:pPr>
          <w:hyperlink w:anchor="_Toc234055914" w:history="1">
            <w:r w:rsidRPr="0095363E">
              <w:rPr>
                <w:rStyle w:val="Hyperlink"/>
                <w:noProof/>
              </w:rPr>
              <w:t>2. Methods of Contracting in Project Management</w:t>
            </w:r>
            <w:r>
              <w:rPr>
                <w:noProof/>
              </w:rPr>
              <w:tab/>
            </w:r>
            <w:r>
              <w:rPr>
                <w:noProof/>
              </w:rPr>
              <w:fldChar w:fldCharType="begin"/>
            </w:r>
            <w:r>
              <w:rPr>
                <w:noProof/>
              </w:rPr>
              <w:instrText xml:space="preserve"> PAGEREF _Toc234055914 \h </w:instrText>
            </w:r>
            <w:r>
              <w:rPr>
                <w:noProof/>
              </w:rPr>
            </w:r>
            <w:r>
              <w:rPr>
                <w:noProof/>
              </w:rPr>
              <w:fldChar w:fldCharType="separate"/>
            </w:r>
            <w:r>
              <w:rPr>
                <w:noProof/>
              </w:rPr>
              <w:t>4</w:t>
            </w:r>
            <w:r>
              <w:rPr>
                <w:noProof/>
              </w:rPr>
              <w:fldChar w:fldCharType="end"/>
            </w:r>
          </w:hyperlink>
        </w:p>
        <w:p w14:paraId="334DAA09" w14:textId="77777777" w:rsidR="0050423B" w:rsidRDefault="0050423B">
          <w:pPr>
            <w:pStyle w:val="TOC2"/>
            <w:tabs>
              <w:tab w:val="right" w:leader="dot" w:pos="9736"/>
            </w:tabs>
            <w:rPr>
              <w:noProof/>
            </w:rPr>
          </w:pPr>
          <w:hyperlink w:anchor="_Toc234055915" w:history="1">
            <w:r w:rsidRPr="0095363E">
              <w:rPr>
                <w:rStyle w:val="Hyperlink"/>
                <w:noProof/>
              </w:rPr>
              <w:t>2.1 Turnkey Contracting</w:t>
            </w:r>
            <w:r>
              <w:rPr>
                <w:noProof/>
              </w:rPr>
              <w:tab/>
            </w:r>
            <w:r>
              <w:rPr>
                <w:noProof/>
              </w:rPr>
              <w:fldChar w:fldCharType="begin"/>
            </w:r>
            <w:r>
              <w:rPr>
                <w:noProof/>
              </w:rPr>
              <w:instrText xml:space="preserve"> PAGEREF _Toc234055915 \h </w:instrText>
            </w:r>
            <w:r>
              <w:rPr>
                <w:noProof/>
              </w:rPr>
            </w:r>
            <w:r>
              <w:rPr>
                <w:noProof/>
              </w:rPr>
              <w:fldChar w:fldCharType="separate"/>
            </w:r>
            <w:r>
              <w:rPr>
                <w:noProof/>
              </w:rPr>
              <w:t>4</w:t>
            </w:r>
            <w:r>
              <w:rPr>
                <w:noProof/>
              </w:rPr>
              <w:fldChar w:fldCharType="end"/>
            </w:r>
          </w:hyperlink>
        </w:p>
        <w:p w14:paraId="4580F9E7" w14:textId="77777777" w:rsidR="0050423B" w:rsidRDefault="0050423B">
          <w:pPr>
            <w:pStyle w:val="TOC2"/>
            <w:tabs>
              <w:tab w:val="right" w:leader="dot" w:pos="9736"/>
            </w:tabs>
            <w:rPr>
              <w:noProof/>
            </w:rPr>
          </w:pPr>
          <w:hyperlink w:anchor="_Toc234055916" w:history="1">
            <w:r w:rsidRPr="0095363E">
              <w:rPr>
                <w:rStyle w:val="Hyperlink"/>
                <w:noProof/>
              </w:rPr>
              <w:t>2.2 Multi-Contracting</w:t>
            </w:r>
            <w:r>
              <w:rPr>
                <w:noProof/>
              </w:rPr>
              <w:tab/>
            </w:r>
            <w:r>
              <w:rPr>
                <w:noProof/>
              </w:rPr>
              <w:fldChar w:fldCharType="begin"/>
            </w:r>
            <w:r>
              <w:rPr>
                <w:noProof/>
              </w:rPr>
              <w:instrText xml:space="preserve"> PAGEREF _Toc234055916 \h </w:instrText>
            </w:r>
            <w:r>
              <w:rPr>
                <w:noProof/>
              </w:rPr>
            </w:r>
            <w:r>
              <w:rPr>
                <w:noProof/>
              </w:rPr>
              <w:fldChar w:fldCharType="separate"/>
            </w:r>
            <w:r>
              <w:rPr>
                <w:noProof/>
              </w:rPr>
              <w:t>4</w:t>
            </w:r>
            <w:r>
              <w:rPr>
                <w:noProof/>
              </w:rPr>
              <w:fldChar w:fldCharType="end"/>
            </w:r>
          </w:hyperlink>
        </w:p>
        <w:p w14:paraId="7FFFFC90" w14:textId="77777777" w:rsidR="0050423B" w:rsidRDefault="0050423B">
          <w:pPr>
            <w:pStyle w:val="TOC2"/>
            <w:tabs>
              <w:tab w:val="right" w:leader="dot" w:pos="9736"/>
            </w:tabs>
            <w:rPr>
              <w:noProof/>
            </w:rPr>
          </w:pPr>
          <w:hyperlink w:anchor="_Toc234055917" w:history="1">
            <w:r w:rsidRPr="0095363E">
              <w:rPr>
                <w:rStyle w:val="Hyperlink"/>
                <w:noProof/>
              </w:rPr>
              <w:t>2.3 Do-it-Yourself (DIY) Contracting</w:t>
            </w:r>
            <w:r>
              <w:rPr>
                <w:noProof/>
              </w:rPr>
              <w:tab/>
            </w:r>
            <w:r>
              <w:rPr>
                <w:noProof/>
              </w:rPr>
              <w:fldChar w:fldCharType="begin"/>
            </w:r>
            <w:r>
              <w:rPr>
                <w:noProof/>
              </w:rPr>
              <w:instrText xml:space="preserve"> PAGEREF _Toc234055917 \h </w:instrText>
            </w:r>
            <w:r>
              <w:rPr>
                <w:noProof/>
              </w:rPr>
            </w:r>
            <w:r>
              <w:rPr>
                <w:noProof/>
              </w:rPr>
              <w:fldChar w:fldCharType="separate"/>
            </w:r>
            <w:r>
              <w:rPr>
                <w:noProof/>
              </w:rPr>
              <w:t>5</w:t>
            </w:r>
            <w:r>
              <w:rPr>
                <w:noProof/>
              </w:rPr>
              <w:fldChar w:fldCharType="end"/>
            </w:r>
          </w:hyperlink>
        </w:p>
        <w:p w14:paraId="1A8924DD" w14:textId="77777777" w:rsidR="0050423B" w:rsidRDefault="0050423B">
          <w:pPr>
            <w:pStyle w:val="TOC2"/>
            <w:tabs>
              <w:tab w:val="right" w:leader="dot" w:pos="9736"/>
            </w:tabs>
            <w:rPr>
              <w:noProof/>
            </w:rPr>
          </w:pPr>
          <w:hyperlink w:anchor="_Toc234055918" w:history="1">
            <w:r w:rsidRPr="0095363E">
              <w:rPr>
                <w:rStyle w:val="Hyperlink"/>
                <w:noProof/>
              </w:rPr>
              <w:t>2.4 Multi-Contract + DIY (Hybrid) Contracting</w:t>
            </w:r>
            <w:r>
              <w:rPr>
                <w:noProof/>
              </w:rPr>
              <w:tab/>
            </w:r>
            <w:r>
              <w:rPr>
                <w:noProof/>
              </w:rPr>
              <w:fldChar w:fldCharType="begin"/>
            </w:r>
            <w:r>
              <w:rPr>
                <w:noProof/>
              </w:rPr>
              <w:instrText xml:space="preserve"> PAGEREF _Toc234055918 \h </w:instrText>
            </w:r>
            <w:r>
              <w:rPr>
                <w:noProof/>
              </w:rPr>
            </w:r>
            <w:r>
              <w:rPr>
                <w:noProof/>
              </w:rPr>
              <w:fldChar w:fldCharType="separate"/>
            </w:r>
            <w:r>
              <w:rPr>
                <w:noProof/>
              </w:rPr>
              <w:t>6</w:t>
            </w:r>
            <w:r>
              <w:rPr>
                <w:noProof/>
              </w:rPr>
              <w:fldChar w:fldCharType="end"/>
            </w:r>
          </w:hyperlink>
        </w:p>
        <w:p w14:paraId="1A57F234" w14:textId="77777777" w:rsidR="0050423B" w:rsidRDefault="0050423B">
          <w:pPr>
            <w:pStyle w:val="TOC1"/>
            <w:tabs>
              <w:tab w:val="right" w:leader="dot" w:pos="9736"/>
            </w:tabs>
            <w:rPr>
              <w:noProof/>
            </w:rPr>
          </w:pPr>
          <w:hyperlink w:anchor="_Toc234055919" w:history="1">
            <w:r w:rsidRPr="0095363E">
              <w:rPr>
                <w:rStyle w:val="Hyperlink"/>
                <w:noProof/>
              </w:rPr>
              <w:t>3. Conclusion</w:t>
            </w:r>
            <w:r>
              <w:rPr>
                <w:noProof/>
              </w:rPr>
              <w:tab/>
            </w:r>
            <w:r>
              <w:rPr>
                <w:noProof/>
              </w:rPr>
              <w:fldChar w:fldCharType="begin"/>
            </w:r>
            <w:r>
              <w:rPr>
                <w:noProof/>
              </w:rPr>
              <w:instrText xml:space="preserve"> PAGEREF _Toc234055919 \h </w:instrText>
            </w:r>
            <w:r>
              <w:rPr>
                <w:noProof/>
              </w:rPr>
            </w:r>
            <w:r>
              <w:rPr>
                <w:noProof/>
              </w:rPr>
              <w:fldChar w:fldCharType="separate"/>
            </w:r>
            <w:r>
              <w:rPr>
                <w:noProof/>
              </w:rPr>
              <w:t>8</w:t>
            </w:r>
            <w:r>
              <w:rPr>
                <w:noProof/>
              </w:rPr>
              <w:fldChar w:fldCharType="end"/>
            </w:r>
          </w:hyperlink>
        </w:p>
        <w:p w14:paraId="3AF3660B" w14:textId="77777777" w:rsidR="0050423B" w:rsidRDefault="0050423B">
          <w:pPr>
            <w:pStyle w:val="TOC1"/>
            <w:tabs>
              <w:tab w:val="right" w:leader="dot" w:pos="9736"/>
            </w:tabs>
            <w:rPr>
              <w:noProof/>
            </w:rPr>
          </w:pPr>
          <w:hyperlink w:anchor="_Toc234055920" w:history="1">
            <w:r w:rsidRPr="0095363E">
              <w:rPr>
                <w:rStyle w:val="Hyperlink"/>
                <w:noProof/>
              </w:rPr>
              <w:t>4. Reference List</w:t>
            </w:r>
            <w:r>
              <w:rPr>
                <w:noProof/>
              </w:rPr>
              <w:tab/>
            </w:r>
            <w:r>
              <w:rPr>
                <w:noProof/>
              </w:rPr>
              <w:fldChar w:fldCharType="begin"/>
            </w:r>
            <w:r>
              <w:rPr>
                <w:noProof/>
              </w:rPr>
              <w:instrText xml:space="preserve"> PAGEREF _Toc234055920 \h </w:instrText>
            </w:r>
            <w:r>
              <w:rPr>
                <w:noProof/>
              </w:rPr>
            </w:r>
            <w:r>
              <w:rPr>
                <w:noProof/>
              </w:rPr>
              <w:fldChar w:fldCharType="separate"/>
            </w:r>
            <w:r>
              <w:rPr>
                <w:noProof/>
              </w:rPr>
              <w:t>9</w:t>
            </w:r>
            <w:r>
              <w:rPr>
                <w:noProof/>
              </w:rPr>
              <w:fldChar w:fldCharType="end"/>
            </w:r>
          </w:hyperlink>
        </w:p>
        <w:p w14:paraId="269E93D5" w14:textId="77777777" w:rsidR="000451D7" w:rsidRDefault="00FD5316">
          <w:r>
            <w:fldChar w:fldCharType="end"/>
          </w:r>
        </w:p>
      </w:sdtContent>
    </w:sdt>
    <w:p w14:paraId="2C9A1212" w14:textId="6E4804EF" w:rsidR="000451D7" w:rsidRDefault="00FD5316">
      <w:pPr>
        <w:spacing w:before="200"/>
      </w:pPr>
      <w:r>
        <w:rPr>
          <w:i/>
          <w:iCs/>
          <w:color w:val="888888"/>
          <w:sz w:val="18"/>
          <w:szCs w:val="18"/>
        </w:rPr>
        <w:t>.</w:t>
      </w:r>
    </w:p>
    <w:p w14:paraId="2DB3FF27" w14:textId="77777777" w:rsidR="000451D7" w:rsidRDefault="00FD5316">
      <w:r>
        <w:br w:type="page"/>
      </w:r>
    </w:p>
    <w:p w14:paraId="6D504100" w14:textId="77777777" w:rsidR="000451D7" w:rsidRDefault="00FD5316">
      <w:pPr>
        <w:pStyle w:val="Heading1"/>
        <w:pageBreakBefore/>
        <w:spacing w:before="480"/>
      </w:pPr>
      <w:bookmarkStart w:id="1" w:name="_Toc234055913"/>
      <w:r>
        <w:lastRenderedPageBreak/>
        <w:t>1. Introduction</w:t>
      </w:r>
      <w:bookmarkEnd w:id="1"/>
    </w:p>
    <w:p w14:paraId="3ADA81EE" w14:textId="64B9EF4A" w:rsidR="000451D7" w:rsidRDefault="00FD5316">
      <w:pPr>
        <w:spacing w:after="220" w:line="300" w:lineRule="auto"/>
        <w:jc w:val="both"/>
      </w:pPr>
      <w:r>
        <w:t>Project management is the application of knowledge, skills, tools and techniques to a temporary endeavour undertaken to create a unique product, service or result (Project Management Institute, 2021). Turner (2014) also stresses that projects organise human, financial and material resources to deliver a unique scope within cost and time constraints. Because project work is temporary and often specialised, organisations may not hold every required skill or resource in-house. Project sponsors therefore need to decide whether work should be delivered internally or contracted to external parties.</w:t>
      </w:r>
    </w:p>
    <w:p w14:paraId="6BB754B6" w14:textId="72DB661D" w:rsidR="000451D7" w:rsidRDefault="00FD5316">
      <w:pPr>
        <w:spacing w:after="220" w:line="300" w:lineRule="auto"/>
        <w:jc w:val="both"/>
      </w:pPr>
      <w:r>
        <w:t>That question is what a contracting strategy in project management is about. A contract, in this context, is not simply a legal document; it is a mechanism for allocating scope, cost, time and risk between the client - the organisation sponsoring the project - and one or more external parties who deliver part or all of the work (Association for Project Management, 2019; Adekunle et al., 2026). The method chosen shapes almost everything about how a project is subsequently run: who controls design decisions, who absorbs the financial consequences of delay or defect, how much coordination the client's own project team must carry out, and how much capability remains inside the client organisation once the project is complete.</w:t>
      </w:r>
    </w:p>
    <w:p w14:paraId="7339AE5E" w14:textId="21AF540D" w:rsidR="000451D7" w:rsidRDefault="00FD5316">
      <w:pPr>
        <w:spacing w:after="220" w:line="300" w:lineRule="auto"/>
        <w:jc w:val="both"/>
      </w:pPr>
      <w:r>
        <w:t>Organisations contract work out for several recurring reasons: they may lack specialist skill or capacity in-house, want to transfer delivery risk to a party better placed to manage it, want to benefit from competitive market pricing, or simply want their own staff to stay focused on ongoing business activity rather than a one-off project (Turner, 2014; Walker, 2015; de Oliveira, Lopes and Abreu, 2021). Equally, keeping work in-house is sometimes the more sensible choice - for example, where the work is small in scale, commercially sensitive, or the client already has spare, suitably skilled capacity of its own.</w:t>
      </w:r>
    </w:p>
    <w:p w14:paraId="06E34DB4" w14:textId="476DFBCA" w:rsidR="000451D7" w:rsidRDefault="00FD5316">
      <w:pPr>
        <w:spacing w:after="220" w:line="300" w:lineRule="auto"/>
        <w:jc w:val="both"/>
      </w:pPr>
      <w:r>
        <w:t>This essay evaluates four methods of contracting: Turnkey, Multi-contracting, Do-it-Yourself (DIY), and Multi-contract + DIY (Declerck, De Bourse and Navarre, 1983; Turner, 2014). It explains what each method involves, the projects it suits, and its relative advantages and disadvantages. A single example - construction of a new 200-bed regional hospital - illustrates how the same project may be delivered differently according to the client's priorities, risk appetite and in-house capability.</w:t>
      </w:r>
    </w:p>
    <w:p w14:paraId="5928A81D" w14:textId="77777777" w:rsidR="000451D7" w:rsidRDefault="00FD5316">
      <w:pPr>
        <w:pStyle w:val="Heading1"/>
        <w:pageBreakBefore/>
        <w:spacing w:before="480"/>
      </w:pPr>
      <w:bookmarkStart w:id="2" w:name="_Toc234055914"/>
      <w:r>
        <w:lastRenderedPageBreak/>
        <w:t>2. Methods of Contracting in Project Management</w:t>
      </w:r>
      <w:bookmarkEnd w:id="2"/>
    </w:p>
    <w:p w14:paraId="07C64372" w14:textId="77777777" w:rsidR="000451D7" w:rsidRDefault="00FD5316">
      <w:pPr>
        <w:pStyle w:val="Heading2"/>
        <w:spacing w:before="320" w:after="160"/>
      </w:pPr>
      <w:bookmarkStart w:id="3" w:name="_Toc234055915"/>
      <w:r>
        <w:t>2.1 Turnkey Contracting</w:t>
      </w:r>
      <w:bookmarkEnd w:id="3"/>
    </w:p>
    <w:p w14:paraId="5C1616E6" w14:textId="77777777" w:rsidR="000451D7" w:rsidRDefault="00FD5316">
      <w:pPr>
        <w:spacing w:after="220" w:line="300" w:lineRule="auto"/>
        <w:jc w:val="both"/>
      </w:pPr>
      <w:r>
        <w:t>Turnkey contracting is the method in which a single contractor, or a single consortium acting as one, takes responsibility for the entire project scope: design, procurement, construction or production, testing and commissioning (Turner, 2014; Adekunle et al., 2026). The name reflects the idea that the client is handed a complete, working facility and need only "turn the key" to begin using it (Walker, 2015). In construction and engineering, this is often formalised as an Engineering, Procurement and Construction (EPC) contract, under which the contractor is paid a fixed or guaranteed maximum price for a fully defined deliverable.</w:t>
      </w:r>
    </w:p>
    <w:p w14:paraId="56794F05" w14:textId="0B0A330E" w:rsidR="000451D7" w:rsidRDefault="00FD5316">
      <w:pPr>
        <w:spacing w:after="220" w:line="300" w:lineRule="auto"/>
        <w:jc w:val="both"/>
      </w:pPr>
      <w:r>
        <w:t xml:space="preserve">This method suits large, well-specified capital projects where the client wants certainty over price and completion date and lacks in-house design and construction capability. A hospital </w:t>
      </w:r>
      <w:r w:rsidR="00BE4AC4">
        <w:t>new build</w:t>
      </w:r>
      <w:r>
        <w:t xml:space="preserve"> illustrates this well: an NHS Trust's core expertise lies in running clinical services, not managing construction, so appointing a single EPC contractor to design, build and commission the new hospital lets clinical leaders focus on service planning while transferring technical delivery risk to a specialist organisation.</w:t>
      </w:r>
    </w:p>
    <w:p w14:paraId="06D94804" w14:textId="77777777" w:rsidR="000451D7" w:rsidRDefault="00FD5316">
      <w:pPr>
        <w:spacing w:after="220" w:line="300" w:lineRule="auto"/>
        <w:jc w:val="both"/>
      </w:pPr>
      <w:r>
        <w:t>The principal advantage of turnkey contracting is single-point accountability: the client has one organisation to deal with, and that organisation is responsible for resolving problems at the interface between design and construction, rather than leaving the client to referee disputes between separate designers and builders (Turner, 2014). Because the contractor prices and commits to the whole scope up front, the client typically gains cost and time certainty, and because design and construction can be run as one integrated process rather than in strict sequence, delivery is often faster than a multi-party approach (Walker, 2015; Panakaduwa, Coates and Munir, 2025).</w:t>
      </w:r>
    </w:p>
    <w:p w14:paraId="58AC62B8" w14:textId="409EE50D" w:rsidR="000451D7" w:rsidRDefault="00FD5316">
      <w:pPr>
        <w:spacing w:after="220" w:line="300" w:lineRule="auto"/>
        <w:jc w:val="both"/>
      </w:pPr>
      <w:r>
        <w:t>These benefits involve trade-offs. After contract signature, the client's freedom to change designs or insist on particular technical solutions is reduced because variations can be costly and slow (Walker, 2015). The client also becomes dependent on one contractor. Fixed-price risk may lead the contractor to include a contingency premium or seek savings within the specification, creating tension between margin and quality (Association for Project Management, 2019). For the hospital, the Trust gains clearer price and time responsibility but sacrifices some day-to-day influence over detailed design.</w:t>
      </w:r>
    </w:p>
    <w:p w14:paraId="68541F8F" w14:textId="77777777" w:rsidR="000451D7" w:rsidRDefault="00FD5316">
      <w:pPr>
        <w:pStyle w:val="Heading2"/>
        <w:spacing w:before="320" w:after="160"/>
      </w:pPr>
      <w:bookmarkStart w:id="4" w:name="_Toc234055916"/>
      <w:r>
        <w:t xml:space="preserve">2.2 </w:t>
      </w:r>
      <w:proofErr w:type="gramStart"/>
      <w:r>
        <w:t>Multi-Contracting</w:t>
      </w:r>
      <w:bookmarkEnd w:id="4"/>
      <w:proofErr w:type="gramEnd"/>
    </w:p>
    <w:p w14:paraId="7E4B8E4E" w14:textId="77777777" w:rsidR="000451D7" w:rsidRDefault="00FD5316">
      <w:pPr>
        <w:spacing w:after="220" w:line="300" w:lineRule="auto"/>
        <w:jc w:val="both"/>
      </w:pPr>
      <w:r>
        <w:t>Multi-contracting describes an arrangement in which the client enters into several direct contracts with different specialist contractors for different work packages, rather than passing the whole scope to a single main contractor (Turner, 2014; Winch, 2010; Hughes and Champion, 2022). The client, usually supported by its own project manager or a professional consultant, retains responsibility for coordinating and integrating the work of the separate contractors itself.</w:t>
      </w:r>
    </w:p>
    <w:p w14:paraId="339F52FA" w14:textId="77777777" w:rsidR="000451D7" w:rsidRDefault="00FD5316">
      <w:pPr>
        <w:spacing w:after="220" w:line="300" w:lineRule="auto"/>
        <w:jc w:val="both"/>
      </w:pPr>
      <w:r>
        <w:t xml:space="preserve">This method suits complex projects made up of distinct, specialised work packages, where the client, or a project manager acting on its behalf, has strong technical and coordination capability, and where close control over design and cost matters more than the simplicity of a single contractor. The hospital example applies well </w:t>
      </w:r>
      <w:r>
        <w:lastRenderedPageBreak/>
        <w:t>here: the structural shell, the M&amp;E services, and the specialist medical equipment installation are each highly specialised, and a Trust may prefer to contract each separately so it can select the strongest specialist for every package and retain direct influence over clinical-critical specifications, such as theatre ventilation or imaging suite shielding.</w:t>
      </w:r>
    </w:p>
    <w:p w14:paraId="023F186A" w14:textId="77777777" w:rsidR="000451D7" w:rsidRDefault="00FD5316">
      <w:pPr>
        <w:spacing w:after="220" w:line="300" w:lineRule="auto"/>
        <w:jc w:val="both"/>
      </w:pPr>
      <w:r>
        <w:t>The advantages of multi-contracting centre on control and value. Because each package is tendered separately, the client can select the best available specialist for each area of work rather than accepting whichever subcontractors a single main contractor happens to prefer, and competitive tendering of each package can reduce cost compared with paying a main contractor's management fee and mark-up on subcontracted work (Winch, 2010; de Oliveira, Lopes and Abreu, 2021). The client also keeps far greater influence over detailed specification throughout delivery, rather than losing that influence once a single contract is signed.</w:t>
      </w:r>
    </w:p>
    <w:p w14:paraId="49985AF2" w14:textId="77777777" w:rsidR="000451D7" w:rsidRDefault="00FD5316">
      <w:pPr>
        <w:spacing w:after="220" w:line="300" w:lineRule="auto"/>
        <w:jc w:val="both"/>
      </w:pPr>
      <w:r>
        <w:t>Its weaknesses mirror turnkey's strengths. With no single contractor accountable for the whole scope, the client carries interface risk: delay or defects in one package can affect others and responsibility may be disputed (Turner, 2014). The method therefore requires substantial project-management capacity for sequencing and information flow. In the hospital, a late equipment-footprint change could require the Trust's team to coordinate modifications to M&amp;E work already completed.</w:t>
      </w:r>
    </w:p>
    <w:p w14:paraId="74E5D7D8" w14:textId="77777777" w:rsidR="000451D7" w:rsidRDefault="00FD5316">
      <w:pPr>
        <w:pStyle w:val="Heading2"/>
        <w:spacing w:before="320" w:after="160"/>
      </w:pPr>
      <w:bookmarkStart w:id="5" w:name="_Toc234055917"/>
      <w:r>
        <w:t>2.3 Do-it-Yourself (DIY) Contracting</w:t>
      </w:r>
      <w:bookmarkEnd w:id="5"/>
    </w:p>
    <w:p w14:paraId="309679D2" w14:textId="77777777" w:rsidR="000451D7" w:rsidRDefault="00FD5316">
      <w:pPr>
        <w:spacing w:after="220" w:line="300" w:lineRule="auto"/>
        <w:jc w:val="both"/>
      </w:pPr>
      <w:r>
        <w:t>Do-it-Yourself, sometimes described as direct labour or in-house delivery, is the method in which the client executes the project using its own internal workforce and resources rather than contracting any external party for the core work (Turner, 2014; Walker, 2015; Umeokafor, Windapo and Olatunji, 2024). No external main contractor or design consultant is engaged; the client's own staff design, plan and carry out the work themselves.</w:t>
      </w:r>
    </w:p>
    <w:p w14:paraId="17CC4CFA" w14:textId="77777777" w:rsidR="000451D7" w:rsidRDefault="00FD5316">
      <w:pPr>
        <w:spacing w:after="220" w:line="300" w:lineRule="auto"/>
        <w:jc w:val="both"/>
      </w:pPr>
      <w:r>
        <w:t>This approach best suits smaller-scale, lower-risk projects, work requiring confidentiality that the client is reluctant to expose externally, or situations where the client already has spare, suitably skilled capacity. Returning to the hospital example, DIY would be entirely inappropriate for the main hospital building, far too large and demanding for an NHS Trust's own estates team, but it is exactly right for refurbishing a single outpatient suite or upgrading part of the building management system — work well within the scope and skill of an in-house estates team.</w:t>
      </w:r>
    </w:p>
    <w:p w14:paraId="13B1C493" w14:textId="03DA0BC3" w:rsidR="000451D7" w:rsidRDefault="00FD5316">
      <w:pPr>
        <w:spacing w:after="220" w:line="300" w:lineRule="auto"/>
        <w:jc w:val="both"/>
      </w:pPr>
      <w:r>
        <w:t xml:space="preserve">The advantages of DIY delivery are straightforward. The client retains full control over quality, scheduling and day-to-day priorities, there is no contractor mark-up or profit margin to pay, and carrying out the work builds or retains valuable institutional knowledge and technical capability inside the organisation for future projects (Association for Project Management, 2019). It is also the natural choice where the scope is </w:t>
      </w:r>
      <w:r w:rsidR="00D0378B">
        <w:t>sensitive,</w:t>
      </w:r>
      <w:r>
        <w:t xml:space="preserve"> and the client would rather not share detailed information with an outside party.</w:t>
      </w:r>
    </w:p>
    <w:p w14:paraId="25CF0642" w14:textId="68626BF3" w:rsidR="000451D7" w:rsidRDefault="00FD5316">
      <w:pPr>
        <w:spacing w:after="220" w:line="300" w:lineRule="auto"/>
        <w:jc w:val="both"/>
      </w:pPr>
      <w:r>
        <w:t xml:space="preserve">The disadvantages, however, limit DIY to smaller or more routine work. The client bears </w:t>
      </w:r>
      <w:r w:rsidR="00D0378B">
        <w:t>all</w:t>
      </w:r>
      <w:r>
        <w:t xml:space="preserve"> the technical and delivery risk itself, with no external party to share or absorb it, and the approach is inherently constrained by the scale and specialist skill of the internal team — most clients simply do not have in-house capability to deliver large or highly specialised capital works. Diverting internal staff onto project work can also disrupt their </w:t>
      </w:r>
      <w:r>
        <w:lastRenderedPageBreak/>
        <w:t>normal operational duties, and because there is no competitive market discipline on price or performance, inefficient practices can persist unchallenged (Turner, 2014). For the hospital example, the Trust's estates team is well placed to refurbish a single suite, but hopelessly under-resourced to build an entire new hospital block.</w:t>
      </w:r>
    </w:p>
    <w:p w14:paraId="122FD710" w14:textId="77777777" w:rsidR="000451D7" w:rsidRDefault="00FD5316">
      <w:pPr>
        <w:pStyle w:val="Heading2"/>
        <w:spacing w:before="320" w:after="160"/>
      </w:pPr>
      <w:bookmarkStart w:id="6" w:name="_Toc234055918"/>
      <w:r>
        <w:t xml:space="preserve">2.4 </w:t>
      </w:r>
      <w:proofErr w:type="gramStart"/>
      <w:r>
        <w:t>Multi-Contract</w:t>
      </w:r>
      <w:proofErr w:type="gramEnd"/>
      <w:r>
        <w:t xml:space="preserve"> + DIY (Hybrid) Contracting</w:t>
      </w:r>
      <w:bookmarkEnd w:id="6"/>
    </w:p>
    <w:p w14:paraId="505A466C" w14:textId="18243518" w:rsidR="000451D7" w:rsidRDefault="00FD5316">
      <w:pPr>
        <w:spacing w:after="220" w:line="300" w:lineRule="auto"/>
        <w:jc w:val="both"/>
      </w:pPr>
      <w:r>
        <w:t>The fourth method combines the previous two: the client executes some work packages itself, in-house, while simultaneously contracting other work packages out to multiple external specialist contractors, rather than committing the entire project scope to either approach alone (Declerck, Debourse and Navarre, 1983; Turner, 2014; Laryea and Watermeyer, 2024).</w:t>
      </w:r>
    </w:p>
    <w:p w14:paraId="324C6D42" w14:textId="77777777" w:rsidR="000451D7" w:rsidRDefault="00FD5316">
      <w:pPr>
        <w:spacing w:after="220" w:line="300" w:lineRule="auto"/>
        <w:jc w:val="both"/>
      </w:pPr>
      <w:r>
        <w:t>This hybrid suits larger programmes made up of a genuinely mixed portfolio of work: packages that are specialised or beyond the client's in-house capacity, alongside other packages simple or sensitive enough that the client is equipped and willing to deliver itself. Large capital programmes phased over several years are a natural fit, since the balance can shift as the client's own capacity and confidence grows. In the hospital example, the Trust might contract the main clinical building shell and its M&amp;E services to external specialists, because those tasks demand skills it lacks in-house, while its own estates team simultaneously demolishes an old ward block and carries out landscaping using in-house labour, work well within its existing capability.</w:t>
      </w:r>
    </w:p>
    <w:p w14:paraId="39085684" w14:textId="77777777" w:rsidR="000451D7" w:rsidRDefault="00FD5316">
      <w:pPr>
        <w:spacing w:after="220" w:line="300" w:lineRule="auto"/>
        <w:jc w:val="both"/>
      </w:pPr>
      <w:r>
        <w:t>The advantage of this hybrid method is flexibility: every package can be matched to whichever delivery method suits it best, rather than forcing an entire project into a single mould. This can reduce overall cost, since simple or low-risk work stays in-house at no contractor mark-up while genuine specialist expertise is bought in only where it adds the most value, and it allows the client to retain some institutional capability and site knowledge even on a project that is largely delivered externally (Winch, 2010).</w:t>
      </w:r>
    </w:p>
    <w:p w14:paraId="0FEBE21E" w14:textId="15638E03" w:rsidR="000451D7" w:rsidRDefault="00FD5316">
      <w:pPr>
        <w:spacing w:after="220" w:line="300" w:lineRule="auto"/>
        <w:jc w:val="both"/>
      </w:pPr>
      <w:r>
        <w:t xml:space="preserve">The disadvantage is complexity. Of the four methods, this is the most administratively demanding: it requires clear governance to decide which packages are best delivered in-house and which contracted out, and strong coordination not only between the external contractors, as in pure multi-contracting, but also between those contractors and the client's own internal delivery teams (Turner, 2014). Ambiguity over where in-house responsibility ends and a </w:t>
      </w:r>
      <w:r w:rsidR="00D0378B">
        <w:t>contractor</w:t>
      </w:r>
      <w:r>
        <w:t xml:space="preserve"> begins is a particular risk at the interfaces between the two types of work, and the client remains exposed to the coordination risk inherent in multi-contracting for every package it does choose to contract out.</w:t>
      </w:r>
    </w:p>
    <w:p w14:paraId="674E5C68" w14:textId="77777777" w:rsidR="000451D7" w:rsidRDefault="00FD5316">
      <w:pPr>
        <w:spacing w:before="200" w:after="120"/>
      </w:pPr>
      <w:r>
        <w:rPr>
          <w:b/>
          <w:bCs/>
          <w:color w:val="1B2A4A"/>
          <w:sz w:val="20"/>
          <w:szCs w:val="20"/>
        </w:rPr>
        <w:t>Table 1: Summary comparison of the four contracting methods</w:t>
      </w:r>
    </w:p>
    <w:tbl>
      <w:tblPr>
        <w:tblW w:w="9360" w:type="dxa"/>
        <w:tblBorders>
          <w:top w:val="single" w:sz="2" w:space="0" w:color="B9C2D0"/>
          <w:left w:val="single" w:sz="2" w:space="0" w:color="B9C2D0"/>
          <w:bottom w:val="single" w:sz="2" w:space="0" w:color="B9C2D0"/>
          <w:right w:val="single" w:sz="2" w:space="0" w:color="B9C2D0"/>
          <w:insideH w:val="single" w:sz="2" w:space="0" w:color="B9C2D0"/>
          <w:insideV w:val="single" w:sz="2" w:space="0" w:color="B9C2D0"/>
        </w:tblBorders>
        <w:tblCellMar>
          <w:left w:w="10" w:type="dxa"/>
          <w:right w:w="10" w:type="dxa"/>
        </w:tblCellMar>
        <w:tblLook w:val="0000" w:firstRow="0" w:lastRow="0" w:firstColumn="0" w:lastColumn="0" w:noHBand="0" w:noVBand="0"/>
      </w:tblPr>
      <w:tblGrid>
        <w:gridCol w:w="2000"/>
        <w:gridCol w:w="2600"/>
        <w:gridCol w:w="2500"/>
        <w:gridCol w:w="2260"/>
      </w:tblGrid>
      <w:tr w:rsidR="000451D7" w14:paraId="4FAB17DB" w14:textId="77777777">
        <w:trPr>
          <w:tblHeader/>
          <w:cantSplit/>
        </w:trPr>
        <w:tc>
          <w:tcPr>
            <w:tcW w:w="2000" w:type="dxa"/>
            <w:shd w:val="clear" w:color="auto" w:fill="1B2A4A"/>
            <w:tcMar>
              <w:top w:w="45" w:type="dxa"/>
              <w:left w:w="100" w:type="dxa"/>
              <w:bottom w:w="45" w:type="dxa"/>
              <w:right w:w="100" w:type="dxa"/>
            </w:tcMar>
            <w:vAlign w:val="center"/>
          </w:tcPr>
          <w:p w14:paraId="443BF4DF" w14:textId="77777777" w:rsidR="000451D7" w:rsidRDefault="00FD5316">
            <w:pPr>
              <w:spacing w:before="0" w:after="0"/>
            </w:pPr>
            <w:r>
              <w:rPr>
                <w:b/>
                <w:bCs/>
                <w:color w:val="FFFFFF"/>
                <w:sz w:val="16"/>
                <w:szCs w:val="18"/>
              </w:rPr>
              <w:t>Method</w:t>
            </w:r>
          </w:p>
        </w:tc>
        <w:tc>
          <w:tcPr>
            <w:tcW w:w="2600" w:type="dxa"/>
            <w:shd w:val="clear" w:color="auto" w:fill="1B2A4A"/>
            <w:tcMar>
              <w:top w:w="45" w:type="dxa"/>
              <w:left w:w="100" w:type="dxa"/>
              <w:bottom w:w="45" w:type="dxa"/>
              <w:right w:w="100" w:type="dxa"/>
            </w:tcMar>
            <w:vAlign w:val="center"/>
          </w:tcPr>
          <w:p w14:paraId="4B2DE8DA" w14:textId="77777777" w:rsidR="000451D7" w:rsidRDefault="00FD5316">
            <w:pPr>
              <w:spacing w:before="0" w:after="0"/>
            </w:pPr>
            <w:r>
              <w:rPr>
                <w:b/>
                <w:bCs/>
                <w:color w:val="FFFFFF"/>
                <w:sz w:val="16"/>
                <w:szCs w:val="18"/>
              </w:rPr>
              <w:t>Best Suited To</w:t>
            </w:r>
          </w:p>
        </w:tc>
        <w:tc>
          <w:tcPr>
            <w:tcW w:w="2500" w:type="dxa"/>
            <w:shd w:val="clear" w:color="auto" w:fill="1B2A4A"/>
            <w:tcMar>
              <w:top w:w="45" w:type="dxa"/>
              <w:left w:w="100" w:type="dxa"/>
              <w:bottom w:w="45" w:type="dxa"/>
              <w:right w:w="100" w:type="dxa"/>
            </w:tcMar>
            <w:vAlign w:val="center"/>
          </w:tcPr>
          <w:p w14:paraId="3B4AC4DE" w14:textId="77777777" w:rsidR="000451D7" w:rsidRDefault="00FD5316">
            <w:pPr>
              <w:spacing w:before="0" w:after="0"/>
            </w:pPr>
            <w:r>
              <w:rPr>
                <w:b/>
                <w:bCs/>
                <w:color w:val="FFFFFF"/>
                <w:sz w:val="16"/>
                <w:szCs w:val="18"/>
              </w:rPr>
              <w:t>Key Advantages</w:t>
            </w:r>
          </w:p>
        </w:tc>
        <w:tc>
          <w:tcPr>
            <w:tcW w:w="2260" w:type="dxa"/>
            <w:shd w:val="clear" w:color="auto" w:fill="1B2A4A"/>
            <w:tcMar>
              <w:top w:w="45" w:type="dxa"/>
              <w:left w:w="100" w:type="dxa"/>
              <w:bottom w:w="45" w:type="dxa"/>
              <w:right w:w="100" w:type="dxa"/>
            </w:tcMar>
            <w:vAlign w:val="center"/>
          </w:tcPr>
          <w:p w14:paraId="3E6F520A" w14:textId="77777777" w:rsidR="000451D7" w:rsidRDefault="00FD5316">
            <w:pPr>
              <w:spacing w:before="0" w:after="0"/>
            </w:pPr>
            <w:r>
              <w:rPr>
                <w:b/>
                <w:bCs/>
                <w:color w:val="FFFFFF"/>
                <w:sz w:val="16"/>
                <w:szCs w:val="18"/>
              </w:rPr>
              <w:t>Key Disadvantages</w:t>
            </w:r>
          </w:p>
        </w:tc>
      </w:tr>
      <w:tr w:rsidR="000451D7" w14:paraId="4C2C2587" w14:textId="77777777">
        <w:trPr>
          <w:cantSplit/>
        </w:trPr>
        <w:tc>
          <w:tcPr>
            <w:tcW w:w="2000" w:type="dxa"/>
            <w:shd w:val="clear" w:color="auto" w:fill="FFFFFF"/>
            <w:tcMar>
              <w:top w:w="45" w:type="dxa"/>
              <w:left w:w="100" w:type="dxa"/>
              <w:bottom w:w="45" w:type="dxa"/>
              <w:right w:w="100" w:type="dxa"/>
            </w:tcMar>
            <w:vAlign w:val="center"/>
          </w:tcPr>
          <w:p w14:paraId="71BF1EAC" w14:textId="77777777" w:rsidR="000451D7" w:rsidRDefault="00FD5316">
            <w:pPr>
              <w:spacing w:before="0" w:after="0"/>
            </w:pPr>
            <w:r>
              <w:rPr>
                <w:color w:val="000000"/>
                <w:sz w:val="16"/>
                <w:szCs w:val="18"/>
              </w:rPr>
              <w:t>Turnkey</w:t>
            </w:r>
          </w:p>
        </w:tc>
        <w:tc>
          <w:tcPr>
            <w:tcW w:w="2600" w:type="dxa"/>
            <w:shd w:val="clear" w:color="auto" w:fill="FFFFFF"/>
            <w:tcMar>
              <w:top w:w="45" w:type="dxa"/>
              <w:left w:w="100" w:type="dxa"/>
              <w:bottom w:w="45" w:type="dxa"/>
              <w:right w:w="100" w:type="dxa"/>
            </w:tcMar>
            <w:vAlign w:val="center"/>
          </w:tcPr>
          <w:p w14:paraId="4C089ED3" w14:textId="77777777" w:rsidR="000451D7" w:rsidRDefault="00FD5316">
            <w:pPr>
              <w:spacing w:before="0" w:after="0"/>
            </w:pPr>
            <w:r>
              <w:rPr>
                <w:color w:val="000000"/>
                <w:sz w:val="16"/>
                <w:szCs w:val="18"/>
              </w:rPr>
              <w:t>Large, well-defined, well-understood projects needing price/time certainty</w:t>
            </w:r>
          </w:p>
        </w:tc>
        <w:tc>
          <w:tcPr>
            <w:tcW w:w="2500" w:type="dxa"/>
            <w:shd w:val="clear" w:color="auto" w:fill="FFFFFF"/>
            <w:tcMar>
              <w:top w:w="45" w:type="dxa"/>
              <w:left w:w="100" w:type="dxa"/>
              <w:bottom w:w="45" w:type="dxa"/>
              <w:right w:w="100" w:type="dxa"/>
            </w:tcMar>
            <w:vAlign w:val="center"/>
          </w:tcPr>
          <w:p w14:paraId="01C1E58A" w14:textId="77777777" w:rsidR="000451D7" w:rsidRDefault="00FD5316">
            <w:pPr>
              <w:spacing w:before="0" w:after="0"/>
            </w:pPr>
            <w:r>
              <w:rPr>
                <w:color w:val="000000"/>
                <w:sz w:val="16"/>
                <w:szCs w:val="18"/>
              </w:rPr>
              <w:t>Single point of accountability; cost &amp; time certainty; faster integrated delivery</w:t>
            </w:r>
          </w:p>
        </w:tc>
        <w:tc>
          <w:tcPr>
            <w:tcW w:w="2260" w:type="dxa"/>
            <w:shd w:val="clear" w:color="auto" w:fill="FFFFFF"/>
            <w:tcMar>
              <w:top w:w="45" w:type="dxa"/>
              <w:left w:w="100" w:type="dxa"/>
              <w:bottom w:w="45" w:type="dxa"/>
              <w:right w:w="100" w:type="dxa"/>
            </w:tcMar>
            <w:vAlign w:val="center"/>
          </w:tcPr>
          <w:p w14:paraId="068F8D4B" w14:textId="77777777" w:rsidR="000451D7" w:rsidRDefault="00FD5316">
            <w:pPr>
              <w:spacing w:before="0" w:after="0"/>
            </w:pPr>
            <w:r>
              <w:rPr>
                <w:color w:val="000000"/>
                <w:sz w:val="16"/>
                <w:szCs w:val="18"/>
              </w:rPr>
              <w:t>Limited client control after signature; dependent on one contractor; risk premium in price</w:t>
            </w:r>
          </w:p>
        </w:tc>
      </w:tr>
      <w:tr w:rsidR="000451D7" w14:paraId="591BB84C" w14:textId="77777777">
        <w:trPr>
          <w:cantSplit/>
        </w:trPr>
        <w:tc>
          <w:tcPr>
            <w:tcW w:w="2000" w:type="dxa"/>
            <w:shd w:val="clear" w:color="auto" w:fill="F5F7FA"/>
            <w:tcMar>
              <w:top w:w="45" w:type="dxa"/>
              <w:left w:w="100" w:type="dxa"/>
              <w:bottom w:w="45" w:type="dxa"/>
              <w:right w:w="100" w:type="dxa"/>
            </w:tcMar>
            <w:vAlign w:val="center"/>
          </w:tcPr>
          <w:p w14:paraId="54A88E1E" w14:textId="77777777" w:rsidR="000451D7" w:rsidRDefault="00FD5316">
            <w:pPr>
              <w:spacing w:before="0" w:after="0"/>
            </w:pPr>
            <w:r>
              <w:rPr>
                <w:color w:val="000000"/>
                <w:sz w:val="16"/>
                <w:szCs w:val="18"/>
              </w:rPr>
              <w:t>Multi-contracting</w:t>
            </w:r>
          </w:p>
        </w:tc>
        <w:tc>
          <w:tcPr>
            <w:tcW w:w="2600" w:type="dxa"/>
            <w:shd w:val="clear" w:color="auto" w:fill="F5F7FA"/>
            <w:tcMar>
              <w:top w:w="45" w:type="dxa"/>
              <w:left w:w="100" w:type="dxa"/>
              <w:bottom w:w="45" w:type="dxa"/>
              <w:right w:w="100" w:type="dxa"/>
            </w:tcMar>
            <w:vAlign w:val="center"/>
          </w:tcPr>
          <w:p w14:paraId="6161048A" w14:textId="77777777" w:rsidR="000451D7" w:rsidRDefault="00FD5316">
            <w:pPr>
              <w:spacing w:before="0" w:after="0"/>
            </w:pPr>
            <w:r>
              <w:rPr>
                <w:color w:val="000000"/>
                <w:sz w:val="16"/>
                <w:szCs w:val="18"/>
              </w:rPr>
              <w:t>Complex projects with distinct specialist packages and strong client PM capability</w:t>
            </w:r>
          </w:p>
        </w:tc>
        <w:tc>
          <w:tcPr>
            <w:tcW w:w="2500" w:type="dxa"/>
            <w:shd w:val="clear" w:color="auto" w:fill="F5F7FA"/>
            <w:tcMar>
              <w:top w:w="45" w:type="dxa"/>
              <w:left w:w="100" w:type="dxa"/>
              <w:bottom w:w="45" w:type="dxa"/>
              <w:right w:w="100" w:type="dxa"/>
            </w:tcMar>
            <w:vAlign w:val="center"/>
          </w:tcPr>
          <w:p w14:paraId="61F814B2" w14:textId="77777777" w:rsidR="000451D7" w:rsidRDefault="00FD5316">
            <w:pPr>
              <w:spacing w:before="0" w:after="0"/>
            </w:pPr>
            <w:r>
              <w:rPr>
                <w:color w:val="000000"/>
                <w:sz w:val="16"/>
                <w:szCs w:val="18"/>
              </w:rPr>
              <w:t>Best-in-class specialists per package; competitive pricing; greater client control</w:t>
            </w:r>
          </w:p>
        </w:tc>
        <w:tc>
          <w:tcPr>
            <w:tcW w:w="2260" w:type="dxa"/>
            <w:shd w:val="clear" w:color="auto" w:fill="F5F7FA"/>
            <w:tcMar>
              <w:top w:w="45" w:type="dxa"/>
              <w:left w:w="100" w:type="dxa"/>
              <w:bottom w:w="45" w:type="dxa"/>
              <w:right w:w="100" w:type="dxa"/>
            </w:tcMar>
            <w:vAlign w:val="center"/>
          </w:tcPr>
          <w:p w14:paraId="053EE675" w14:textId="77777777" w:rsidR="000451D7" w:rsidRDefault="00FD5316">
            <w:pPr>
              <w:spacing w:before="0" w:after="0"/>
            </w:pPr>
            <w:r>
              <w:rPr>
                <w:color w:val="000000"/>
                <w:sz w:val="16"/>
                <w:szCs w:val="18"/>
              </w:rPr>
              <w:t>Client carries interface/coordination risk; needs significant PM capacity</w:t>
            </w:r>
          </w:p>
        </w:tc>
      </w:tr>
      <w:tr w:rsidR="000451D7" w14:paraId="09BE9889" w14:textId="77777777">
        <w:trPr>
          <w:cantSplit/>
        </w:trPr>
        <w:tc>
          <w:tcPr>
            <w:tcW w:w="2000" w:type="dxa"/>
            <w:shd w:val="clear" w:color="auto" w:fill="FFFFFF"/>
            <w:tcMar>
              <w:top w:w="45" w:type="dxa"/>
              <w:left w:w="100" w:type="dxa"/>
              <w:bottom w:w="45" w:type="dxa"/>
              <w:right w:w="100" w:type="dxa"/>
            </w:tcMar>
            <w:vAlign w:val="center"/>
          </w:tcPr>
          <w:p w14:paraId="177A1261" w14:textId="77777777" w:rsidR="000451D7" w:rsidRDefault="00FD5316">
            <w:pPr>
              <w:spacing w:before="0" w:after="0"/>
            </w:pPr>
            <w:r>
              <w:rPr>
                <w:color w:val="000000"/>
                <w:sz w:val="16"/>
                <w:szCs w:val="18"/>
              </w:rPr>
              <w:t>Do-it-Yourself (DIY)</w:t>
            </w:r>
          </w:p>
        </w:tc>
        <w:tc>
          <w:tcPr>
            <w:tcW w:w="2600" w:type="dxa"/>
            <w:shd w:val="clear" w:color="auto" w:fill="FFFFFF"/>
            <w:tcMar>
              <w:top w:w="45" w:type="dxa"/>
              <w:left w:w="100" w:type="dxa"/>
              <w:bottom w:w="45" w:type="dxa"/>
              <w:right w:w="100" w:type="dxa"/>
            </w:tcMar>
            <w:vAlign w:val="center"/>
          </w:tcPr>
          <w:p w14:paraId="411FD3C0" w14:textId="77777777" w:rsidR="000451D7" w:rsidRDefault="00FD5316">
            <w:pPr>
              <w:spacing w:before="0" w:after="0"/>
            </w:pPr>
            <w:r>
              <w:rPr>
                <w:color w:val="000000"/>
                <w:sz w:val="16"/>
                <w:szCs w:val="18"/>
              </w:rPr>
              <w:t>Small-scale, low-risk, sensitive, or in-house-capacity-matched work</w:t>
            </w:r>
          </w:p>
        </w:tc>
        <w:tc>
          <w:tcPr>
            <w:tcW w:w="2500" w:type="dxa"/>
            <w:shd w:val="clear" w:color="auto" w:fill="FFFFFF"/>
            <w:tcMar>
              <w:top w:w="45" w:type="dxa"/>
              <w:left w:w="100" w:type="dxa"/>
              <w:bottom w:w="45" w:type="dxa"/>
              <w:right w:w="100" w:type="dxa"/>
            </w:tcMar>
            <w:vAlign w:val="center"/>
          </w:tcPr>
          <w:p w14:paraId="7D0B55A5" w14:textId="77777777" w:rsidR="000451D7" w:rsidRDefault="00FD5316">
            <w:pPr>
              <w:spacing w:before="0" w:after="0"/>
            </w:pPr>
            <w:r>
              <w:rPr>
                <w:color w:val="000000"/>
                <w:sz w:val="16"/>
                <w:szCs w:val="18"/>
              </w:rPr>
              <w:t>Full control; no contractor mark-up; retains institutional knowledge</w:t>
            </w:r>
          </w:p>
        </w:tc>
        <w:tc>
          <w:tcPr>
            <w:tcW w:w="2260" w:type="dxa"/>
            <w:shd w:val="clear" w:color="auto" w:fill="FFFFFF"/>
            <w:tcMar>
              <w:top w:w="45" w:type="dxa"/>
              <w:left w:w="100" w:type="dxa"/>
              <w:bottom w:w="45" w:type="dxa"/>
              <w:right w:w="100" w:type="dxa"/>
            </w:tcMar>
            <w:vAlign w:val="center"/>
          </w:tcPr>
          <w:p w14:paraId="36E1A689" w14:textId="77777777" w:rsidR="000451D7" w:rsidRDefault="00FD5316">
            <w:pPr>
              <w:spacing w:before="0" w:after="0"/>
            </w:pPr>
            <w:r>
              <w:rPr>
                <w:color w:val="000000"/>
                <w:sz w:val="16"/>
                <w:szCs w:val="18"/>
              </w:rPr>
              <w:t>Client bears all risk; limited by internal skill/scale; no market discipline</w:t>
            </w:r>
          </w:p>
        </w:tc>
      </w:tr>
      <w:tr w:rsidR="000451D7" w14:paraId="37210322" w14:textId="77777777">
        <w:trPr>
          <w:cantSplit/>
        </w:trPr>
        <w:tc>
          <w:tcPr>
            <w:tcW w:w="2000" w:type="dxa"/>
            <w:shd w:val="clear" w:color="auto" w:fill="F5F7FA"/>
            <w:tcMar>
              <w:top w:w="45" w:type="dxa"/>
              <w:left w:w="100" w:type="dxa"/>
              <w:bottom w:w="45" w:type="dxa"/>
              <w:right w:w="100" w:type="dxa"/>
            </w:tcMar>
            <w:vAlign w:val="center"/>
          </w:tcPr>
          <w:p w14:paraId="6FEE6D2C" w14:textId="77777777" w:rsidR="000451D7" w:rsidRDefault="00FD5316">
            <w:pPr>
              <w:spacing w:before="0" w:after="0"/>
            </w:pPr>
            <w:r>
              <w:rPr>
                <w:color w:val="000000"/>
                <w:sz w:val="16"/>
                <w:szCs w:val="18"/>
              </w:rPr>
              <w:lastRenderedPageBreak/>
              <w:t>Multi-contract + DIY</w:t>
            </w:r>
          </w:p>
        </w:tc>
        <w:tc>
          <w:tcPr>
            <w:tcW w:w="2600" w:type="dxa"/>
            <w:shd w:val="clear" w:color="auto" w:fill="F5F7FA"/>
            <w:tcMar>
              <w:top w:w="45" w:type="dxa"/>
              <w:left w:w="100" w:type="dxa"/>
              <w:bottom w:w="45" w:type="dxa"/>
              <w:right w:w="100" w:type="dxa"/>
            </w:tcMar>
            <w:vAlign w:val="center"/>
          </w:tcPr>
          <w:p w14:paraId="28DF3409" w14:textId="77777777" w:rsidR="000451D7" w:rsidRDefault="00FD5316">
            <w:pPr>
              <w:spacing w:before="0" w:after="0"/>
            </w:pPr>
            <w:r>
              <w:rPr>
                <w:color w:val="000000"/>
                <w:sz w:val="16"/>
                <w:szCs w:val="18"/>
              </w:rPr>
              <w:t>Large mixed-scope programmes with both specialist and routine packages</w:t>
            </w:r>
          </w:p>
        </w:tc>
        <w:tc>
          <w:tcPr>
            <w:tcW w:w="2500" w:type="dxa"/>
            <w:shd w:val="clear" w:color="auto" w:fill="F5F7FA"/>
            <w:tcMar>
              <w:top w:w="45" w:type="dxa"/>
              <w:left w:w="100" w:type="dxa"/>
              <w:bottom w:w="45" w:type="dxa"/>
              <w:right w:w="100" w:type="dxa"/>
            </w:tcMar>
            <w:vAlign w:val="center"/>
          </w:tcPr>
          <w:p w14:paraId="15DC0B46" w14:textId="77777777" w:rsidR="000451D7" w:rsidRDefault="00FD5316">
            <w:pPr>
              <w:spacing w:before="0" w:after="0"/>
            </w:pPr>
            <w:r>
              <w:rPr>
                <w:color w:val="000000"/>
                <w:sz w:val="16"/>
                <w:szCs w:val="18"/>
              </w:rPr>
              <w:t>Flexible; matches method to package; cost-efficient; retains some in-house capability</w:t>
            </w:r>
          </w:p>
        </w:tc>
        <w:tc>
          <w:tcPr>
            <w:tcW w:w="2260" w:type="dxa"/>
            <w:shd w:val="clear" w:color="auto" w:fill="F5F7FA"/>
            <w:tcMar>
              <w:top w:w="45" w:type="dxa"/>
              <w:left w:w="100" w:type="dxa"/>
              <w:bottom w:w="45" w:type="dxa"/>
              <w:right w:w="100" w:type="dxa"/>
            </w:tcMar>
            <w:vAlign w:val="center"/>
          </w:tcPr>
          <w:p w14:paraId="35A93347" w14:textId="77777777" w:rsidR="000451D7" w:rsidRDefault="00FD5316">
            <w:pPr>
              <w:spacing w:before="0" w:after="0"/>
            </w:pPr>
            <w:r>
              <w:rPr>
                <w:color w:val="000000"/>
                <w:sz w:val="16"/>
                <w:szCs w:val="18"/>
              </w:rPr>
              <w:t>Most complex to govern; ambiguity at in-house/contractor interfaces</w:t>
            </w:r>
          </w:p>
        </w:tc>
      </w:tr>
    </w:tbl>
    <w:p w14:paraId="08820F1D" w14:textId="77777777" w:rsidR="000451D7" w:rsidRDefault="00FD5316">
      <w:pPr>
        <w:pStyle w:val="Heading1"/>
        <w:pageBreakBefore/>
        <w:spacing w:before="480"/>
      </w:pPr>
      <w:bookmarkStart w:id="7" w:name="_Toc234055919"/>
      <w:r>
        <w:lastRenderedPageBreak/>
        <w:t>3. Conclusion</w:t>
      </w:r>
      <w:bookmarkEnd w:id="7"/>
    </w:p>
    <w:p w14:paraId="008A8443" w14:textId="76EF6A01" w:rsidR="000451D7" w:rsidRDefault="00FD5316">
      <w:pPr>
        <w:spacing w:after="220" w:line="300" w:lineRule="auto"/>
        <w:jc w:val="both"/>
      </w:pPr>
      <w:r>
        <w:t>No contracting method is universally superior. Selection depends on project scale and complexity, in-house capability, risk appetite, required design control and market maturity. Turnkey suits large, well-defined projects where price, time and single-point responsibility matter. Multi-contracting suits complex projects where a capable client values specialist choice and direct control. DIY suits smaller, lower-risk or sensitive work within existing capability. Multi-contract + DIY provides flexibility for mixed-scope programmes but requires stronger governance and coordination.</w:t>
      </w:r>
    </w:p>
    <w:p w14:paraId="5D009EB5" w14:textId="77777777" w:rsidR="000451D7" w:rsidRDefault="00FD5316">
      <w:pPr>
        <w:spacing w:after="220" w:line="300" w:lineRule="auto"/>
        <w:jc w:val="both"/>
      </w:pPr>
      <w:r>
        <w:t>As the hospital example illustrates throughout this essay, most real capital projects do not fit neatly into a single method. The project manager's task is to weigh these trade-offs deliberately, as part of a considered contract strategy, rather than defaulting to habit or convenience (Turner, 2014; Association for Project Management, 2019).</w:t>
      </w:r>
    </w:p>
    <w:p w14:paraId="7BD57193" w14:textId="77777777" w:rsidR="000451D7" w:rsidRDefault="00FD5316">
      <w:pPr>
        <w:pStyle w:val="Heading1"/>
        <w:pageBreakBefore/>
        <w:spacing w:before="480"/>
      </w:pPr>
      <w:bookmarkStart w:id="8" w:name="_Toc234055920"/>
      <w:r>
        <w:lastRenderedPageBreak/>
        <w:t>4. Reference List</w:t>
      </w:r>
      <w:bookmarkEnd w:id="8"/>
    </w:p>
    <w:p w14:paraId="46730851" w14:textId="02D7947E" w:rsidR="000451D7" w:rsidRDefault="00FD5316">
      <w:pPr>
        <w:spacing w:after="180" w:line="300" w:lineRule="auto"/>
        <w:ind w:left="400" w:hanging="400"/>
      </w:pPr>
      <w:r>
        <w:rPr>
          <w:rFonts w:ascii="Calibri" w:hAnsi="Calibri"/>
          <w:i w:val="0"/>
          <w:sz w:val="18"/>
        </w:rPr>
        <w:t xml:space="preserve">Adekunle, P., Aigbavboa, C., Aghimien, L., Otasowie, K. and Adekunle, S. (2026) 'Evaluating procurement strategies for modular construction: a stakeholder-centred approach', </w:t>
      </w:r>
      <w:r>
        <w:rPr>
          <w:rFonts w:ascii="Calibri" w:hAnsi="Calibri"/>
          <w:i/>
          <w:sz w:val="18"/>
        </w:rPr>
        <w:t>Journal of Facilities Management</w:t>
      </w:r>
      <w:r>
        <w:rPr>
          <w:rFonts w:ascii="Calibri" w:hAnsi="Calibri"/>
          <w:i w:val="0"/>
          <w:sz w:val="18"/>
        </w:rPr>
        <w:t>, 24(4), pp. 897-912. doi: 10.1108/JFM-03-2025-0028.</w:t>
      </w:r>
    </w:p>
    <w:p w14:paraId="46730851" w14:textId="02D7947E" w:rsidR="000451D7" w:rsidRDefault="00FD5316">
      <w:pPr>
        <w:spacing w:after="180" w:line="300" w:lineRule="auto"/>
        <w:ind w:left="400" w:hanging="400"/>
      </w:pPr>
      <w:r>
        <w:rPr>
          <w:rFonts w:ascii="Calibri" w:hAnsi="Calibri"/>
          <w:i w:val="0"/>
          <w:sz w:val="18"/>
        </w:rPr>
        <w:t xml:space="preserve">Association for Project Management (2019) </w:t>
      </w:r>
      <w:r>
        <w:rPr>
          <w:rFonts w:ascii="Calibri" w:hAnsi="Calibri"/>
          <w:i/>
          <w:sz w:val="18"/>
        </w:rPr>
        <w:t>APM Body of Knowledge</w:t>
      </w:r>
      <w:r>
        <w:rPr>
          <w:rFonts w:ascii="Calibri" w:hAnsi="Calibri"/>
          <w:i w:val="0"/>
          <w:sz w:val="18"/>
        </w:rPr>
        <w:t>. 7th edn. Princes Risborough: Association for Project Management.</w:t>
      </w:r>
    </w:p>
    <w:p w14:paraId="46730851" w14:textId="02D7947E" w:rsidR="000451D7" w:rsidRDefault="00FD5316">
      <w:pPr>
        <w:spacing w:after="180" w:line="300" w:lineRule="auto"/>
        <w:ind w:left="400" w:hanging="400"/>
      </w:pPr>
      <w:r>
        <w:rPr>
          <w:rFonts w:ascii="Calibri" w:hAnsi="Calibri"/>
          <w:i w:val="0"/>
          <w:sz w:val="18"/>
        </w:rPr>
        <w:t xml:space="preserve">Declerck, R.P., Debourse, J.-P. and Navarre, C. (1983) </w:t>
      </w:r>
      <w:r>
        <w:rPr>
          <w:rFonts w:ascii="Calibri" w:hAnsi="Calibri"/>
          <w:i/>
          <w:sz w:val="18"/>
        </w:rPr>
        <w:t>Méthode de direction générale: le management stratégique</w:t>
      </w:r>
      <w:r>
        <w:rPr>
          <w:rFonts w:ascii="Calibri" w:hAnsi="Calibri"/>
          <w:i w:val="0"/>
          <w:sz w:val="18"/>
        </w:rPr>
        <w:t>. Paris: Hommes et Techniques.</w:t>
      </w:r>
    </w:p>
    <w:p w14:paraId="46730851" w14:textId="02D7947E" w:rsidR="000451D7" w:rsidRDefault="00FD5316">
      <w:pPr>
        <w:spacing w:after="180" w:line="300" w:lineRule="auto"/>
        <w:ind w:left="400" w:hanging="400"/>
      </w:pPr>
      <w:r>
        <w:rPr>
          <w:rFonts w:ascii="Calibri" w:hAnsi="Calibri"/>
          <w:i w:val="0"/>
          <w:sz w:val="18"/>
        </w:rPr>
        <w:t xml:space="preserve">de Oliveira, R.A.F., Lopes, J. and Abreu, M.I. (2021) 'Insights from a project procurement strategy through an action research', </w:t>
      </w:r>
      <w:r>
        <w:rPr>
          <w:rFonts w:ascii="Calibri" w:hAnsi="Calibri"/>
          <w:i/>
          <w:sz w:val="18"/>
        </w:rPr>
        <w:t>Procedia Computer Science</w:t>
      </w:r>
      <w:r>
        <w:rPr>
          <w:rFonts w:ascii="Calibri" w:hAnsi="Calibri"/>
          <w:i w:val="0"/>
          <w:sz w:val="18"/>
        </w:rPr>
        <w:t>, 181, pp. 1002-1010. doi: 10.1016/j.procs.2021.01.275.</w:t>
      </w:r>
    </w:p>
    <w:p w14:paraId="46730851" w14:textId="02D7947E" w:rsidR="000451D7" w:rsidRDefault="00FD5316">
      <w:pPr>
        <w:spacing w:after="180" w:line="300" w:lineRule="auto"/>
        <w:ind w:left="400" w:hanging="400"/>
      </w:pPr>
      <w:r>
        <w:rPr>
          <w:rFonts w:ascii="Calibri" w:hAnsi="Calibri"/>
          <w:i w:val="0"/>
          <w:sz w:val="18"/>
        </w:rPr>
        <w:t xml:space="preserve">Hughes, W. and Champion, R. (2022) 'Procurement, contracts and project management', in Hughes, W., Champion, R., Coleman, S., Chu, Y., Hare, B. and Hay, A.H. </w:t>
      </w:r>
      <w:r>
        <w:rPr>
          <w:rFonts w:ascii="Calibri" w:hAnsi="Calibri"/>
          <w:i/>
          <w:sz w:val="18"/>
        </w:rPr>
        <w:t>ICE Companion to Engineering Management</w:t>
      </w:r>
      <w:r>
        <w:rPr>
          <w:rFonts w:ascii="Calibri" w:hAnsi="Calibri"/>
          <w:i w:val="0"/>
          <w:sz w:val="18"/>
        </w:rPr>
        <w:t>. London: ICE Publishing. doi: 10.1680/icecem.65949.001.</w:t>
      </w:r>
    </w:p>
    <w:p w14:paraId="46730851" w14:textId="02D7947E" w:rsidR="000451D7" w:rsidRDefault="00FD5316">
      <w:pPr>
        <w:spacing w:after="180" w:line="300" w:lineRule="auto"/>
        <w:ind w:left="400" w:hanging="400"/>
      </w:pPr>
      <w:r>
        <w:rPr>
          <w:rFonts w:ascii="Calibri" w:hAnsi="Calibri"/>
          <w:i w:val="0"/>
          <w:sz w:val="18"/>
        </w:rPr>
        <w:t xml:space="preserve">Laryea, S. and Watermeyer, R. (2024) 'Using construction procurement strategy to achieve socioeconomic development objectives', </w:t>
      </w:r>
      <w:r>
        <w:rPr>
          <w:rFonts w:ascii="Calibri" w:hAnsi="Calibri"/>
          <w:i/>
          <w:sz w:val="18"/>
        </w:rPr>
        <w:t>Heliyon</w:t>
      </w:r>
      <w:r>
        <w:rPr>
          <w:rFonts w:ascii="Calibri" w:hAnsi="Calibri"/>
          <w:i w:val="0"/>
          <w:sz w:val="18"/>
        </w:rPr>
        <w:t>, 10, e33537. doi: 10.1016/j.heliyon.2024.e33537.</w:t>
      </w:r>
    </w:p>
    <w:p w14:paraId="46730851" w14:textId="02D7947E" w:rsidR="000451D7" w:rsidRDefault="00FD5316">
      <w:pPr>
        <w:spacing w:after="180" w:line="300" w:lineRule="auto"/>
        <w:ind w:left="400" w:hanging="400"/>
      </w:pPr>
      <w:r>
        <w:rPr>
          <w:rFonts w:ascii="Calibri" w:hAnsi="Calibri"/>
          <w:i w:val="0"/>
          <w:sz w:val="18"/>
        </w:rPr>
        <w:t xml:space="preserve">Panakaduwa, C., Coates, P. and Munir, M. (2025) 'Analysis of procurement routes and contract types for housing retrofit in the United Kingdom', </w:t>
      </w:r>
      <w:r>
        <w:rPr>
          <w:rFonts w:ascii="Calibri" w:hAnsi="Calibri"/>
          <w:i/>
          <w:sz w:val="18"/>
        </w:rPr>
        <w:t>Buildings</w:t>
      </w:r>
      <w:r>
        <w:rPr>
          <w:rFonts w:ascii="Calibri" w:hAnsi="Calibri"/>
          <w:i w:val="0"/>
          <w:sz w:val="18"/>
        </w:rPr>
        <w:t>, 15(2), 199. doi: 10.3390/buildings15020199.</w:t>
      </w:r>
    </w:p>
    <w:p w14:paraId="46730851" w14:textId="02D7947E" w:rsidR="000451D7" w:rsidRDefault="00FD5316">
      <w:pPr>
        <w:spacing w:after="180" w:line="300" w:lineRule="auto"/>
        <w:ind w:left="400" w:hanging="400"/>
      </w:pPr>
      <w:r>
        <w:rPr>
          <w:rFonts w:ascii="Calibri" w:hAnsi="Calibri"/>
          <w:i w:val="0"/>
          <w:sz w:val="18"/>
        </w:rPr>
        <w:t xml:space="preserve">Project Management Institute (2021) </w:t>
      </w:r>
      <w:r>
        <w:rPr>
          <w:rFonts w:ascii="Calibri" w:hAnsi="Calibri"/>
          <w:i/>
          <w:sz w:val="18"/>
        </w:rPr>
        <w:t>A Guide to the Project Management Body of Knowledge (PMBOK Guide) and The Standard for Project Management</w:t>
      </w:r>
      <w:r>
        <w:rPr>
          <w:rFonts w:ascii="Calibri" w:hAnsi="Calibri"/>
          <w:i w:val="0"/>
          <w:sz w:val="18"/>
        </w:rPr>
        <w:t>. 7th edn. Newtown Square, PA: Project Management Institute.</w:t>
      </w:r>
    </w:p>
    <w:p w14:paraId="46730851" w14:textId="02D7947E" w:rsidR="000451D7" w:rsidRDefault="00FD5316">
      <w:pPr>
        <w:spacing w:after="180" w:line="300" w:lineRule="auto"/>
        <w:ind w:left="400" w:hanging="400"/>
      </w:pPr>
      <w:r>
        <w:rPr>
          <w:rFonts w:ascii="Calibri" w:hAnsi="Calibri"/>
          <w:i w:val="0"/>
          <w:sz w:val="18"/>
        </w:rPr>
        <w:t xml:space="preserve">Turner, J.R. (2014) </w:t>
      </w:r>
      <w:r>
        <w:rPr>
          <w:rFonts w:ascii="Calibri" w:hAnsi="Calibri"/>
          <w:i/>
          <w:sz w:val="18"/>
        </w:rPr>
        <w:t>The Handbook of Project-Based Management</w:t>
      </w:r>
      <w:r>
        <w:rPr>
          <w:rFonts w:ascii="Calibri" w:hAnsi="Calibri"/>
          <w:i w:val="0"/>
          <w:sz w:val="18"/>
        </w:rPr>
        <w:t>. 4th edn. New York: McGraw-Hill Education.</w:t>
      </w:r>
    </w:p>
    <w:p w14:paraId="46730851" w14:textId="02D7947E" w:rsidR="000451D7" w:rsidRDefault="00FD5316">
      <w:pPr>
        <w:spacing w:after="180" w:line="300" w:lineRule="auto"/>
        <w:ind w:left="400" w:hanging="400"/>
      </w:pPr>
      <w:r>
        <w:rPr>
          <w:rFonts w:ascii="Calibri" w:hAnsi="Calibri"/>
          <w:i w:val="0"/>
          <w:sz w:val="18"/>
        </w:rPr>
        <w:t xml:space="preserve">Umeokafor, N., Windapo, A. and Olatunji, O.A. (2024) 'The relationship between labour-only procurement and health and safety performance of construction projects', </w:t>
      </w:r>
      <w:r>
        <w:rPr>
          <w:rFonts w:ascii="Calibri" w:hAnsi="Calibri"/>
          <w:i/>
          <w:sz w:val="18"/>
        </w:rPr>
        <w:t>International Journal of Productivity and Performance Management</w:t>
      </w:r>
      <w:r>
        <w:rPr>
          <w:rFonts w:ascii="Calibri" w:hAnsi="Calibri"/>
          <w:i w:val="0"/>
          <w:sz w:val="18"/>
        </w:rPr>
        <w:t>, 73(7), pp. 2156-2182. doi: 10.1108/IJPPM-09-2022-0490.</w:t>
      </w:r>
    </w:p>
    <w:p w14:paraId="46730851" w14:textId="02D7947E" w:rsidR="000451D7" w:rsidRDefault="00FD5316">
      <w:pPr>
        <w:spacing w:after="180" w:line="300" w:lineRule="auto"/>
        <w:ind w:left="400" w:hanging="400"/>
      </w:pPr>
      <w:r>
        <w:rPr>
          <w:rFonts w:ascii="Calibri" w:hAnsi="Calibri"/>
          <w:i w:val="0"/>
          <w:sz w:val="18"/>
        </w:rPr>
        <w:t xml:space="preserve">Walker, A. (2015) </w:t>
      </w:r>
      <w:r>
        <w:rPr>
          <w:rFonts w:ascii="Calibri" w:hAnsi="Calibri"/>
          <w:i/>
          <w:sz w:val="18"/>
        </w:rPr>
        <w:t>Project Management in Construction</w:t>
      </w:r>
      <w:r>
        <w:rPr>
          <w:rFonts w:ascii="Calibri" w:hAnsi="Calibri"/>
          <w:i w:val="0"/>
          <w:sz w:val="18"/>
        </w:rPr>
        <w:t>. 6th edn. Chichester: Wiley-Blackwell.</w:t>
      </w:r>
    </w:p>
    <w:p w14:paraId="46730851" w14:textId="02D7947E" w:rsidR="000451D7" w:rsidRDefault="00FD5316">
      <w:pPr>
        <w:spacing w:after="180" w:line="300" w:lineRule="auto"/>
        <w:ind w:left="400" w:hanging="400"/>
      </w:pPr>
      <w:r>
        <w:rPr>
          <w:rFonts w:ascii="Calibri" w:hAnsi="Calibri"/>
          <w:i w:val="0"/>
          <w:sz w:val="18"/>
        </w:rPr>
        <w:t xml:space="preserve">Winch, G.M. (2010) </w:t>
      </w:r>
      <w:r>
        <w:rPr>
          <w:rFonts w:ascii="Calibri" w:hAnsi="Calibri"/>
          <w:i/>
          <w:sz w:val="18"/>
        </w:rPr>
        <w:t>Managing Construction Projects</w:t>
      </w:r>
      <w:r>
        <w:rPr>
          <w:rFonts w:ascii="Calibri" w:hAnsi="Calibri"/>
          <w:i w:val="0"/>
          <w:sz w:val="18"/>
        </w:rPr>
        <w:t>. 2nd edn. Chichester: Wiley-Blackwell.</w:t>
      </w:r>
    </w:p>
    <w:sectPr w:rsidR="000451D7">
      <w:headerReference w:type="default" r:id="rId8"/>
      <w:footerReference w:type="default" r:id="rId9"/>
      <w:pgSz w:w="11906" w:h="16838"/>
      <w:pgMar w:top="1080" w:right="1080" w:bottom="1080" w:left="108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19425B5" w14:textId="77777777" w:rsidR="004F2F79" w:rsidRDefault="004F2F79">
      <w:r>
        <w:separator/>
      </w:r>
    </w:p>
  </w:endnote>
  <w:endnote w:type="continuationSeparator" w:id="0">
    <w:p w14:paraId="14AD7C6E" w14:textId="77777777" w:rsidR="004F2F79" w:rsidRDefault="004F2F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notTrueType/>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3A404AEE" w14:textId="77777777" w:rsidR="000451D7" w:rsidRDefault="00FD5316">
    <w:pPr>
      <w:jc w:val="center"/>
    </w:pPr>
    <w:r>
      <w:rPr>
        <w:color w:val="888888"/>
        <w:sz w:val="18"/>
        <w:szCs w:val="18"/>
      </w:rPr>
      <w:fldChar w:fldCharType="begin"/>
    </w:r>
    <w:r>
      <w:rPr>
        <w:color w:val="888888"/>
        <w:sz w:val="18"/>
        <w:szCs w:val="18"/>
      </w:rPr>
      <w:instrText>PAGE</w:instrText>
    </w:r>
    <w:r>
      <w:rPr>
        <w:color w:val="888888"/>
        <w:sz w:val="18"/>
        <w:szCs w:val="18"/>
      </w:rPr>
      <w:fldChar w:fldCharType="separate"/>
    </w:r>
    <w:r w:rsidR="0050423B">
      <w:rPr>
        <w:noProof/>
        <w:color w:val="888888"/>
        <w:sz w:val="18"/>
        <w:szCs w:val="18"/>
      </w:rPr>
      <w:t>1</w:t>
    </w:r>
    <w:r>
      <w:rPr>
        <w:color w:val="888888"/>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8A9FC6D" w14:textId="77777777" w:rsidR="004F2F79" w:rsidRDefault="004F2F79">
      <w:r>
        <w:separator/>
      </w:r>
    </w:p>
  </w:footnote>
  <w:footnote w:type="continuationSeparator" w:id="0">
    <w:p w14:paraId="7C063468" w14:textId="77777777" w:rsidR="004F2F79" w:rsidRDefault="004F2F7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129542B" w14:textId="77777777" w:rsidR="000451D7" w:rsidRDefault="00FD5316">
    <w:pPr>
      <w:jc w:val="right"/>
    </w:pPr>
    <w:r>
      <w:rPr>
        <w:color w:val="888888"/>
        <w:sz w:val="16"/>
        <w:szCs w:val="16"/>
      </w:rPr>
      <w:t>Methods of Contracting in Project Management — Essay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33D53CAE"/>
    <w:multiLevelType w:val="hybridMultilevel"/>
    <w:tmpl w:val="34564362"/>
    <w:lvl w:ilvl="0" w:tplc="6B4E1D02">
      <w:start w:val="1"/>
      <w:numFmt w:val="bullet"/>
      <w:lvlText w:val="●"/>
      <w:lvlJc w:val="left"/>
      <w:pPr>
        <w:ind w:left="720" w:hanging="360"/>
      </w:pPr>
    </w:lvl>
    <w:lvl w:ilvl="1" w:tplc="2536D0C4">
      <w:start w:val="1"/>
      <w:numFmt w:val="bullet"/>
      <w:lvlText w:val="○"/>
      <w:lvlJc w:val="left"/>
      <w:pPr>
        <w:ind w:left="1440" w:hanging="360"/>
      </w:pPr>
    </w:lvl>
    <w:lvl w:ilvl="2" w:tplc="94642B58">
      <w:start w:val="1"/>
      <w:numFmt w:val="bullet"/>
      <w:lvlText w:val="■"/>
      <w:lvlJc w:val="left"/>
      <w:pPr>
        <w:ind w:left="2160" w:hanging="360"/>
      </w:pPr>
    </w:lvl>
    <w:lvl w:ilvl="3" w:tplc="17E0410C">
      <w:start w:val="1"/>
      <w:numFmt w:val="bullet"/>
      <w:lvlText w:val="●"/>
      <w:lvlJc w:val="left"/>
      <w:pPr>
        <w:ind w:left="2880" w:hanging="360"/>
      </w:pPr>
    </w:lvl>
    <w:lvl w:ilvl="4" w:tplc="E8ACA61A">
      <w:start w:val="1"/>
      <w:numFmt w:val="bullet"/>
      <w:lvlText w:val="○"/>
      <w:lvlJc w:val="left"/>
      <w:pPr>
        <w:ind w:left="3600" w:hanging="360"/>
      </w:pPr>
    </w:lvl>
    <w:lvl w:ilvl="5" w:tplc="D26AC2E6">
      <w:start w:val="1"/>
      <w:numFmt w:val="bullet"/>
      <w:lvlText w:val="■"/>
      <w:lvlJc w:val="left"/>
      <w:pPr>
        <w:ind w:left="4320" w:hanging="360"/>
      </w:pPr>
    </w:lvl>
    <w:lvl w:ilvl="6" w:tplc="93F226CA">
      <w:start w:val="1"/>
      <w:numFmt w:val="bullet"/>
      <w:lvlText w:val="●"/>
      <w:lvlJc w:val="left"/>
      <w:pPr>
        <w:ind w:left="5040" w:hanging="360"/>
      </w:pPr>
    </w:lvl>
    <w:lvl w:ilvl="7" w:tplc="84B8F9A2">
      <w:start w:val="1"/>
      <w:numFmt w:val="bullet"/>
      <w:lvlText w:val="●"/>
      <w:lvlJc w:val="left"/>
      <w:pPr>
        <w:ind w:left="5760" w:hanging="360"/>
      </w:pPr>
    </w:lvl>
    <w:lvl w:ilvl="8" w:tplc="51EE9DE4">
      <w:start w:val="1"/>
      <w:numFmt w:val="bullet"/>
      <w:lvlText w:val="●"/>
      <w:lvlJc w:val="left"/>
      <w:pPr>
        <w:ind w:left="6480" w:hanging="360"/>
      </w:pPr>
    </w:lvl>
  </w:abstractNum>
  <w:num w:numId="1" w16cid:durableId="53821675">
    <w:abstractNumId w:val="0"/>
    <w:lvlOverride w:ilvl="0">
      <w:startOverride w:val="1"/>
    </w:lvlOverride>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5"/>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451D7"/>
    <w:rsid w:val="000451D7"/>
    <w:rsid w:val="002364F2"/>
    <w:rsid w:val="002A53AE"/>
    <w:rsid w:val="00481AA0"/>
    <w:rsid w:val="004F2F79"/>
    <w:rsid w:val="0050423B"/>
    <w:rsid w:val="005A6D01"/>
    <w:rsid w:val="00693749"/>
    <w:rsid w:val="00702E52"/>
    <w:rsid w:val="008965A1"/>
    <w:rsid w:val="008C4594"/>
    <w:rsid w:val="00937388"/>
    <w:rsid w:val="00AA6178"/>
    <w:rsid w:val="00BE4AC4"/>
    <w:rsid w:val="00C77A2F"/>
    <w:rsid w:val="00D0378B"/>
    <w:rsid w:val="00D50A77"/>
    <w:rsid w:val="00FD53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C8EBDDE"/>
  <w15:docId w15:val="{769A52AA-AF62-6D48-92A2-E5884BC0841D}"/>
  <w:updateFields w:val="tru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Calibri" w:eastAsia="Calibri" w:hAnsi="Calibri" w:cs="Calibr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400" w:after="200"/>
      <w:outlineLvl w:val="0"/>
    </w:pPr>
    <w:rPr>
      <w:rFonts w:ascii="Cambria" w:eastAsia="Cambria" w:hAnsi="Cambria" w:cs="Cambria"/>
      <w:b/>
      <w:bCs/>
      <w:color w:val="1B2A4A"/>
      <w:sz w:val="30"/>
      <w:szCs w:val="30"/>
    </w:rPr>
  </w:style>
  <w:style w:type="paragraph" w:styleId="Heading2">
    <w:name w:val="heading 2"/>
    <w:uiPriority w:val="9"/>
    <w:unhideWhenUsed/>
    <w:qFormat/>
    <w:pPr>
      <w:spacing w:before="280" w:after="140"/>
      <w:outlineLvl w:val="1"/>
    </w:pPr>
    <w:rPr>
      <w:rFonts w:ascii="Cambria" w:eastAsia="Cambria" w:hAnsi="Cambria" w:cs="Cambria"/>
      <w:b/>
      <w:bCs/>
      <w:color w:val="9A1B32"/>
      <w:sz w:val="25"/>
      <w:szCs w:val="25"/>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1">
    <w:name w:val="toc 1"/>
    <w:basedOn w:val="Normal"/>
    <w:next w:val="Normal"/>
    <w:autoRedefine/>
    <w:uiPriority w:val="39"/>
    <w:unhideWhenUsed/>
    <w:rsid w:val="0050423B"/>
    <w:pPr>
      <w:spacing w:after="100"/>
    </w:pPr>
  </w:style>
  <w:style w:type="paragraph" w:styleId="TOC2">
    <w:name w:val="toc 2"/>
    <w:basedOn w:val="Normal"/>
    <w:next w:val="Normal"/>
    <w:autoRedefine/>
    <w:uiPriority w:val="39"/>
    <w:unhideWhenUsed/>
    <w:rsid w:val="0050423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5</TotalTime>
  <Pages>9</Pages>
  <Words>2619</Words>
  <Characters>14933</Characters>
  <Application>Microsoft Office Word</Application>
  <DocSecurity>0</DocSecurity>
  <Lines>124</Lines>
  <Paragraphs>35</Paragraphs>
  <ScaleCrop>false</ScaleCrop>
  <Company/>
  <LinksUpToDate>false</LinksUpToDate>
  <CharactersWithSpaces>17517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Kremena Petrova Nedelcheva (2336425)</cp:lastModifiedBy>
  <cp:revision>2</cp:revision>
  <dcterms:created xsi:type="dcterms:W3CDTF">2026-08-06T13:41:00Z</dcterms:created>
  <dcterms:modified xsi:type="dcterms:W3CDTF">2026-08-06T13:41:00Z</dcterms:modified>
</cp:coreProperties>
</file>