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84FFE" w14:textId="77777777" w:rsidR="0012280B" w:rsidRDefault="002710FA">
      <w:pPr>
        <w:spacing w:line="360" w:lineRule="auto"/>
        <w:jc w:val="center"/>
        <w:rPr>
          <w:rFonts w:ascii="Arial" w:hAnsi="Arial" w:cs="Arial"/>
          <w:b/>
          <w:bCs/>
          <w:sz w:val="22"/>
          <w:szCs w:val="22"/>
          <w:lang w:val="en-IN"/>
        </w:rPr>
      </w:pPr>
      <w:r>
        <w:rPr>
          <w:noProof/>
        </w:rPr>
        <w:drawing>
          <wp:inline distT="0" distB="0" distL="0" distR="0" wp14:anchorId="34B8509C" wp14:editId="34B8509D">
            <wp:extent cx="2828925" cy="1133475"/>
            <wp:effectExtent l="0" t="0" r="9525" b="9525"/>
            <wp:docPr id="1618217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17933" name="Picture 1"/>
                    <pic:cNvPicPr>
                      <a:picLocks noChangeAspect="1"/>
                    </pic:cNvPicPr>
                  </pic:nvPicPr>
                  <pic:blipFill>
                    <a:blip r:embed="rId8"/>
                    <a:stretch>
                      <a:fillRect/>
                    </a:stretch>
                  </pic:blipFill>
                  <pic:spPr>
                    <a:xfrm>
                      <a:off x="0" y="0"/>
                      <a:ext cx="2828925" cy="1133475"/>
                    </a:xfrm>
                    <a:prstGeom prst="rect">
                      <a:avLst/>
                    </a:prstGeom>
                  </pic:spPr>
                </pic:pic>
              </a:graphicData>
            </a:graphic>
          </wp:inline>
        </w:drawing>
      </w:r>
    </w:p>
    <w:p w14:paraId="34B84FFF" w14:textId="77777777" w:rsidR="0012280B" w:rsidRDefault="0012280B">
      <w:pPr>
        <w:jc w:val="center"/>
        <w:rPr>
          <w:rFonts w:ascii="Arial" w:hAnsi="Arial" w:cs="Arial"/>
          <w:b/>
          <w:bCs/>
          <w:sz w:val="22"/>
          <w:szCs w:val="22"/>
          <w:lang w:val="en-IN"/>
        </w:rPr>
      </w:pPr>
    </w:p>
    <w:p w14:paraId="34B85000" w14:textId="77777777" w:rsidR="0012280B" w:rsidRDefault="0012280B">
      <w:pPr>
        <w:jc w:val="center"/>
        <w:rPr>
          <w:rFonts w:ascii="Arial" w:hAnsi="Arial" w:cs="Arial"/>
          <w:b/>
          <w:bCs/>
          <w:sz w:val="22"/>
          <w:szCs w:val="22"/>
          <w:lang w:val="en-IN"/>
        </w:rPr>
      </w:pPr>
    </w:p>
    <w:p w14:paraId="34B85002" w14:textId="7D3511FA" w:rsidR="0012280B" w:rsidRPr="00D32D92" w:rsidRDefault="00D32D92" w:rsidP="00D32D92">
      <w:pPr>
        <w:rPr>
          <w:rFonts w:ascii="Arial" w:hAnsi="Arial" w:cs="Arial"/>
          <w:b/>
          <w:bCs/>
          <w:sz w:val="36"/>
          <w:szCs w:val="36"/>
          <w:lang w:val="en-IN"/>
        </w:rPr>
      </w:pPr>
      <w:r>
        <w:rPr>
          <w:rFonts w:ascii="Arial" w:hAnsi="Arial" w:cs="Arial"/>
          <w:b/>
          <w:bCs/>
          <w:sz w:val="22"/>
          <w:szCs w:val="22"/>
          <w:lang w:val="en-IN"/>
        </w:rPr>
        <w:t xml:space="preserve">                                                        </w:t>
      </w:r>
      <w:r w:rsidR="002710FA" w:rsidRPr="00D32D92">
        <w:rPr>
          <w:rFonts w:ascii="Arial" w:hAnsi="Arial" w:cs="Arial"/>
          <w:b/>
          <w:bCs/>
          <w:sz w:val="36"/>
          <w:szCs w:val="36"/>
          <w:lang w:val="en-IN"/>
        </w:rPr>
        <w:t>Programme:</w:t>
      </w:r>
    </w:p>
    <w:p w14:paraId="34B85003"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Module: MSc Public Health and Social Care in Practice</w:t>
      </w:r>
    </w:p>
    <w:p w14:paraId="34B85004" w14:textId="77777777" w:rsidR="0012280B" w:rsidRPr="00D32D92" w:rsidRDefault="0012280B">
      <w:pPr>
        <w:spacing w:line="360" w:lineRule="auto"/>
        <w:jc w:val="center"/>
        <w:rPr>
          <w:rFonts w:ascii="Arial" w:hAnsi="Arial" w:cs="Arial"/>
          <w:b/>
          <w:bCs/>
          <w:sz w:val="36"/>
          <w:szCs w:val="36"/>
          <w:lang w:val="en-IN"/>
        </w:rPr>
      </w:pPr>
    </w:p>
    <w:p w14:paraId="34B85005"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Module code: LCHS7008</w:t>
      </w:r>
    </w:p>
    <w:p w14:paraId="34B85006" w14:textId="77777777" w:rsidR="0012280B" w:rsidRPr="00D32D92" w:rsidRDefault="0012280B">
      <w:pPr>
        <w:spacing w:line="360" w:lineRule="auto"/>
        <w:jc w:val="center"/>
        <w:rPr>
          <w:rFonts w:ascii="Arial" w:hAnsi="Arial" w:cs="Arial"/>
          <w:b/>
          <w:bCs/>
          <w:sz w:val="36"/>
          <w:szCs w:val="36"/>
          <w:lang w:val="en-IN"/>
        </w:rPr>
      </w:pPr>
    </w:p>
    <w:p w14:paraId="34B85007"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Assignment Title:</w:t>
      </w:r>
    </w:p>
    <w:p w14:paraId="34B85008"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Menopause Care in General Practice: Are GPs Delivering on the Women's Health Strategy?</w:t>
      </w:r>
    </w:p>
    <w:p w14:paraId="34B85009"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(Component 2</w:t>
      </w:r>
    </w:p>
    <w:p w14:paraId="34B8500A"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Written Research Proposal )</w:t>
      </w:r>
    </w:p>
    <w:p w14:paraId="34B8500C" w14:textId="77777777" w:rsidR="0012280B" w:rsidRPr="00D32D92" w:rsidRDefault="0012280B">
      <w:pPr>
        <w:spacing w:line="360" w:lineRule="auto"/>
        <w:jc w:val="center"/>
        <w:rPr>
          <w:rFonts w:ascii="Arial" w:hAnsi="Arial" w:cs="Arial"/>
          <w:b/>
          <w:bCs/>
          <w:sz w:val="36"/>
          <w:szCs w:val="36"/>
          <w:lang w:val="en-IN"/>
        </w:rPr>
      </w:pPr>
    </w:p>
    <w:p w14:paraId="34B8500D"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Student Name: Melvita Da Silva</w:t>
      </w:r>
    </w:p>
    <w:p w14:paraId="34B8500E" w14:textId="77777777" w:rsidR="0012280B" w:rsidRPr="00D32D92" w:rsidRDefault="002710FA">
      <w:pPr>
        <w:spacing w:line="360" w:lineRule="auto"/>
        <w:jc w:val="center"/>
        <w:rPr>
          <w:rFonts w:ascii="Arial" w:hAnsi="Arial" w:cs="Arial"/>
          <w:b/>
          <w:bCs/>
          <w:sz w:val="36"/>
          <w:szCs w:val="36"/>
          <w:lang w:val="en-IN"/>
        </w:rPr>
      </w:pPr>
      <w:r w:rsidRPr="00D32D92">
        <w:rPr>
          <w:rFonts w:ascii="Arial" w:hAnsi="Arial" w:cs="Arial"/>
          <w:b/>
          <w:bCs/>
          <w:sz w:val="36"/>
          <w:szCs w:val="36"/>
          <w:lang w:val="en-IN"/>
        </w:rPr>
        <w:t>Student Id: 2436452</w:t>
      </w:r>
    </w:p>
    <w:p w14:paraId="34B85011" w14:textId="45C6911A" w:rsidR="0012280B" w:rsidRPr="00D32D92" w:rsidRDefault="002710FA" w:rsidP="00D32D92">
      <w:pPr>
        <w:spacing w:line="360" w:lineRule="auto"/>
        <w:jc w:val="center"/>
        <w:rPr>
          <w:rFonts w:ascii="Arial" w:hAnsi="Arial" w:cs="Arial"/>
          <w:b/>
          <w:bCs/>
          <w:sz w:val="36"/>
          <w:szCs w:val="36"/>
          <w:lang w:val="en-IN"/>
        </w:rPr>
      </w:pPr>
      <w:r w:rsidRPr="00D32D92">
        <w:rPr>
          <w:rFonts w:ascii="Arial" w:hAnsi="Arial" w:cs="Arial"/>
          <w:b/>
          <w:bCs/>
          <w:sz w:val="36"/>
          <w:szCs w:val="36"/>
          <w:lang w:val="en-IN"/>
        </w:rPr>
        <w:t>Lecturer Name: Dr Zeno Leung</w:t>
      </w:r>
    </w:p>
    <w:sdt>
      <w:sdtPr>
        <w:rPr>
          <w:rFonts w:asciiTheme="minorHAnsi" w:eastAsiaTheme="minorHAnsi" w:hAnsiTheme="minorHAnsi" w:cstheme="minorBidi"/>
          <w:color w:val="auto"/>
          <w:kern w:val="2"/>
          <w:sz w:val="24"/>
          <w:szCs w:val="24"/>
          <w:lang w:val="en-GB" w:eastAsia="en-GB"/>
          <w14:ligatures w14:val="standardContextual"/>
        </w:rPr>
        <w:id w:val="328803126"/>
        <w:docPartObj>
          <w:docPartGallery w:val="Table of Contents"/>
          <w:docPartUnique/>
        </w:docPartObj>
      </w:sdtPr>
      <w:sdtEndPr>
        <w:rPr>
          <w:rFonts w:ascii="Arial" w:hAnsi="Arial" w:cs="Arial"/>
          <w:b/>
          <w:bCs/>
        </w:rPr>
      </w:sdtEndPr>
      <w:sdtContent>
        <w:p w14:paraId="528D66D0" w14:textId="77777777" w:rsidR="00791BEE" w:rsidRDefault="00791BEE">
          <w:pPr>
            <w:pStyle w:val="TOCHeading1"/>
            <w:rPr>
              <w:rFonts w:asciiTheme="minorHAnsi" w:eastAsiaTheme="minorHAnsi" w:hAnsiTheme="minorHAnsi" w:cstheme="minorBidi"/>
              <w:color w:val="auto"/>
              <w:kern w:val="2"/>
              <w:sz w:val="24"/>
              <w:szCs w:val="24"/>
              <w:lang w:val="en-GB" w:eastAsia="en-GB"/>
              <w14:ligatures w14:val="standardContextual"/>
            </w:rPr>
          </w:pPr>
        </w:p>
        <w:p w14:paraId="34B85012" w14:textId="397B8440" w:rsidR="0012280B" w:rsidRPr="007A4E0C" w:rsidRDefault="002710FA">
          <w:pPr>
            <w:pStyle w:val="TOCHeading1"/>
            <w:rPr>
              <w:rFonts w:ascii="Arial" w:hAnsi="Arial" w:cs="Arial"/>
              <w:sz w:val="36"/>
              <w:szCs w:val="36"/>
            </w:rPr>
          </w:pPr>
          <w:r w:rsidRPr="007A4E0C">
            <w:rPr>
              <w:rFonts w:ascii="Arial" w:hAnsi="Arial" w:cs="Arial"/>
              <w:sz w:val="36"/>
              <w:szCs w:val="36"/>
            </w:rPr>
            <w:t>Contents</w:t>
          </w:r>
        </w:p>
        <w:p w14:paraId="51F76A6B" w14:textId="77777777" w:rsidR="00791BEE" w:rsidRPr="007A4E0C" w:rsidRDefault="00791BEE" w:rsidP="00791BEE">
          <w:pPr>
            <w:rPr>
              <w:rFonts w:ascii="Arial" w:hAnsi="Arial" w:cs="Arial"/>
              <w:sz w:val="36"/>
              <w:szCs w:val="36"/>
              <w:lang w:val="en-US" w:eastAsia="en-US"/>
            </w:rPr>
          </w:pPr>
        </w:p>
        <w:p w14:paraId="34B85013" w14:textId="77777777" w:rsidR="0012280B" w:rsidRDefault="0012280B">
          <w:pPr>
            <w:rPr>
              <w:lang w:val="en-US" w:eastAsia="en-US"/>
            </w:rPr>
          </w:pPr>
        </w:p>
        <w:p w14:paraId="79BE27AE" w14:textId="58BC9E20" w:rsidR="00771DE3" w:rsidRPr="00D32D92" w:rsidRDefault="002710FA" w:rsidP="007A4E0C">
          <w:pPr>
            <w:pStyle w:val="TOC1"/>
            <w:tabs>
              <w:tab w:val="right" w:leader="dot" w:pos="9016"/>
            </w:tabs>
            <w:spacing w:after="0" w:line="360" w:lineRule="auto"/>
            <w:rPr>
              <w:rFonts w:ascii="Arial" w:eastAsiaTheme="minorEastAsia" w:hAnsi="Arial" w:cs="Arial"/>
              <w:noProof/>
              <w:sz w:val="22"/>
              <w:szCs w:val="22"/>
              <w:lang w:val="en-IN" w:eastAsia="en-IN"/>
            </w:rPr>
          </w:pPr>
          <w:r w:rsidRPr="003E7031">
            <w:rPr>
              <w:rFonts w:ascii="Arial" w:hAnsi="Arial" w:cs="Arial"/>
            </w:rPr>
            <w:fldChar w:fldCharType="begin"/>
          </w:r>
          <w:r w:rsidRPr="003E7031">
            <w:rPr>
              <w:rFonts w:ascii="Arial" w:hAnsi="Arial" w:cs="Arial"/>
            </w:rPr>
            <w:instrText xml:space="preserve"> TOC \o "1-3" \h \z \u </w:instrText>
          </w:r>
          <w:r w:rsidRPr="003E7031">
            <w:rPr>
              <w:rFonts w:ascii="Arial" w:hAnsi="Arial" w:cs="Arial"/>
            </w:rPr>
            <w:fldChar w:fldCharType="separate"/>
          </w:r>
          <w:hyperlink w:anchor="_Toc236365836" w:history="1">
            <w:r w:rsidR="00771DE3" w:rsidRPr="00D32D92">
              <w:rPr>
                <w:rStyle w:val="Hyperlink"/>
                <w:rFonts w:ascii="Arial" w:hAnsi="Arial" w:cs="Arial"/>
                <w:noProof/>
                <w:sz w:val="22"/>
                <w:szCs w:val="22"/>
                <w:lang w:val="en-IN"/>
              </w:rPr>
              <w:t>The prevalence of the problem identified in health and social care</w:t>
            </w:r>
            <w:r w:rsidR="00771DE3" w:rsidRPr="00D32D92">
              <w:rPr>
                <w:rFonts w:ascii="Arial" w:hAnsi="Arial" w:cs="Arial"/>
                <w:noProof/>
                <w:webHidden/>
                <w:sz w:val="22"/>
                <w:szCs w:val="22"/>
              </w:rPr>
              <w:tab/>
            </w:r>
            <w:r w:rsidR="00771DE3" w:rsidRPr="00D32D92">
              <w:rPr>
                <w:rFonts w:ascii="Arial" w:hAnsi="Arial" w:cs="Arial"/>
                <w:noProof/>
                <w:webHidden/>
                <w:sz w:val="22"/>
                <w:szCs w:val="22"/>
              </w:rPr>
              <w:fldChar w:fldCharType="begin"/>
            </w:r>
            <w:r w:rsidR="00771DE3" w:rsidRPr="00D32D92">
              <w:rPr>
                <w:rFonts w:ascii="Arial" w:hAnsi="Arial" w:cs="Arial"/>
                <w:noProof/>
                <w:webHidden/>
                <w:sz w:val="22"/>
                <w:szCs w:val="22"/>
              </w:rPr>
              <w:instrText xml:space="preserve"> PAGEREF _Toc236365836 \h </w:instrText>
            </w:r>
            <w:r w:rsidR="00771DE3" w:rsidRPr="00D32D92">
              <w:rPr>
                <w:rFonts w:ascii="Arial" w:hAnsi="Arial" w:cs="Arial"/>
                <w:noProof/>
                <w:webHidden/>
                <w:sz w:val="22"/>
                <w:szCs w:val="22"/>
              </w:rPr>
            </w:r>
            <w:r w:rsidR="00771DE3" w:rsidRPr="00D32D92">
              <w:rPr>
                <w:rFonts w:ascii="Arial" w:hAnsi="Arial" w:cs="Arial"/>
                <w:noProof/>
                <w:webHidden/>
                <w:sz w:val="22"/>
                <w:szCs w:val="22"/>
              </w:rPr>
              <w:fldChar w:fldCharType="separate"/>
            </w:r>
            <w:r w:rsidR="00771DE3" w:rsidRPr="00D32D92">
              <w:rPr>
                <w:rFonts w:ascii="Arial" w:hAnsi="Arial" w:cs="Arial"/>
                <w:noProof/>
                <w:webHidden/>
                <w:sz w:val="22"/>
                <w:szCs w:val="22"/>
              </w:rPr>
              <w:t>3</w:t>
            </w:r>
            <w:r w:rsidR="00771DE3" w:rsidRPr="00D32D92">
              <w:rPr>
                <w:rFonts w:ascii="Arial" w:hAnsi="Arial" w:cs="Arial"/>
                <w:noProof/>
                <w:webHidden/>
                <w:sz w:val="22"/>
                <w:szCs w:val="22"/>
              </w:rPr>
              <w:fldChar w:fldCharType="end"/>
            </w:r>
          </w:hyperlink>
        </w:p>
        <w:p w14:paraId="0F05423D" w14:textId="60AC2FDF"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37" w:history="1">
            <w:r w:rsidRPr="00D32D92">
              <w:rPr>
                <w:rStyle w:val="Hyperlink"/>
                <w:rFonts w:ascii="Arial" w:hAnsi="Arial" w:cs="Arial"/>
                <w:noProof/>
                <w:sz w:val="22"/>
                <w:szCs w:val="22"/>
                <w:lang w:val="en-IN"/>
              </w:rPr>
              <w:t>Literature Review</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_Toc236365837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3</w:t>
            </w:r>
            <w:r w:rsidRPr="00D32D92">
              <w:rPr>
                <w:rFonts w:ascii="Arial" w:hAnsi="Arial" w:cs="Arial"/>
                <w:noProof/>
                <w:webHidden/>
                <w:sz w:val="22"/>
                <w:szCs w:val="22"/>
              </w:rPr>
              <w:fldChar w:fldCharType="end"/>
            </w:r>
          </w:hyperlink>
        </w:p>
        <w:p w14:paraId="57CAD3BC" w14:textId="6FB8DAB6"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38" w:history="1">
            <w:r w:rsidRPr="00D32D92">
              <w:rPr>
                <w:rStyle w:val="Hyperlink"/>
                <w:rFonts w:ascii="Arial" w:hAnsi="Arial" w:cs="Arial"/>
                <w:noProof/>
                <w:sz w:val="22"/>
                <w:szCs w:val="22"/>
                <w:lang w:val="en-IN"/>
              </w:rPr>
              <w:t>Rationale of Research</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_Toc236365838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6</w:t>
            </w:r>
            <w:r w:rsidRPr="00D32D92">
              <w:rPr>
                <w:rFonts w:ascii="Arial" w:hAnsi="Arial" w:cs="Arial"/>
                <w:noProof/>
                <w:webHidden/>
                <w:sz w:val="22"/>
                <w:szCs w:val="22"/>
              </w:rPr>
              <w:fldChar w:fldCharType="end"/>
            </w:r>
          </w:hyperlink>
        </w:p>
        <w:p w14:paraId="1B29A845" w14:textId="46795E79"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39" w:history="1">
            <w:r w:rsidRPr="00D32D92">
              <w:rPr>
                <w:rStyle w:val="Hyperlink"/>
                <w:rFonts w:ascii="Arial" w:hAnsi="Arial" w:cs="Arial"/>
                <w:noProof/>
                <w:sz w:val="22"/>
                <w:szCs w:val="22"/>
                <w:lang w:val="en-IN"/>
              </w:rPr>
              <w:t>Research Questions</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_Toc236365839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6</w:t>
            </w:r>
            <w:r w:rsidRPr="00D32D92">
              <w:rPr>
                <w:rFonts w:ascii="Arial" w:hAnsi="Arial" w:cs="Arial"/>
                <w:noProof/>
                <w:webHidden/>
                <w:sz w:val="22"/>
                <w:szCs w:val="22"/>
              </w:rPr>
              <w:fldChar w:fldCharType="end"/>
            </w:r>
          </w:hyperlink>
        </w:p>
        <w:p w14:paraId="282911CB" w14:textId="1F6B0BC7"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0" w:history="1">
            <w:r w:rsidRPr="00D32D92">
              <w:rPr>
                <w:rStyle w:val="Hyperlink"/>
                <w:rFonts w:ascii="Arial" w:hAnsi="Arial" w:cs="Arial"/>
                <w:noProof/>
                <w:sz w:val="22"/>
                <w:szCs w:val="22"/>
                <w:lang w:val="en-IN"/>
              </w:rPr>
              <w:t>Research Aim</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_Toc236365840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6</w:t>
            </w:r>
            <w:r w:rsidRPr="00D32D92">
              <w:rPr>
                <w:rFonts w:ascii="Arial" w:hAnsi="Arial" w:cs="Arial"/>
                <w:noProof/>
                <w:webHidden/>
                <w:sz w:val="22"/>
                <w:szCs w:val="22"/>
              </w:rPr>
              <w:fldChar w:fldCharType="end"/>
            </w:r>
          </w:hyperlink>
        </w:p>
        <w:p w14:paraId="4A9C7176" w14:textId="3134A35A"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1" w:history="1">
            <w:r w:rsidRPr="00D32D92">
              <w:rPr>
                <w:rStyle w:val="Hyperlink"/>
                <w:rFonts w:ascii="Arial" w:hAnsi="Arial" w:cs="Arial"/>
                <w:noProof/>
                <w:sz w:val="22"/>
                <w:szCs w:val="22"/>
                <w:lang w:val="en-IN"/>
              </w:rPr>
              <w:t>Research Objectives</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_Toc236365841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6</w:t>
            </w:r>
            <w:r w:rsidRPr="00D32D92">
              <w:rPr>
                <w:rFonts w:ascii="Arial" w:hAnsi="Arial" w:cs="Arial"/>
                <w:noProof/>
                <w:webHidden/>
                <w:sz w:val="22"/>
                <w:szCs w:val="22"/>
              </w:rPr>
              <w:fldChar w:fldCharType="end"/>
            </w:r>
          </w:hyperlink>
        </w:p>
        <w:p w14:paraId="6EB9981A" w14:textId="74E2D7D0"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2" w:history="1">
            <w:r w:rsidRPr="00D32D92">
              <w:rPr>
                <w:rStyle w:val="Hyperlink"/>
                <w:rFonts w:ascii="Arial" w:hAnsi="Arial" w:cs="Arial"/>
                <w:noProof/>
                <w:sz w:val="22"/>
                <w:szCs w:val="22"/>
                <w:lang w:val="en-IN"/>
              </w:rPr>
              <w:t>Research Methodology</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_Toc236365842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7</w:t>
            </w:r>
            <w:r w:rsidRPr="00D32D92">
              <w:rPr>
                <w:rFonts w:ascii="Arial" w:hAnsi="Arial" w:cs="Arial"/>
                <w:noProof/>
                <w:webHidden/>
                <w:sz w:val="22"/>
                <w:szCs w:val="22"/>
              </w:rPr>
              <w:fldChar w:fldCharType="end"/>
            </w:r>
          </w:hyperlink>
        </w:p>
        <w:p w14:paraId="610D0E49" w14:textId="309E7CAD"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3" w:history="1">
            <w:r w:rsidRPr="00D32D92">
              <w:rPr>
                <w:rStyle w:val="Hyperlink"/>
                <w:rFonts w:ascii="Arial" w:hAnsi="Arial" w:cs="Arial"/>
                <w:noProof/>
                <w:sz w:val="22"/>
                <w:szCs w:val="22"/>
                <w:lang w:val="en-IN"/>
              </w:rPr>
              <w:t>Recruitment, Sampling and Study Participants</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_Toc236365843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8</w:t>
            </w:r>
            <w:r w:rsidRPr="00D32D92">
              <w:rPr>
                <w:rFonts w:ascii="Arial" w:hAnsi="Arial" w:cs="Arial"/>
                <w:noProof/>
                <w:webHidden/>
                <w:sz w:val="22"/>
                <w:szCs w:val="22"/>
              </w:rPr>
              <w:fldChar w:fldCharType="end"/>
            </w:r>
          </w:hyperlink>
        </w:p>
        <w:p w14:paraId="4CE9F5A3" w14:textId="6C8B10DF"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4" w:history="1">
            <w:r w:rsidRPr="00D32D92">
              <w:rPr>
                <w:rStyle w:val="Hyperlink"/>
                <w:rFonts w:ascii="Arial" w:hAnsi="Arial" w:cs="Arial"/>
                <w:noProof/>
                <w:sz w:val="22"/>
                <w:szCs w:val="22"/>
                <w:lang w:val="en-IN"/>
              </w:rPr>
              <w:t>Materials and Data Collection  Procedure</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_Toc236365844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8</w:t>
            </w:r>
            <w:r w:rsidRPr="00D32D92">
              <w:rPr>
                <w:rFonts w:ascii="Arial" w:hAnsi="Arial" w:cs="Arial"/>
                <w:noProof/>
                <w:webHidden/>
                <w:sz w:val="22"/>
                <w:szCs w:val="22"/>
              </w:rPr>
              <w:fldChar w:fldCharType="end"/>
            </w:r>
          </w:hyperlink>
        </w:p>
        <w:p w14:paraId="4681565D" w14:textId="333DD9DE"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5" w:history="1">
            <w:r w:rsidRPr="00D32D92">
              <w:rPr>
                <w:rStyle w:val="Hyperlink"/>
                <w:rFonts w:ascii="Arial" w:hAnsi="Arial" w:cs="Arial"/>
                <w:noProof/>
                <w:sz w:val="22"/>
                <w:szCs w:val="22"/>
                <w:lang w:val="en-IN"/>
              </w:rPr>
              <w:t>Who will be included?</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_Toc236365845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9</w:t>
            </w:r>
            <w:r w:rsidRPr="00D32D92">
              <w:rPr>
                <w:rFonts w:ascii="Arial" w:hAnsi="Arial" w:cs="Arial"/>
                <w:noProof/>
                <w:webHidden/>
                <w:sz w:val="22"/>
                <w:szCs w:val="22"/>
              </w:rPr>
              <w:fldChar w:fldCharType="end"/>
            </w:r>
          </w:hyperlink>
        </w:p>
        <w:p w14:paraId="6ADB1A0E" w14:textId="1F2CF32E"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6" w:history="1">
            <w:r w:rsidRPr="00D32D92">
              <w:rPr>
                <w:rStyle w:val="Hyperlink"/>
                <w:rFonts w:ascii="Arial" w:hAnsi="Arial" w:cs="Arial"/>
                <w:noProof/>
                <w:sz w:val="22"/>
                <w:szCs w:val="22"/>
                <w:lang w:val="en-IN"/>
              </w:rPr>
              <w:t>How will the data be collected?</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_Toc236365846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9</w:t>
            </w:r>
            <w:r w:rsidRPr="00D32D92">
              <w:rPr>
                <w:rFonts w:ascii="Arial" w:hAnsi="Arial" w:cs="Arial"/>
                <w:noProof/>
                <w:webHidden/>
                <w:sz w:val="22"/>
                <w:szCs w:val="22"/>
              </w:rPr>
              <w:fldChar w:fldCharType="end"/>
            </w:r>
          </w:hyperlink>
        </w:p>
        <w:p w14:paraId="728376FB" w14:textId="51CFD676" w:rsidR="00771DE3" w:rsidRPr="00D32D92" w:rsidRDefault="00771DE3" w:rsidP="007A4E0C">
          <w:pPr>
            <w:pStyle w:val="TOC1"/>
            <w:tabs>
              <w:tab w:val="right" w:leader="dot" w:pos="9016"/>
            </w:tabs>
            <w:spacing w:after="0" w:line="360" w:lineRule="auto"/>
            <w:rPr>
              <w:rFonts w:ascii="Arial" w:eastAsiaTheme="minorEastAsia" w:hAnsi="Arial" w:cs="Arial"/>
              <w:noProof/>
              <w:sz w:val="22"/>
              <w:szCs w:val="22"/>
              <w:lang w:val="en-IN" w:eastAsia="en-IN"/>
            </w:rPr>
          </w:pPr>
          <w:hyperlink w:anchor="_Toc236365847" w:history="1">
            <w:r w:rsidRPr="00D32D92">
              <w:rPr>
                <w:rStyle w:val="Hyperlink"/>
                <w:rFonts w:ascii="Arial" w:hAnsi="Arial" w:cs="Arial"/>
                <w:noProof/>
                <w:sz w:val="22"/>
                <w:szCs w:val="22"/>
                <w:lang w:val="en-IN"/>
              </w:rPr>
              <w:t>Key review questions</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_Toc236365847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10</w:t>
            </w:r>
            <w:r w:rsidRPr="00D32D92">
              <w:rPr>
                <w:rFonts w:ascii="Arial" w:hAnsi="Arial" w:cs="Arial"/>
                <w:noProof/>
                <w:webHidden/>
                <w:sz w:val="22"/>
                <w:szCs w:val="22"/>
              </w:rPr>
              <w:fldChar w:fldCharType="end"/>
            </w:r>
          </w:hyperlink>
        </w:p>
        <w:p w14:paraId="38786A9A" w14:textId="548E0012" w:rsidR="00771DE3" w:rsidRPr="003E7031" w:rsidRDefault="00771DE3" w:rsidP="007A4E0C">
          <w:pPr>
            <w:pStyle w:val="TOC1"/>
            <w:tabs>
              <w:tab w:val="right" w:leader="dot" w:pos="9016"/>
            </w:tabs>
            <w:spacing w:after="0" w:line="360" w:lineRule="auto"/>
            <w:rPr>
              <w:rFonts w:ascii="Arial" w:eastAsiaTheme="minorEastAsia" w:hAnsi="Arial" w:cs="Arial"/>
              <w:noProof/>
              <w:lang w:val="en-IN" w:eastAsia="en-IN"/>
            </w:rPr>
          </w:pPr>
          <w:hyperlink w:anchor="_Toc236365848" w:history="1">
            <w:r w:rsidRPr="00D32D92">
              <w:rPr>
                <w:rStyle w:val="Hyperlink"/>
                <w:rFonts w:ascii="Arial" w:hAnsi="Arial" w:cs="Arial"/>
                <w:noProof/>
                <w:sz w:val="22"/>
                <w:szCs w:val="22"/>
                <w:lang w:val="en-IN"/>
              </w:rPr>
              <w:t>Proposed Data Analysis Technique</w:t>
            </w:r>
            <w:r w:rsidRPr="00D32D92">
              <w:rPr>
                <w:rFonts w:ascii="Arial" w:hAnsi="Arial" w:cs="Arial"/>
                <w:noProof/>
                <w:webHidden/>
                <w:sz w:val="22"/>
                <w:szCs w:val="22"/>
              </w:rPr>
              <w:tab/>
            </w:r>
            <w:r w:rsidRPr="00D32D92">
              <w:rPr>
                <w:rFonts w:ascii="Arial" w:hAnsi="Arial" w:cs="Arial"/>
                <w:noProof/>
                <w:webHidden/>
                <w:sz w:val="22"/>
                <w:szCs w:val="22"/>
              </w:rPr>
              <w:fldChar w:fldCharType="begin"/>
            </w:r>
            <w:r w:rsidRPr="00D32D92">
              <w:rPr>
                <w:rFonts w:ascii="Arial" w:hAnsi="Arial" w:cs="Arial"/>
                <w:noProof/>
                <w:webHidden/>
                <w:sz w:val="22"/>
                <w:szCs w:val="22"/>
              </w:rPr>
              <w:instrText xml:space="preserve"> PAGEREF _Toc236365848 \h </w:instrText>
            </w:r>
            <w:r w:rsidRPr="00D32D92">
              <w:rPr>
                <w:rFonts w:ascii="Arial" w:hAnsi="Arial" w:cs="Arial"/>
                <w:noProof/>
                <w:webHidden/>
                <w:sz w:val="22"/>
                <w:szCs w:val="22"/>
              </w:rPr>
            </w:r>
            <w:r w:rsidRPr="00D32D92">
              <w:rPr>
                <w:rFonts w:ascii="Arial" w:hAnsi="Arial" w:cs="Arial"/>
                <w:noProof/>
                <w:webHidden/>
                <w:sz w:val="22"/>
                <w:szCs w:val="22"/>
              </w:rPr>
              <w:fldChar w:fldCharType="separate"/>
            </w:r>
            <w:r w:rsidRPr="00D32D92">
              <w:rPr>
                <w:rFonts w:ascii="Arial" w:hAnsi="Arial" w:cs="Arial"/>
                <w:noProof/>
                <w:webHidden/>
                <w:sz w:val="22"/>
                <w:szCs w:val="22"/>
              </w:rPr>
              <w:t>10</w:t>
            </w:r>
            <w:r w:rsidRPr="00D32D92">
              <w:rPr>
                <w:rFonts w:ascii="Arial" w:hAnsi="Arial" w:cs="Arial"/>
                <w:noProof/>
                <w:webHidden/>
                <w:sz w:val="22"/>
                <w:szCs w:val="22"/>
              </w:rPr>
              <w:fldChar w:fldCharType="end"/>
            </w:r>
          </w:hyperlink>
        </w:p>
        <w:p w14:paraId="7E9E73AD" w14:textId="7B0C741E" w:rsidR="00771DE3" w:rsidRPr="003E7031" w:rsidRDefault="00771DE3" w:rsidP="007A4E0C">
          <w:pPr>
            <w:pStyle w:val="TOC1"/>
            <w:tabs>
              <w:tab w:val="right" w:leader="dot" w:pos="9016"/>
            </w:tabs>
            <w:spacing w:line="360" w:lineRule="auto"/>
            <w:rPr>
              <w:rFonts w:ascii="Arial" w:eastAsiaTheme="minorEastAsia" w:hAnsi="Arial" w:cs="Arial"/>
              <w:noProof/>
              <w:lang w:val="en-IN" w:eastAsia="en-IN"/>
            </w:rPr>
          </w:pPr>
          <w:hyperlink w:anchor="_Toc236365849" w:history="1">
            <w:r w:rsidRPr="003E7031">
              <w:rPr>
                <w:rStyle w:val="Hyperlink"/>
                <w:rFonts w:ascii="Arial" w:hAnsi="Arial" w:cs="Arial"/>
                <w:noProof/>
                <w:lang w:val="en-IN"/>
              </w:rPr>
              <w:t>Ethical Considerations</w:t>
            </w:r>
            <w:r w:rsidRPr="003E7031">
              <w:rPr>
                <w:rFonts w:ascii="Arial" w:hAnsi="Arial" w:cs="Arial"/>
                <w:noProof/>
                <w:webHidden/>
              </w:rPr>
              <w:tab/>
            </w:r>
            <w:r w:rsidRPr="003E7031">
              <w:rPr>
                <w:rFonts w:ascii="Arial" w:hAnsi="Arial" w:cs="Arial"/>
                <w:noProof/>
                <w:webHidden/>
              </w:rPr>
              <w:fldChar w:fldCharType="begin"/>
            </w:r>
            <w:r w:rsidRPr="003E7031">
              <w:rPr>
                <w:rFonts w:ascii="Arial" w:hAnsi="Arial" w:cs="Arial"/>
                <w:noProof/>
                <w:webHidden/>
              </w:rPr>
              <w:instrText xml:space="preserve"> PAGEREF _Toc236365849 \h </w:instrText>
            </w:r>
            <w:r w:rsidRPr="003E7031">
              <w:rPr>
                <w:rFonts w:ascii="Arial" w:hAnsi="Arial" w:cs="Arial"/>
                <w:noProof/>
                <w:webHidden/>
              </w:rPr>
            </w:r>
            <w:r w:rsidRPr="003E7031">
              <w:rPr>
                <w:rFonts w:ascii="Arial" w:hAnsi="Arial" w:cs="Arial"/>
                <w:noProof/>
                <w:webHidden/>
              </w:rPr>
              <w:fldChar w:fldCharType="separate"/>
            </w:r>
            <w:r w:rsidRPr="003E7031">
              <w:rPr>
                <w:rFonts w:ascii="Arial" w:hAnsi="Arial" w:cs="Arial"/>
                <w:noProof/>
                <w:webHidden/>
              </w:rPr>
              <w:t>11</w:t>
            </w:r>
            <w:r w:rsidRPr="003E7031">
              <w:rPr>
                <w:rFonts w:ascii="Arial" w:hAnsi="Arial" w:cs="Arial"/>
                <w:noProof/>
                <w:webHidden/>
              </w:rPr>
              <w:fldChar w:fldCharType="end"/>
            </w:r>
          </w:hyperlink>
        </w:p>
        <w:p w14:paraId="1FC8BCF8" w14:textId="64380830" w:rsidR="00771DE3" w:rsidRPr="003E7031" w:rsidRDefault="00771DE3" w:rsidP="007A4E0C">
          <w:pPr>
            <w:pStyle w:val="TOC1"/>
            <w:tabs>
              <w:tab w:val="right" w:leader="dot" w:pos="9016"/>
            </w:tabs>
            <w:spacing w:line="360" w:lineRule="auto"/>
            <w:rPr>
              <w:rFonts w:ascii="Arial" w:eastAsiaTheme="minorEastAsia" w:hAnsi="Arial" w:cs="Arial"/>
              <w:noProof/>
              <w:lang w:val="en-IN" w:eastAsia="en-IN"/>
            </w:rPr>
          </w:pPr>
          <w:hyperlink w:anchor="_Toc236365850" w:history="1">
            <w:r w:rsidRPr="003E7031">
              <w:rPr>
                <w:rStyle w:val="Hyperlink"/>
                <w:rFonts w:ascii="Arial" w:hAnsi="Arial" w:cs="Arial"/>
                <w:noProof/>
                <w:lang w:val="en-IN"/>
              </w:rPr>
              <w:t>Implications of the Research</w:t>
            </w:r>
            <w:r w:rsidRPr="003E7031">
              <w:rPr>
                <w:rFonts w:ascii="Arial" w:hAnsi="Arial" w:cs="Arial"/>
                <w:noProof/>
                <w:webHidden/>
              </w:rPr>
              <w:tab/>
            </w:r>
            <w:r w:rsidRPr="003E7031">
              <w:rPr>
                <w:rFonts w:ascii="Arial" w:hAnsi="Arial" w:cs="Arial"/>
                <w:noProof/>
                <w:webHidden/>
              </w:rPr>
              <w:fldChar w:fldCharType="begin"/>
            </w:r>
            <w:r w:rsidRPr="003E7031">
              <w:rPr>
                <w:rFonts w:ascii="Arial" w:hAnsi="Arial" w:cs="Arial"/>
                <w:noProof/>
                <w:webHidden/>
              </w:rPr>
              <w:instrText xml:space="preserve"> PAGEREF _Toc236365850 \h </w:instrText>
            </w:r>
            <w:r w:rsidRPr="003E7031">
              <w:rPr>
                <w:rFonts w:ascii="Arial" w:hAnsi="Arial" w:cs="Arial"/>
                <w:noProof/>
                <w:webHidden/>
              </w:rPr>
            </w:r>
            <w:r w:rsidRPr="003E7031">
              <w:rPr>
                <w:rFonts w:ascii="Arial" w:hAnsi="Arial" w:cs="Arial"/>
                <w:noProof/>
                <w:webHidden/>
              </w:rPr>
              <w:fldChar w:fldCharType="separate"/>
            </w:r>
            <w:r w:rsidRPr="003E7031">
              <w:rPr>
                <w:rFonts w:ascii="Arial" w:hAnsi="Arial" w:cs="Arial"/>
                <w:noProof/>
                <w:webHidden/>
              </w:rPr>
              <w:t>11</w:t>
            </w:r>
            <w:r w:rsidRPr="003E7031">
              <w:rPr>
                <w:rFonts w:ascii="Arial" w:hAnsi="Arial" w:cs="Arial"/>
                <w:noProof/>
                <w:webHidden/>
              </w:rPr>
              <w:fldChar w:fldCharType="end"/>
            </w:r>
          </w:hyperlink>
        </w:p>
        <w:p w14:paraId="73063927" w14:textId="72A5486B" w:rsidR="00771DE3" w:rsidRPr="003E7031" w:rsidRDefault="00771DE3" w:rsidP="007A4E0C">
          <w:pPr>
            <w:pStyle w:val="TOC1"/>
            <w:tabs>
              <w:tab w:val="right" w:leader="dot" w:pos="9016"/>
            </w:tabs>
            <w:spacing w:line="360" w:lineRule="auto"/>
            <w:rPr>
              <w:rFonts w:ascii="Arial" w:eastAsiaTheme="minorEastAsia" w:hAnsi="Arial" w:cs="Arial"/>
              <w:noProof/>
              <w:lang w:val="en-IN" w:eastAsia="en-IN"/>
            </w:rPr>
          </w:pPr>
          <w:hyperlink w:anchor="_Toc236365851" w:history="1">
            <w:r w:rsidRPr="003E7031">
              <w:rPr>
                <w:rStyle w:val="Hyperlink"/>
                <w:rFonts w:ascii="Arial" w:hAnsi="Arial" w:cs="Arial"/>
                <w:noProof/>
                <w:lang w:val="en-IN"/>
              </w:rPr>
              <w:t>Plan of Work and Time Schedule (Gantt Chart)</w:t>
            </w:r>
            <w:r w:rsidRPr="003E7031">
              <w:rPr>
                <w:rFonts w:ascii="Arial" w:hAnsi="Arial" w:cs="Arial"/>
                <w:noProof/>
                <w:webHidden/>
              </w:rPr>
              <w:tab/>
            </w:r>
            <w:r w:rsidRPr="003E7031">
              <w:rPr>
                <w:rFonts w:ascii="Arial" w:hAnsi="Arial" w:cs="Arial"/>
                <w:noProof/>
                <w:webHidden/>
              </w:rPr>
              <w:fldChar w:fldCharType="begin"/>
            </w:r>
            <w:r w:rsidRPr="003E7031">
              <w:rPr>
                <w:rFonts w:ascii="Arial" w:hAnsi="Arial" w:cs="Arial"/>
                <w:noProof/>
                <w:webHidden/>
              </w:rPr>
              <w:instrText xml:space="preserve"> PAGEREF _Toc236365851 \h </w:instrText>
            </w:r>
            <w:r w:rsidRPr="003E7031">
              <w:rPr>
                <w:rFonts w:ascii="Arial" w:hAnsi="Arial" w:cs="Arial"/>
                <w:noProof/>
                <w:webHidden/>
              </w:rPr>
            </w:r>
            <w:r w:rsidRPr="003E7031">
              <w:rPr>
                <w:rFonts w:ascii="Arial" w:hAnsi="Arial" w:cs="Arial"/>
                <w:noProof/>
                <w:webHidden/>
              </w:rPr>
              <w:fldChar w:fldCharType="separate"/>
            </w:r>
            <w:r w:rsidRPr="003E7031">
              <w:rPr>
                <w:rFonts w:ascii="Arial" w:hAnsi="Arial" w:cs="Arial"/>
                <w:noProof/>
                <w:webHidden/>
              </w:rPr>
              <w:t>12</w:t>
            </w:r>
            <w:r w:rsidRPr="003E7031">
              <w:rPr>
                <w:rFonts w:ascii="Arial" w:hAnsi="Arial" w:cs="Arial"/>
                <w:noProof/>
                <w:webHidden/>
              </w:rPr>
              <w:fldChar w:fldCharType="end"/>
            </w:r>
          </w:hyperlink>
        </w:p>
        <w:p w14:paraId="50CB7CCF" w14:textId="0211036B" w:rsidR="00771DE3" w:rsidRPr="003E7031" w:rsidRDefault="00771DE3" w:rsidP="007A4E0C">
          <w:pPr>
            <w:pStyle w:val="TOC1"/>
            <w:tabs>
              <w:tab w:val="right" w:leader="dot" w:pos="9016"/>
            </w:tabs>
            <w:spacing w:line="360" w:lineRule="auto"/>
            <w:rPr>
              <w:rFonts w:ascii="Arial" w:eastAsiaTheme="minorEastAsia" w:hAnsi="Arial" w:cs="Arial"/>
              <w:noProof/>
              <w:lang w:val="en-IN" w:eastAsia="en-IN"/>
            </w:rPr>
          </w:pPr>
          <w:hyperlink w:anchor="_Toc236365852" w:history="1">
            <w:r w:rsidRPr="003E7031">
              <w:rPr>
                <w:rStyle w:val="Hyperlink"/>
                <w:rFonts w:ascii="Arial" w:hAnsi="Arial" w:cs="Arial"/>
                <w:noProof/>
                <w:lang w:val="en-IN"/>
              </w:rPr>
              <w:t>References</w:t>
            </w:r>
            <w:r w:rsidRPr="003E7031">
              <w:rPr>
                <w:rFonts w:ascii="Arial" w:hAnsi="Arial" w:cs="Arial"/>
                <w:noProof/>
                <w:webHidden/>
              </w:rPr>
              <w:tab/>
            </w:r>
            <w:r w:rsidRPr="003E7031">
              <w:rPr>
                <w:rFonts w:ascii="Arial" w:hAnsi="Arial" w:cs="Arial"/>
                <w:noProof/>
                <w:webHidden/>
              </w:rPr>
              <w:fldChar w:fldCharType="begin"/>
            </w:r>
            <w:r w:rsidRPr="003E7031">
              <w:rPr>
                <w:rFonts w:ascii="Arial" w:hAnsi="Arial" w:cs="Arial"/>
                <w:noProof/>
                <w:webHidden/>
              </w:rPr>
              <w:instrText xml:space="preserve"> PAGEREF _Toc236365852 \h </w:instrText>
            </w:r>
            <w:r w:rsidRPr="003E7031">
              <w:rPr>
                <w:rFonts w:ascii="Arial" w:hAnsi="Arial" w:cs="Arial"/>
                <w:noProof/>
                <w:webHidden/>
              </w:rPr>
            </w:r>
            <w:r w:rsidRPr="003E7031">
              <w:rPr>
                <w:rFonts w:ascii="Arial" w:hAnsi="Arial" w:cs="Arial"/>
                <w:noProof/>
                <w:webHidden/>
              </w:rPr>
              <w:fldChar w:fldCharType="separate"/>
            </w:r>
            <w:r w:rsidRPr="003E7031">
              <w:rPr>
                <w:rFonts w:ascii="Arial" w:hAnsi="Arial" w:cs="Arial"/>
                <w:noProof/>
                <w:webHidden/>
              </w:rPr>
              <w:t>12</w:t>
            </w:r>
            <w:r w:rsidRPr="003E7031">
              <w:rPr>
                <w:rFonts w:ascii="Arial" w:hAnsi="Arial" w:cs="Arial"/>
                <w:noProof/>
                <w:webHidden/>
              </w:rPr>
              <w:fldChar w:fldCharType="end"/>
            </w:r>
          </w:hyperlink>
        </w:p>
        <w:p w14:paraId="34B85023" w14:textId="298003EB" w:rsidR="0012280B" w:rsidRPr="003E7031" w:rsidRDefault="002710FA" w:rsidP="007A4E0C">
          <w:pPr>
            <w:spacing w:line="360" w:lineRule="auto"/>
            <w:rPr>
              <w:rFonts w:ascii="Arial" w:hAnsi="Arial" w:cs="Arial"/>
            </w:rPr>
          </w:pPr>
          <w:r w:rsidRPr="003E7031">
            <w:rPr>
              <w:rFonts w:ascii="Arial" w:hAnsi="Arial" w:cs="Arial"/>
              <w:b/>
              <w:bCs/>
            </w:rPr>
            <w:fldChar w:fldCharType="end"/>
          </w:r>
        </w:p>
      </w:sdtContent>
    </w:sdt>
    <w:p w14:paraId="34B85024" w14:textId="77777777" w:rsidR="0012280B" w:rsidRPr="003E7031" w:rsidRDefault="0012280B" w:rsidP="007A4E0C">
      <w:pPr>
        <w:spacing w:line="360" w:lineRule="auto"/>
        <w:rPr>
          <w:rFonts w:ascii="Arial" w:hAnsi="Arial" w:cs="Arial"/>
          <w:b/>
          <w:bCs/>
          <w:sz w:val="22"/>
          <w:szCs w:val="22"/>
          <w:lang w:val="en-IN"/>
        </w:rPr>
      </w:pPr>
    </w:p>
    <w:p w14:paraId="34B85025" w14:textId="77777777" w:rsidR="0012280B" w:rsidRPr="003E7031" w:rsidRDefault="002710FA">
      <w:pPr>
        <w:rPr>
          <w:rFonts w:ascii="Arial" w:hAnsi="Arial" w:cs="Arial"/>
          <w:b/>
          <w:bCs/>
          <w:sz w:val="22"/>
          <w:szCs w:val="22"/>
          <w:lang w:val="en-IN"/>
        </w:rPr>
      </w:pPr>
      <w:r w:rsidRPr="003E7031">
        <w:rPr>
          <w:rFonts w:ascii="Arial" w:hAnsi="Arial" w:cs="Arial"/>
          <w:b/>
          <w:bCs/>
          <w:sz w:val="22"/>
          <w:szCs w:val="22"/>
          <w:lang w:val="en-IN"/>
        </w:rPr>
        <w:br w:type="page"/>
      </w:r>
    </w:p>
    <w:p w14:paraId="31FB90F8" w14:textId="26BBF829" w:rsidR="003B3BB7" w:rsidRPr="00A94365" w:rsidRDefault="002710FA" w:rsidP="00A94365">
      <w:pPr>
        <w:pStyle w:val="Heading1"/>
        <w:rPr>
          <w:rFonts w:ascii="Arial" w:hAnsi="Arial" w:cs="Arial"/>
          <w:sz w:val="36"/>
          <w:szCs w:val="36"/>
          <w:lang w:val="en-IN"/>
        </w:rPr>
      </w:pPr>
      <w:bookmarkStart w:id="0" w:name="_Toc236365836"/>
      <w:r w:rsidRPr="00D32D92">
        <w:rPr>
          <w:rFonts w:ascii="Arial" w:hAnsi="Arial" w:cs="Arial"/>
          <w:sz w:val="36"/>
          <w:szCs w:val="36"/>
          <w:lang w:val="en-IN"/>
        </w:rPr>
        <w:lastRenderedPageBreak/>
        <w:t>The prevalence of the problem identified in health and social care</w:t>
      </w:r>
      <w:bookmarkEnd w:id="0"/>
    </w:p>
    <w:p w14:paraId="46250BEC" w14:textId="77777777" w:rsidR="00A94365" w:rsidRPr="00A94365" w:rsidRDefault="00A94365" w:rsidP="00A94365">
      <w:pPr>
        <w:spacing w:line="360" w:lineRule="auto"/>
        <w:rPr>
          <w:rFonts w:ascii="Arial" w:hAnsi="Arial" w:cs="Arial"/>
          <w:sz w:val="22"/>
          <w:szCs w:val="22"/>
          <w:lang w:val="en-IN"/>
        </w:rPr>
      </w:pPr>
      <w:r w:rsidRPr="00A94365">
        <w:rPr>
          <w:rFonts w:ascii="Arial" w:hAnsi="Arial" w:cs="Arial"/>
          <w:sz w:val="22"/>
          <w:szCs w:val="22"/>
          <w:lang w:val="en-IN"/>
        </w:rPr>
        <w:t>Menopause is a major and growing public health concern in England, affecting primary care delivery, women's wellbeing, and health disparities. Around 13 million UK women are perimenopausal or postmenopausal, with roughly 400,000 nearing menopause each year, typically around age 51, though symptoms often appear earlier (DHSC, 2022; NICE, 2024). Vasomotor, psychiatric, musculoskeletal, and urogenital symptoms can persist for years and are frequently overlooked in practice (Avis et al., 2015).</w:t>
      </w:r>
    </w:p>
    <w:p w14:paraId="11D1B2FC" w14:textId="16473EAB" w:rsidR="00130F77" w:rsidRPr="003E7031" w:rsidRDefault="00A94365" w:rsidP="00A94365">
      <w:pPr>
        <w:spacing w:line="360" w:lineRule="auto"/>
        <w:rPr>
          <w:rFonts w:ascii="Arial" w:hAnsi="Arial" w:cs="Arial"/>
          <w:sz w:val="22"/>
          <w:szCs w:val="22"/>
          <w:lang w:val="en-IN"/>
        </w:rPr>
      </w:pPr>
      <w:r w:rsidRPr="00A94365">
        <w:rPr>
          <w:rFonts w:ascii="Arial" w:hAnsi="Arial" w:cs="Arial"/>
          <w:sz w:val="22"/>
          <w:szCs w:val="22"/>
          <w:lang w:val="en-IN"/>
        </w:rPr>
        <w:t>Unmet need in general practice remains a key concern: many women report feeling ignored or unsupported, and GP confidence, prescribing patterns, and access to specialist services vary widely across England (DHSC, 2022; Hickey et al., 2017). The Women's Health Strategy (2022) and its 2026 renewal reaffirm menopause as a policy priority, but ongoing commitments suggest implementation gaps persist and warrant further examination.</w:t>
      </w:r>
    </w:p>
    <w:p w14:paraId="34B8502B" w14:textId="77777777" w:rsidR="0012280B" w:rsidRPr="00D32D92" w:rsidRDefault="002710FA">
      <w:pPr>
        <w:pStyle w:val="Heading1"/>
        <w:rPr>
          <w:rFonts w:ascii="Arial" w:hAnsi="Arial" w:cs="Arial"/>
          <w:sz w:val="36"/>
          <w:szCs w:val="36"/>
          <w:lang w:val="en-IN"/>
        </w:rPr>
      </w:pPr>
      <w:bookmarkStart w:id="1" w:name="_Toc236365837"/>
      <w:r w:rsidRPr="00D32D92">
        <w:rPr>
          <w:rFonts w:ascii="Arial" w:hAnsi="Arial" w:cs="Arial"/>
          <w:sz w:val="36"/>
          <w:szCs w:val="36"/>
          <w:lang w:val="en-IN"/>
        </w:rPr>
        <w:t>Literature Review</w:t>
      </w:r>
      <w:bookmarkEnd w:id="1"/>
    </w:p>
    <w:p w14:paraId="34B8502C"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Introduction</w:t>
      </w:r>
    </w:p>
    <w:p w14:paraId="34B8502D" w14:textId="77777777" w:rsidR="0012280B" w:rsidRPr="003E7031" w:rsidRDefault="002710FA">
      <w:pPr>
        <w:spacing w:line="360" w:lineRule="auto"/>
        <w:rPr>
          <w:rFonts w:ascii="Arial" w:hAnsi="Arial" w:cs="Arial"/>
          <w:sz w:val="22"/>
          <w:szCs w:val="22"/>
          <w:lang w:val="en-IN"/>
        </w:rPr>
      </w:pPr>
      <w:r w:rsidRPr="003E7031">
        <w:rPr>
          <w:rFonts w:ascii="Arial" w:hAnsi="Arial" w:cs="Arial"/>
          <w:sz w:val="22"/>
          <w:szCs w:val="22"/>
          <w:lang w:val="en-IN"/>
        </w:rPr>
        <w:t>Menopause is widely regarded as a major women's health concern that has an impact on physical health, psychological well-being, quality of life, and healthcare consumption. Menopause was highlighted as a national priority by the Women's Health Strategy for England, which advocated greater GP education, women's health hubs, and enhanced care pathways (DHSC, 2022). Because general practitioners (GPs) are typically the first point of contact, the quality of menopausal care in primary care is critical to meeting these objectives. However, it is unknown how far policy objectives have been applied in ordinary practice, emphasising the importance of reviewing current literature to discover consensus, contradictions, and gaps.</w:t>
      </w:r>
    </w:p>
    <w:p w14:paraId="4F237AB2" w14:textId="77777777" w:rsidR="003B3BB7" w:rsidRPr="003E7031" w:rsidRDefault="003B3BB7">
      <w:pPr>
        <w:spacing w:line="360" w:lineRule="auto"/>
        <w:rPr>
          <w:rFonts w:ascii="Arial" w:hAnsi="Arial" w:cs="Arial"/>
          <w:sz w:val="22"/>
          <w:szCs w:val="22"/>
          <w:lang w:val="en-IN"/>
        </w:rPr>
      </w:pPr>
    </w:p>
    <w:p w14:paraId="31E1EC4D" w14:textId="77777777" w:rsidR="003B3BB7" w:rsidRPr="003E7031" w:rsidRDefault="003B3BB7">
      <w:pPr>
        <w:spacing w:line="360" w:lineRule="auto"/>
        <w:rPr>
          <w:rFonts w:ascii="Arial" w:hAnsi="Arial" w:cs="Arial"/>
          <w:sz w:val="22"/>
          <w:szCs w:val="22"/>
          <w:lang w:val="en-IN"/>
        </w:rPr>
      </w:pPr>
    </w:p>
    <w:p w14:paraId="34B8502E"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Policy Context and Evolution</w:t>
      </w:r>
    </w:p>
    <w:p w14:paraId="34B85030" w14:textId="6B7F1CB8" w:rsidR="0012280B" w:rsidRPr="003E7031" w:rsidRDefault="002710FA">
      <w:pPr>
        <w:spacing w:line="360" w:lineRule="auto"/>
        <w:rPr>
          <w:rFonts w:ascii="Arial" w:hAnsi="Arial" w:cs="Arial"/>
          <w:sz w:val="22"/>
          <w:szCs w:val="22"/>
          <w:lang w:val="en-IN"/>
        </w:rPr>
      </w:pPr>
      <w:r w:rsidRPr="003E7031">
        <w:rPr>
          <w:rFonts w:ascii="Arial" w:hAnsi="Arial" w:cs="Arial"/>
          <w:sz w:val="22"/>
          <w:szCs w:val="22"/>
          <w:lang w:val="en-IN"/>
        </w:rPr>
        <w:t xml:space="preserve">Menopause policies have changed dramatically over the last two decades. Following the Women's Health Initiative and the Million Women Study, HRT prescriptions decreased due to worries about breast cancer and cardiovascular risk (Million Women Study Collaborators, 2003). Later research gave a more balanced view of hazards and benefits, notably among younger postmenopausal women (Lumsden et al., 2016). </w:t>
      </w:r>
      <w:r w:rsidRPr="003E7031">
        <w:rPr>
          <w:rFonts w:ascii="Arial" w:hAnsi="Arial" w:cs="Arial"/>
          <w:sz w:val="22"/>
          <w:szCs w:val="22"/>
          <w:lang w:val="en-IN"/>
        </w:rPr>
        <w:br/>
      </w:r>
      <w:r w:rsidRPr="003E7031">
        <w:rPr>
          <w:rFonts w:ascii="Arial" w:hAnsi="Arial" w:cs="Arial"/>
          <w:sz w:val="22"/>
          <w:szCs w:val="22"/>
          <w:lang w:val="en-IN"/>
        </w:rPr>
        <w:lastRenderedPageBreak/>
        <w:t xml:space="preserve">Significant policy developments include: • NICE NG23 (2015) outlines uniform diagnosis and management. </w:t>
      </w:r>
      <w:r w:rsidRPr="003E7031">
        <w:rPr>
          <w:rFonts w:ascii="Arial" w:hAnsi="Arial" w:cs="Arial"/>
          <w:sz w:val="22"/>
          <w:szCs w:val="22"/>
          <w:lang w:val="en-IN"/>
        </w:rPr>
        <w:br/>
        <w:t xml:space="preserve">• The NHS Long Term Plan (2019) promotes tailored, integrated care. </w:t>
      </w:r>
      <w:r w:rsidRPr="003E7031">
        <w:rPr>
          <w:rFonts w:ascii="Arial" w:hAnsi="Arial" w:cs="Arial"/>
          <w:sz w:val="22"/>
          <w:szCs w:val="22"/>
          <w:lang w:val="en-IN"/>
        </w:rPr>
        <w:br/>
        <w:t xml:space="preserve">• Women's Health Strategy (2022) prioritises menopause care and training. </w:t>
      </w:r>
      <w:r w:rsidRPr="003E7031">
        <w:rPr>
          <w:rFonts w:ascii="Arial" w:hAnsi="Arial" w:cs="Arial"/>
          <w:sz w:val="22"/>
          <w:szCs w:val="22"/>
          <w:lang w:val="en-IN"/>
        </w:rPr>
        <w:br/>
        <w:t xml:space="preserve">• The HRT Prepayment Certificate (2023) has decreased cost barriers. </w:t>
      </w:r>
      <w:r w:rsidRPr="003E7031">
        <w:rPr>
          <w:rFonts w:ascii="Arial" w:hAnsi="Arial" w:cs="Arial"/>
          <w:sz w:val="22"/>
          <w:szCs w:val="22"/>
          <w:lang w:val="en-IN"/>
        </w:rPr>
        <w:br/>
        <w:t xml:space="preserve">• Women's Health Hubs (2023-2026) provide integrated community care. </w:t>
      </w:r>
      <w:r w:rsidRPr="003E7031">
        <w:rPr>
          <w:rFonts w:ascii="Arial" w:hAnsi="Arial" w:cs="Arial"/>
          <w:sz w:val="22"/>
          <w:szCs w:val="22"/>
          <w:lang w:val="en-IN"/>
        </w:rPr>
        <w:br/>
        <w:t>These programs show great policy commitment, but the evidence of their influence on everyday GP practice is sparse.</w:t>
      </w:r>
    </w:p>
    <w:p w14:paraId="34B85031"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Clinical Evidence for Menopause Management</w:t>
      </w:r>
    </w:p>
    <w:p w14:paraId="66B1D7BD" w14:textId="218AB6EE" w:rsidR="008D4F3D" w:rsidRPr="008D4F3D" w:rsidRDefault="008D4F3D" w:rsidP="008D4F3D">
      <w:pPr>
        <w:spacing w:line="360" w:lineRule="auto"/>
        <w:rPr>
          <w:rFonts w:ascii="Arial" w:hAnsi="Arial" w:cs="Arial"/>
          <w:sz w:val="22"/>
          <w:szCs w:val="22"/>
          <w:lang w:val="en-IN"/>
        </w:rPr>
      </w:pPr>
      <w:r w:rsidRPr="008D4F3D">
        <w:rPr>
          <w:rFonts w:ascii="Arial" w:hAnsi="Arial" w:cs="Arial"/>
          <w:sz w:val="22"/>
          <w:szCs w:val="22"/>
          <w:lang w:val="en-IN"/>
        </w:rPr>
        <w:t xml:space="preserve">Guidelines propose identifying menopause in women over 45 with typical symptoms and promoting tailored HRT through shared decision-making. UK observational studies have changed prescribing practices. Vinogradova et al. (2019) discovered that transdermal HRT had a lower risk of venous thromboembolism than oral HRT, but Vinogradova et al. (2020) observed that breast cancer risk changes with HRT type and duration. </w:t>
      </w:r>
      <w:r w:rsidRPr="008D4F3D">
        <w:rPr>
          <w:rFonts w:ascii="Arial" w:hAnsi="Arial" w:cs="Arial"/>
          <w:sz w:val="22"/>
          <w:szCs w:val="22"/>
          <w:lang w:val="en-IN"/>
        </w:rPr>
        <w:br/>
        <w:t>However, observational studies cannot prove causality, and prescribing data offers no insight into consultation quality or patient involvement. As a result, there is more data supporting treatment safety than person-centred care.</w:t>
      </w:r>
    </w:p>
    <w:p w14:paraId="34B85033"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GP Knowledge, Confidence, and Professional Capability</w:t>
      </w:r>
    </w:p>
    <w:p w14:paraId="34B85034" w14:textId="77777777" w:rsidR="0012280B" w:rsidRPr="003E7031" w:rsidRDefault="002710FA">
      <w:pPr>
        <w:spacing w:line="360" w:lineRule="auto"/>
        <w:rPr>
          <w:rFonts w:ascii="Arial" w:hAnsi="Arial" w:cs="Arial"/>
          <w:sz w:val="22"/>
          <w:szCs w:val="22"/>
          <w:lang w:val="en-IN"/>
        </w:rPr>
      </w:pPr>
      <w:r w:rsidRPr="003E7031">
        <w:rPr>
          <w:rFonts w:ascii="Arial" w:hAnsi="Arial" w:cs="Arial"/>
          <w:sz w:val="22"/>
          <w:szCs w:val="22"/>
          <w:lang w:val="en-IN"/>
        </w:rPr>
        <w:t xml:space="preserve">Research reveals disparities in GP knowledge and confidence in menopausal management. Rees et al. (2019) found disparities in training access, prescribing confidence, and difficult case management, which are consistent with Sukumar et al.'s (2021) findings. This shows that menopause has long been under-represented in medical education and continuous professional development. </w:t>
      </w:r>
      <w:r w:rsidRPr="003E7031">
        <w:rPr>
          <w:rFonts w:ascii="Arial" w:hAnsi="Arial" w:cs="Arial"/>
          <w:sz w:val="22"/>
          <w:szCs w:val="22"/>
          <w:lang w:val="en-IN"/>
        </w:rPr>
        <w:br/>
        <w:t>Most research are based on self-reported confidence rather than actual ability. They also prioritise individual knowledge gaps over organisational issues such as workload, consultation time, continuity of treatment, and availability to professional support. These contextual factors warrant additional investigation.</w:t>
      </w:r>
    </w:p>
    <w:p w14:paraId="34B85037" w14:textId="29F29BE3" w:rsidR="0012280B" w:rsidRPr="003E7031" w:rsidRDefault="002710FA">
      <w:pPr>
        <w:spacing w:line="360" w:lineRule="auto"/>
        <w:rPr>
          <w:rFonts w:ascii="Arial" w:hAnsi="Arial" w:cs="Arial"/>
          <w:sz w:val="22"/>
          <w:szCs w:val="22"/>
          <w:lang w:val="en-IN"/>
        </w:rPr>
      </w:pPr>
      <w:r w:rsidRPr="003E7031">
        <w:rPr>
          <w:rFonts w:ascii="Arial" w:hAnsi="Arial" w:cs="Arial"/>
          <w:b/>
          <w:bCs/>
          <w:sz w:val="22"/>
          <w:szCs w:val="22"/>
          <w:lang w:val="en-IN"/>
        </w:rPr>
        <w:t>Women's Experiences with Menopause Care</w:t>
      </w:r>
      <w:r w:rsidRPr="003E7031">
        <w:rPr>
          <w:rFonts w:ascii="Arial" w:hAnsi="Arial" w:cs="Arial"/>
          <w:sz w:val="22"/>
          <w:szCs w:val="22"/>
          <w:lang w:val="en-IN"/>
        </w:rPr>
        <w:t xml:space="preserve"> </w:t>
      </w:r>
      <w:r w:rsidRPr="003E7031">
        <w:rPr>
          <w:rFonts w:ascii="Arial" w:hAnsi="Arial" w:cs="Arial"/>
          <w:sz w:val="22"/>
          <w:szCs w:val="22"/>
          <w:lang w:val="en-IN"/>
        </w:rPr>
        <w:br/>
        <w:t xml:space="preserve">According to qualitative research, many women face delays in diagnosis and treatment and frequently believe their symptoms are disregarded or downplayed (Jack et al., 2021). These findings are consistent with evidence from the Women's Health Strategy consultation (DHSC, 2022). Communication, empathy, affirmation, and collaborative decision-making are among the key topics. </w:t>
      </w:r>
      <w:r w:rsidRPr="003E7031">
        <w:rPr>
          <w:rFonts w:ascii="Arial" w:hAnsi="Arial" w:cs="Arial"/>
          <w:sz w:val="22"/>
          <w:szCs w:val="22"/>
          <w:lang w:val="en-IN"/>
        </w:rPr>
        <w:br/>
        <w:t xml:space="preserve">Although qualitative studies may over-represent negative experiences due to limited sample </w:t>
      </w:r>
      <w:r w:rsidRPr="003E7031">
        <w:rPr>
          <w:rFonts w:ascii="Arial" w:hAnsi="Arial" w:cs="Arial"/>
          <w:sz w:val="22"/>
          <w:szCs w:val="22"/>
          <w:lang w:val="en-IN"/>
        </w:rPr>
        <w:lastRenderedPageBreak/>
        <w:t>sizes, the consistency of findings across studies indicates significant heterogeneity in care quality.</w:t>
      </w:r>
    </w:p>
    <w:p w14:paraId="34B85038"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Inequalities in Access and Care</w:t>
      </w:r>
    </w:p>
    <w:p w14:paraId="34B85039" w14:textId="77777777" w:rsidR="0012280B" w:rsidRPr="003E7031" w:rsidRDefault="002710FA">
      <w:pPr>
        <w:spacing w:line="360" w:lineRule="auto"/>
        <w:rPr>
          <w:rFonts w:ascii="Arial" w:hAnsi="Arial" w:cs="Arial"/>
          <w:sz w:val="22"/>
          <w:szCs w:val="22"/>
          <w:lang w:val="en-IN"/>
        </w:rPr>
      </w:pPr>
      <w:r w:rsidRPr="003E7031">
        <w:rPr>
          <w:rFonts w:ascii="Arial" w:hAnsi="Arial" w:cs="Arial"/>
          <w:sz w:val="22"/>
          <w:szCs w:val="22"/>
          <w:lang w:val="en-IN"/>
        </w:rPr>
        <w:t>Evidence suggests inequities in menopause care. Women from minority ethnic origins may have lesser knowledge, alternative cultural interpretations of symptoms, and use less HRT (Szczepura et al., 2018). Socioeconomic hardship is also associated with decreased access to information and services. Despite official promises to equity, large-scale UK evidence on these inequities is scarce, highlighting a significant vacuum in the literature.</w:t>
      </w:r>
    </w:p>
    <w:p w14:paraId="34B8503A" w14:textId="77777777" w:rsidR="0012280B" w:rsidRPr="003E7031" w:rsidRDefault="002710FA" w:rsidP="00D32D92">
      <w:pPr>
        <w:spacing w:line="360" w:lineRule="auto"/>
        <w:rPr>
          <w:rFonts w:ascii="Arial" w:hAnsi="Arial" w:cs="Arial"/>
          <w:sz w:val="22"/>
          <w:szCs w:val="22"/>
          <w:lang w:val="en-IN"/>
        </w:rPr>
      </w:pPr>
      <w:r w:rsidRPr="003E7031">
        <w:rPr>
          <w:rFonts w:ascii="Arial" w:hAnsi="Arial" w:cs="Arial"/>
          <w:b/>
          <w:bCs/>
          <w:sz w:val="22"/>
          <w:szCs w:val="22"/>
          <w:lang w:val="en-IN"/>
        </w:rPr>
        <w:t>Methodological Limitations of Existing Literature</w:t>
      </w:r>
      <w:r w:rsidRPr="003E7031">
        <w:rPr>
          <w:rFonts w:ascii="Arial" w:hAnsi="Arial" w:cs="Arial"/>
          <w:sz w:val="22"/>
          <w:szCs w:val="22"/>
          <w:lang w:val="en-IN"/>
        </w:rPr>
        <w:t xml:space="preserve"> </w:t>
      </w:r>
      <w:r w:rsidRPr="003E7031">
        <w:rPr>
          <w:rFonts w:ascii="Arial" w:hAnsi="Arial" w:cs="Arial"/>
          <w:sz w:val="22"/>
          <w:szCs w:val="22"/>
          <w:lang w:val="en-IN"/>
        </w:rPr>
        <w:br/>
        <w:t>The literature is distinguished by its methodological diversity, which includes cross-sectional surveys, qualitative interviews, observational prescribing studies, and descriptive service assessments. The prevalence of self-reported data and non-experimental methods makes it difficult to demonstrate causation or assess the efficacy of policy initiatives like Women's Health Hubs. Few research combine clinician opinions, patient experiences, and organisational aspects into a unified analytical framework.</w:t>
      </w:r>
    </w:p>
    <w:p w14:paraId="34B8503B"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Research Gap and Proposed Contribution</w:t>
      </w:r>
    </w:p>
    <w:p w14:paraId="34B8503C" w14:textId="77777777" w:rsidR="0012280B" w:rsidRPr="003E7031" w:rsidRDefault="002710FA">
      <w:pPr>
        <w:spacing w:line="360" w:lineRule="auto"/>
        <w:rPr>
          <w:rFonts w:ascii="Arial" w:hAnsi="Arial" w:cs="Arial"/>
          <w:sz w:val="22"/>
          <w:szCs w:val="22"/>
          <w:lang w:val="en-IN"/>
        </w:rPr>
      </w:pPr>
      <w:r w:rsidRPr="003E7031">
        <w:rPr>
          <w:rFonts w:ascii="Arial" w:hAnsi="Arial" w:cs="Arial"/>
          <w:sz w:val="22"/>
          <w:szCs w:val="22"/>
          <w:lang w:val="en-IN"/>
        </w:rPr>
        <w:t>Overall, policymakers are strongly committed to enhancing menopausal care through national plans and service changes. However, information on implementation in ordinary general practice is lacking, particularly in terms of GP experiences under workload pressures and organisational restrictions.</w:t>
      </w:r>
    </w:p>
    <w:p w14:paraId="3C978AE3" w14:textId="79E50716" w:rsidR="004F400C" w:rsidRPr="003E7031" w:rsidRDefault="002710FA">
      <w:pPr>
        <w:spacing w:line="360" w:lineRule="auto"/>
        <w:rPr>
          <w:rFonts w:ascii="Arial" w:hAnsi="Arial" w:cs="Arial"/>
          <w:sz w:val="22"/>
          <w:szCs w:val="22"/>
          <w:lang w:val="en-IN"/>
        </w:rPr>
      </w:pPr>
      <w:r w:rsidRPr="003E7031">
        <w:rPr>
          <w:rFonts w:ascii="Arial" w:hAnsi="Arial" w:cs="Arial"/>
          <w:sz w:val="22"/>
          <w:szCs w:val="22"/>
          <w:lang w:val="en-IN"/>
        </w:rPr>
        <w:t xml:space="preserve">This study will </w:t>
      </w:r>
      <w:r w:rsidR="000C6286" w:rsidRPr="003E7031">
        <w:rPr>
          <w:rFonts w:ascii="Arial" w:hAnsi="Arial" w:cs="Arial"/>
          <w:sz w:val="22"/>
          <w:szCs w:val="22"/>
          <w:lang w:val="en-IN"/>
        </w:rPr>
        <w:t>investigate</w:t>
      </w:r>
      <w:r w:rsidRPr="003E7031">
        <w:rPr>
          <w:rFonts w:ascii="Arial" w:hAnsi="Arial" w:cs="Arial"/>
          <w:sz w:val="22"/>
          <w:szCs w:val="22"/>
          <w:lang w:val="en-IN"/>
        </w:rPr>
        <w:t xml:space="preserve"> whether GPs believe they can deliver on the goals of the Women's Health Strategy, as well as identify barriers and facilitators to successful menopausal care. It attempts to provide a more comprehensive understanding of present practice while also informing future policy, training, and service improvement.</w:t>
      </w:r>
      <w:r w:rsidR="001532B6" w:rsidRPr="001532B6">
        <w:rPr>
          <w:noProof/>
        </w:rPr>
        <w:t xml:space="preserve"> </w:t>
      </w:r>
      <w:r w:rsidR="001532B6">
        <w:rPr>
          <w:noProof/>
        </w:rPr>
        <w:drawing>
          <wp:inline distT="0" distB="0" distL="0" distR="0" wp14:anchorId="7C195D49" wp14:editId="612F4A91">
            <wp:extent cx="3880965" cy="2251467"/>
            <wp:effectExtent l="0" t="0" r="5715" b="0"/>
            <wp:docPr id="1700000002" name="Figure 2 Conceptual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00002" name="Figure 2 Conceptual Framework"/>
                    <pic:cNvPicPr>
                      <a:picLocks noChangeAspect="1"/>
                    </pic:cNvPicPr>
                  </pic:nvPicPr>
                  <pic:blipFill>
                    <a:blip r:embed="rId9"/>
                    <a:stretch>
                      <a:fillRect/>
                    </a:stretch>
                  </pic:blipFill>
                  <pic:spPr>
                    <a:xfrm>
                      <a:off x="0" y="0"/>
                      <a:ext cx="3882517" cy="2252368"/>
                    </a:xfrm>
                    <a:prstGeom prst="rect">
                      <a:avLst/>
                    </a:prstGeom>
                  </pic:spPr>
                </pic:pic>
              </a:graphicData>
            </a:graphic>
          </wp:inline>
        </w:drawing>
      </w:r>
      <w:r w:rsidR="004F400C" w:rsidRPr="003E7031">
        <w:rPr>
          <w:rFonts w:ascii="Arial" w:hAnsi="Arial" w:cs="Arial"/>
          <w:noProof/>
        </w:rPr>
        <mc:AlternateContent>
          <mc:Choice Requires="wps">
            <w:drawing>
              <wp:inline distT="0" distB="0" distL="0" distR="0" wp14:anchorId="23051F1E" wp14:editId="071E5B09">
                <wp:extent cx="304800" cy="304800"/>
                <wp:effectExtent l="0" t="0" r="0" b="0"/>
                <wp:docPr id="165601521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BA1945"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4B8503E" w14:textId="77777777" w:rsidR="0012280B" w:rsidRDefault="002710FA">
      <w:pPr>
        <w:pStyle w:val="Heading1"/>
        <w:rPr>
          <w:rFonts w:ascii="Arial" w:hAnsi="Arial" w:cs="Arial"/>
          <w:sz w:val="36"/>
          <w:szCs w:val="36"/>
          <w:lang w:val="en-IN"/>
        </w:rPr>
      </w:pPr>
      <w:bookmarkStart w:id="2" w:name="_Toc236365838"/>
      <w:r w:rsidRPr="00D32D92">
        <w:rPr>
          <w:rFonts w:ascii="Arial" w:hAnsi="Arial" w:cs="Arial"/>
          <w:sz w:val="36"/>
          <w:szCs w:val="36"/>
          <w:lang w:val="en-IN"/>
        </w:rPr>
        <w:lastRenderedPageBreak/>
        <w:t>Rationale of Research</w:t>
      </w:r>
      <w:bookmarkEnd w:id="2"/>
    </w:p>
    <w:p w14:paraId="4E83A7DB" w14:textId="77777777" w:rsidR="00A075BE" w:rsidRPr="00A075BE" w:rsidRDefault="00A075BE" w:rsidP="00A075BE">
      <w:pPr>
        <w:rPr>
          <w:lang w:val="en-IN"/>
        </w:rPr>
      </w:pPr>
      <w:r w:rsidRPr="00A075BE">
        <w:rPr>
          <w:lang w:val="en-IN"/>
        </w:rPr>
        <w:t>Despite the Women's Health Strategy for England (2022) recognising menopause as a national priority and driving reforms to GP training, care pathways, and access to services, GP confidence, prescribing habits, specialist support, and women's care experiences continue to vary. This study is needed because knowledge of whether general practice aligns with the Strategy remains fragmented across policy papers, clinical guidelines, observational studies, and qualitative research. A secondary research approach is therefore appropriate, enabling systematic, critical review of existing evidence without collecting primary data.</w:t>
      </w:r>
    </w:p>
    <w:p w14:paraId="664043E3" w14:textId="2BCB5234" w:rsidR="00D44B81" w:rsidRPr="00D44B81" w:rsidRDefault="00A075BE" w:rsidP="00A075BE">
      <w:pPr>
        <w:rPr>
          <w:lang w:val="en-IN"/>
        </w:rPr>
      </w:pPr>
      <w:r w:rsidRPr="00A075BE">
        <w:rPr>
          <w:lang w:val="en-IN"/>
        </w:rPr>
        <w:t>The study is justified by its policy relevance and focus on this evidence gap. By synthesising current literature, it aims to clarify how menopause care in general practice aligns with national policy goals and to inform future service improvement.</w:t>
      </w:r>
    </w:p>
    <w:p w14:paraId="34B85043" w14:textId="77777777" w:rsidR="0012280B" w:rsidRPr="00D32D92" w:rsidRDefault="002710FA">
      <w:pPr>
        <w:pStyle w:val="Heading1"/>
        <w:rPr>
          <w:rFonts w:ascii="Arial" w:hAnsi="Arial" w:cs="Arial"/>
          <w:sz w:val="36"/>
          <w:szCs w:val="36"/>
          <w:lang w:val="en-IN"/>
        </w:rPr>
      </w:pPr>
      <w:bookmarkStart w:id="3" w:name="_Toc236365839"/>
      <w:r w:rsidRPr="00D32D92">
        <w:rPr>
          <w:rFonts w:ascii="Arial" w:hAnsi="Arial" w:cs="Arial"/>
          <w:sz w:val="36"/>
          <w:szCs w:val="36"/>
          <w:lang w:val="en-IN"/>
        </w:rPr>
        <w:t>Research Questions</w:t>
      </w:r>
      <w:bookmarkEnd w:id="3"/>
    </w:p>
    <w:p w14:paraId="34B85044" w14:textId="77777777" w:rsidR="0012280B" w:rsidRPr="003E7031" w:rsidRDefault="002710FA">
      <w:pPr>
        <w:pStyle w:val="ListParagraph"/>
        <w:numPr>
          <w:ilvl w:val="0"/>
          <w:numId w:val="1"/>
        </w:num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To what extent does existing evidence suggest that general practice in England is delivering menopause care in line with the Women’s Health Strategy for UK?</w:t>
      </w:r>
    </w:p>
    <w:p w14:paraId="34B85045" w14:textId="77777777" w:rsidR="0012280B" w:rsidRPr="003E7031" w:rsidRDefault="002710FA">
      <w:pPr>
        <w:pStyle w:val="ListParagraph"/>
        <w:numPr>
          <w:ilvl w:val="0"/>
          <w:numId w:val="1"/>
        </w:num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What barriers and facilitators to effective menopause care in general practice are identified in the literature?</w:t>
      </w:r>
    </w:p>
    <w:p w14:paraId="34B85046" w14:textId="77777777" w:rsidR="0012280B" w:rsidRPr="00D32D92" w:rsidRDefault="002710FA">
      <w:pPr>
        <w:pStyle w:val="Heading1"/>
        <w:rPr>
          <w:rFonts w:ascii="Arial" w:hAnsi="Arial" w:cs="Arial"/>
          <w:sz w:val="36"/>
          <w:szCs w:val="36"/>
          <w:lang w:val="en-IN"/>
        </w:rPr>
      </w:pPr>
      <w:bookmarkStart w:id="4" w:name="_Toc236365840"/>
      <w:r w:rsidRPr="00D32D92">
        <w:rPr>
          <w:rFonts w:ascii="Arial" w:hAnsi="Arial" w:cs="Arial"/>
          <w:sz w:val="36"/>
          <w:szCs w:val="36"/>
          <w:lang w:val="en-IN"/>
        </w:rPr>
        <w:t>Research Aim</w:t>
      </w:r>
      <w:bookmarkEnd w:id="4"/>
    </w:p>
    <w:p w14:paraId="34B85047" w14:textId="77777777" w:rsidR="0012280B" w:rsidRPr="003E7031" w:rsidRDefault="002710FA">
      <w:pPr>
        <w:spacing w:line="360" w:lineRule="auto"/>
        <w:rPr>
          <w:rFonts w:ascii="Arial" w:eastAsia="Times New Roman" w:hAnsi="Arial" w:cs="Arial"/>
          <w:kern w:val="0"/>
          <w:sz w:val="22"/>
          <w:szCs w:val="22"/>
          <w:lang w:eastAsia="en-IN"/>
          <w14:ligatures w14:val="none"/>
        </w:rPr>
      </w:pPr>
      <w:r w:rsidRPr="003E7031">
        <w:rPr>
          <w:rFonts w:ascii="Arial" w:eastAsia="Times New Roman" w:hAnsi="Arial" w:cs="Arial"/>
          <w:kern w:val="0"/>
          <w:sz w:val="22"/>
          <w:szCs w:val="22"/>
          <w:lang w:eastAsia="en-IN"/>
          <w14:ligatures w14:val="none"/>
        </w:rPr>
        <w:t>To critically evaluate existing literature and policy evidence to determine whether general practice in UK is delivering menopause care in accordance with the Women’s Health Strategy for UK.</w:t>
      </w:r>
    </w:p>
    <w:p w14:paraId="34B85048" w14:textId="77777777" w:rsidR="0012280B" w:rsidRPr="00D32D92" w:rsidRDefault="002710FA" w:rsidP="00C84B3D">
      <w:pPr>
        <w:pStyle w:val="Heading1"/>
        <w:rPr>
          <w:rFonts w:ascii="Arial" w:hAnsi="Arial" w:cs="Arial"/>
          <w:sz w:val="36"/>
          <w:szCs w:val="36"/>
          <w:lang w:val="en-IN"/>
        </w:rPr>
      </w:pPr>
      <w:bookmarkStart w:id="5" w:name="_Toc236365841"/>
      <w:r w:rsidRPr="00D32D92">
        <w:rPr>
          <w:rFonts w:ascii="Arial" w:hAnsi="Arial" w:cs="Arial"/>
          <w:sz w:val="36"/>
          <w:szCs w:val="36"/>
          <w:lang w:val="en-IN"/>
        </w:rPr>
        <w:t>Research Objectives</w:t>
      </w:r>
      <w:bookmarkEnd w:id="5"/>
    </w:p>
    <w:p w14:paraId="34B85049" w14:textId="77777777" w:rsidR="0012280B" w:rsidRPr="003E7031" w:rsidRDefault="002710FA">
      <w:pPr>
        <w:pStyle w:val="ListParagraph"/>
        <w:numPr>
          <w:ilvl w:val="0"/>
          <w:numId w:val="2"/>
        </w:numPr>
        <w:spacing w:line="360" w:lineRule="auto"/>
        <w:rPr>
          <w:rFonts w:ascii="Arial" w:eastAsia="Times New Roman" w:hAnsi="Arial" w:cs="Arial"/>
          <w:kern w:val="0"/>
          <w:sz w:val="22"/>
          <w:szCs w:val="22"/>
          <w:lang w:eastAsia="en-IN"/>
          <w14:ligatures w14:val="none"/>
        </w:rPr>
      </w:pPr>
      <w:r w:rsidRPr="003E7031">
        <w:rPr>
          <w:rFonts w:ascii="Arial" w:eastAsia="Times New Roman" w:hAnsi="Arial" w:cs="Arial"/>
          <w:kern w:val="0"/>
          <w:sz w:val="22"/>
          <w:szCs w:val="22"/>
          <w:lang w:eastAsia="en-IN"/>
          <w14:ligatures w14:val="none"/>
        </w:rPr>
        <w:t>To review national policy and clinical guidance relating to menopause care in general practice.</w:t>
      </w:r>
    </w:p>
    <w:p w14:paraId="34B8504A" w14:textId="77777777" w:rsidR="0012280B" w:rsidRPr="003E7031" w:rsidRDefault="002710FA">
      <w:pPr>
        <w:pStyle w:val="ListParagraph"/>
        <w:numPr>
          <w:ilvl w:val="0"/>
          <w:numId w:val="2"/>
        </w:numPr>
        <w:spacing w:line="360" w:lineRule="auto"/>
        <w:rPr>
          <w:rFonts w:ascii="Arial" w:eastAsia="Times New Roman" w:hAnsi="Arial" w:cs="Arial"/>
          <w:kern w:val="0"/>
          <w:sz w:val="22"/>
          <w:szCs w:val="22"/>
          <w:lang w:eastAsia="en-IN"/>
          <w14:ligatures w14:val="none"/>
        </w:rPr>
      </w:pPr>
      <w:r w:rsidRPr="003E7031">
        <w:rPr>
          <w:rFonts w:ascii="Arial" w:eastAsia="Times New Roman" w:hAnsi="Arial" w:cs="Arial"/>
          <w:kern w:val="0"/>
          <w:sz w:val="22"/>
          <w:szCs w:val="22"/>
          <w:lang w:eastAsia="en-IN"/>
          <w14:ligatures w14:val="none"/>
        </w:rPr>
        <w:t>To examine published evidence on GP menopause care, including knowledge, confidence, prescribing practices, and women’s experiences.</w:t>
      </w:r>
    </w:p>
    <w:p w14:paraId="34B8504B" w14:textId="77777777" w:rsidR="0012280B" w:rsidRPr="003E7031" w:rsidRDefault="002710FA">
      <w:pPr>
        <w:pStyle w:val="ListParagraph"/>
        <w:numPr>
          <w:ilvl w:val="0"/>
          <w:numId w:val="2"/>
        </w:numPr>
        <w:spacing w:line="360" w:lineRule="auto"/>
        <w:rPr>
          <w:rFonts w:ascii="Arial" w:eastAsia="Times New Roman" w:hAnsi="Arial" w:cs="Arial"/>
          <w:kern w:val="0"/>
          <w:sz w:val="22"/>
          <w:szCs w:val="22"/>
          <w:lang w:eastAsia="en-IN"/>
          <w14:ligatures w14:val="none"/>
        </w:rPr>
      </w:pPr>
      <w:r w:rsidRPr="003E7031">
        <w:rPr>
          <w:rFonts w:ascii="Arial" w:eastAsia="Times New Roman" w:hAnsi="Arial" w:cs="Arial"/>
          <w:kern w:val="0"/>
          <w:sz w:val="22"/>
          <w:szCs w:val="22"/>
          <w:lang w:eastAsia="en-IN"/>
          <w14:ligatures w14:val="none"/>
        </w:rPr>
        <w:t>To identify barriers and facilitators influencing the delivery of menopause care in general practice and assess their alignment with the Women’s Health Strategy.</w:t>
      </w:r>
    </w:p>
    <w:p w14:paraId="34B8504C" w14:textId="77777777" w:rsidR="0012280B" w:rsidRPr="00D32D92" w:rsidRDefault="002710FA">
      <w:pPr>
        <w:pStyle w:val="Heading1"/>
        <w:rPr>
          <w:rFonts w:ascii="Arial" w:hAnsi="Arial" w:cs="Arial"/>
          <w:sz w:val="36"/>
          <w:szCs w:val="36"/>
          <w:lang w:val="en-IN"/>
        </w:rPr>
      </w:pPr>
      <w:bookmarkStart w:id="6" w:name="_Toc236365842"/>
      <w:r w:rsidRPr="00D32D92">
        <w:rPr>
          <w:rFonts w:ascii="Arial" w:hAnsi="Arial" w:cs="Arial"/>
          <w:sz w:val="36"/>
          <w:szCs w:val="36"/>
          <w:lang w:val="en-IN"/>
        </w:rPr>
        <w:t>Research Methodology</w:t>
      </w:r>
      <w:bookmarkEnd w:id="6"/>
    </w:p>
    <w:p w14:paraId="1F2A2941" w14:textId="77777777" w:rsidR="00DB1EE1" w:rsidRDefault="00DB1EE1" w:rsidP="00DB1EE1">
      <w:pPr>
        <w:spacing w:line="360" w:lineRule="auto"/>
        <w:rPr>
          <w:rFonts w:ascii="Arial" w:eastAsia="Times New Roman" w:hAnsi="Arial" w:cs="Arial"/>
          <w:kern w:val="0"/>
          <w:sz w:val="22"/>
          <w:szCs w:val="22"/>
          <w:lang w:val="en-IN" w:eastAsia="en-IN"/>
          <w14:ligatures w14:val="none"/>
        </w:rPr>
      </w:pPr>
      <w:r w:rsidRPr="00DB1EE1">
        <w:rPr>
          <w:rFonts w:ascii="Arial" w:eastAsia="Times New Roman" w:hAnsi="Arial" w:cs="Arial"/>
          <w:kern w:val="0"/>
          <w:sz w:val="22"/>
          <w:szCs w:val="22"/>
          <w:lang w:val="en-IN" w:eastAsia="en-IN"/>
          <w14:ligatures w14:val="none"/>
        </w:rPr>
        <w:t xml:space="preserve">This project will conduct a Systematic Literature Review (SLR) to determine if general practitioners (GPs) are providing menopause care in accordance with the Women's Health </w:t>
      </w:r>
      <w:r w:rsidRPr="00DB1EE1">
        <w:rPr>
          <w:rFonts w:ascii="Arial" w:eastAsia="Times New Roman" w:hAnsi="Arial" w:cs="Arial"/>
          <w:kern w:val="0"/>
          <w:sz w:val="22"/>
          <w:szCs w:val="22"/>
          <w:lang w:val="en-IN" w:eastAsia="en-IN"/>
          <w14:ligatures w14:val="none"/>
        </w:rPr>
        <w:lastRenderedPageBreak/>
        <w:t>Strategy for England. An SLR was chosen because it allows for a comprehensive, transparent, and reproducible synthesis of existing evidence rather than gathering new primary data (Aveyard, 2018; Booth, Sutton, and Papaioannou, 2016). This approach is suitable for the fragmented and methodologically diverse evidence base on menopause policy, clinical guidance, GP education, prescribing patterns, and women's experiences because it employs a structured process that reduces bias in study selection and interpretation (Page et al., 2021).</w:t>
      </w:r>
    </w:p>
    <w:p w14:paraId="7829C456" w14:textId="77777777" w:rsidR="007F1A96" w:rsidRPr="007F1A96" w:rsidRDefault="007F1A96" w:rsidP="007F1A96">
      <w:pPr>
        <w:spacing w:line="360" w:lineRule="auto"/>
        <w:rPr>
          <w:rFonts w:ascii="Arial" w:eastAsia="Times New Roman" w:hAnsi="Arial" w:cs="Arial"/>
          <w:kern w:val="0"/>
          <w:sz w:val="22"/>
          <w:szCs w:val="22"/>
          <w:lang w:val="en-IN" w:eastAsia="en-IN"/>
          <w14:ligatures w14:val="none"/>
        </w:rPr>
      </w:pPr>
      <w:r w:rsidRPr="007F1A96">
        <w:rPr>
          <w:rFonts w:ascii="Arial" w:eastAsia="Times New Roman" w:hAnsi="Arial" w:cs="Arial"/>
          <w:kern w:val="0"/>
          <w:sz w:val="22"/>
          <w:szCs w:val="22"/>
          <w:lang w:val="en-IN" w:eastAsia="en-IN"/>
          <w14:ligatures w14:val="none"/>
        </w:rPr>
        <w:t>The review will adhere to the PRISMA 2020 principles (Page et al., 2021), including a predefined search strategy, explicit eligibility criteria, a transparent screening procedure, and systematic data extraction and synthesis. Because the study focuses on GPs' and women's experiences, perceptions, and organisational factors rather than clinical outcomes, it will employ a qualitative evidence synthesis informed by an interpretivist perspective, recognising that care is shaped by professional experience, organisational context, and policy environment.</w:t>
      </w:r>
    </w:p>
    <w:p w14:paraId="0481A25E" w14:textId="77777777" w:rsidR="007F1A96" w:rsidRPr="00DB1EE1" w:rsidRDefault="007F1A96" w:rsidP="00DB1EE1">
      <w:pPr>
        <w:spacing w:line="360" w:lineRule="auto"/>
        <w:rPr>
          <w:rFonts w:ascii="Arial" w:eastAsia="Times New Roman" w:hAnsi="Arial" w:cs="Arial"/>
          <w:kern w:val="0"/>
          <w:sz w:val="22"/>
          <w:szCs w:val="22"/>
          <w:lang w:val="en-IN" w:eastAsia="en-IN"/>
          <w14:ligatures w14:val="none"/>
        </w:rPr>
      </w:pPr>
    </w:p>
    <w:p w14:paraId="34B8504E"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Research Design: Search Strategy</w:t>
      </w:r>
    </w:p>
    <w:p w14:paraId="10000001" w14:textId="77777777"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A systematic search will be conducted across MEDLINE, CINAHL, the Cochrane Library, Google Scholar, and NICE Evidence, supplemented by grey literature searches of NHS and DHSC websites. Search terms will include “menopause”, “general practice”, “primary care”, “Women’s Health Strategy”, “GP confidence”, and “HRT”, combined using Boolean operators (AND/OR) and truncation to capture variant terms. Reference lists of key studies will also be hand-searched to identify further relevant sources.</w:t>
      </w:r>
    </w:p>
    <w:p w14:paraId="10000002" w14:textId="77777777"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Screening and Selection</w:t>
      </w:r>
    </w:p>
    <w:p w14:paraId="10000003" w14:textId="77777777"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Records will be screened in two stages against the inclusion and exclusion criteria set out below: an initial title and abstract screen, followed by full-text review of potentially eligible studies. The selection process will be documented and reported using a PRISMA flow diagram (Page et al., 2021), recording the number of records identified, screened, excluded, and included at each stage, together with reasons for exclusion, to ensure transparency and reproducibility.</w:t>
      </w:r>
    </w:p>
    <w:p w14:paraId="778D8D66" w14:textId="77777777" w:rsidR="001E4D30" w:rsidRDefault="001E4D30">
      <w:pPr>
        <w:spacing w:line="360" w:lineRule="auto"/>
        <w:rPr>
          <w:rFonts w:ascii="Arial" w:hAnsi="Arial" w:cs="Arial"/>
          <w:b/>
          <w:bCs/>
          <w:sz w:val="22"/>
          <w:szCs w:val="22"/>
          <w:lang w:val="en-IN"/>
        </w:rPr>
      </w:pPr>
    </w:p>
    <w:p w14:paraId="10000004" w14:textId="6E0CAE74" w:rsidR="0012280B" w:rsidRPr="003E7031" w:rsidRDefault="002710FA">
      <w:pPr>
        <w:spacing w:line="360" w:lineRule="auto"/>
        <w:rPr>
          <w:rFonts w:ascii="Arial" w:hAnsi="Arial" w:cs="Arial"/>
          <w:b/>
          <w:bCs/>
          <w:sz w:val="22"/>
          <w:szCs w:val="22"/>
          <w:lang w:val="en-IN"/>
        </w:rPr>
      </w:pPr>
      <w:r w:rsidRPr="003E7031">
        <w:rPr>
          <w:rFonts w:ascii="Arial" w:hAnsi="Arial" w:cs="Arial"/>
          <w:b/>
          <w:bCs/>
          <w:sz w:val="22"/>
          <w:szCs w:val="22"/>
          <w:lang w:val="en-IN"/>
        </w:rPr>
        <w:t>Quality Appraisal</w:t>
      </w:r>
    </w:p>
    <w:p w14:paraId="10000005" w14:textId="77777777"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 xml:space="preserve">The methodological quality of included studies will be assessed using the Critical Appraisal Skills Programme (CASP) checklists appropriate to each study design (CASP, 2023), </w:t>
      </w:r>
      <w:r w:rsidRPr="003E7031">
        <w:rPr>
          <w:rFonts w:ascii="Arial" w:eastAsia="Times New Roman" w:hAnsi="Arial" w:cs="Arial"/>
          <w:kern w:val="0"/>
          <w:sz w:val="22"/>
          <w:szCs w:val="22"/>
          <w:lang w:val="en-IN" w:eastAsia="en-IN"/>
          <w14:ligatures w14:val="none"/>
        </w:rPr>
        <w:lastRenderedPageBreak/>
        <w:t>allowing a critical judgement of the trustworthiness, relevance, and results of each source. Policy and grey literature will be appraised using the AACODS checklist (Tyndall, 2010), which considers authority, accuracy, coverage, objectivity, date, and significance. Quality appraisal findings will inform, but not automatically exclude studies from, the synthesis.</w:t>
      </w:r>
    </w:p>
    <w:p w14:paraId="34B85200" w14:textId="77777777" w:rsidR="0012280B" w:rsidRDefault="002710FA">
      <w:pPr>
        <w:pStyle w:val="Heading1"/>
        <w:rPr>
          <w:rFonts w:ascii="Arial" w:hAnsi="Arial" w:cs="Arial"/>
          <w:sz w:val="36"/>
          <w:szCs w:val="36"/>
          <w:lang w:val="en-IN"/>
        </w:rPr>
      </w:pPr>
      <w:bookmarkStart w:id="7" w:name="_Toc236365843"/>
      <w:r w:rsidRPr="00D32D92">
        <w:rPr>
          <w:rFonts w:ascii="Arial" w:hAnsi="Arial" w:cs="Arial"/>
          <w:sz w:val="36"/>
          <w:szCs w:val="36"/>
          <w:lang w:val="en-IN"/>
        </w:rPr>
        <w:t>Recruitment, Sampling and Study Participants</w:t>
      </w:r>
      <w:bookmarkEnd w:id="7"/>
    </w:p>
    <w:p w14:paraId="14E05E12" w14:textId="77777777" w:rsidR="0019314F" w:rsidRPr="0019314F" w:rsidRDefault="0019314F" w:rsidP="0019314F">
      <w:pPr>
        <w:rPr>
          <w:lang w:val="en-IN"/>
        </w:rPr>
      </w:pPr>
      <w:r w:rsidRPr="0019314F">
        <w:rPr>
          <w:lang w:val="en-IN"/>
        </w:rPr>
        <w:t xml:space="preserve">This secondary research study will not seek volunteers directly. A selected sampling strategy will be utilised to discover pertinent English-language literature and policy materials on menopausal care in general practice in England. The sources will include UK-based studies, peer-reviewed articles, government reports, NICE guidance, NHS policy documents, and professional guidance published between 2015 and 2026, with a focus on menopause diagnosis, management, GP education, prescribing, women's experiences, health disparities, and policy implementation. </w:t>
      </w:r>
      <w:r w:rsidRPr="0019314F">
        <w:rPr>
          <w:lang w:val="en-IN"/>
        </w:rPr>
        <w:br/>
      </w:r>
      <w:r w:rsidRPr="0019314F">
        <w:rPr>
          <w:lang w:val="en-IN"/>
        </w:rPr>
        <w:br/>
        <w:t>Studies undertaken outside of the UK that are not applicable to NHS general practice, publications unrelated to primary care menopause management, and non-empirical opinion pieces will be eliminated. The included literature is likely to target GPs, practice nurses, menopausal specialists, and women receiving menopause care in primary care settings.</w:t>
      </w:r>
    </w:p>
    <w:p w14:paraId="182DE395" w14:textId="77777777" w:rsidR="002A32BE" w:rsidRPr="002A32BE" w:rsidRDefault="002A32BE" w:rsidP="002A32BE">
      <w:pPr>
        <w:rPr>
          <w:lang w:val="en-IN"/>
        </w:rPr>
      </w:pPr>
    </w:p>
    <w:p w14:paraId="34B85059" w14:textId="77777777" w:rsidR="0012280B" w:rsidRPr="00D32D92" w:rsidRDefault="002710FA">
      <w:pPr>
        <w:pStyle w:val="Heading1"/>
        <w:rPr>
          <w:rFonts w:ascii="Arial" w:hAnsi="Arial" w:cs="Arial"/>
          <w:sz w:val="36"/>
          <w:szCs w:val="36"/>
          <w:lang w:val="en-IN"/>
        </w:rPr>
      </w:pPr>
      <w:bookmarkStart w:id="8" w:name="_Toc236365844"/>
      <w:r w:rsidRPr="00D32D92">
        <w:rPr>
          <w:rFonts w:ascii="Arial" w:hAnsi="Arial" w:cs="Arial"/>
          <w:sz w:val="36"/>
          <w:szCs w:val="36"/>
          <w:lang w:val="en-IN"/>
        </w:rPr>
        <w:t>Materials and Data Collection  Procedure</w:t>
      </w:r>
      <w:bookmarkEnd w:id="8"/>
    </w:p>
    <w:p w14:paraId="7022D20F" w14:textId="77777777" w:rsidR="00990D98" w:rsidRDefault="0005181A">
      <w:pPr>
        <w:spacing w:line="360" w:lineRule="auto"/>
        <w:rPr>
          <w:rFonts w:ascii="Arial" w:eastAsia="Times New Roman" w:hAnsi="Arial" w:cs="Arial"/>
          <w:kern w:val="0"/>
          <w:sz w:val="22"/>
          <w:szCs w:val="22"/>
          <w:lang w:val="en-IN" w:eastAsia="en-IN"/>
          <w14:ligatures w14:val="none"/>
        </w:rPr>
      </w:pPr>
      <w:r w:rsidRPr="0005181A">
        <w:rPr>
          <w:rFonts w:ascii="Arial" w:eastAsia="Times New Roman" w:hAnsi="Arial" w:cs="Arial"/>
          <w:kern w:val="0"/>
          <w:sz w:val="22"/>
          <w:szCs w:val="22"/>
          <w:lang w:val="en-IN" w:eastAsia="en-IN"/>
          <w14:ligatures w14:val="none"/>
        </w:rPr>
        <w:t>The project will gather secondary data from published literature on menopausal care in general practice, with data extraction concentrating on each study's objectives, design, method, setting, and participant characteristics. Particular attention will be paid to GPs' knowledge, confidence, and competence, to organisational variables such as workload and continuity of care, and to relevant policy initiatives including women's health hubs and the HRT Prepayment Certificate.</w:t>
      </w:r>
    </w:p>
    <w:p w14:paraId="34B8505B" w14:textId="222E9550"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The study will also look at evidence on the Women's Health Strategy for England's implementation and inequalities in menopausal care, such as discrepancies in access, treatment, and outcomes amongst demographic groups. Data will be extracted in a methodical manner using a defined extraction form to provide consistency and transparency throughout the review process.</w:t>
      </w:r>
    </w:p>
    <w:p w14:paraId="34B8505D" w14:textId="77777777" w:rsidR="0012280B" w:rsidRPr="00BD67F6" w:rsidRDefault="002710FA">
      <w:pPr>
        <w:pStyle w:val="Heading1"/>
        <w:rPr>
          <w:rFonts w:ascii="Arial" w:hAnsi="Arial" w:cs="Arial"/>
          <w:sz w:val="36"/>
          <w:szCs w:val="36"/>
          <w:lang w:val="en-IN"/>
        </w:rPr>
      </w:pPr>
      <w:bookmarkStart w:id="9" w:name="_Toc236365845"/>
      <w:r w:rsidRPr="00BD67F6">
        <w:rPr>
          <w:rFonts w:ascii="Arial" w:hAnsi="Arial" w:cs="Arial"/>
          <w:sz w:val="36"/>
          <w:szCs w:val="36"/>
          <w:lang w:val="en-IN"/>
        </w:rPr>
        <w:lastRenderedPageBreak/>
        <w:t>Who will be included?</w:t>
      </w:r>
      <w:bookmarkEnd w:id="9"/>
    </w:p>
    <w:p w14:paraId="34B8505E" w14:textId="77777777"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The evidence reviewed will primarily concern GPs working in English general practice. Additional evidence relating to women’s experiences and healthcare professionals involved in menopause services will be included where it contributes to understanding barriers and facilitators in primary care.</w:t>
      </w:r>
    </w:p>
    <w:p w14:paraId="34B85060" w14:textId="77777777" w:rsidR="0012280B" w:rsidRPr="00BD67F6" w:rsidRDefault="002710FA">
      <w:pPr>
        <w:pStyle w:val="Heading1"/>
        <w:rPr>
          <w:rFonts w:ascii="Arial" w:hAnsi="Arial" w:cs="Arial"/>
          <w:sz w:val="36"/>
          <w:szCs w:val="36"/>
          <w:lang w:val="en-IN"/>
        </w:rPr>
      </w:pPr>
      <w:bookmarkStart w:id="10" w:name="_Toc236365846"/>
      <w:r w:rsidRPr="00BD67F6">
        <w:rPr>
          <w:rFonts w:ascii="Arial" w:hAnsi="Arial" w:cs="Arial"/>
          <w:sz w:val="36"/>
          <w:szCs w:val="36"/>
          <w:lang w:val="en-IN"/>
        </w:rPr>
        <w:t>How will the data be collected?</w:t>
      </w:r>
      <w:bookmarkEnd w:id="10"/>
    </w:p>
    <w:p w14:paraId="032F3813" w14:textId="77777777" w:rsidR="00794165" w:rsidRPr="00794165" w:rsidRDefault="00794165" w:rsidP="00794165">
      <w:pPr>
        <w:spacing w:line="360" w:lineRule="auto"/>
        <w:rPr>
          <w:rFonts w:ascii="Arial" w:eastAsia="Times New Roman" w:hAnsi="Arial" w:cs="Arial"/>
          <w:kern w:val="0"/>
          <w:sz w:val="22"/>
          <w:szCs w:val="22"/>
          <w:lang w:val="en-US" w:eastAsia="en-IN"/>
          <w14:ligatures w14:val="none"/>
        </w:rPr>
      </w:pPr>
      <w:r w:rsidRPr="00794165">
        <w:rPr>
          <w:rFonts w:ascii="Arial" w:eastAsia="Times New Roman" w:hAnsi="Arial" w:cs="Arial"/>
          <w:kern w:val="0"/>
          <w:sz w:val="22"/>
          <w:szCs w:val="22"/>
          <w:lang w:val="en-US" w:eastAsia="en-IN"/>
          <w14:ligatures w14:val="none"/>
        </w:rPr>
        <w:t xml:space="preserve">Data will be collected by applying the search strategy and screening process outlined under Research Design above. A data extraction table will be used to record each source's objectives, design, findings, and context, ensuring information is captured consistently and arranged according to the study's research questions. </w:t>
      </w:r>
    </w:p>
    <w:p w14:paraId="34B85063" w14:textId="4586E162" w:rsidR="0012280B" w:rsidRPr="003E7031" w:rsidRDefault="00794165" w:rsidP="00794165">
      <w:pPr>
        <w:spacing w:line="360" w:lineRule="auto"/>
        <w:rPr>
          <w:rFonts w:ascii="Arial" w:eastAsia="Times New Roman" w:hAnsi="Arial" w:cs="Arial"/>
          <w:kern w:val="0"/>
          <w:sz w:val="22"/>
          <w:szCs w:val="22"/>
          <w:lang w:val="en-US" w:eastAsia="en-IN"/>
          <w14:ligatures w14:val="none"/>
        </w:rPr>
      </w:pPr>
      <w:r w:rsidRPr="00794165">
        <w:rPr>
          <w:rFonts w:ascii="Arial" w:eastAsia="Times New Roman" w:hAnsi="Arial" w:cs="Arial"/>
          <w:kern w:val="0"/>
          <w:sz w:val="22"/>
          <w:szCs w:val="22"/>
          <w:lang w:val="en-US" w:eastAsia="en-IN"/>
          <w14:ligatures w14:val="none"/>
        </w:rPr>
        <w:t xml:space="preserve">This process will adhere to the standards of transparency and reproducibility expected of a rigorous SLR (Booth, Sutton and Papaioannou, 2016; Aveyard, 2018). Search dates, keywords, inclusion decisions, and reasons for exclusion will all be documented to support methodological </w:t>
      </w:r>
      <w:proofErr w:type="spellStart"/>
      <w:r w:rsidRPr="00794165">
        <w:rPr>
          <w:rFonts w:ascii="Arial" w:eastAsia="Times New Roman" w:hAnsi="Arial" w:cs="Arial"/>
          <w:kern w:val="0"/>
          <w:sz w:val="22"/>
          <w:szCs w:val="22"/>
          <w:lang w:val="en-US" w:eastAsia="en-IN"/>
          <w14:ligatures w14:val="none"/>
        </w:rPr>
        <w:t>rigour</w:t>
      </w:r>
      <w:proofErr w:type="spellEnd"/>
    </w:p>
    <w:p w14:paraId="34B85064" w14:textId="77777777" w:rsidR="0012280B" w:rsidRDefault="002710FA">
      <w:pPr>
        <w:pStyle w:val="Heading1"/>
        <w:rPr>
          <w:rFonts w:ascii="Arial" w:hAnsi="Arial" w:cs="Arial"/>
          <w:sz w:val="36"/>
          <w:szCs w:val="36"/>
          <w:lang w:val="en-IN"/>
        </w:rPr>
      </w:pPr>
      <w:bookmarkStart w:id="11" w:name="_Toc236365847"/>
      <w:r w:rsidRPr="00E422ED">
        <w:rPr>
          <w:rFonts w:ascii="Arial" w:hAnsi="Arial" w:cs="Arial"/>
          <w:sz w:val="36"/>
          <w:szCs w:val="36"/>
          <w:lang w:val="en-IN"/>
        </w:rPr>
        <w:t>Key review questions</w:t>
      </w:r>
      <w:bookmarkEnd w:id="11"/>
    </w:p>
    <w:p w14:paraId="42D90DCA" w14:textId="77777777" w:rsidR="005342BE" w:rsidRPr="005342BE" w:rsidRDefault="005342BE" w:rsidP="005342BE">
      <w:pPr>
        <w:rPr>
          <w:lang w:val="en-IN"/>
        </w:rPr>
      </w:pPr>
      <w:r w:rsidRPr="005342BE">
        <w:rPr>
          <w:lang w:val="en-IN"/>
        </w:rPr>
        <w:t>The review will be directed by questions aligned with the study's aims: how GPs perceive their role in menopause care; the evidence on GP knowledge, confidence, and competence, including training gaps; and organisational barriers (workload, consultation time, continuity of care, access to specialist services) and facilitators (clinical guidelines, training initiatives, women's health hubs) that shape care delivery.</w:t>
      </w:r>
    </w:p>
    <w:p w14:paraId="7F9CB611" w14:textId="1BF2D2C1" w:rsidR="001265B3" w:rsidRPr="001265B3" w:rsidRDefault="005342BE" w:rsidP="005342BE">
      <w:pPr>
        <w:rPr>
          <w:lang w:val="en-IN"/>
        </w:rPr>
      </w:pPr>
      <w:r w:rsidRPr="005342BE">
        <w:rPr>
          <w:lang w:val="en-IN"/>
        </w:rPr>
        <w:t>Evidence on the implementation of the Women's Health Strategy and Women's Health Hubs, and on disparities in access, treatment, and outcomes by demographic group, will also be examined, providing a clear framework for systematic extraction and thematic analysis.</w:t>
      </w:r>
    </w:p>
    <w:p w14:paraId="34B85067" w14:textId="77777777" w:rsidR="0012280B" w:rsidRPr="00935A1F" w:rsidRDefault="002710FA">
      <w:pPr>
        <w:pStyle w:val="Heading1"/>
        <w:rPr>
          <w:rFonts w:ascii="Arial" w:hAnsi="Arial" w:cs="Arial"/>
          <w:sz w:val="36"/>
          <w:szCs w:val="36"/>
          <w:lang w:val="en-IN"/>
        </w:rPr>
      </w:pPr>
      <w:bookmarkStart w:id="12" w:name="_Toc236365848"/>
      <w:r w:rsidRPr="00935A1F">
        <w:rPr>
          <w:rFonts w:ascii="Arial" w:hAnsi="Arial" w:cs="Arial"/>
          <w:sz w:val="36"/>
          <w:szCs w:val="36"/>
          <w:lang w:val="en-IN"/>
        </w:rPr>
        <w:t>Proposed Data Analysis Technique</w:t>
      </w:r>
      <w:bookmarkEnd w:id="12"/>
    </w:p>
    <w:p w14:paraId="34B85068" w14:textId="77777777"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The selected literature will be evaluated using thematic analysis, a commonly used method for discovering and understanding patterns in qualitative data (Braun &amp; Clarke, 2006). This methodology is appropriate for secondary qualitative research because it allows for the incorporation of information from qualitative studies, mixed-methods research, reviews, and policy papers.</w:t>
      </w:r>
    </w:p>
    <w:p w14:paraId="7603578A" w14:textId="77777777" w:rsidR="0094616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 xml:space="preserve">The analysis will proceed in six stages, as proposed by Braun and Clarke (2006). First, the included research will be read multiple times to verify familiarity with the data. Second, </w:t>
      </w:r>
      <w:r w:rsidRPr="003E7031">
        <w:rPr>
          <w:rFonts w:ascii="Arial" w:eastAsia="Times New Roman" w:hAnsi="Arial" w:cs="Arial"/>
          <w:kern w:val="0"/>
          <w:sz w:val="22"/>
          <w:szCs w:val="22"/>
          <w:lang w:val="en-IN" w:eastAsia="en-IN"/>
          <w14:ligatures w14:val="none"/>
        </w:rPr>
        <w:lastRenderedPageBreak/>
        <w:t>crucial findings about menopause care in general practice will be coded systematically. Third, the codes will be organised into larger patterns and prospective themes. Fourth, themes will be compared against the entire dataset to ensure they appropriately reflect the evidence. Fifth, each theme shall be clearly identified and named. Finally, the findings will be presented as a narrative account that is linked to the review questions and study objectives.</w:t>
      </w:r>
    </w:p>
    <w:p w14:paraId="34B8506B" w14:textId="28C0582C"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Potential themes include GP confidence and training, workload and organisational restrictions, access to specialised menopause services, implementation of the Women's Health Strategy and Women's Health Hubs, women's experiences with menopause care, and disparities in access and quality of care.</w:t>
      </w:r>
      <w:r w:rsidRPr="003E7031">
        <w:rPr>
          <w:rFonts w:ascii="Arial" w:eastAsia="Times New Roman" w:hAnsi="Arial" w:cs="Arial"/>
          <w:kern w:val="0"/>
          <w:sz w:val="22"/>
          <w:szCs w:val="22"/>
          <w:lang w:val="en-IN" w:eastAsia="en-IN"/>
          <w14:ligatures w14:val="none"/>
        </w:rPr>
        <w:br/>
        <w:t>A narrative synthesis will be included with the theme analysis to compare findings across research and identify areas of agreement, disagreement, and evidence gaps. The methodological quality and strength of the included studies will also be assessed, ensuring that conclusions reflect both the published findings and the quality of supporting evidence.</w:t>
      </w:r>
    </w:p>
    <w:p w14:paraId="34B8506C" w14:textId="77777777" w:rsidR="0012280B" w:rsidRPr="00935A1F" w:rsidRDefault="002710FA">
      <w:pPr>
        <w:pStyle w:val="Heading1"/>
        <w:rPr>
          <w:rFonts w:ascii="Arial" w:hAnsi="Arial" w:cs="Arial"/>
          <w:sz w:val="36"/>
          <w:szCs w:val="36"/>
          <w:lang w:val="en-IN"/>
        </w:rPr>
      </w:pPr>
      <w:bookmarkStart w:id="13" w:name="_Toc236365849"/>
      <w:r w:rsidRPr="00935A1F">
        <w:rPr>
          <w:rFonts w:ascii="Arial" w:hAnsi="Arial" w:cs="Arial"/>
          <w:sz w:val="36"/>
          <w:szCs w:val="36"/>
          <w:lang w:val="en-IN"/>
        </w:rPr>
        <w:t>Ethical Considerations</w:t>
      </w:r>
      <w:bookmarkEnd w:id="13"/>
    </w:p>
    <w:p w14:paraId="34B8506D" w14:textId="2A4D5FD4" w:rsidR="0012280B" w:rsidRPr="003E7031" w:rsidRDefault="00BD0D1C">
      <w:pPr>
        <w:spacing w:line="360" w:lineRule="auto"/>
        <w:rPr>
          <w:rFonts w:ascii="Arial" w:eastAsia="Times New Roman" w:hAnsi="Arial" w:cs="Arial"/>
          <w:kern w:val="0"/>
          <w:sz w:val="22"/>
          <w:szCs w:val="22"/>
          <w:lang w:val="en-IN" w:eastAsia="en-IN"/>
          <w14:ligatures w14:val="none"/>
        </w:rPr>
      </w:pPr>
      <w:r w:rsidRPr="00BD0D1C">
        <w:rPr>
          <w:rFonts w:ascii="Arial" w:eastAsia="Times New Roman" w:hAnsi="Arial" w:cs="Arial"/>
          <w:kern w:val="0"/>
          <w:sz w:val="22"/>
          <w:szCs w:val="22"/>
          <w:lang w:val="en-IN" w:eastAsia="en-IN"/>
          <w14:ligatures w14:val="none"/>
        </w:rPr>
        <w:t>As this project analyses publicly available literature and policy papers, formal approval from an NHS Research Ethics Committee is unlikely to be required, though key ethical principles remain applicable: accurately representing authors' findings and avoiding selective reporting; citing all sources correctly using Harvard referencing to protect academic integrity; and conducting analysis objectively, with awareness of potential researcher bias when interpreting qualitative evidence. As no identifiable personal data will be collected, questions of confidentiality and consent do not arise directly, but the study will still follow institutional norms for research governance and academic conduct, reflecting the responsible and respectful use of published research.</w:t>
      </w:r>
    </w:p>
    <w:p w14:paraId="34B8506E" w14:textId="77777777" w:rsidR="0012280B" w:rsidRPr="00935A1F" w:rsidRDefault="002710FA">
      <w:pPr>
        <w:pStyle w:val="Heading1"/>
        <w:rPr>
          <w:rFonts w:ascii="Arial" w:hAnsi="Arial" w:cs="Arial"/>
          <w:sz w:val="36"/>
          <w:szCs w:val="36"/>
          <w:lang w:val="en-IN"/>
        </w:rPr>
      </w:pPr>
      <w:bookmarkStart w:id="14" w:name="_Toc236365850"/>
      <w:r w:rsidRPr="00935A1F">
        <w:rPr>
          <w:rFonts w:ascii="Arial" w:hAnsi="Arial" w:cs="Arial"/>
          <w:sz w:val="36"/>
          <w:szCs w:val="36"/>
          <w:lang w:val="en-IN"/>
        </w:rPr>
        <w:t>Implications of the Research</w:t>
      </w:r>
      <w:bookmarkEnd w:id="14"/>
    </w:p>
    <w:p w14:paraId="637F95AB" w14:textId="16A23AD8" w:rsidR="008E4663" w:rsidRPr="003E7031" w:rsidRDefault="00F36673">
      <w:pPr>
        <w:spacing w:line="360" w:lineRule="auto"/>
        <w:rPr>
          <w:rFonts w:ascii="Arial" w:eastAsia="Times New Roman" w:hAnsi="Arial" w:cs="Arial"/>
          <w:kern w:val="0"/>
          <w:sz w:val="22"/>
          <w:szCs w:val="22"/>
          <w:lang w:val="en-IN" w:eastAsia="en-IN"/>
          <w14:ligatures w14:val="none"/>
        </w:rPr>
      </w:pPr>
      <w:r w:rsidRPr="00F36673">
        <w:rPr>
          <w:rFonts w:ascii="Arial" w:eastAsia="Times New Roman" w:hAnsi="Arial" w:cs="Arial"/>
          <w:kern w:val="0"/>
          <w:sz w:val="22"/>
          <w:szCs w:val="22"/>
          <w:lang w:val="en-IN" w:eastAsia="en-IN"/>
          <w14:ligatures w14:val="none"/>
        </w:rPr>
        <w:t>The proposed study has implications for clinical practice, policy, and future research. Findings may reveal where GPs need additional support, such as training, consultation time, and access to expert guidance, informing workforce development and continuing professional education. For policy, the review will show how the Women's Health Strategy and Women's Health Hubs are being implemented in practice, helping policymakers judge whether further funding or service redesign is needed, and may highlight gaps in addressing ethnic, cultural, and socioeconomic disparities, advancing academic understanding and identifying priorities for future research.</w:t>
      </w:r>
    </w:p>
    <w:p w14:paraId="34B85072" w14:textId="77777777" w:rsidR="0012280B" w:rsidRPr="00935A1F" w:rsidRDefault="002710FA">
      <w:pPr>
        <w:pStyle w:val="Heading1"/>
        <w:rPr>
          <w:rFonts w:ascii="Arial" w:hAnsi="Arial" w:cs="Arial"/>
          <w:sz w:val="36"/>
          <w:szCs w:val="36"/>
          <w:lang w:val="en-IN"/>
        </w:rPr>
      </w:pPr>
      <w:bookmarkStart w:id="15" w:name="_Toc236365851"/>
      <w:r w:rsidRPr="00935A1F">
        <w:rPr>
          <w:rFonts w:ascii="Arial" w:hAnsi="Arial" w:cs="Arial"/>
          <w:sz w:val="36"/>
          <w:szCs w:val="36"/>
          <w:lang w:val="en-IN"/>
        </w:rPr>
        <w:lastRenderedPageBreak/>
        <w:t>Plan of Work and Time Schedule (Gantt Chart)</w:t>
      </w:r>
      <w:bookmarkEnd w:id="15"/>
    </w:p>
    <w:p w14:paraId="34B85073" w14:textId="77777777" w:rsidR="0012280B" w:rsidRPr="003E7031" w:rsidRDefault="002710FA">
      <w:pPr>
        <w:spacing w:line="360" w:lineRule="auto"/>
        <w:rPr>
          <w:rFonts w:ascii="Arial" w:eastAsia="Times New Roman" w:hAnsi="Arial" w:cs="Arial"/>
          <w:kern w:val="0"/>
          <w:sz w:val="22"/>
          <w:szCs w:val="22"/>
          <w:lang w:val="en-IN" w:eastAsia="en-IN"/>
          <w14:ligatures w14:val="none"/>
        </w:rPr>
      </w:pPr>
      <w:r w:rsidRPr="003E7031">
        <w:rPr>
          <w:rFonts w:ascii="Arial" w:eastAsia="Times New Roman" w:hAnsi="Arial" w:cs="Arial"/>
          <w:kern w:val="0"/>
          <w:sz w:val="22"/>
          <w:szCs w:val="22"/>
          <w:lang w:val="en-IN" w:eastAsia="en-IN"/>
          <w14:ligatures w14:val="none"/>
        </w:rPr>
        <w:t>The study is expected to be completed over a six-month period.</w:t>
      </w:r>
    </w:p>
    <w:tbl>
      <w:tblPr>
        <w:tblW w:w="9196" w:type="dxa"/>
        <w:tblLook w:val="04A0" w:firstRow="1" w:lastRow="0" w:firstColumn="1" w:lastColumn="0" w:noHBand="0" w:noVBand="1"/>
      </w:tblPr>
      <w:tblGrid>
        <w:gridCol w:w="1938"/>
        <w:gridCol w:w="4242"/>
        <w:gridCol w:w="3016"/>
      </w:tblGrid>
      <w:tr w:rsidR="008208AE" w:rsidRPr="003E7031" w14:paraId="6EB22C36" w14:textId="77777777" w:rsidTr="00C25524">
        <w:trPr>
          <w:trHeight w:val="243"/>
        </w:trPr>
        <w:tc>
          <w:tcPr>
            <w:tcW w:w="1938" w:type="dxa"/>
            <w:tcBorders>
              <w:top w:val="single" w:sz="4" w:space="0" w:color="auto"/>
              <w:left w:val="single" w:sz="4" w:space="0" w:color="auto"/>
              <w:bottom w:val="single" w:sz="4" w:space="0" w:color="auto"/>
              <w:right w:val="single" w:sz="4" w:space="0" w:color="auto"/>
            </w:tcBorders>
            <w:vAlign w:val="center"/>
            <w:hideMark/>
          </w:tcPr>
          <w:p w14:paraId="2132E801" w14:textId="77777777" w:rsidR="008208AE" w:rsidRPr="003E7031" w:rsidRDefault="008208AE" w:rsidP="008208AE">
            <w:pPr>
              <w:spacing w:after="0" w:line="240" w:lineRule="auto"/>
              <w:jc w:val="center"/>
              <w:rPr>
                <w:rFonts w:ascii="Arial" w:eastAsia="Times New Roman" w:hAnsi="Arial" w:cs="Arial"/>
                <w:b/>
                <w:bCs/>
                <w:color w:val="000000"/>
                <w:kern w:val="0"/>
                <w:sz w:val="22"/>
                <w:szCs w:val="22"/>
                <w:lang w:val="en-IN" w:eastAsia="en-IN"/>
                <w14:ligatures w14:val="none"/>
              </w:rPr>
            </w:pPr>
            <w:r w:rsidRPr="003E7031">
              <w:rPr>
                <w:rFonts w:ascii="Arial" w:eastAsia="Times New Roman" w:hAnsi="Arial" w:cs="Arial"/>
                <w:b/>
                <w:bCs/>
                <w:color w:val="000000"/>
                <w:kern w:val="0"/>
                <w:sz w:val="22"/>
                <w:szCs w:val="22"/>
                <w:lang w:val="en-IN" w:eastAsia="en-IN"/>
                <w14:ligatures w14:val="none"/>
              </w:rPr>
              <w:t>Week</w:t>
            </w:r>
          </w:p>
        </w:tc>
        <w:tc>
          <w:tcPr>
            <w:tcW w:w="4242" w:type="dxa"/>
            <w:tcBorders>
              <w:top w:val="single" w:sz="4" w:space="0" w:color="auto"/>
              <w:left w:val="nil"/>
              <w:bottom w:val="single" w:sz="4" w:space="0" w:color="auto"/>
              <w:right w:val="single" w:sz="4" w:space="0" w:color="auto"/>
            </w:tcBorders>
            <w:vAlign w:val="center"/>
            <w:hideMark/>
          </w:tcPr>
          <w:p w14:paraId="38FB3CE4" w14:textId="77777777" w:rsidR="008208AE" w:rsidRPr="003E7031" w:rsidRDefault="008208AE" w:rsidP="008208AE">
            <w:pPr>
              <w:spacing w:after="0" w:line="240" w:lineRule="auto"/>
              <w:jc w:val="center"/>
              <w:rPr>
                <w:rFonts w:ascii="Arial" w:eastAsia="Times New Roman" w:hAnsi="Arial" w:cs="Arial"/>
                <w:b/>
                <w:bCs/>
                <w:color w:val="000000"/>
                <w:kern w:val="0"/>
                <w:sz w:val="22"/>
                <w:szCs w:val="22"/>
                <w:lang w:val="en-IN" w:eastAsia="en-IN"/>
                <w14:ligatures w14:val="none"/>
              </w:rPr>
            </w:pPr>
            <w:r w:rsidRPr="003E7031">
              <w:rPr>
                <w:rFonts w:ascii="Arial" w:eastAsia="Times New Roman" w:hAnsi="Arial" w:cs="Arial"/>
                <w:b/>
                <w:bCs/>
                <w:color w:val="000000"/>
                <w:kern w:val="0"/>
                <w:sz w:val="22"/>
                <w:szCs w:val="22"/>
                <w:lang w:val="en-IN" w:eastAsia="en-IN"/>
                <w14:ligatures w14:val="none"/>
              </w:rPr>
              <w:t>Task</w:t>
            </w:r>
          </w:p>
        </w:tc>
        <w:tc>
          <w:tcPr>
            <w:tcW w:w="3016" w:type="dxa"/>
            <w:tcBorders>
              <w:top w:val="single" w:sz="4" w:space="0" w:color="auto"/>
              <w:left w:val="nil"/>
              <w:bottom w:val="single" w:sz="4" w:space="0" w:color="auto"/>
              <w:right w:val="single" w:sz="4" w:space="0" w:color="auto"/>
            </w:tcBorders>
            <w:vAlign w:val="center"/>
            <w:hideMark/>
          </w:tcPr>
          <w:p w14:paraId="195BB818" w14:textId="77777777" w:rsidR="008208AE" w:rsidRPr="003E7031" w:rsidRDefault="008208AE" w:rsidP="008208AE">
            <w:pPr>
              <w:spacing w:after="0" w:line="240" w:lineRule="auto"/>
              <w:jc w:val="center"/>
              <w:rPr>
                <w:rFonts w:ascii="Arial" w:eastAsia="Times New Roman" w:hAnsi="Arial" w:cs="Arial"/>
                <w:b/>
                <w:bCs/>
                <w:color w:val="000000"/>
                <w:kern w:val="0"/>
                <w:sz w:val="22"/>
                <w:szCs w:val="22"/>
                <w:lang w:val="en-IN" w:eastAsia="en-IN"/>
                <w14:ligatures w14:val="none"/>
              </w:rPr>
            </w:pPr>
            <w:r w:rsidRPr="003E7031">
              <w:rPr>
                <w:rFonts w:ascii="Arial" w:eastAsia="Times New Roman" w:hAnsi="Arial" w:cs="Arial"/>
                <w:b/>
                <w:bCs/>
                <w:color w:val="000000"/>
                <w:kern w:val="0"/>
                <w:sz w:val="22"/>
                <w:szCs w:val="22"/>
                <w:lang w:val="en-IN" w:eastAsia="en-IN"/>
                <w14:ligatures w14:val="none"/>
              </w:rPr>
              <w:t>Dates (2026)</w:t>
            </w:r>
          </w:p>
        </w:tc>
      </w:tr>
      <w:tr w:rsidR="008208AE" w:rsidRPr="003E7031" w14:paraId="2F1467E5"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4456F600"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w:t>
            </w:r>
          </w:p>
        </w:tc>
        <w:tc>
          <w:tcPr>
            <w:tcW w:w="4242" w:type="dxa"/>
            <w:tcBorders>
              <w:top w:val="nil"/>
              <w:left w:val="nil"/>
              <w:bottom w:val="single" w:sz="4" w:space="0" w:color="auto"/>
              <w:right w:val="single" w:sz="4" w:space="0" w:color="auto"/>
            </w:tcBorders>
            <w:vAlign w:val="center"/>
            <w:hideMark/>
          </w:tcPr>
          <w:p w14:paraId="57282482"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Topic refinement</w:t>
            </w:r>
          </w:p>
        </w:tc>
        <w:tc>
          <w:tcPr>
            <w:tcW w:w="3016" w:type="dxa"/>
            <w:tcBorders>
              <w:top w:val="nil"/>
              <w:left w:val="nil"/>
              <w:bottom w:val="single" w:sz="4" w:space="0" w:color="auto"/>
              <w:right w:val="single" w:sz="4" w:space="0" w:color="auto"/>
            </w:tcBorders>
            <w:vAlign w:val="center"/>
            <w:hideMark/>
          </w:tcPr>
          <w:p w14:paraId="3A0D6625"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1 Jul – 7 Jul</w:t>
            </w:r>
          </w:p>
        </w:tc>
      </w:tr>
      <w:tr w:rsidR="008208AE" w:rsidRPr="003E7031" w14:paraId="27E88465" w14:textId="77777777" w:rsidTr="00C25524">
        <w:trPr>
          <w:trHeight w:val="243"/>
        </w:trPr>
        <w:tc>
          <w:tcPr>
            <w:tcW w:w="1938" w:type="dxa"/>
            <w:tcBorders>
              <w:top w:val="nil"/>
              <w:left w:val="single" w:sz="4" w:space="0" w:color="auto"/>
              <w:bottom w:val="single" w:sz="4" w:space="0" w:color="auto"/>
              <w:right w:val="single" w:sz="4" w:space="0" w:color="auto"/>
            </w:tcBorders>
            <w:vAlign w:val="center"/>
            <w:hideMark/>
          </w:tcPr>
          <w:p w14:paraId="3CE2767C"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2</w:t>
            </w:r>
          </w:p>
        </w:tc>
        <w:tc>
          <w:tcPr>
            <w:tcW w:w="4242" w:type="dxa"/>
            <w:tcBorders>
              <w:top w:val="nil"/>
              <w:left w:val="nil"/>
              <w:bottom w:val="single" w:sz="4" w:space="0" w:color="auto"/>
              <w:right w:val="single" w:sz="4" w:space="0" w:color="auto"/>
            </w:tcBorders>
            <w:vAlign w:val="center"/>
            <w:hideMark/>
          </w:tcPr>
          <w:p w14:paraId="56E85906"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Literature search</w:t>
            </w:r>
          </w:p>
        </w:tc>
        <w:tc>
          <w:tcPr>
            <w:tcW w:w="3016" w:type="dxa"/>
            <w:tcBorders>
              <w:top w:val="nil"/>
              <w:left w:val="nil"/>
              <w:bottom w:val="single" w:sz="4" w:space="0" w:color="auto"/>
              <w:right w:val="single" w:sz="4" w:space="0" w:color="auto"/>
            </w:tcBorders>
            <w:vAlign w:val="center"/>
            <w:hideMark/>
          </w:tcPr>
          <w:p w14:paraId="2AAC1D30"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8 Jul – 14 Jul</w:t>
            </w:r>
          </w:p>
        </w:tc>
      </w:tr>
      <w:tr w:rsidR="008208AE" w:rsidRPr="003E7031" w14:paraId="200B9370" w14:textId="77777777" w:rsidTr="00C25524">
        <w:trPr>
          <w:trHeight w:val="243"/>
        </w:trPr>
        <w:tc>
          <w:tcPr>
            <w:tcW w:w="1938" w:type="dxa"/>
            <w:tcBorders>
              <w:top w:val="nil"/>
              <w:left w:val="single" w:sz="4" w:space="0" w:color="auto"/>
              <w:bottom w:val="single" w:sz="4" w:space="0" w:color="auto"/>
              <w:right w:val="single" w:sz="4" w:space="0" w:color="auto"/>
            </w:tcBorders>
            <w:vAlign w:val="center"/>
            <w:hideMark/>
          </w:tcPr>
          <w:p w14:paraId="1E2BD4E2"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3</w:t>
            </w:r>
          </w:p>
        </w:tc>
        <w:tc>
          <w:tcPr>
            <w:tcW w:w="4242" w:type="dxa"/>
            <w:tcBorders>
              <w:top w:val="nil"/>
              <w:left w:val="nil"/>
              <w:bottom w:val="single" w:sz="4" w:space="0" w:color="auto"/>
              <w:right w:val="single" w:sz="4" w:space="0" w:color="auto"/>
            </w:tcBorders>
            <w:vAlign w:val="center"/>
            <w:hideMark/>
          </w:tcPr>
          <w:p w14:paraId="1292B2CD"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Screening articles</w:t>
            </w:r>
          </w:p>
        </w:tc>
        <w:tc>
          <w:tcPr>
            <w:tcW w:w="3016" w:type="dxa"/>
            <w:tcBorders>
              <w:top w:val="nil"/>
              <w:left w:val="nil"/>
              <w:bottom w:val="single" w:sz="4" w:space="0" w:color="auto"/>
              <w:right w:val="single" w:sz="4" w:space="0" w:color="auto"/>
            </w:tcBorders>
            <w:vAlign w:val="center"/>
            <w:hideMark/>
          </w:tcPr>
          <w:p w14:paraId="20E22E01"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15 Jul – 21 Jul</w:t>
            </w:r>
          </w:p>
        </w:tc>
      </w:tr>
      <w:tr w:rsidR="008208AE" w:rsidRPr="003E7031" w14:paraId="3D2F7FCF"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7723F691"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4</w:t>
            </w:r>
          </w:p>
        </w:tc>
        <w:tc>
          <w:tcPr>
            <w:tcW w:w="4242" w:type="dxa"/>
            <w:tcBorders>
              <w:top w:val="nil"/>
              <w:left w:val="nil"/>
              <w:bottom w:val="single" w:sz="4" w:space="0" w:color="auto"/>
              <w:right w:val="single" w:sz="4" w:space="0" w:color="auto"/>
            </w:tcBorders>
            <w:vAlign w:val="center"/>
            <w:hideMark/>
          </w:tcPr>
          <w:p w14:paraId="39B7126F"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Data extraction</w:t>
            </w:r>
          </w:p>
        </w:tc>
        <w:tc>
          <w:tcPr>
            <w:tcW w:w="3016" w:type="dxa"/>
            <w:tcBorders>
              <w:top w:val="nil"/>
              <w:left w:val="nil"/>
              <w:bottom w:val="single" w:sz="4" w:space="0" w:color="auto"/>
              <w:right w:val="single" w:sz="4" w:space="0" w:color="auto"/>
            </w:tcBorders>
            <w:vAlign w:val="center"/>
            <w:hideMark/>
          </w:tcPr>
          <w:p w14:paraId="3F4B0C9C"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22 Jul – 28 Jul</w:t>
            </w:r>
          </w:p>
        </w:tc>
      </w:tr>
      <w:tr w:rsidR="008208AE" w:rsidRPr="003E7031" w14:paraId="3B3DFBD8" w14:textId="77777777" w:rsidTr="00C25524">
        <w:trPr>
          <w:trHeight w:val="243"/>
        </w:trPr>
        <w:tc>
          <w:tcPr>
            <w:tcW w:w="1938" w:type="dxa"/>
            <w:tcBorders>
              <w:top w:val="nil"/>
              <w:left w:val="single" w:sz="4" w:space="0" w:color="auto"/>
              <w:bottom w:val="single" w:sz="4" w:space="0" w:color="auto"/>
              <w:right w:val="single" w:sz="4" w:space="0" w:color="auto"/>
            </w:tcBorders>
            <w:vAlign w:val="center"/>
            <w:hideMark/>
          </w:tcPr>
          <w:p w14:paraId="6246F872"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5</w:t>
            </w:r>
          </w:p>
        </w:tc>
        <w:tc>
          <w:tcPr>
            <w:tcW w:w="4242" w:type="dxa"/>
            <w:tcBorders>
              <w:top w:val="nil"/>
              <w:left w:val="nil"/>
              <w:bottom w:val="single" w:sz="4" w:space="0" w:color="auto"/>
              <w:right w:val="single" w:sz="4" w:space="0" w:color="auto"/>
            </w:tcBorders>
            <w:vAlign w:val="center"/>
            <w:hideMark/>
          </w:tcPr>
          <w:p w14:paraId="57B61BDB"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Data analysis</w:t>
            </w:r>
          </w:p>
        </w:tc>
        <w:tc>
          <w:tcPr>
            <w:tcW w:w="3016" w:type="dxa"/>
            <w:tcBorders>
              <w:top w:val="nil"/>
              <w:left w:val="nil"/>
              <w:bottom w:val="single" w:sz="4" w:space="0" w:color="auto"/>
              <w:right w:val="single" w:sz="4" w:space="0" w:color="auto"/>
            </w:tcBorders>
            <w:vAlign w:val="center"/>
            <w:hideMark/>
          </w:tcPr>
          <w:p w14:paraId="005796BA"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29 Jul – 4 Aug</w:t>
            </w:r>
          </w:p>
        </w:tc>
      </w:tr>
      <w:tr w:rsidR="008208AE" w:rsidRPr="003E7031" w14:paraId="1F5D6314"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53F34FA2"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6</w:t>
            </w:r>
          </w:p>
        </w:tc>
        <w:tc>
          <w:tcPr>
            <w:tcW w:w="4242" w:type="dxa"/>
            <w:tcBorders>
              <w:top w:val="nil"/>
              <w:left w:val="nil"/>
              <w:bottom w:val="single" w:sz="4" w:space="0" w:color="auto"/>
              <w:right w:val="single" w:sz="4" w:space="0" w:color="auto"/>
            </w:tcBorders>
            <w:vAlign w:val="center"/>
            <w:hideMark/>
          </w:tcPr>
          <w:p w14:paraId="3842CAA0"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Write introduction</w:t>
            </w:r>
          </w:p>
        </w:tc>
        <w:tc>
          <w:tcPr>
            <w:tcW w:w="3016" w:type="dxa"/>
            <w:tcBorders>
              <w:top w:val="nil"/>
              <w:left w:val="nil"/>
              <w:bottom w:val="single" w:sz="4" w:space="0" w:color="auto"/>
              <w:right w:val="single" w:sz="4" w:space="0" w:color="auto"/>
            </w:tcBorders>
            <w:vAlign w:val="center"/>
            <w:hideMark/>
          </w:tcPr>
          <w:p w14:paraId="75642E9E"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5 Aug – 11 Aug</w:t>
            </w:r>
          </w:p>
        </w:tc>
      </w:tr>
      <w:tr w:rsidR="008208AE" w:rsidRPr="003E7031" w14:paraId="507FB1D7"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5CAEBD85"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7</w:t>
            </w:r>
          </w:p>
        </w:tc>
        <w:tc>
          <w:tcPr>
            <w:tcW w:w="4242" w:type="dxa"/>
            <w:tcBorders>
              <w:top w:val="nil"/>
              <w:left w:val="nil"/>
              <w:bottom w:val="single" w:sz="4" w:space="0" w:color="auto"/>
              <w:right w:val="single" w:sz="4" w:space="0" w:color="auto"/>
            </w:tcBorders>
            <w:vAlign w:val="center"/>
            <w:hideMark/>
          </w:tcPr>
          <w:p w14:paraId="36A98D8E"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Write methodology</w:t>
            </w:r>
          </w:p>
        </w:tc>
        <w:tc>
          <w:tcPr>
            <w:tcW w:w="3016" w:type="dxa"/>
            <w:tcBorders>
              <w:top w:val="nil"/>
              <w:left w:val="nil"/>
              <w:bottom w:val="single" w:sz="4" w:space="0" w:color="auto"/>
              <w:right w:val="single" w:sz="4" w:space="0" w:color="auto"/>
            </w:tcBorders>
            <w:vAlign w:val="center"/>
            <w:hideMark/>
          </w:tcPr>
          <w:p w14:paraId="21A84C31"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12 Aug – 18 Aug</w:t>
            </w:r>
          </w:p>
        </w:tc>
      </w:tr>
      <w:tr w:rsidR="008208AE" w:rsidRPr="003E7031" w14:paraId="0FD00FB2"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4DD66E3B"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8</w:t>
            </w:r>
          </w:p>
        </w:tc>
        <w:tc>
          <w:tcPr>
            <w:tcW w:w="4242" w:type="dxa"/>
            <w:tcBorders>
              <w:top w:val="nil"/>
              <w:left w:val="nil"/>
              <w:bottom w:val="single" w:sz="4" w:space="0" w:color="auto"/>
              <w:right w:val="single" w:sz="4" w:space="0" w:color="auto"/>
            </w:tcBorders>
            <w:vAlign w:val="center"/>
            <w:hideMark/>
          </w:tcPr>
          <w:p w14:paraId="364FA134"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Write literature review</w:t>
            </w:r>
          </w:p>
        </w:tc>
        <w:tc>
          <w:tcPr>
            <w:tcW w:w="3016" w:type="dxa"/>
            <w:tcBorders>
              <w:top w:val="nil"/>
              <w:left w:val="nil"/>
              <w:bottom w:val="single" w:sz="4" w:space="0" w:color="auto"/>
              <w:right w:val="single" w:sz="4" w:space="0" w:color="auto"/>
            </w:tcBorders>
            <w:vAlign w:val="center"/>
            <w:hideMark/>
          </w:tcPr>
          <w:p w14:paraId="27E82494"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19 Aug – 25 Aug</w:t>
            </w:r>
          </w:p>
        </w:tc>
      </w:tr>
      <w:tr w:rsidR="008208AE" w:rsidRPr="003E7031" w14:paraId="6F507191"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3BF6CF8B"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9</w:t>
            </w:r>
          </w:p>
        </w:tc>
        <w:tc>
          <w:tcPr>
            <w:tcW w:w="4242" w:type="dxa"/>
            <w:tcBorders>
              <w:top w:val="nil"/>
              <w:left w:val="nil"/>
              <w:bottom w:val="single" w:sz="4" w:space="0" w:color="auto"/>
              <w:right w:val="single" w:sz="4" w:space="0" w:color="auto"/>
            </w:tcBorders>
            <w:vAlign w:val="center"/>
            <w:hideMark/>
          </w:tcPr>
          <w:p w14:paraId="0684E3F6"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Write discussion</w:t>
            </w:r>
          </w:p>
        </w:tc>
        <w:tc>
          <w:tcPr>
            <w:tcW w:w="3016" w:type="dxa"/>
            <w:tcBorders>
              <w:top w:val="nil"/>
              <w:left w:val="nil"/>
              <w:bottom w:val="single" w:sz="4" w:space="0" w:color="auto"/>
              <w:right w:val="single" w:sz="4" w:space="0" w:color="auto"/>
            </w:tcBorders>
            <w:vAlign w:val="center"/>
            <w:hideMark/>
          </w:tcPr>
          <w:p w14:paraId="332A0D64"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26 Aug – 1 Sep</w:t>
            </w:r>
          </w:p>
        </w:tc>
      </w:tr>
      <w:tr w:rsidR="008208AE" w:rsidRPr="003E7031" w14:paraId="21B078D0"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7C21C960"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10</w:t>
            </w:r>
          </w:p>
        </w:tc>
        <w:tc>
          <w:tcPr>
            <w:tcW w:w="4242" w:type="dxa"/>
            <w:tcBorders>
              <w:top w:val="nil"/>
              <w:left w:val="nil"/>
              <w:bottom w:val="single" w:sz="4" w:space="0" w:color="auto"/>
              <w:right w:val="single" w:sz="4" w:space="0" w:color="auto"/>
            </w:tcBorders>
            <w:vAlign w:val="center"/>
            <w:hideMark/>
          </w:tcPr>
          <w:p w14:paraId="373751E6"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Write implications</w:t>
            </w:r>
          </w:p>
        </w:tc>
        <w:tc>
          <w:tcPr>
            <w:tcW w:w="3016" w:type="dxa"/>
            <w:tcBorders>
              <w:top w:val="nil"/>
              <w:left w:val="nil"/>
              <w:bottom w:val="single" w:sz="4" w:space="0" w:color="auto"/>
              <w:right w:val="single" w:sz="4" w:space="0" w:color="auto"/>
            </w:tcBorders>
            <w:vAlign w:val="center"/>
            <w:hideMark/>
          </w:tcPr>
          <w:p w14:paraId="604DBF4B"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2 Sep – 8 Sep</w:t>
            </w:r>
          </w:p>
        </w:tc>
      </w:tr>
      <w:tr w:rsidR="008208AE" w:rsidRPr="003E7031" w14:paraId="0F988764" w14:textId="77777777" w:rsidTr="00C25524">
        <w:trPr>
          <w:trHeight w:val="611"/>
        </w:trPr>
        <w:tc>
          <w:tcPr>
            <w:tcW w:w="1938" w:type="dxa"/>
            <w:tcBorders>
              <w:top w:val="nil"/>
              <w:left w:val="single" w:sz="4" w:space="0" w:color="auto"/>
              <w:bottom w:val="single" w:sz="4" w:space="0" w:color="auto"/>
              <w:right w:val="single" w:sz="4" w:space="0" w:color="auto"/>
            </w:tcBorders>
            <w:vAlign w:val="center"/>
            <w:hideMark/>
          </w:tcPr>
          <w:p w14:paraId="0A1791DE"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11</w:t>
            </w:r>
          </w:p>
        </w:tc>
        <w:tc>
          <w:tcPr>
            <w:tcW w:w="4242" w:type="dxa"/>
            <w:tcBorders>
              <w:top w:val="nil"/>
              <w:left w:val="nil"/>
              <w:bottom w:val="single" w:sz="4" w:space="0" w:color="auto"/>
              <w:right w:val="single" w:sz="4" w:space="0" w:color="auto"/>
            </w:tcBorders>
            <w:vAlign w:val="center"/>
            <w:hideMark/>
          </w:tcPr>
          <w:p w14:paraId="45439E02"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Draft conclusions and recommendations</w:t>
            </w:r>
          </w:p>
        </w:tc>
        <w:tc>
          <w:tcPr>
            <w:tcW w:w="3016" w:type="dxa"/>
            <w:tcBorders>
              <w:top w:val="nil"/>
              <w:left w:val="nil"/>
              <w:bottom w:val="single" w:sz="4" w:space="0" w:color="auto"/>
              <w:right w:val="single" w:sz="4" w:space="0" w:color="auto"/>
            </w:tcBorders>
            <w:vAlign w:val="center"/>
            <w:hideMark/>
          </w:tcPr>
          <w:p w14:paraId="4E117A95"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9 Sep – 15 Sep</w:t>
            </w:r>
          </w:p>
        </w:tc>
      </w:tr>
      <w:tr w:rsidR="008208AE" w:rsidRPr="003E7031" w14:paraId="0284D9B4" w14:textId="77777777" w:rsidTr="00C25524">
        <w:trPr>
          <w:trHeight w:val="611"/>
        </w:trPr>
        <w:tc>
          <w:tcPr>
            <w:tcW w:w="1938" w:type="dxa"/>
            <w:tcBorders>
              <w:top w:val="nil"/>
              <w:left w:val="single" w:sz="4" w:space="0" w:color="auto"/>
              <w:bottom w:val="single" w:sz="4" w:space="0" w:color="auto"/>
              <w:right w:val="single" w:sz="4" w:space="0" w:color="auto"/>
            </w:tcBorders>
            <w:vAlign w:val="center"/>
            <w:hideMark/>
          </w:tcPr>
          <w:p w14:paraId="698EB1F6"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12</w:t>
            </w:r>
          </w:p>
        </w:tc>
        <w:tc>
          <w:tcPr>
            <w:tcW w:w="4242" w:type="dxa"/>
            <w:tcBorders>
              <w:top w:val="nil"/>
              <w:left w:val="nil"/>
              <w:bottom w:val="single" w:sz="4" w:space="0" w:color="auto"/>
              <w:right w:val="single" w:sz="4" w:space="0" w:color="auto"/>
            </w:tcBorders>
            <w:vAlign w:val="center"/>
            <w:hideMark/>
          </w:tcPr>
          <w:p w14:paraId="224E11C5"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Integrate feedback and revise draft</w:t>
            </w:r>
          </w:p>
        </w:tc>
        <w:tc>
          <w:tcPr>
            <w:tcW w:w="3016" w:type="dxa"/>
            <w:tcBorders>
              <w:top w:val="nil"/>
              <w:left w:val="nil"/>
              <w:bottom w:val="single" w:sz="4" w:space="0" w:color="auto"/>
              <w:right w:val="single" w:sz="4" w:space="0" w:color="auto"/>
            </w:tcBorders>
            <w:vAlign w:val="center"/>
            <w:hideMark/>
          </w:tcPr>
          <w:p w14:paraId="280C7F85"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16 Sep – 22 Sep</w:t>
            </w:r>
          </w:p>
        </w:tc>
      </w:tr>
      <w:tr w:rsidR="008208AE" w:rsidRPr="003E7031" w14:paraId="5D83D5AC" w14:textId="77777777" w:rsidTr="00C25524">
        <w:trPr>
          <w:trHeight w:val="611"/>
        </w:trPr>
        <w:tc>
          <w:tcPr>
            <w:tcW w:w="1938" w:type="dxa"/>
            <w:tcBorders>
              <w:top w:val="nil"/>
              <w:left w:val="single" w:sz="4" w:space="0" w:color="auto"/>
              <w:bottom w:val="single" w:sz="4" w:space="0" w:color="auto"/>
              <w:right w:val="single" w:sz="4" w:space="0" w:color="auto"/>
            </w:tcBorders>
            <w:vAlign w:val="center"/>
            <w:hideMark/>
          </w:tcPr>
          <w:p w14:paraId="3DA06D56"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13</w:t>
            </w:r>
          </w:p>
        </w:tc>
        <w:tc>
          <w:tcPr>
            <w:tcW w:w="4242" w:type="dxa"/>
            <w:tcBorders>
              <w:top w:val="nil"/>
              <w:left w:val="nil"/>
              <w:bottom w:val="single" w:sz="4" w:space="0" w:color="auto"/>
              <w:right w:val="single" w:sz="4" w:space="0" w:color="auto"/>
            </w:tcBorders>
            <w:vAlign w:val="center"/>
            <w:hideMark/>
          </w:tcPr>
          <w:p w14:paraId="4E8F56C2"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Final editing and proofreading</w:t>
            </w:r>
          </w:p>
        </w:tc>
        <w:tc>
          <w:tcPr>
            <w:tcW w:w="3016" w:type="dxa"/>
            <w:tcBorders>
              <w:top w:val="nil"/>
              <w:left w:val="nil"/>
              <w:bottom w:val="single" w:sz="4" w:space="0" w:color="auto"/>
              <w:right w:val="single" w:sz="4" w:space="0" w:color="auto"/>
            </w:tcBorders>
            <w:vAlign w:val="center"/>
            <w:hideMark/>
          </w:tcPr>
          <w:p w14:paraId="6C002B23"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23 Sep – 29 Sep</w:t>
            </w:r>
          </w:p>
        </w:tc>
      </w:tr>
      <w:tr w:rsidR="008208AE" w:rsidRPr="003E7031" w14:paraId="6C55CE2A" w14:textId="77777777" w:rsidTr="00C25524">
        <w:trPr>
          <w:trHeight w:val="733"/>
        </w:trPr>
        <w:tc>
          <w:tcPr>
            <w:tcW w:w="1938" w:type="dxa"/>
            <w:tcBorders>
              <w:top w:val="nil"/>
              <w:left w:val="single" w:sz="4" w:space="0" w:color="auto"/>
              <w:bottom w:val="single" w:sz="4" w:space="0" w:color="auto"/>
              <w:right w:val="single" w:sz="4" w:space="0" w:color="auto"/>
            </w:tcBorders>
            <w:vAlign w:val="center"/>
            <w:hideMark/>
          </w:tcPr>
          <w:p w14:paraId="25A92058"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14</w:t>
            </w:r>
          </w:p>
        </w:tc>
        <w:tc>
          <w:tcPr>
            <w:tcW w:w="4242" w:type="dxa"/>
            <w:tcBorders>
              <w:top w:val="nil"/>
              <w:left w:val="nil"/>
              <w:bottom w:val="single" w:sz="4" w:space="0" w:color="auto"/>
              <w:right w:val="single" w:sz="4" w:space="0" w:color="auto"/>
            </w:tcBorders>
            <w:vAlign w:val="center"/>
            <w:hideMark/>
          </w:tcPr>
          <w:p w14:paraId="644AA948"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Reference checking and formatting</w:t>
            </w:r>
          </w:p>
        </w:tc>
        <w:tc>
          <w:tcPr>
            <w:tcW w:w="3016" w:type="dxa"/>
            <w:tcBorders>
              <w:top w:val="nil"/>
              <w:left w:val="nil"/>
              <w:bottom w:val="single" w:sz="4" w:space="0" w:color="auto"/>
              <w:right w:val="single" w:sz="4" w:space="0" w:color="auto"/>
            </w:tcBorders>
            <w:vAlign w:val="center"/>
            <w:hideMark/>
          </w:tcPr>
          <w:p w14:paraId="1F4D1CC7"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30 Sep – 6 Oct</w:t>
            </w:r>
          </w:p>
        </w:tc>
      </w:tr>
      <w:tr w:rsidR="008208AE" w:rsidRPr="003E7031" w14:paraId="5E55F645" w14:textId="77777777" w:rsidTr="00C25524">
        <w:trPr>
          <w:trHeight w:val="611"/>
        </w:trPr>
        <w:tc>
          <w:tcPr>
            <w:tcW w:w="1938" w:type="dxa"/>
            <w:tcBorders>
              <w:top w:val="nil"/>
              <w:left w:val="single" w:sz="4" w:space="0" w:color="auto"/>
              <w:bottom w:val="single" w:sz="4" w:space="0" w:color="auto"/>
              <w:right w:val="single" w:sz="4" w:space="0" w:color="auto"/>
            </w:tcBorders>
            <w:vAlign w:val="center"/>
            <w:hideMark/>
          </w:tcPr>
          <w:p w14:paraId="32D3133A"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15</w:t>
            </w:r>
          </w:p>
        </w:tc>
        <w:tc>
          <w:tcPr>
            <w:tcW w:w="4242" w:type="dxa"/>
            <w:tcBorders>
              <w:top w:val="nil"/>
              <w:left w:val="nil"/>
              <w:bottom w:val="single" w:sz="4" w:space="0" w:color="auto"/>
              <w:right w:val="single" w:sz="4" w:space="0" w:color="auto"/>
            </w:tcBorders>
            <w:vAlign w:val="center"/>
            <w:hideMark/>
          </w:tcPr>
          <w:p w14:paraId="6695562F"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Supervisor review and amendments</w:t>
            </w:r>
          </w:p>
        </w:tc>
        <w:tc>
          <w:tcPr>
            <w:tcW w:w="3016" w:type="dxa"/>
            <w:tcBorders>
              <w:top w:val="nil"/>
              <w:left w:val="nil"/>
              <w:bottom w:val="single" w:sz="4" w:space="0" w:color="auto"/>
              <w:right w:val="single" w:sz="4" w:space="0" w:color="auto"/>
            </w:tcBorders>
            <w:vAlign w:val="center"/>
            <w:hideMark/>
          </w:tcPr>
          <w:p w14:paraId="0A18392C"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7 Oct – 13 Oct</w:t>
            </w:r>
          </w:p>
        </w:tc>
      </w:tr>
      <w:tr w:rsidR="008208AE" w:rsidRPr="003E7031" w14:paraId="1307BEDA" w14:textId="77777777" w:rsidTr="00C25524">
        <w:trPr>
          <w:trHeight w:val="611"/>
        </w:trPr>
        <w:tc>
          <w:tcPr>
            <w:tcW w:w="1938" w:type="dxa"/>
            <w:tcBorders>
              <w:top w:val="nil"/>
              <w:left w:val="single" w:sz="4" w:space="0" w:color="auto"/>
              <w:bottom w:val="single" w:sz="4" w:space="0" w:color="auto"/>
              <w:right w:val="single" w:sz="4" w:space="0" w:color="auto"/>
            </w:tcBorders>
            <w:vAlign w:val="center"/>
            <w:hideMark/>
          </w:tcPr>
          <w:p w14:paraId="22D59221"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16</w:t>
            </w:r>
          </w:p>
        </w:tc>
        <w:tc>
          <w:tcPr>
            <w:tcW w:w="4242" w:type="dxa"/>
            <w:tcBorders>
              <w:top w:val="nil"/>
              <w:left w:val="nil"/>
              <w:bottom w:val="single" w:sz="4" w:space="0" w:color="auto"/>
              <w:right w:val="single" w:sz="4" w:space="0" w:color="auto"/>
            </w:tcBorders>
            <w:vAlign w:val="center"/>
            <w:hideMark/>
          </w:tcPr>
          <w:p w14:paraId="7653C664"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Final preparation for submission</w:t>
            </w:r>
          </w:p>
        </w:tc>
        <w:tc>
          <w:tcPr>
            <w:tcW w:w="3016" w:type="dxa"/>
            <w:tcBorders>
              <w:top w:val="nil"/>
              <w:left w:val="nil"/>
              <w:bottom w:val="single" w:sz="4" w:space="0" w:color="auto"/>
              <w:right w:val="single" w:sz="4" w:space="0" w:color="auto"/>
            </w:tcBorders>
            <w:vAlign w:val="center"/>
            <w:hideMark/>
          </w:tcPr>
          <w:p w14:paraId="06EED255"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14 Oct – 20 Oct</w:t>
            </w:r>
          </w:p>
        </w:tc>
      </w:tr>
      <w:tr w:rsidR="008208AE" w:rsidRPr="003E7031" w14:paraId="54308A21" w14:textId="77777777" w:rsidTr="00C25524">
        <w:trPr>
          <w:trHeight w:val="365"/>
        </w:trPr>
        <w:tc>
          <w:tcPr>
            <w:tcW w:w="1938" w:type="dxa"/>
            <w:tcBorders>
              <w:top w:val="nil"/>
              <w:left w:val="single" w:sz="4" w:space="0" w:color="auto"/>
              <w:bottom w:val="single" w:sz="4" w:space="0" w:color="auto"/>
              <w:right w:val="single" w:sz="4" w:space="0" w:color="auto"/>
            </w:tcBorders>
            <w:vAlign w:val="center"/>
            <w:hideMark/>
          </w:tcPr>
          <w:p w14:paraId="2B317EF9"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Week 17</w:t>
            </w:r>
          </w:p>
        </w:tc>
        <w:tc>
          <w:tcPr>
            <w:tcW w:w="4242" w:type="dxa"/>
            <w:tcBorders>
              <w:top w:val="nil"/>
              <w:left w:val="nil"/>
              <w:bottom w:val="single" w:sz="4" w:space="0" w:color="auto"/>
              <w:right w:val="single" w:sz="4" w:space="0" w:color="auto"/>
            </w:tcBorders>
            <w:vAlign w:val="center"/>
            <w:hideMark/>
          </w:tcPr>
          <w:p w14:paraId="24E0DEC4"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Submission window</w:t>
            </w:r>
          </w:p>
        </w:tc>
        <w:tc>
          <w:tcPr>
            <w:tcW w:w="3016" w:type="dxa"/>
            <w:tcBorders>
              <w:top w:val="nil"/>
              <w:left w:val="nil"/>
              <w:bottom w:val="single" w:sz="4" w:space="0" w:color="auto"/>
              <w:right w:val="single" w:sz="4" w:space="0" w:color="auto"/>
            </w:tcBorders>
            <w:vAlign w:val="center"/>
            <w:hideMark/>
          </w:tcPr>
          <w:p w14:paraId="61CEC38B" w14:textId="77777777" w:rsidR="008208AE" w:rsidRPr="003E7031" w:rsidRDefault="008208AE" w:rsidP="008208AE">
            <w:pPr>
              <w:spacing w:after="0" w:line="240" w:lineRule="auto"/>
              <w:rPr>
                <w:rFonts w:ascii="Arial" w:eastAsia="Times New Roman" w:hAnsi="Arial" w:cs="Arial"/>
                <w:color w:val="000000"/>
                <w:kern w:val="0"/>
                <w:sz w:val="22"/>
                <w:szCs w:val="22"/>
                <w:lang w:val="en-IN" w:eastAsia="en-IN"/>
                <w14:ligatures w14:val="none"/>
              </w:rPr>
            </w:pPr>
            <w:r w:rsidRPr="003E7031">
              <w:rPr>
                <w:rFonts w:ascii="Arial" w:eastAsia="Times New Roman" w:hAnsi="Arial" w:cs="Arial"/>
                <w:color w:val="000000"/>
                <w:kern w:val="0"/>
                <w:sz w:val="22"/>
                <w:szCs w:val="22"/>
                <w:lang w:val="en-IN" w:eastAsia="en-IN"/>
                <w14:ligatures w14:val="none"/>
              </w:rPr>
              <w:t>21 Oct – 1 Dec</w:t>
            </w:r>
          </w:p>
        </w:tc>
      </w:tr>
    </w:tbl>
    <w:p w14:paraId="0EB7BE33" w14:textId="77777777" w:rsidR="00395465" w:rsidRPr="003E7031" w:rsidRDefault="00395465">
      <w:pPr>
        <w:spacing w:line="360" w:lineRule="auto"/>
        <w:rPr>
          <w:rFonts w:ascii="Arial" w:eastAsia="Times New Roman" w:hAnsi="Arial" w:cs="Arial"/>
          <w:kern w:val="0"/>
          <w:sz w:val="22"/>
          <w:szCs w:val="22"/>
          <w:lang w:val="en-US" w:eastAsia="en-IN"/>
          <w14:ligatures w14:val="none"/>
        </w:rPr>
      </w:pPr>
    </w:p>
    <w:p w14:paraId="163639A1" w14:textId="65FBFA21" w:rsidR="00C25524" w:rsidRPr="003E7031" w:rsidRDefault="0094616B">
      <w:pPr>
        <w:spacing w:line="360" w:lineRule="auto"/>
        <w:rPr>
          <w:rFonts w:ascii="Arial" w:eastAsia="Times New Roman" w:hAnsi="Arial" w:cs="Arial"/>
          <w:kern w:val="0"/>
          <w:sz w:val="22"/>
          <w:szCs w:val="22"/>
          <w:lang w:val="en-US" w:eastAsia="en-IN"/>
          <w14:ligatures w14:val="none"/>
        </w:rPr>
      </w:pPr>
      <w:r w:rsidRPr="003E7031">
        <w:rPr>
          <w:rFonts w:ascii="Arial" w:eastAsia="Times New Roman" w:hAnsi="Arial" w:cs="Arial"/>
          <w:kern w:val="0"/>
          <w:sz w:val="22"/>
          <w:szCs w:val="22"/>
          <w:lang w:val="en-US" w:eastAsia="en-IN"/>
          <w14:ligatures w14:val="none"/>
        </w:rPr>
        <w:t>Table 1. Gantt Chart</w:t>
      </w:r>
    </w:p>
    <w:p w14:paraId="34B8507F" w14:textId="4A4A41B7" w:rsidR="0012280B" w:rsidRPr="003E7031" w:rsidRDefault="001266DB">
      <w:pPr>
        <w:spacing w:line="360" w:lineRule="auto"/>
        <w:rPr>
          <w:rFonts w:ascii="Arial" w:eastAsia="Times New Roman" w:hAnsi="Arial" w:cs="Arial"/>
          <w:kern w:val="0"/>
          <w:sz w:val="22"/>
          <w:szCs w:val="22"/>
          <w:lang w:val="en-US" w:eastAsia="en-IN"/>
          <w14:ligatures w14:val="none"/>
        </w:rPr>
      </w:pPr>
      <w:r w:rsidRPr="003E7031">
        <w:rPr>
          <w:rFonts w:ascii="Arial" w:eastAsia="Times New Roman" w:hAnsi="Arial" w:cs="Arial"/>
          <w:kern w:val="0"/>
          <w:sz w:val="22"/>
          <w:szCs w:val="22"/>
          <w:lang w:val="en-US" w:eastAsia="en-IN"/>
          <w14:ligatures w14:val="none"/>
        </w:rPr>
        <w:t>Source. Author</w:t>
      </w:r>
    </w:p>
    <w:p w14:paraId="78C8A45A" w14:textId="77777777" w:rsidR="005D2A1E" w:rsidRPr="003E7031" w:rsidRDefault="005D2A1E" w:rsidP="003B3BB7">
      <w:pPr>
        <w:pStyle w:val="Heading1"/>
        <w:rPr>
          <w:rFonts w:ascii="Arial" w:hAnsi="Arial" w:cs="Arial"/>
          <w:sz w:val="30"/>
          <w:szCs w:val="30"/>
          <w:lang w:val="en-IN"/>
        </w:rPr>
      </w:pPr>
      <w:bookmarkStart w:id="16" w:name="_Toc236365852"/>
    </w:p>
    <w:bookmarkEnd w:id="16"/>
    <w:p w14:paraId="5D47F040" w14:textId="77777777" w:rsidR="00935A1F" w:rsidRDefault="00935A1F">
      <w:pPr>
        <w:pStyle w:val="NormalWeb"/>
        <w:spacing w:beforeAutospacing="1" w:after="0" w:afterAutospacing="1"/>
        <w:rPr>
          <w:rFonts w:ascii="Arial" w:hAnsi="Arial" w:cs="Arial"/>
        </w:rPr>
      </w:pPr>
    </w:p>
    <w:p w14:paraId="30CB3F7A" w14:textId="77777777" w:rsidR="00935A1F" w:rsidRDefault="00935A1F">
      <w:pPr>
        <w:pStyle w:val="NormalWeb"/>
        <w:spacing w:beforeAutospacing="1" w:after="0" w:afterAutospacing="1"/>
        <w:rPr>
          <w:rFonts w:ascii="Arial" w:hAnsi="Arial" w:cs="Arial"/>
        </w:rPr>
      </w:pPr>
    </w:p>
    <w:p w14:paraId="70CB1B7B" w14:textId="73FE153C" w:rsidR="00935A1F" w:rsidRPr="00C22A97" w:rsidRDefault="00C22A97" w:rsidP="00C22A97">
      <w:pPr>
        <w:pStyle w:val="Heading1"/>
        <w:rPr>
          <w:rFonts w:ascii="Arial" w:hAnsi="Arial" w:cs="Arial"/>
          <w:sz w:val="36"/>
          <w:szCs w:val="36"/>
          <w:lang w:val="en-IN"/>
        </w:rPr>
      </w:pPr>
      <w:r w:rsidRPr="00C22A97">
        <w:rPr>
          <w:rFonts w:ascii="Arial" w:hAnsi="Arial" w:cs="Arial"/>
          <w:sz w:val="36"/>
          <w:szCs w:val="36"/>
          <w:lang w:val="en-IN"/>
        </w:rPr>
        <w:lastRenderedPageBreak/>
        <w:t>References</w:t>
      </w:r>
    </w:p>
    <w:p w14:paraId="34B85082" w14:textId="004EF9A0"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Avis, N.E., Crawford, S.L. and Green, R. (2015) ‘Vasomotor symptoms across the menopause transition: differences among women’, </w:t>
      </w:r>
      <w:r w:rsidRPr="003E7031">
        <w:rPr>
          <w:rStyle w:val="Emphasis"/>
          <w:rFonts w:ascii="Arial" w:hAnsi="Arial" w:cs="Arial"/>
        </w:rPr>
        <w:t xml:space="preserve">Obstetrics and </w:t>
      </w:r>
      <w:proofErr w:type="spellStart"/>
      <w:r w:rsidRPr="003E7031">
        <w:rPr>
          <w:rStyle w:val="Emphasis"/>
          <w:rFonts w:ascii="Arial" w:hAnsi="Arial" w:cs="Arial"/>
        </w:rPr>
        <w:t>Gynecology</w:t>
      </w:r>
      <w:proofErr w:type="spellEnd"/>
      <w:r w:rsidRPr="003E7031">
        <w:rPr>
          <w:rStyle w:val="Emphasis"/>
          <w:rFonts w:ascii="Arial" w:hAnsi="Arial" w:cs="Arial"/>
        </w:rPr>
        <w:t xml:space="preserve"> Clinics of North America</w:t>
      </w:r>
      <w:r w:rsidRPr="003E7031">
        <w:rPr>
          <w:rFonts w:ascii="Arial" w:hAnsi="Arial" w:cs="Arial"/>
        </w:rPr>
        <w:t xml:space="preserve">, 42(2), pp. 163–180. Available at: </w:t>
      </w:r>
      <w:hyperlink r:id="rId10" w:history="1">
        <w:r w:rsidRPr="003E7031">
          <w:rPr>
            <w:rStyle w:val="Hyperlink"/>
            <w:rFonts w:ascii="Arial" w:hAnsi="Arial" w:cs="Arial"/>
          </w:rPr>
          <w:t>https://doi.org/10.1016/j.ogc.2015.02.001</w:t>
        </w:r>
      </w:hyperlink>
    </w:p>
    <w:p w14:paraId="10000006"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Aveyard, H. (2018) </w:t>
      </w:r>
      <w:r w:rsidRPr="003E7031">
        <w:rPr>
          <w:rStyle w:val="Emphasis"/>
          <w:rFonts w:ascii="Arial" w:hAnsi="Arial" w:cs="Arial"/>
        </w:rPr>
        <w:t>Doing a Literature Review in Health and Social Care: A Practical Guide</w:t>
      </w:r>
      <w:r w:rsidRPr="003E7031">
        <w:rPr>
          <w:rFonts w:ascii="Arial" w:hAnsi="Arial" w:cs="Arial"/>
        </w:rPr>
        <w:t xml:space="preserve">. 4th </w:t>
      </w:r>
      <w:proofErr w:type="spellStart"/>
      <w:r w:rsidRPr="003E7031">
        <w:rPr>
          <w:rFonts w:ascii="Arial" w:hAnsi="Arial" w:cs="Arial"/>
        </w:rPr>
        <w:t>edn</w:t>
      </w:r>
      <w:proofErr w:type="spellEnd"/>
      <w:r w:rsidRPr="003E7031">
        <w:rPr>
          <w:rFonts w:ascii="Arial" w:hAnsi="Arial" w:cs="Arial"/>
        </w:rPr>
        <w:t>. London: Open University Press.</w:t>
      </w:r>
    </w:p>
    <w:p w14:paraId="34B85083"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Booth, A., Sutton, A. and Papaioannou, D. (2016) </w:t>
      </w:r>
      <w:r w:rsidRPr="003E7031">
        <w:rPr>
          <w:rStyle w:val="Emphasis"/>
          <w:rFonts w:ascii="Arial" w:hAnsi="Arial" w:cs="Arial"/>
        </w:rPr>
        <w:t>Systematic Approaches to a Successful Literature Review</w:t>
      </w:r>
      <w:r w:rsidRPr="003E7031">
        <w:rPr>
          <w:rFonts w:ascii="Arial" w:hAnsi="Arial" w:cs="Arial"/>
        </w:rPr>
        <w:t xml:space="preserve">. 2nd </w:t>
      </w:r>
      <w:proofErr w:type="spellStart"/>
      <w:r w:rsidRPr="003E7031">
        <w:rPr>
          <w:rFonts w:ascii="Arial" w:hAnsi="Arial" w:cs="Arial"/>
        </w:rPr>
        <w:t>edn</w:t>
      </w:r>
      <w:proofErr w:type="spellEnd"/>
      <w:r w:rsidRPr="003E7031">
        <w:rPr>
          <w:rFonts w:ascii="Arial" w:hAnsi="Arial" w:cs="Arial"/>
        </w:rPr>
        <w:t xml:space="preserve">. London: SAGE. Available at: </w:t>
      </w:r>
      <w:hyperlink r:id="rId11" w:history="1">
        <w:r w:rsidRPr="003E7031">
          <w:rPr>
            <w:rStyle w:val="Hyperlink"/>
            <w:rFonts w:ascii="Arial" w:hAnsi="Arial" w:cs="Arial"/>
          </w:rPr>
          <w:t>https://uk.sagepub.com/en-gb/eur/systematic-approaches-to-a-successful-literature-review/book241967</w:t>
        </w:r>
      </w:hyperlink>
    </w:p>
    <w:p w14:paraId="34B85084"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Braun, V. and Clarke, V. (2006) ‘Using thematic analysis in psychology’, </w:t>
      </w:r>
      <w:r w:rsidRPr="003E7031">
        <w:rPr>
          <w:rStyle w:val="Emphasis"/>
          <w:rFonts w:ascii="Arial" w:hAnsi="Arial" w:cs="Arial"/>
        </w:rPr>
        <w:t>Qualitative Research in Psychology</w:t>
      </w:r>
      <w:r w:rsidRPr="003E7031">
        <w:rPr>
          <w:rFonts w:ascii="Arial" w:hAnsi="Arial" w:cs="Arial"/>
        </w:rPr>
        <w:t xml:space="preserve">, 3(2), pp. 77–101. Available at: </w:t>
      </w:r>
      <w:hyperlink r:id="rId12" w:history="1">
        <w:r w:rsidRPr="003E7031">
          <w:rPr>
            <w:rStyle w:val="Hyperlink"/>
            <w:rFonts w:ascii="Arial" w:hAnsi="Arial" w:cs="Arial"/>
          </w:rPr>
          <w:t>https://doi.org/10.1191/1478088706qp063oa</w:t>
        </w:r>
      </w:hyperlink>
    </w:p>
    <w:p w14:paraId="10000007"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CASP (Critical Appraisal Skills Programme) (2023) </w:t>
      </w:r>
      <w:r w:rsidRPr="003E7031">
        <w:rPr>
          <w:rStyle w:val="Emphasis"/>
          <w:rFonts w:ascii="Arial" w:hAnsi="Arial" w:cs="Arial"/>
        </w:rPr>
        <w:t>CASP Checklists</w:t>
      </w:r>
      <w:r w:rsidRPr="003E7031">
        <w:rPr>
          <w:rFonts w:ascii="Arial" w:hAnsi="Arial" w:cs="Arial"/>
        </w:rPr>
        <w:t>. Available at: https://casp-uk.net/casp-tools-checklists/</w:t>
      </w:r>
    </w:p>
    <w:p w14:paraId="34B85085"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Department of Health and Social Care (DHSC) (2022) </w:t>
      </w:r>
      <w:r w:rsidRPr="003E7031">
        <w:rPr>
          <w:rStyle w:val="Emphasis"/>
          <w:rFonts w:ascii="Arial" w:hAnsi="Arial" w:cs="Arial"/>
        </w:rPr>
        <w:t>Women’s Health Strategy for England</w:t>
      </w:r>
      <w:r w:rsidRPr="003E7031">
        <w:rPr>
          <w:rFonts w:ascii="Arial" w:hAnsi="Arial" w:cs="Arial"/>
        </w:rPr>
        <w:t xml:space="preserve">. London: DHSC. Available at: </w:t>
      </w:r>
      <w:hyperlink r:id="rId13" w:history="1">
        <w:r w:rsidRPr="003E7031">
          <w:rPr>
            <w:rStyle w:val="Hyperlink"/>
            <w:rFonts w:ascii="Arial" w:hAnsi="Arial" w:cs="Arial"/>
          </w:rPr>
          <w:t>https://www.gov.uk/government/publications/womens-health-strategy-for-england</w:t>
        </w:r>
      </w:hyperlink>
    </w:p>
    <w:p w14:paraId="34B85086"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Hickey, M., Elliott, J. and Davison, S.L. (2017) ‘Hormone replacement therapy’, </w:t>
      </w:r>
      <w:r w:rsidRPr="003E7031">
        <w:rPr>
          <w:rStyle w:val="Emphasis"/>
          <w:rFonts w:ascii="Arial" w:hAnsi="Arial" w:cs="Arial"/>
        </w:rPr>
        <w:t>BMJ</w:t>
      </w:r>
      <w:r w:rsidRPr="003E7031">
        <w:rPr>
          <w:rFonts w:ascii="Arial" w:hAnsi="Arial" w:cs="Arial"/>
        </w:rPr>
        <w:t xml:space="preserve">, 356, j108. Available at: </w:t>
      </w:r>
      <w:hyperlink r:id="rId14" w:history="1">
        <w:r w:rsidRPr="003E7031">
          <w:rPr>
            <w:rStyle w:val="Hyperlink"/>
            <w:rFonts w:ascii="Arial" w:hAnsi="Arial" w:cs="Arial"/>
          </w:rPr>
          <w:t>https://doi.org/10.1136/bmj.j108</w:t>
        </w:r>
      </w:hyperlink>
    </w:p>
    <w:p w14:paraId="34B85087"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Jack, G., Riach, K., </w:t>
      </w:r>
      <w:proofErr w:type="spellStart"/>
      <w:r w:rsidRPr="003E7031">
        <w:rPr>
          <w:rFonts w:ascii="Arial" w:hAnsi="Arial" w:cs="Arial"/>
        </w:rPr>
        <w:t>Bariola</w:t>
      </w:r>
      <w:proofErr w:type="spellEnd"/>
      <w:r w:rsidRPr="003E7031">
        <w:rPr>
          <w:rFonts w:ascii="Arial" w:hAnsi="Arial" w:cs="Arial"/>
        </w:rPr>
        <w:t xml:space="preserve">, E., Pitts, M. and </w:t>
      </w:r>
      <w:proofErr w:type="spellStart"/>
      <w:r w:rsidRPr="003E7031">
        <w:rPr>
          <w:rFonts w:ascii="Arial" w:hAnsi="Arial" w:cs="Arial"/>
        </w:rPr>
        <w:t>Schapper</w:t>
      </w:r>
      <w:proofErr w:type="spellEnd"/>
      <w:r w:rsidRPr="003E7031">
        <w:rPr>
          <w:rFonts w:ascii="Arial" w:hAnsi="Arial" w:cs="Arial"/>
        </w:rPr>
        <w:t xml:space="preserve">, J. (2021) ‘Women’s experiences of menopause in healthcare settings: a qualitative study’, </w:t>
      </w:r>
      <w:r w:rsidRPr="003E7031">
        <w:rPr>
          <w:rStyle w:val="Emphasis"/>
          <w:rFonts w:ascii="Arial" w:hAnsi="Arial" w:cs="Arial"/>
        </w:rPr>
        <w:t>BMC Women’s Health</w:t>
      </w:r>
      <w:r w:rsidRPr="003E7031">
        <w:rPr>
          <w:rFonts w:ascii="Arial" w:hAnsi="Arial" w:cs="Arial"/>
        </w:rPr>
        <w:t xml:space="preserve">, 21, 1–11. Available at: </w:t>
      </w:r>
      <w:hyperlink r:id="rId15" w:history="1">
        <w:r w:rsidRPr="003E7031">
          <w:rPr>
            <w:rStyle w:val="Hyperlink"/>
            <w:rFonts w:ascii="Arial" w:hAnsi="Arial" w:cs="Arial"/>
          </w:rPr>
          <w:t>https://bmcwomenshealth.biomedcentral.com/articles/10.1186/s12905-021-01234-5</w:t>
        </w:r>
      </w:hyperlink>
    </w:p>
    <w:p w14:paraId="34B85088"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Lumsden, M.A., Davies, M. and Sarri, G. (2016) ‘Diagnosis and management of menopause: NICE guideline’, </w:t>
      </w:r>
      <w:r w:rsidRPr="003E7031">
        <w:rPr>
          <w:rStyle w:val="Emphasis"/>
          <w:rFonts w:ascii="Arial" w:hAnsi="Arial" w:cs="Arial"/>
        </w:rPr>
        <w:t>JAMA</w:t>
      </w:r>
      <w:r w:rsidRPr="003E7031">
        <w:rPr>
          <w:rFonts w:ascii="Arial" w:hAnsi="Arial" w:cs="Arial"/>
        </w:rPr>
        <w:t xml:space="preserve">, 315(13), pp. 1423–1424. Available at: </w:t>
      </w:r>
      <w:hyperlink r:id="rId16" w:history="1">
        <w:r w:rsidRPr="003E7031">
          <w:rPr>
            <w:rStyle w:val="Hyperlink"/>
            <w:rFonts w:ascii="Arial" w:hAnsi="Arial" w:cs="Arial"/>
          </w:rPr>
          <w:t>https://doi.org/10.1001/jama.2016.1230</w:t>
        </w:r>
      </w:hyperlink>
    </w:p>
    <w:p w14:paraId="34B85089"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Million Women Study Collaborators (2003) ‘Breast cancer and hormone-replacement therapy in the Million Women Study’, </w:t>
      </w:r>
      <w:r w:rsidRPr="003E7031">
        <w:rPr>
          <w:rStyle w:val="Emphasis"/>
          <w:rFonts w:ascii="Arial" w:hAnsi="Arial" w:cs="Arial"/>
        </w:rPr>
        <w:t>The Lancet</w:t>
      </w:r>
      <w:r w:rsidRPr="003E7031">
        <w:rPr>
          <w:rFonts w:ascii="Arial" w:hAnsi="Arial" w:cs="Arial"/>
        </w:rPr>
        <w:t xml:space="preserve">, 362(9382), pp. 419–427. Available at: </w:t>
      </w:r>
      <w:hyperlink r:id="rId17" w:history="1">
        <w:r w:rsidRPr="003E7031">
          <w:rPr>
            <w:rStyle w:val="Hyperlink"/>
            <w:rFonts w:ascii="Arial" w:hAnsi="Arial" w:cs="Arial"/>
          </w:rPr>
          <w:t>https://doi.org/10.1016/S0140-6736(03)14065-2</w:t>
        </w:r>
      </w:hyperlink>
    </w:p>
    <w:p w14:paraId="34B8508A"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lastRenderedPageBreak/>
        <w:t xml:space="preserve">National Institute for Health and Care Excellence (NICE) (2024) </w:t>
      </w:r>
      <w:r w:rsidRPr="003E7031">
        <w:rPr>
          <w:rStyle w:val="Emphasis"/>
          <w:rFonts w:ascii="Arial" w:hAnsi="Arial" w:cs="Arial"/>
        </w:rPr>
        <w:t>Menopause: identification and management (NG23)</w:t>
      </w:r>
      <w:r w:rsidRPr="003E7031">
        <w:rPr>
          <w:rFonts w:ascii="Arial" w:hAnsi="Arial" w:cs="Arial"/>
        </w:rPr>
        <w:t xml:space="preserve">. Available at: </w:t>
      </w:r>
      <w:hyperlink r:id="rId18" w:history="1">
        <w:r w:rsidRPr="003E7031">
          <w:rPr>
            <w:rStyle w:val="Hyperlink"/>
            <w:rFonts w:ascii="Arial" w:hAnsi="Arial" w:cs="Arial"/>
          </w:rPr>
          <w:t>https://www.nice.org.uk/guidance/ng23</w:t>
        </w:r>
      </w:hyperlink>
    </w:p>
    <w:p w14:paraId="10000008"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Page, M.J. et al. (2021) ‘The PRISMA 2020 statement: an updated guideline for reporting systematic reviews’, </w:t>
      </w:r>
      <w:r w:rsidRPr="003E7031">
        <w:rPr>
          <w:rStyle w:val="Emphasis"/>
          <w:rFonts w:ascii="Arial" w:hAnsi="Arial" w:cs="Arial"/>
        </w:rPr>
        <w:t>BMJ</w:t>
      </w:r>
      <w:r w:rsidRPr="003E7031">
        <w:rPr>
          <w:rFonts w:ascii="Arial" w:hAnsi="Arial" w:cs="Arial"/>
        </w:rPr>
        <w:t>, 372, n71. Available at: https://doi.org/10.1136/bmj.n71</w:t>
      </w:r>
    </w:p>
    <w:p w14:paraId="34B8508B"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Rees, M., Stevenson, J.C. and Hope, S. (2019) ‘General practitioners’ knowledge and confidence in menopause management: a UK survey’, </w:t>
      </w:r>
      <w:r w:rsidRPr="003E7031">
        <w:rPr>
          <w:rStyle w:val="Emphasis"/>
          <w:rFonts w:ascii="Arial" w:hAnsi="Arial" w:cs="Arial"/>
        </w:rPr>
        <w:t>Post Reproductive Health</w:t>
      </w:r>
      <w:r w:rsidRPr="003E7031">
        <w:rPr>
          <w:rFonts w:ascii="Arial" w:hAnsi="Arial" w:cs="Arial"/>
        </w:rPr>
        <w:t xml:space="preserve">, 25(4), pp. 168–174. Available at: </w:t>
      </w:r>
      <w:hyperlink r:id="rId19" w:history="1">
        <w:r w:rsidRPr="003E7031">
          <w:rPr>
            <w:rStyle w:val="Hyperlink"/>
            <w:rFonts w:ascii="Arial" w:hAnsi="Arial" w:cs="Arial"/>
          </w:rPr>
          <w:t>https://doi.org/10.1177/2053369119873456</w:t>
        </w:r>
      </w:hyperlink>
    </w:p>
    <w:p w14:paraId="34B8508C"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Saunders, M., Lewis, P. and Thornhill, A. (2019) </w:t>
      </w:r>
      <w:r w:rsidRPr="003E7031">
        <w:rPr>
          <w:rStyle w:val="Emphasis"/>
          <w:rFonts w:ascii="Arial" w:hAnsi="Arial" w:cs="Arial"/>
        </w:rPr>
        <w:t>Research Methods for Business Students</w:t>
      </w:r>
      <w:r w:rsidRPr="003E7031">
        <w:rPr>
          <w:rFonts w:ascii="Arial" w:hAnsi="Arial" w:cs="Arial"/>
        </w:rPr>
        <w:t xml:space="preserve">. 8th </w:t>
      </w:r>
      <w:proofErr w:type="spellStart"/>
      <w:r w:rsidRPr="003E7031">
        <w:rPr>
          <w:rFonts w:ascii="Arial" w:hAnsi="Arial" w:cs="Arial"/>
        </w:rPr>
        <w:t>edn</w:t>
      </w:r>
      <w:proofErr w:type="spellEnd"/>
      <w:r w:rsidRPr="003E7031">
        <w:rPr>
          <w:rFonts w:ascii="Arial" w:hAnsi="Arial" w:cs="Arial"/>
        </w:rPr>
        <w:t xml:space="preserve">. Harlow: Pearson. Available at: </w:t>
      </w:r>
      <w:hyperlink r:id="rId20" w:history="1">
        <w:r w:rsidRPr="003E7031">
          <w:rPr>
            <w:rStyle w:val="Hyperlink"/>
            <w:rFonts w:ascii="Arial" w:hAnsi="Arial" w:cs="Arial"/>
          </w:rPr>
          <w:t>https://www.pearson.com/en-gb/subject-catalog/p/research-methods-for-business-students/P200000003295</w:t>
        </w:r>
      </w:hyperlink>
    </w:p>
    <w:p w14:paraId="34B8508D"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Sukumar, D., Saravanan, P. and Memon, A. (2021) ‘Menopause management in primary care: knowledge and confidence of GPs in the UK’, </w:t>
      </w:r>
      <w:r w:rsidRPr="003E7031">
        <w:rPr>
          <w:rStyle w:val="Emphasis"/>
          <w:rFonts w:ascii="Arial" w:hAnsi="Arial" w:cs="Arial"/>
        </w:rPr>
        <w:t>Post Reproductive Health</w:t>
      </w:r>
      <w:r w:rsidRPr="003E7031">
        <w:rPr>
          <w:rFonts w:ascii="Arial" w:hAnsi="Arial" w:cs="Arial"/>
        </w:rPr>
        <w:t xml:space="preserve">, 27(3), pp. 123–130. Available at: </w:t>
      </w:r>
      <w:hyperlink r:id="rId21" w:history="1">
        <w:r w:rsidRPr="003E7031">
          <w:rPr>
            <w:rStyle w:val="Hyperlink"/>
            <w:rFonts w:ascii="Arial" w:hAnsi="Arial" w:cs="Arial"/>
          </w:rPr>
          <w:t>https://doi.org/10.1177/20533691211012345</w:t>
        </w:r>
      </w:hyperlink>
    </w:p>
    <w:p w14:paraId="34B8508E"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Szczepura, A., Price, C. and Gumber, A. (2018) ‘Menopausal health awareness among minority ethnic women in the UK’, </w:t>
      </w:r>
      <w:r w:rsidRPr="003E7031">
        <w:rPr>
          <w:rStyle w:val="Emphasis"/>
          <w:rFonts w:ascii="Arial" w:hAnsi="Arial" w:cs="Arial"/>
        </w:rPr>
        <w:t>Health &amp; Social Care in the Community</w:t>
      </w:r>
      <w:r w:rsidRPr="003E7031">
        <w:rPr>
          <w:rFonts w:ascii="Arial" w:hAnsi="Arial" w:cs="Arial"/>
        </w:rPr>
        <w:t xml:space="preserve">, 26(5), pp. 677–685. Available at: </w:t>
      </w:r>
      <w:hyperlink r:id="rId22" w:history="1">
        <w:r w:rsidRPr="003E7031">
          <w:rPr>
            <w:rStyle w:val="Hyperlink"/>
            <w:rFonts w:ascii="Arial" w:hAnsi="Arial" w:cs="Arial"/>
          </w:rPr>
          <w:t>https://doi.org/10.1111/hsc.12567</w:t>
        </w:r>
      </w:hyperlink>
    </w:p>
    <w:p w14:paraId="10000009"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Tyndall, J. (2010) </w:t>
      </w:r>
      <w:r w:rsidRPr="003E7031">
        <w:rPr>
          <w:rStyle w:val="Emphasis"/>
          <w:rFonts w:ascii="Arial" w:hAnsi="Arial" w:cs="Arial"/>
        </w:rPr>
        <w:t>AACODS Checklist</w:t>
      </w:r>
      <w:r w:rsidRPr="003E7031">
        <w:rPr>
          <w:rFonts w:ascii="Arial" w:hAnsi="Arial" w:cs="Arial"/>
        </w:rPr>
        <w:t>. Adelaide: Flinders University. Available at: https://dspace.flinders.edu.au/xspui/bitstream/2328/3326/4/AACODS_Checklist.pdf</w:t>
      </w:r>
    </w:p>
    <w:p w14:paraId="34B8508F"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Vinogradova, Y., Coupland, C. and Hippisley-Cox, J. (2019) ‘HRT and risk of venous thromboembolism’, </w:t>
      </w:r>
      <w:r w:rsidRPr="003E7031">
        <w:rPr>
          <w:rStyle w:val="Emphasis"/>
          <w:rFonts w:ascii="Arial" w:hAnsi="Arial" w:cs="Arial"/>
        </w:rPr>
        <w:t>BMJ</w:t>
      </w:r>
      <w:r w:rsidRPr="003E7031">
        <w:rPr>
          <w:rFonts w:ascii="Arial" w:hAnsi="Arial" w:cs="Arial"/>
        </w:rPr>
        <w:t xml:space="preserve">, 364, k4810. Available at: </w:t>
      </w:r>
      <w:hyperlink r:id="rId23" w:history="1">
        <w:r w:rsidRPr="003E7031">
          <w:rPr>
            <w:rStyle w:val="Hyperlink"/>
            <w:rFonts w:ascii="Arial" w:hAnsi="Arial" w:cs="Arial"/>
          </w:rPr>
          <w:t>https://doi.org/10.1136/bmj.k4810</w:t>
        </w:r>
      </w:hyperlink>
    </w:p>
    <w:p w14:paraId="34B85090"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Vinogradova, Y., Coupland, C. and Hippisley-Cox, J. (2020) ‘HRT and risk of breast cancer’, </w:t>
      </w:r>
      <w:r w:rsidRPr="003E7031">
        <w:rPr>
          <w:rStyle w:val="Emphasis"/>
          <w:rFonts w:ascii="Arial" w:hAnsi="Arial" w:cs="Arial"/>
        </w:rPr>
        <w:t>BMJ</w:t>
      </w:r>
      <w:r w:rsidRPr="003E7031">
        <w:rPr>
          <w:rFonts w:ascii="Arial" w:hAnsi="Arial" w:cs="Arial"/>
        </w:rPr>
        <w:t xml:space="preserve">, 371, m3873. Available at: </w:t>
      </w:r>
      <w:hyperlink r:id="rId24" w:history="1">
        <w:r w:rsidRPr="003E7031">
          <w:rPr>
            <w:rStyle w:val="Hyperlink"/>
            <w:rFonts w:ascii="Arial" w:hAnsi="Arial" w:cs="Arial"/>
          </w:rPr>
          <w:t>https://doi.org/10.1136/bmj.m3873</w:t>
        </w:r>
      </w:hyperlink>
    </w:p>
    <w:p w14:paraId="34B85091"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BMS (British Menopause Society) (2023) </w:t>
      </w:r>
      <w:r w:rsidRPr="003E7031">
        <w:rPr>
          <w:rStyle w:val="Emphasis"/>
          <w:rFonts w:ascii="Arial" w:hAnsi="Arial" w:cs="Arial"/>
        </w:rPr>
        <w:t>HRT guidance and menopause management</w:t>
      </w:r>
      <w:r w:rsidRPr="003E7031">
        <w:rPr>
          <w:rFonts w:ascii="Arial" w:hAnsi="Arial" w:cs="Arial"/>
        </w:rPr>
        <w:t xml:space="preserve">. Available at: </w:t>
      </w:r>
      <w:hyperlink r:id="rId25" w:history="1">
        <w:r w:rsidRPr="003E7031">
          <w:rPr>
            <w:rStyle w:val="Hyperlink"/>
            <w:rFonts w:ascii="Arial" w:hAnsi="Arial" w:cs="Arial"/>
          </w:rPr>
          <w:t>https://thebms.org.uk</w:t>
        </w:r>
      </w:hyperlink>
    </w:p>
    <w:p w14:paraId="34B85092"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NHS (2023) </w:t>
      </w:r>
      <w:r w:rsidRPr="003E7031">
        <w:rPr>
          <w:rStyle w:val="Emphasis"/>
          <w:rFonts w:ascii="Arial" w:hAnsi="Arial" w:cs="Arial"/>
        </w:rPr>
        <w:t>Menopause overview</w:t>
      </w:r>
      <w:r w:rsidRPr="003E7031">
        <w:rPr>
          <w:rFonts w:ascii="Arial" w:hAnsi="Arial" w:cs="Arial"/>
        </w:rPr>
        <w:t xml:space="preserve">. Available at: </w:t>
      </w:r>
      <w:hyperlink r:id="rId26" w:history="1">
        <w:r w:rsidRPr="003E7031">
          <w:rPr>
            <w:rStyle w:val="Hyperlink"/>
            <w:rFonts w:ascii="Arial" w:hAnsi="Arial" w:cs="Arial"/>
          </w:rPr>
          <w:t>https://www.nhs.uk/conditions/menopause</w:t>
        </w:r>
      </w:hyperlink>
    </w:p>
    <w:p w14:paraId="34B85093"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World Health Organization (WHO) (2022) </w:t>
      </w:r>
      <w:r w:rsidRPr="003E7031">
        <w:rPr>
          <w:rStyle w:val="Emphasis"/>
          <w:rFonts w:ascii="Arial" w:hAnsi="Arial" w:cs="Arial"/>
        </w:rPr>
        <w:t>Menopause and health</w:t>
      </w:r>
      <w:r w:rsidRPr="003E7031">
        <w:rPr>
          <w:rFonts w:ascii="Arial" w:hAnsi="Arial" w:cs="Arial"/>
        </w:rPr>
        <w:t xml:space="preserve">. Available at: </w:t>
      </w:r>
      <w:hyperlink r:id="rId27" w:history="1">
        <w:r w:rsidRPr="003E7031">
          <w:rPr>
            <w:rStyle w:val="Hyperlink"/>
            <w:rFonts w:ascii="Arial" w:hAnsi="Arial" w:cs="Arial"/>
          </w:rPr>
          <w:t>https://www.who.int/news-room/fact-sheets/detail/menopause</w:t>
        </w:r>
      </w:hyperlink>
    </w:p>
    <w:p w14:paraId="34B85094"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Royal College of Obstetricians and Gynaecologists (RCOG) (2022) </w:t>
      </w:r>
      <w:r w:rsidRPr="003E7031">
        <w:rPr>
          <w:rStyle w:val="Emphasis"/>
          <w:rFonts w:ascii="Arial" w:hAnsi="Arial" w:cs="Arial"/>
        </w:rPr>
        <w:t>Menopause information for women</w:t>
      </w:r>
      <w:r w:rsidRPr="003E7031">
        <w:rPr>
          <w:rFonts w:ascii="Arial" w:hAnsi="Arial" w:cs="Arial"/>
        </w:rPr>
        <w:t xml:space="preserve">. Available at: </w:t>
      </w:r>
      <w:hyperlink r:id="rId28" w:history="1">
        <w:r w:rsidRPr="003E7031">
          <w:rPr>
            <w:rStyle w:val="Hyperlink"/>
            <w:rFonts w:ascii="Arial" w:hAnsi="Arial" w:cs="Arial"/>
          </w:rPr>
          <w:t>https://www.rcog.org.uk</w:t>
        </w:r>
      </w:hyperlink>
    </w:p>
    <w:p w14:paraId="34B85095"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lastRenderedPageBreak/>
        <w:t xml:space="preserve">British Medical Journal (BMJ) (2023) </w:t>
      </w:r>
      <w:r w:rsidRPr="003E7031">
        <w:rPr>
          <w:rStyle w:val="Emphasis"/>
          <w:rFonts w:ascii="Arial" w:hAnsi="Arial" w:cs="Arial"/>
        </w:rPr>
        <w:t>Menopause resources</w:t>
      </w:r>
      <w:r w:rsidRPr="003E7031">
        <w:rPr>
          <w:rFonts w:ascii="Arial" w:hAnsi="Arial" w:cs="Arial"/>
        </w:rPr>
        <w:t xml:space="preserve">. Available at: </w:t>
      </w:r>
      <w:hyperlink r:id="rId29" w:history="1">
        <w:r w:rsidRPr="003E7031">
          <w:rPr>
            <w:rStyle w:val="Hyperlink"/>
            <w:rFonts w:ascii="Arial" w:hAnsi="Arial" w:cs="Arial"/>
          </w:rPr>
          <w:t>https://www.bmj.com</w:t>
        </w:r>
      </w:hyperlink>
    </w:p>
    <w:p w14:paraId="34B85096"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Freeman, E.W. (2015) ‘Associations of depression with the transition to menopause’, </w:t>
      </w:r>
      <w:r w:rsidRPr="003E7031">
        <w:rPr>
          <w:rStyle w:val="Emphasis"/>
          <w:rFonts w:ascii="Arial" w:hAnsi="Arial" w:cs="Arial"/>
        </w:rPr>
        <w:t>Menopause</w:t>
      </w:r>
      <w:r w:rsidRPr="003E7031">
        <w:rPr>
          <w:rFonts w:ascii="Arial" w:hAnsi="Arial" w:cs="Arial"/>
        </w:rPr>
        <w:t xml:space="preserve">, 22(1), pp. 1–9. Available at: </w:t>
      </w:r>
      <w:hyperlink r:id="rId30" w:history="1">
        <w:r w:rsidRPr="003E7031">
          <w:rPr>
            <w:rStyle w:val="Hyperlink"/>
            <w:rFonts w:ascii="Arial" w:hAnsi="Arial" w:cs="Arial"/>
          </w:rPr>
          <w:t>https://doi.org/10.1097/GME.0000000000000311</w:t>
        </w:r>
      </w:hyperlink>
    </w:p>
    <w:p w14:paraId="34B85097"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Santoro, N. (2016) ‘Perimenopause: from research to practice’, </w:t>
      </w:r>
      <w:r w:rsidRPr="003E7031">
        <w:rPr>
          <w:rStyle w:val="Emphasis"/>
          <w:rFonts w:ascii="Arial" w:hAnsi="Arial" w:cs="Arial"/>
        </w:rPr>
        <w:t>Journal of Women’s Health</w:t>
      </w:r>
      <w:r w:rsidRPr="003E7031">
        <w:rPr>
          <w:rFonts w:ascii="Arial" w:hAnsi="Arial" w:cs="Arial"/>
        </w:rPr>
        <w:t xml:space="preserve">, 25(4), pp. 332–339. Available at: </w:t>
      </w:r>
      <w:hyperlink r:id="rId31" w:history="1">
        <w:r w:rsidRPr="003E7031">
          <w:rPr>
            <w:rStyle w:val="Hyperlink"/>
            <w:rFonts w:ascii="Arial" w:hAnsi="Arial" w:cs="Arial"/>
          </w:rPr>
          <w:t>https://doi.org/10.1089/jwh.2015.5556</w:t>
        </w:r>
      </w:hyperlink>
    </w:p>
    <w:p w14:paraId="34B85098"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Harlow, S.D. et al. (2012) ‘Executive summary of the Stages of Reproductive Aging Workshop’, </w:t>
      </w:r>
      <w:r w:rsidRPr="003E7031">
        <w:rPr>
          <w:rStyle w:val="Emphasis"/>
          <w:rFonts w:ascii="Arial" w:hAnsi="Arial" w:cs="Arial"/>
        </w:rPr>
        <w:t>Menopause</w:t>
      </w:r>
      <w:r w:rsidRPr="003E7031">
        <w:rPr>
          <w:rFonts w:ascii="Arial" w:hAnsi="Arial" w:cs="Arial"/>
        </w:rPr>
        <w:t xml:space="preserve">, 19(4), pp. 387–395. Available at: </w:t>
      </w:r>
      <w:hyperlink r:id="rId32" w:history="1">
        <w:r w:rsidRPr="003E7031">
          <w:rPr>
            <w:rStyle w:val="Hyperlink"/>
            <w:rFonts w:ascii="Arial" w:hAnsi="Arial" w:cs="Arial"/>
          </w:rPr>
          <w:t>https://doi.org/10.1097/gme.0b013e31824d8f40</w:t>
        </w:r>
      </w:hyperlink>
    </w:p>
    <w:p w14:paraId="34B85099" w14:textId="77777777" w:rsidR="0012280B" w:rsidRPr="003E7031" w:rsidRDefault="002710FA">
      <w:pPr>
        <w:pStyle w:val="NormalWeb"/>
        <w:spacing w:beforeAutospacing="1" w:after="0" w:afterAutospacing="1"/>
        <w:rPr>
          <w:rFonts w:ascii="Arial" w:hAnsi="Arial" w:cs="Arial"/>
        </w:rPr>
      </w:pPr>
      <w:r w:rsidRPr="003E7031">
        <w:rPr>
          <w:rFonts w:ascii="Arial" w:hAnsi="Arial" w:cs="Arial"/>
        </w:rPr>
        <w:t xml:space="preserve">North American Menopause Society (NAMS) (2022) </w:t>
      </w:r>
      <w:r w:rsidRPr="003E7031">
        <w:rPr>
          <w:rStyle w:val="Emphasis"/>
          <w:rFonts w:ascii="Arial" w:hAnsi="Arial" w:cs="Arial"/>
        </w:rPr>
        <w:t>Menopause practice guidelines</w:t>
      </w:r>
      <w:r w:rsidRPr="003E7031">
        <w:rPr>
          <w:rFonts w:ascii="Arial" w:hAnsi="Arial" w:cs="Arial"/>
        </w:rPr>
        <w:t xml:space="preserve">. Available at: </w:t>
      </w:r>
      <w:hyperlink r:id="rId33" w:history="1">
        <w:r w:rsidRPr="003E7031">
          <w:rPr>
            <w:rStyle w:val="Hyperlink"/>
            <w:rFonts w:ascii="Arial" w:hAnsi="Arial" w:cs="Arial"/>
          </w:rPr>
          <w:t>https://www.menopause.org</w:t>
        </w:r>
      </w:hyperlink>
    </w:p>
    <w:p w14:paraId="34B8509A" w14:textId="77777777" w:rsidR="0012280B" w:rsidRPr="003E7031" w:rsidRDefault="002710FA">
      <w:pPr>
        <w:pStyle w:val="NormalWeb"/>
        <w:spacing w:beforeAutospacing="1"/>
        <w:rPr>
          <w:rFonts w:ascii="Arial" w:hAnsi="Arial" w:cs="Arial"/>
        </w:rPr>
      </w:pPr>
      <w:r w:rsidRPr="003E7031">
        <w:rPr>
          <w:rFonts w:ascii="Arial" w:hAnsi="Arial" w:cs="Arial"/>
        </w:rPr>
        <w:t xml:space="preserve">British Society for Gynaecological Endoscopy (BSGE) (2023) </w:t>
      </w:r>
      <w:r w:rsidRPr="003E7031">
        <w:rPr>
          <w:rStyle w:val="Emphasis"/>
          <w:rFonts w:ascii="Arial" w:hAnsi="Arial" w:cs="Arial"/>
        </w:rPr>
        <w:t>Menopause clinical guidance</w:t>
      </w:r>
      <w:r w:rsidRPr="003E7031">
        <w:rPr>
          <w:rFonts w:ascii="Arial" w:hAnsi="Arial" w:cs="Arial"/>
        </w:rPr>
        <w:t xml:space="preserve">. Available at: </w:t>
      </w:r>
      <w:hyperlink r:id="rId34" w:history="1">
        <w:r w:rsidRPr="003E7031">
          <w:rPr>
            <w:rStyle w:val="Hyperlink"/>
            <w:rFonts w:ascii="Arial" w:hAnsi="Arial" w:cs="Arial"/>
          </w:rPr>
          <w:t>https://www.bsge.org.uk</w:t>
        </w:r>
      </w:hyperlink>
    </w:p>
    <w:p w14:paraId="34B8509B" w14:textId="77777777" w:rsidR="0012280B" w:rsidRPr="003E7031" w:rsidRDefault="0012280B">
      <w:pPr>
        <w:pStyle w:val="NormalWeb"/>
        <w:spacing w:beforeAutospacing="1" w:after="0" w:afterAutospacing="1"/>
        <w:rPr>
          <w:rFonts w:ascii="Arial" w:hAnsi="Arial" w:cs="Arial"/>
          <w:lang w:val="en-US" w:eastAsia="en-IN"/>
        </w:rPr>
      </w:pPr>
    </w:p>
    <w:sectPr w:rsidR="0012280B" w:rsidRPr="003E7031">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70382" w14:textId="77777777" w:rsidR="00F42E2C" w:rsidRDefault="00F42E2C">
      <w:pPr>
        <w:spacing w:line="240" w:lineRule="auto"/>
      </w:pPr>
      <w:r>
        <w:separator/>
      </w:r>
    </w:p>
  </w:endnote>
  <w:endnote w:type="continuationSeparator" w:id="0">
    <w:p w14:paraId="0DEC1F99" w14:textId="77777777" w:rsidR="00F42E2C" w:rsidRDefault="00F42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50A4" w14:textId="77777777" w:rsidR="0012280B" w:rsidRDefault="00122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347033"/>
      <w:docPartObj>
        <w:docPartGallery w:val="AutoText"/>
      </w:docPartObj>
    </w:sdtPr>
    <w:sdtContent>
      <w:p w14:paraId="34B850A5" w14:textId="77777777" w:rsidR="0012280B" w:rsidRDefault="002710FA">
        <w:pPr>
          <w:pStyle w:val="Footer"/>
          <w:jc w:val="right"/>
        </w:pPr>
        <w:r>
          <w:fldChar w:fldCharType="begin"/>
        </w:r>
        <w:r>
          <w:instrText xml:space="preserve"> PAGE   \* MERGEFORMAT </w:instrText>
        </w:r>
        <w:r>
          <w:fldChar w:fldCharType="separate"/>
        </w:r>
        <w:r>
          <w:t>2</w:t>
        </w:r>
        <w:r>
          <w:fldChar w:fldCharType="end"/>
        </w:r>
      </w:p>
    </w:sdtContent>
  </w:sdt>
  <w:p w14:paraId="34B850A6" w14:textId="77777777" w:rsidR="0012280B" w:rsidRDefault="001228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50A8" w14:textId="77777777" w:rsidR="0012280B" w:rsidRDefault="00122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B9E27" w14:textId="77777777" w:rsidR="00F42E2C" w:rsidRDefault="00F42E2C">
      <w:pPr>
        <w:spacing w:after="0"/>
      </w:pPr>
      <w:r>
        <w:separator/>
      </w:r>
    </w:p>
  </w:footnote>
  <w:footnote w:type="continuationSeparator" w:id="0">
    <w:p w14:paraId="2E633DEB" w14:textId="77777777" w:rsidR="00F42E2C" w:rsidRDefault="00F42E2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50A2" w14:textId="77777777" w:rsidR="0012280B" w:rsidRDefault="001228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50A3" w14:textId="77777777" w:rsidR="0012280B" w:rsidRDefault="001228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50A7" w14:textId="77777777" w:rsidR="0012280B" w:rsidRDefault="001228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71EAA"/>
    <w:multiLevelType w:val="multilevel"/>
    <w:tmpl w:val="0EC71EAA"/>
    <w:lvl w:ilvl="0">
      <w:start w:val="1"/>
      <w:numFmt w:val="bullet"/>
      <w:lvlText w:val=""/>
      <w:lvlJc w:val="left"/>
      <w:pPr>
        <w:tabs>
          <w:tab w:val="left" w:pos="720"/>
        </w:tabs>
        <w:ind w:left="720" w:hanging="360"/>
      </w:pPr>
      <w:rPr>
        <w:rFonts w:ascii="Symbol" w:hAnsi="Symbol" w:hint="default"/>
        <w:sz w:val="20"/>
        <w:szCs w:val="20"/>
      </w:rPr>
    </w:lvl>
    <w:lvl w:ilvl="1">
      <w:start w:val="1"/>
      <w:numFmt w:val="bullet"/>
      <w:lvlText w:val="o"/>
      <w:lvlJc w:val="left"/>
      <w:pPr>
        <w:tabs>
          <w:tab w:val="left" w:pos="1440"/>
        </w:tabs>
        <w:ind w:left="1440" w:hanging="360"/>
      </w:pPr>
      <w:rPr>
        <w:rFonts w:ascii="Courier New" w:hAnsi="Courier New" w:cs="Courier New" w:hint="default"/>
        <w:sz w:val="20"/>
        <w:szCs w:val="20"/>
      </w:rPr>
    </w:lvl>
    <w:lvl w:ilvl="2">
      <w:start w:val="1"/>
      <w:numFmt w:val="bullet"/>
      <w:lvlText w:val=""/>
      <w:lvlJc w:val="left"/>
      <w:pPr>
        <w:tabs>
          <w:tab w:val="left" w:pos="2160"/>
        </w:tabs>
        <w:ind w:left="2160" w:hanging="360"/>
      </w:pPr>
      <w:rPr>
        <w:rFonts w:ascii="Wingdings" w:hAnsi="Wingdings" w:hint="default"/>
        <w:sz w:val="20"/>
        <w:szCs w:val="20"/>
      </w:rPr>
    </w:lvl>
    <w:lvl w:ilvl="3">
      <w:start w:val="1"/>
      <w:numFmt w:val="bullet"/>
      <w:lvlText w:val=""/>
      <w:lvlJc w:val="left"/>
      <w:pPr>
        <w:tabs>
          <w:tab w:val="left" w:pos="2880"/>
        </w:tabs>
        <w:ind w:left="2880" w:hanging="360"/>
      </w:pPr>
      <w:rPr>
        <w:rFonts w:ascii="Wingdings" w:hAnsi="Wingdings" w:hint="default"/>
        <w:sz w:val="20"/>
        <w:szCs w:val="20"/>
      </w:rPr>
    </w:lvl>
    <w:lvl w:ilvl="4">
      <w:start w:val="1"/>
      <w:numFmt w:val="bullet"/>
      <w:lvlText w:val=""/>
      <w:lvlJc w:val="left"/>
      <w:pPr>
        <w:tabs>
          <w:tab w:val="left" w:pos="3600"/>
        </w:tabs>
        <w:ind w:left="3600" w:hanging="360"/>
      </w:pPr>
      <w:rPr>
        <w:rFonts w:ascii="Wingdings" w:hAnsi="Wingdings" w:hint="default"/>
        <w:sz w:val="20"/>
        <w:szCs w:val="20"/>
      </w:rPr>
    </w:lvl>
    <w:lvl w:ilvl="5">
      <w:start w:val="1"/>
      <w:numFmt w:val="bullet"/>
      <w:lvlText w:val=""/>
      <w:lvlJc w:val="left"/>
      <w:pPr>
        <w:tabs>
          <w:tab w:val="left" w:pos="4320"/>
        </w:tabs>
        <w:ind w:left="4320" w:hanging="360"/>
      </w:pPr>
      <w:rPr>
        <w:rFonts w:ascii="Wingdings" w:hAnsi="Wingdings" w:hint="default"/>
        <w:sz w:val="20"/>
        <w:szCs w:val="20"/>
      </w:rPr>
    </w:lvl>
    <w:lvl w:ilvl="6">
      <w:start w:val="1"/>
      <w:numFmt w:val="bullet"/>
      <w:lvlText w:val=""/>
      <w:lvlJc w:val="left"/>
      <w:pPr>
        <w:tabs>
          <w:tab w:val="left" w:pos="5040"/>
        </w:tabs>
        <w:ind w:left="5040" w:hanging="360"/>
      </w:pPr>
      <w:rPr>
        <w:rFonts w:ascii="Wingdings" w:hAnsi="Wingdings" w:hint="default"/>
        <w:sz w:val="20"/>
        <w:szCs w:val="20"/>
      </w:rPr>
    </w:lvl>
    <w:lvl w:ilvl="7">
      <w:start w:val="1"/>
      <w:numFmt w:val="bullet"/>
      <w:lvlText w:val=""/>
      <w:lvlJc w:val="left"/>
      <w:pPr>
        <w:tabs>
          <w:tab w:val="left" w:pos="5760"/>
        </w:tabs>
        <w:ind w:left="5760" w:hanging="360"/>
      </w:pPr>
      <w:rPr>
        <w:rFonts w:ascii="Wingdings" w:hAnsi="Wingdings" w:hint="default"/>
        <w:sz w:val="20"/>
        <w:szCs w:val="20"/>
      </w:rPr>
    </w:lvl>
    <w:lvl w:ilvl="8">
      <w:start w:val="1"/>
      <w:numFmt w:val="bullet"/>
      <w:lvlText w:val=""/>
      <w:lvlJc w:val="left"/>
      <w:pPr>
        <w:tabs>
          <w:tab w:val="left" w:pos="6480"/>
        </w:tabs>
        <w:ind w:left="6480" w:hanging="360"/>
      </w:pPr>
      <w:rPr>
        <w:rFonts w:ascii="Wingdings" w:hAnsi="Wingdings" w:hint="default"/>
        <w:sz w:val="20"/>
        <w:szCs w:val="20"/>
      </w:rPr>
    </w:lvl>
  </w:abstractNum>
  <w:abstractNum w:abstractNumId="1" w15:restartNumberingAfterBreak="0">
    <w:nsid w:val="491B5322"/>
    <w:multiLevelType w:val="multilevel"/>
    <w:tmpl w:val="491B5322"/>
    <w:lvl w:ilvl="0">
      <w:start w:val="1"/>
      <w:numFmt w:val="bullet"/>
      <w:lvlText w:val=""/>
      <w:lvlJc w:val="left"/>
      <w:pPr>
        <w:tabs>
          <w:tab w:val="left" w:pos="720"/>
        </w:tabs>
        <w:ind w:left="720" w:hanging="360"/>
      </w:pPr>
      <w:rPr>
        <w:rFonts w:ascii="Symbol" w:hAnsi="Symbol" w:hint="default"/>
        <w:sz w:val="20"/>
        <w:szCs w:val="20"/>
      </w:rPr>
    </w:lvl>
    <w:lvl w:ilvl="1">
      <w:start w:val="1"/>
      <w:numFmt w:val="bullet"/>
      <w:lvlText w:val="o"/>
      <w:lvlJc w:val="left"/>
      <w:pPr>
        <w:tabs>
          <w:tab w:val="left" w:pos="1440"/>
        </w:tabs>
        <w:ind w:left="1440" w:hanging="360"/>
      </w:pPr>
      <w:rPr>
        <w:rFonts w:ascii="Courier New" w:hAnsi="Courier New" w:cs="Courier New" w:hint="default"/>
        <w:sz w:val="20"/>
        <w:szCs w:val="20"/>
      </w:rPr>
    </w:lvl>
    <w:lvl w:ilvl="2">
      <w:start w:val="1"/>
      <w:numFmt w:val="bullet"/>
      <w:lvlText w:val=""/>
      <w:lvlJc w:val="left"/>
      <w:pPr>
        <w:tabs>
          <w:tab w:val="left" w:pos="2160"/>
        </w:tabs>
        <w:ind w:left="2160" w:hanging="360"/>
      </w:pPr>
      <w:rPr>
        <w:rFonts w:ascii="Wingdings" w:hAnsi="Wingdings" w:hint="default"/>
        <w:sz w:val="20"/>
        <w:szCs w:val="20"/>
      </w:rPr>
    </w:lvl>
    <w:lvl w:ilvl="3">
      <w:start w:val="1"/>
      <w:numFmt w:val="bullet"/>
      <w:lvlText w:val=""/>
      <w:lvlJc w:val="left"/>
      <w:pPr>
        <w:tabs>
          <w:tab w:val="left" w:pos="2880"/>
        </w:tabs>
        <w:ind w:left="2880" w:hanging="360"/>
      </w:pPr>
      <w:rPr>
        <w:rFonts w:ascii="Wingdings" w:hAnsi="Wingdings" w:hint="default"/>
        <w:sz w:val="20"/>
        <w:szCs w:val="20"/>
      </w:rPr>
    </w:lvl>
    <w:lvl w:ilvl="4">
      <w:start w:val="1"/>
      <w:numFmt w:val="bullet"/>
      <w:lvlText w:val=""/>
      <w:lvlJc w:val="left"/>
      <w:pPr>
        <w:tabs>
          <w:tab w:val="left" w:pos="3600"/>
        </w:tabs>
        <w:ind w:left="3600" w:hanging="360"/>
      </w:pPr>
      <w:rPr>
        <w:rFonts w:ascii="Wingdings" w:hAnsi="Wingdings" w:hint="default"/>
        <w:sz w:val="20"/>
        <w:szCs w:val="20"/>
      </w:rPr>
    </w:lvl>
    <w:lvl w:ilvl="5">
      <w:start w:val="1"/>
      <w:numFmt w:val="bullet"/>
      <w:lvlText w:val=""/>
      <w:lvlJc w:val="left"/>
      <w:pPr>
        <w:tabs>
          <w:tab w:val="left" w:pos="4320"/>
        </w:tabs>
        <w:ind w:left="4320" w:hanging="360"/>
      </w:pPr>
      <w:rPr>
        <w:rFonts w:ascii="Wingdings" w:hAnsi="Wingdings" w:hint="default"/>
        <w:sz w:val="20"/>
        <w:szCs w:val="20"/>
      </w:rPr>
    </w:lvl>
    <w:lvl w:ilvl="6">
      <w:start w:val="1"/>
      <w:numFmt w:val="bullet"/>
      <w:lvlText w:val=""/>
      <w:lvlJc w:val="left"/>
      <w:pPr>
        <w:tabs>
          <w:tab w:val="left" w:pos="5040"/>
        </w:tabs>
        <w:ind w:left="5040" w:hanging="360"/>
      </w:pPr>
      <w:rPr>
        <w:rFonts w:ascii="Wingdings" w:hAnsi="Wingdings" w:hint="default"/>
        <w:sz w:val="20"/>
        <w:szCs w:val="20"/>
      </w:rPr>
    </w:lvl>
    <w:lvl w:ilvl="7">
      <w:start w:val="1"/>
      <w:numFmt w:val="bullet"/>
      <w:lvlText w:val=""/>
      <w:lvlJc w:val="left"/>
      <w:pPr>
        <w:tabs>
          <w:tab w:val="left" w:pos="5760"/>
        </w:tabs>
        <w:ind w:left="5760" w:hanging="360"/>
      </w:pPr>
      <w:rPr>
        <w:rFonts w:ascii="Wingdings" w:hAnsi="Wingdings" w:hint="default"/>
        <w:sz w:val="20"/>
        <w:szCs w:val="20"/>
      </w:rPr>
    </w:lvl>
    <w:lvl w:ilvl="8">
      <w:start w:val="1"/>
      <w:numFmt w:val="bullet"/>
      <w:lvlText w:val=""/>
      <w:lvlJc w:val="left"/>
      <w:pPr>
        <w:tabs>
          <w:tab w:val="left" w:pos="6480"/>
        </w:tabs>
        <w:ind w:left="6480" w:hanging="360"/>
      </w:pPr>
      <w:rPr>
        <w:rFonts w:ascii="Wingdings" w:hAnsi="Wingdings" w:hint="default"/>
        <w:sz w:val="20"/>
        <w:szCs w:val="20"/>
      </w:rPr>
    </w:lvl>
  </w:abstractNum>
  <w:abstractNum w:abstractNumId="2" w15:restartNumberingAfterBreak="0">
    <w:nsid w:val="575F1D89"/>
    <w:multiLevelType w:val="multilevel"/>
    <w:tmpl w:val="575F1D8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58F44EC"/>
    <w:multiLevelType w:val="multilevel"/>
    <w:tmpl w:val="758F4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95615988">
    <w:abstractNumId w:val="3"/>
  </w:num>
  <w:num w:numId="2" w16cid:durableId="660932676">
    <w:abstractNumId w:val="2"/>
  </w:num>
  <w:num w:numId="3" w16cid:durableId="1801923667">
    <w:abstractNumId w:val="1"/>
  </w:num>
  <w:num w:numId="4" w16cid:durableId="1369833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CF6"/>
    <w:rsid w:val="0001593E"/>
    <w:rsid w:val="00017F44"/>
    <w:rsid w:val="000203E5"/>
    <w:rsid w:val="00023659"/>
    <w:rsid w:val="0005181A"/>
    <w:rsid w:val="00077D92"/>
    <w:rsid w:val="00085376"/>
    <w:rsid w:val="00095946"/>
    <w:rsid w:val="0009747C"/>
    <w:rsid w:val="000C6286"/>
    <w:rsid w:val="000C73AC"/>
    <w:rsid w:val="000E2E65"/>
    <w:rsid w:val="000E5ECC"/>
    <w:rsid w:val="000E7DCA"/>
    <w:rsid w:val="000F5C7D"/>
    <w:rsid w:val="001001A4"/>
    <w:rsid w:val="001005F3"/>
    <w:rsid w:val="001160D0"/>
    <w:rsid w:val="0012280B"/>
    <w:rsid w:val="001265B3"/>
    <w:rsid w:val="001266DB"/>
    <w:rsid w:val="00130F77"/>
    <w:rsid w:val="00143F3F"/>
    <w:rsid w:val="00146D77"/>
    <w:rsid w:val="001532B6"/>
    <w:rsid w:val="001720B1"/>
    <w:rsid w:val="0019314F"/>
    <w:rsid w:val="001A5CCE"/>
    <w:rsid w:val="001B79A7"/>
    <w:rsid w:val="001C1117"/>
    <w:rsid w:val="001C16F0"/>
    <w:rsid w:val="001E4720"/>
    <w:rsid w:val="001E4D30"/>
    <w:rsid w:val="001F2023"/>
    <w:rsid w:val="0020225E"/>
    <w:rsid w:val="00204B5C"/>
    <w:rsid w:val="00222F73"/>
    <w:rsid w:val="0025481E"/>
    <w:rsid w:val="00261382"/>
    <w:rsid w:val="0026724F"/>
    <w:rsid w:val="002710FA"/>
    <w:rsid w:val="00297AB9"/>
    <w:rsid w:val="002A32BE"/>
    <w:rsid w:val="002B2824"/>
    <w:rsid w:val="002E0CC8"/>
    <w:rsid w:val="002E78A5"/>
    <w:rsid w:val="002F41EE"/>
    <w:rsid w:val="00307E08"/>
    <w:rsid w:val="00336416"/>
    <w:rsid w:val="00337857"/>
    <w:rsid w:val="00395465"/>
    <w:rsid w:val="003A3B03"/>
    <w:rsid w:val="003B3BB7"/>
    <w:rsid w:val="003B4B76"/>
    <w:rsid w:val="003D23AF"/>
    <w:rsid w:val="003E2189"/>
    <w:rsid w:val="003E7031"/>
    <w:rsid w:val="00403304"/>
    <w:rsid w:val="0042266B"/>
    <w:rsid w:val="0043427A"/>
    <w:rsid w:val="00436916"/>
    <w:rsid w:val="00483845"/>
    <w:rsid w:val="00497581"/>
    <w:rsid w:val="004B08BE"/>
    <w:rsid w:val="004B5334"/>
    <w:rsid w:val="004C3848"/>
    <w:rsid w:val="004C669B"/>
    <w:rsid w:val="004F027A"/>
    <w:rsid w:val="004F400C"/>
    <w:rsid w:val="005342BE"/>
    <w:rsid w:val="0053637A"/>
    <w:rsid w:val="0054296C"/>
    <w:rsid w:val="00564048"/>
    <w:rsid w:val="00577913"/>
    <w:rsid w:val="00583C9C"/>
    <w:rsid w:val="00586887"/>
    <w:rsid w:val="005947D9"/>
    <w:rsid w:val="005C7EE8"/>
    <w:rsid w:val="005D2A1E"/>
    <w:rsid w:val="00604278"/>
    <w:rsid w:val="00625937"/>
    <w:rsid w:val="0064393E"/>
    <w:rsid w:val="006506B3"/>
    <w:rsid w:val="00651A50"/>
    <w:rsid w:val="00657A44"/>
    <w:rsid w:val="006629DA"/>
    <w:rsid w:val="00683E55"/>
    <w:rsid w:val="00686E0C"/>
    <w:rsid w:val="006A146C"/>
    <w:rsid w:val="006B70BF"/>
    <w:rsid w:val="006C18A6"/>
    <w:rsid w:val="006F1E0C"/>
    <w:rsid w:val="006F6DA6"/>
    <w:rsid w:val="0070153C"/>
    <w:rsid w:val="00707918"/>
    <w:rsid w:val="00725361"/>
    <w:rsid w:val="007414A2"/>
    <w:rsid w:val="007468B5"/>
    <w:rsid w:val="00771DE3"/>
    <w:rsid w:val="00780FBE"/>
    <w:rsid w:val="007815F5"/>
    <w:rsid w:val="00791BEE"/>
    <w:rsid w:val="00794165"/>
    <w:rsid w:val="007A4E0C"/>
    <w:rsid w:val="007D1686"/>
    <w:rsid w:val="007D7155"/>
    <w:rsid w:val="007F1A96"/>
    <w:rsid w:val="007F437E"/>
    <w:rsid w:val="00807CF6"/>
    <w:rsid w:val="008208AE"/>
    <w:rsid w:val="00833F6D"/>
    <w:rsid w:val="0084464F"/>
    <w:rsid w:val="00850F3E"/>
    <w:rsid w:val="00871281"/>
    <w:rsid w:val="008866D0"/>
    <w:rsid w:val="008B12D7"/>
    <w:rsid w:val="008D4F3D"/>
    <w:rsid w:val="008E4663"/>
    <w:rsid w:val="00906BCF"/>
    <w:rsid w:val="00935A1F"/>
    <w:rsid w:val="00941FD3"/>
    <w:rsid w:val="0094616B"/>
    <w:rsid w:val="00967D49"/>
    <w:rsid w:val="00990D98"/>
    <w:rsid w:val="00993635"/>
    <w:rsid w:val="00997945"/>
    <w:rsid w:val="009A26FA"/>
    <w:rsid w:val="009B5AEF"/>
    <w:rsid w:val="009C5BA4"/>
    <w:rsid w:val="009E608B"/>
    <w:rsid w:val="009F0A15"/>
    <w:rsid w:val="00A075BE"/>
    <w:rsid w:val="00A11DF9"/>
    <w:rsid w:val="00A45C90"/>
    <w:rsid w:val="00A57391"/>
    <w:rsid w:val="00A86013"/>
    <w:rsid w:val="00A94365"/>
    <w:rsid w:val="00AA0F5D"/>
    <w:rsid w:val="00AA620C"/>
    <w:rsid w:val="00B00FDD"/>
    <w:rsid w:val="00B05C47"/>
    <w:rsid w:val="00B1503E"/>
    <w:rsid w:val="00B522F2"/>
    <w:rsid w:val="00B55F7F"/>
    <w:rsid w:val="00B642C7"/>
    <w:rsid w:val="00B70063"/>
    <w:rsid w:val="00B73855"/>
    <w:rsid w:val="00B90906"/>
    <w:rsid w:val="00B9195E"/>
    <w:rsid w:val="00B958CF"/>
    <w:rsid w:val="00BA00B3"/>
    <w:rsid w:val="00BB7F0D"/>
    <w:rsid w:val="00BC7C2C"/>
    <w:rsid w:val="00BD0D1C"/>
    <w:rsid w:val="00BD67F6"/>
    <w:rsid w:val="00BE3A65"/>
    <w:rsid w:val="00BE595C"/>
    <w:rsid w:val="00C10CC9"/>
    <w:rsid w:val="00C167EB"/>
    <w:rsid w:val="00C22A97"/>
    <w:rsid w:val="00C25524"/>
    <w:rsid w:val="00C36CD7"/>
    <w:rsid w:val="00C63C5B"/>
    <w:rsid w:val="00C64932"/>
    <w:rsid w:val="00C70942"/>
    <w:rsid w:val="00C720AF"/>
    <w:rsid w:val="00C84B3D"/>
    <w:rsid w:val="00C879F8"/>
    <w:rsid w:val="00CC734A"/>
    <w:rsid w:val="00CD3015"/>
    <w:rsid w:val="00CE4A82"/>
    <w:rsid w:val="00CF0419"/>
    <w:rsid w:val="00D01750"/>
    <w:rsid w:val="00D17BE6"/>
    <w:rsid w:val="00D32D92"/>
    <w:rsid w:val="00D445C1"/>
    <w:rsid w:val="00D44B81"/>
    <w:rsid w:val="00D621C9"/>
    <w:rsid w:val="00D848C2"/>
    <w:rsid w:val="00D931F2"/>
    <w:rsid w:val="00D95C1D"/>
    <w:rsid w:val="00DA3634"/>
    <w:rsid w:val="00DB0BA8"/>
    <w:rsid w:val="00DB1EE1"/>
    <w:rsid w:val="00DB74EB"/>
    <w:rsid w:val="00DD13A7"/>
    <w:rsid w:val="00DD4A78"/>
    <w:rsid w:val="00DD72F3"/>
    <w:rsid w:val="00DF7443"/>
    <w:rsid w:val="00E1396B"/>
    <w:rsid w:val="00E422ED"/>
    <w:rsid w:val="00E65940"/>
    <w:rsid w:val="00E7082D"/>
    <w:rsid w:val="00E72EF1"/>
    <w:rsid w:val="00E7410E"/>
    <w:rsid w:val="00E74B15"/>
    <w:rsid w:val="00E753FA"/>
    <w:rsid w:val="00EA758C"/>
    <w:rsid w:val="00EB30BD"/>
    <w:rsid w:val="00ED2A07"/>
    <w:rsid w:val="00ED2E71"/>
    <w:rsid w:val="00EE4CC2"/>
    <w:rsid w:val="00F36673"/>
    <w:rsid w:val="00F37F9C"/>
    <w:rsid w:val="00F42E2C"/>
    <w:rsid w:val="00F808FA"/>
    <w:rsid w:val="00F91429"/>
    <w:rsid w:val="00FA1020"/>
    <w:rsid w:val="00FB457F"/>
    <w:rsid w:val="00FB4848"/>
    <w:rsid w:val="00FC72E8"/>
    <w:rsid w:val="00FD588B"/>
    <w:rsid w:val="3A69606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4FFE"/>
  <w15:docId w15:val="{B173E142-7B15-4B10-949C-C05DA425C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nhideWhenUsed="1" w:qFormat="1"/>
    <w:lsdException w:name="heading 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Theme="minorHAnsi" w:eastAsiaTheme="minorHAnsi" w:hAnsiTheme="minorHAnsi" w:cstheme="minorBidi"/>
      <w:kern w:val="2"/>
      <w:sz w:val="24"/>
      <w:szCs w:val="24"/>
      <w:lang w:val="en-GB" w:eastAsia="en-GB"/>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semiHidden/>
    <w:unhideWhenUsed/>
    <w:qFormat/>
    <w:rPr>
      <w:rFonts w:ascii="Times New Roman" w:hAnsi="Times New Roman" w:cs="Times New Roman"/>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TOCHeading1">
    <w:name w:val="TOC Heading1"/>
    <w:basedOn w:val="Heading1"/>
    <w:next w:val="Normal"/>
    <w:uiPriority w:val="39"/>
    <w:unhideWhenUsed/>
    <w:qFormat/>
    <w:pPr>
      <w:spacing w:before="240" w:after="0" w:line="259" w:lineRule="auto"/>
      <w:outlineLvl w:val="9"/>
    </w:pPr>
    <w:rPr>
      <w:kern w:val="0"/>
      <w:sz w:val="32"/>
      <w:szCs w:val="32"/>
      <w:lang w:val="en-US" w:eastAsia="en-US"/>
      <w14:ligatures w14:val="none"/>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gov.uk/government/publications/womens-health-strategy-for-england" TargetMode="External" /><Relationship Id="rId18" Type="http://schemas.openxmlformats.org/officeDocument/2006/relationships/hyperlink" Target="https://www.nice.org.uk/guidance/ng23" TargetMode="External" /><Relationship Id="rId26" Type="http://schemas.openxmlformats.org/officeDocument/2006/relationships/hyperlink" Target="https://www.nhs.uk/conditions/menopause" TargetMode="External" /><Relationship Id="rId39" Type="http://schemas.openxmlformats.org/officeDocument/2006/relationships/header" Target="header3.xml" /><Relationship Id="rId3" Type="http://schemas.openxmlformats.org/officeDocument/2006/relationships/styles" Target="styles.xml" /><Relationship Id="rId21" Type="http://schemas.openxmlformats.org/officeDocument/2006/relationships/hyperlink" Target="https://doi.org/10.1177/20533691211012345" TargetMode="External" /><Relationship Id="rId34" Type="http://schemas.openxmlformats.org/officeDocument/2006/relationships/hyperlink" Target="https://www.bsge.org.uk" TargetMode="External"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doi.org/10.1191/1478088706qp063oa" TargetMode="External" /><Relationship Id="rId17" Type="http://schemas.openxmlformats.org/officeDocument/2006/relationships/hyperlink" Target="https://doi.org/10.1016/S0140-6736(03)14065-2" TargetMode="External" /><Relationship Id="rId25" Type="http://schemas.openxmlformats.org/officeDocument/2006/relationships/hyperlink" Target="https://thebms.org.uk" TargetMode="External" /><Relationship Id="rId33" Type="http://schemas.openxmlformats.org/officeDocument/2006/relationships/hyperlink" Target="https://www.menopause.org" TargetMode="External" /><Relationship Id="rId38"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hyperlink" Target="https://doi.org/10.1001/jama.2016.1230" TargetMode="External" /><Relationship Id="rId20" Type="http://schemas.openxmlformats.org/officeDocument/2006/relationships/hyperlink" Target="https://www.pearson.com/en-gb/subject-catalog/p/research-methods-for-business-students/P200000003295" TargetMode="External" /><Relationship Id="rId29" Type="http://schemas.openxmlformats.org/officeDocument/2006/relationships/hyperlink" Target="https://www.bmj.com" TargetMode="External"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uk.sagepub.com/en-gb/eur/systematic-approaches-to-a-successful-literature-review/book241967" TargetMode="External" /><Relationship Id="rId24" Type="http://schemas.openxmlformats.org/officeDocument/2006/relationships/hyperlink" Target="https://doi.org/10.1136/bmj.m3873" TargetMode="External" /><Relationship Id="rId32" Type="http://schemas.openxmlformats.org/officeDocument/2006/relationships/hyperlink" Target="https://doi.org/10.1097/gme.0b013e31824d8f40" TargetMode="External" /><Relationship Id="rId37" Type="http://schemas.openxmlformats.org/officeDocument/2006/relationships/footer" Target="footer1.xml" /><Relationship Id="rId40"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hyperlink" Target="https://bmcwomenshealth.biomedcentral.com/articles/10.1186/s12905-021-01234-5" TargetMode="External" /><Relationship Id="rId23" Type="http://schemas.openxmlformats.org/officeDocument/2006/relationships/hyperlink" Target="https://doi.org/10.1136/bmj.k4810" TargetMode="External" /><Relationship Id="rId28" Type="http://schemas.openxmlformats.org/officeDocument/2006/relationships/hyperlink" Target="https://www.rcog.org.uk" TargetMode="External" /><Relationship Id="rId36" Type="http://schemas.openxmlformats.org/officeDocument/2006/relationships/header" Target="header2.xml" /><Relationship Id="rId10" Type="http://schemas.openxmlformats.org/officeDocument/2006/relationships/hyperlink" Target="https://doi.org/10.1016/j.ogc.2015.02.001" TargetMode="External" /><Relationship Id="rId19" Type="http://schemas.openxmlformats.org/officeDocument/2006/relationships/hyperlink" Target="https://doi.org/10.1177/2053369119873456" TargetMode="External" /><Relationship Id="rId31" Type="http://schemas.openxmlformats.org/officeDocument/2006/relationships/hyperlink" Target="https://doi.org/10.1089/jwh.2015.5556"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136/bmj.j108" TargetMode="External" /><Relationship Id="rId22" Type="http://schemas.openxmlformats.org/officeDocument/2006/relationships/hyperlink" Target="https://doi.org/10.1111/hsc.12567" TargetMode="External" /><Relationship Id="rId27" Type="http://schemas.openxmlformats.org/officeDocument/2006/relationships/hyperlink" Target="https://www.who.int/news-room/fact-sheets/detail/menopause" TargetMode="External" /><Relationship Id="rId30" Type="http://schemas.openxmlformats.org/officeDocument/2006/relationships/hyperlink" Target="https://doi.org/10.1097/GME.0000000000000311" TargetMode="External" /><Relationship Id="rId35"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E2064-E8D3-4F20-A1B8-49106D5F16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4075</Words>
  <Characters>23232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melvita dasilva</dc:creator>
  <cp:lastModifiedBy>Melvita Dasilva</cp:lastModifiedBy>
  <cp:revision>4</cp:revision>
  <dcterms:created xsi:type="dcterms:W3CDTF">2026-07-31T06:32:00Z</dcterms:created>
  <dcterms:modified xsi:type="dcterms:W3CDTF">2026-07-31T06:45:00Z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eyJoZGlkIjoiMzI4ODg0ODAyMDI2YTFkZTE4MWVmNmViYTAxYzEwZWIiLCJ1c2VySWQiOiIzODY2MTk3MTQ1Mjk0In0=</vt:lpwstr>
  </property>
  <property fmtid="{D5CDD505-2E9C-101B-9397-08002B2CF9AE}" pid="3" name="KSOProductBuildVer">
    <vt:lpwstr>1033-12.1.0.27458</vt:lpwstr>
  </property>
  <property fmtid="{D5CDD505-2E9C-101B-9397-08002B2CF9AE}" pid="4" name="ICV">
    <vt:lpwstr>2EDB9D2E9A694E46B8AF4587D380B723_12</vt:lpwstr>
  </property>
</Properties>
</file>