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000000"/>
          <w:spacing w:val="0"/>
          <w:position w:val="0"/>
          <w:sz w:val="22"/>
          <w:shd w:fill="auto" w:val="clear"/>
        </w:rPr>
        <w:t xml:space="preserve">Reflective report </w:t>
      </w:r>
      <w:r>
        <w:rPr>
          <w:rFonts w:ascii="Arial" w:hAnsi="Arial" w:cs="Arial" w:eastAsia="Arial"/>
          <w:color w:val="000000"/>
          <w:spacing w:val="0"/>
          <w:position w:val="0"/>
          <w:sz w:val="22"/>
          <w:shd w:fill="auto" w:val="clear"/>
        </w:rPr>
        <w:t xml:space="preserve">–</w:t>
      </w:r>
      <w:r>
        <w:rPr>
          <w:rFonts w:ascii="Arial" w:hAnsi="Arial" w:cs="Arial" w:eastAsia="Arial"/>
          <w:color w:val="000000"/>
          <w:spacing w:val="0"/>
          <w:position w:val="0"/>
          <w:sz w:val="22"/>
          <w:shd w:fill="auto" w:val="clear"/>
        </w:rPr>
        <w:t xml:space="preserve"> Haleema Qureshi</w:t>
      </w:r>
    </w:p>
    <w:p>
      <w:pPr>
        <w:spacing w:before="0" w:after="16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000000"/>
          <w:spacing w:val="0"/>
          <w:position w:val="0"/>
          <w:sz w:val="22"/>
          <w:shd w:fill="auto" w:val="clear"/>
        </w:rPr>
        <w:t xml:space="preserve">My chosen business plan is to open a Digital Farm, called ‘Halis Homestead’ - The main aim is to help people eat well and to enjoy fresh agricultural produce at a reasonable price. During classroom discussions I studied the theories and models' entrepreneurs use to guide them through their desired business. One of the two theories I focused on was called </w:t>
      </w:r>
      <w:r>
        <w:rPr>
          <w:rFonts w:ascii="Arial" w:hAnsi="Arial" w:cs="Arial" w:eastAsia="Arial"/>
          <w:color w:val="auto"/>
          <w:spacing w:val="0"/>
          <w:position w:val="0"/>
          <w:sz w:val="22"/>
          <w:shd w:fill="auto" w:val="clear"/>
        </w:rPr>
        <w:t xml:space="preserve">The SWOT analysis. It is used to determine the project's objectives while looking at and factoring internal and external aspects that could have a positive or negative impact on any type of business. SWOT is an acronym for Strengths, Weakness, Opportunity, and threats. Strengths such as having fertile land to grow crops successfully, close to consumers and good technical skills- (having a passion for farming and nature). Consequently, considering weaknesses in my business plan will help me consolidate my knowledge on areas I may struggle with such as poor communication skills and time management skills. This can be dealt with by being more organised and hiring a team/crew who are determined and comfortable working together. Gradually, this will improve the quality and level of work completed. In addition, voices will be heard as I will install a ‘Employee voice’ device where workers may feel free to discuss improvements. </w:t>
      </w:r>
    </w:p>
    <w:p>
      <w:pPr>
        <w:spacing w:before="0" w:after="16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Moreover, opportunities in the Farm would be the natural resources available and the threats could be the nearby cities causing pollution like (urban development).</w:t>
      </w:r>
    </w:p>
    <w:p>
      <w:pPr>
        <w:spacing w:before="0" w:after="16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With any business plans, comes threats that will affect a company's brand, if not dealt with accordingly.</w:t>
      </w:r>
    </w:p>
    <w:p>
      <w:pPr>
        <w:spacing w:before="0" w:after="16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auto"/>
          <w:spacing w:val="0"/>
          <w:position w:val="0"/>
          <w:sz w:val="22"/>
          <w:shd w:fill="auto" w:val="clear"/>
        </w:rPr>
        <w:t xml:space="preserve"> “A key component of the farming industry is risk. Wide fluctuations in agricultural revenue may result from the unpredictability of the weather, yields, pricing, government regulations, international markets, and other factors that affect farming. Choosing among options that lessen the potential financial effects of these uncertainties is part of risk management.” </w:t>
      </w:r>
      <w:r>
        <w:rPr>
          <w:rFonts w:ascii="Arial" w:hAnsi="Arial" w:cs="Arial" w:eastAsia="Arial"/>
          <w:color w:val="000000"/>
          <w:spacing w:val="0"/>
          <w:position w:val="0"/>
          <w:sz w:val="22"/>
          <w:shd w:fill="auto" w:val="clear"/>
        </w:rPr>
        <w:t xml:space="preserve">(Turner and Tsubo, 2022)</w:t>
      </w:r>
    </w:p>
    <w:p>
      <w:pPr>
        <w:spacing w:before="0" w:after="16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A target market is a segment of customers who can be served by an organisation/business and who it directs its marketing efforts and resources toward. The specific target market for my farm would be vendors, restaurants, grocery stores and individuals with specific dietary needs, who may wish to choose their crops specifically. </w:t>
      </w:r>
    </w:p>
    <w:p>
      <w:pPr>
        <w:spacing w:before="0" w:after="16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As a sole trader I will personally liable and subject to legal action. My work is independent and for business obligations, I would be personally accountable. </w:t>
      </w:r>
    </w:p>
    <w:p>
      <w:pPr>
        <w:spacing w:before="0" w:after="16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However, in a limited company I would hold shares in the company but not be its sole owner. An individual who starts a new firm and takes on most of the liabilities and profits is known as an entrepreneur. When it comes to entrepreneurship you must be adept at delegation if you want to succeed as an entrepreneur. You must be able to let other people participate and decide in their domains of responsibility. </w:t>
      </w:r>
    </w:p>
    <w:p>
      <w:pPr>
        <w:spacing w:before="0" w:after="160" w:line="360"/>
        <w:ind w:right="0" w:left="0" w:firstLine="0"/>
        <w:jc w:val="left"/>
        <w:rPr>
          <w:rFonts w:ascii="Arial" w:hAnsi="Arial" w:cs="Arial" w:eastAsia="Arial"/>
          <w:color w:val="343742"/>
          <w:spacing w:val="0"/>
          <w:position w:val="0"/>
          <w:sz w:val="22"/>
          <w:shd w:fill="auto" w:val="clear"/>
        </w:rPr>
      </w:pPr>
      <w:r>
        <w:rPr>
          <w:rFonts w:ascii="Arial" w:hAnsi="Arial" w:cs="Arial" w:eastAsia="Arial"/>
          <w:color w:val="343742"/>
          <w:spacing w:val="0"/>
          <w:position w:val="0"/>
          <w:sz w:val="22"/>
          <w:shd w:fill="auto" w:val="clear"/>
        </w:rPr>
        <w:t xml:space="preserve">This module is effective because the material of each lesson is available for me to access on my student Moodle. It is an effective way of learning as I can see the previews of upcoming course content and can prepare myself in advance.</w:t>
      </w:r>
    </w:p>
    <w:p>
      <w:pPr>
        <w:spacing w:before="0" w:after="160" w:line="360"/>
        <w:ind w:right="0" w:left="0" w:firstLine="0"/>
        <w:jc w:val="left"/>
        <w:rPr>
          <w:rFonts w:ascii="Arial" w:hAnsi="Arial" w:cs="Arial" w:eastAsia="Arial"/>
          <w:color w:val="343742"/>
          <w:spacing w:val="0"/>
          <w:position w:val="0"/>
          <w:sz w:val="22"/>
          <w:shd w:fill="auto" w:val="clear"/>
        </w:rPr>
      </w:pPr>
    </w:p>
    <w:p>
      <w:pPr>
        <w:spacing w:before="0" w:after="160" w:line="360"/>
        <w:ind w:right="0" w:left="0" w:firstLine="0"/>
        <w:jc w:val="left"/>
        <w:rPr>
          <w:rFonts w:ascii="Arial" w:hAnsi="Arial" w:cs="Arial" w:eastAsia="Arial"/>
          <w:color w:val="343742"/>
          <w:spacing w:val="0"/>
          <w:position w:val="0"/>
          <w:sz w:val="22"/>
          <w:shd w:fill="auto" w:val="clear"/>
        </w:rPr>
      </w:pPr>
    </w:p>
    <w:p>
      <w:pPr>
        <w:spacing w:before="0" w:after="160" w:line="360"/>
        <w:ind w:right="0" w:left="0" w:firstLine="0"/>
        <w:jc w:val="left"/>
        <w:rPr>
          <w:rFonts w:ascii="Arial" w:hAnsi="Arial" w:cs="Arial" w:eastAsia="Arial"/>
          <w:color w:val="343742"/>
          <w:spacing w:val="0"/>
          <w:position w:val="0"/>
          <w:sz w:val="22"/>
          <w:shd w:fill="auto" w:val="clear"/>
        </w:rPr>
      </w:pPr>
    </w:p>
    <w:p>
      <w:pPr>
        <w:spacing w:before="0" w:after="160" w:line="360"/>
        <w:ind w:right="0" w:left="0" w:firstLine="0"/>
        <w:jc w:val="left"/>
        <w:rPr>
          <w:rFonts w:ascii="Open Sans" w:hAnsi="Open Sans" w:cs="Open Sans" w:eastAsia="Open Sans"/>
          <w:color w:val="000000"/>
          <w:spacing w:val="0"/>
          <w:position w:val="0"/>
          <w:sz w:val="19"/>
          <w:shd w:fill="auto" w:val="clear"/>
        </w:rPr>
      </w:pPr>
    </w:p>
    <w:p>
      <w:pPr>
        <w:spacing w:before="0" w:after="160" w:line="360"/>
        <w:ind w:right="0" w:left="0" w:firstLine="0"/>
        <w:jc w:val="left"/>
        <w:rPr>
          <w:rFonts w:ascii="Open Sans" w:hAnsi="Open Sans" w:cs="Open Sans" w:eastAsia="Open Sans"/>
          <w:color w:val="000000"/>
          <w:spacing w:val="0"/>
          <w:position w:val="0"/>
          <w:sz w:val="19"/>
          <w:shd w:fill="auto" w:val="clear"/>
        </w:rPr>
      </w:pPr>
    </w:p>
    <w:p>
      <w:pPr>
        <w:spacing w:before="0" w:after="160" w:line="360"/>
        <w:ind w:right="0" w:left="0" w:firstLine="0"/>
        <w:jc w:val="left"/>
        <w:rPr>
          <w:rFonts w:ascii="Open Sans" w:hAnsi="Open Sans" w:cs="Open Sans" w:eastAsia="Open Sans"/>
          <w:color w:val="000000"/>
          <w:spacing w:val="0"/>
          <w:position w:val="0"/>
          <w:sz w:val="19"/>
          <w:shd w:fill="auto" w:val="clear"/>
        </w:rPr>
      </w:pPr>
    </w:p>
    <w:p>
      <w:pPr>
        <w:spacing w:before="0" w:after="160" w:line="360"/>
        <w:ind w:right="0" w:left="0" w:firstLine="0"/>
        <w:jc w:val="left"/>
        <w:rPr>
          <w:rFonts w:ascii="Arial" w:hAnsi="Arial" w:cs="Arial" w:eastAsia="Arial"/>
          <w:b/>
          <w:color w:val="000000"/>
          <w:spacing w:val="0"/>
          <w:position w:val="0"/>
          <w:sz w:val="19"/>
          <w:shd w:fill="auto" w:val="clear"/>
        </w:rPr>
      </w:pPr>
      <w:r>
        <w:rPr>
          <w:rFonts w:ascii="Arial" w:hAnsi="Arial" w:cs="Arial" w:eastAsia="Arial"/>
          <w:b/>
          <w:color w:val="000000"/>
          <w:spacing w:val="0"/>
          <w:position w:val="0"/>
          <w:sz w:val="19"/>
          <w:shd w:fill="auto" w:val="clear"/>
        </w:rPr>
        <w:t xml:space="preserve">REFERENCES:</w:t>
      </w:r>
    </w:p>
    <w:p>
      <w:pPr>
        <w:spacing w:before="0" w:after="160" w:line="360"/>
        <w:ind w:right="0" w:left="0" w:firstLine="0"/>
        <w:jc w:val="left"/>
        <w:rPr>
          <w:rFonts w:ascii="Arial" w:hAnsi="Arial" w:cs="Arial" w:eastAsia="Arial"/>
          <w:color w:val="000000"/>
          <w:spacing w:val="0"/>
          <w:position w:val="0"/>
          <w:sz w:val="19"/>
          <w:shd w:fill="auto" w:val="clear"/>
        </w:rPr>
      </w:pPr>
      <w:r>
        <w:rPr>
          <w:rFonts w:ascii="Arial" w:hAnsi="Arial" w:cs="Arial" w:eastAsia="Arial"/>
          <w:color w:val="000000"/>
          <w:spacing w:val="0"/>
          <w:position w:val="0"/>
          <w:sz w:val="19"/>
          <w:shd w:fill="auto" w:val="clear"/>
        </w:rPr>
        <w:t xml:space="preserve">Turner, D. and Tsiboe, F., 2022. [online] Available at: &lt;</w:t>
      </w:r>
      <w:hyperlink xmlns:r="http://schemas.openxmlformats.org/officeDocument/2006/relationships" r:id="docRId0">
        <w:r>
          <w:rPr>
            <w:rFonts w:ascii="Arial" w:hAnsi="Arial" w:cs="Arial" w:eastAsia="Arial"/>
            <w:color w:val="000000"/>
            <w:spacing w:val="0"/>
            <w:position w:val="0"/>
            <w:sz w:val="19"/>
            <w:u w:val="single"/>
            <w:shd w:fill="auto" w:val="clear"/>
          </w:rPr>
          <w:t xml:space="preserve">https://www.ers.usda.gov/topics/farm-practices-management/risk-management/risk-in-agriculture#:~:text=Five%20general%20types%20of%20risk,and%20human%20or%20personal%20risk.</w:t>
        </w:r>
      </w:hyperlink>
      <w:r>
        <w:rPr>
          <w:rFonts w:ascii="Arial" w:hAnsi="Arial" w:cs="Arial" w:eastAsia="Arial"/>
          <w:color w:val="000000"/>
          <w:spacing w:val="0"/>
          <w:position w:val="0"/>
          <w:sz w:val="19"/>
          <w:shd w:fill="auto" w:val="clear"/>
        </w:rPr>
        <w:t xml:space="preserve">&gt; [Accessed 10 July 2022].</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ers.usda.gov/topics/farm-practices-management/risk-management/risk-in-agriculture#:~:text=Five%20general%20types%20of%20risk,and%20human%20or%20personal%20risk." Id="docRId0" Type="http://schemas.openxmlformats.org/officeDocument/2006/relationships/hyperlink" /><Relationship Target="numbering.xml" Id="docRId1" Type="http://schemas.openxmlformats.org/officeDocument/2006/relationships/numbering" /><Relationship Target="styles.xml" Id="docRId2" Type="http://schemas.openxmlformats.org/officeDocument/2006/relationships/styles" /></Relationships>
</file>