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ED14E" w14:textId="77777777" w:rsidR="00230F35" w:rsidRDefault="00A27520" w:rsidP="00230F35">
      <w:pPr>
        <w:pStyle w:val="NormalWeb"/>
        <w:spacing w:before="0" w:beforeAutospacing="0" w:after="0" w:afterAutospacing="0"/>
        <w:ind w:left="-180" w:right="-334"/>
      </w:pPr>
      <w:r>
        <w:rPr>
          <w:noProof/>
          <w:lang w:val="pt-PT" w:eastAsia="pt-PT"/>
        </w:rPr>
        <w:drawing>
          <wp:inline distT="0" distB="0" distL="0" distR="0" wp14:anchorId="75DB6EBE" wp14:editId="7E34766A">
            <wp:extent cx="1906270" cy="638175"/>
            <wp:effectExtent l="19050" t="19050" r="0" b="9525"/>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1800438D" w14:textId="77777777" w:rsidR="00230F35" w:rsidRDefault="00230F35" w:rsidP="00230F35">
      <w:pPr>
        <w:pStyle w:val="NormalWeb"/>
        <w:spacing w:before="0" w:beforeAutospacing="0" w:after="0" w:afterAutospacing="0"/>
        <w:ind w:left="-180" w:right="-334"/>
      </w:pPr>
    </w:p>
    <w:p w14:paraId="5D2C4420" w14:textId="77777777" w:rsidR="00A745B6" w:rsidRDefault="00A745B6" w:rsidP="00230F35">
      <w:pPr>
        <w:pStyle w:val="NormalWeb"/>
        <w:spacing w:before="0" w:beforeAutospacing="0" w:after="0" w:afterAutospacing="0"/>
        <w:ind w:left="-180" w:right="-334"/>
      </w:pPr>
    </w:p>
    <w:p w14:paraId="063E598B"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20FDDBC6"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5E51033" w14:textId="77777777" w:rsidR="002E67CE" w:rsidRPr="00230F35" w:rsidRDefault="002E67CE" w:rsidP="002E67CE">
      <w:pPr>
        <w:rPr>
          <w:rFonts w:ascii="Arial" w:hAnsi="Arial" w:cs="Arial"/>
          <w:sz w:val="28"/>
          <w:szCs w:val="28"/>
          <w:lang w:val="cy-GB"/>
        </w:rPr>
      </w:pPr>
    </w:p>
    <w:p w14:paraId="7FAB4320" w14:textId="77777777" w:rsidR="002E67CE" w:rsidRDefault="002E67CE" w:rsidP="002E67CE">
      <w:pPr>
        <w:pStyle w:val="Ttulo3"/>
        <w:jc w:val="center"/>
        <w:rPr>
          <w:lang w:val="cy-GB"/>
        </w:rPr>
      </w:pPr>
      <w:r>
        <w:rPr>
          <w:lang w:val="cy-GB"/>
        </w:rPr>
        <w:t>THIS SHEET MUST BE THE FIRST PAGE OF THE ASSIGNMENT YOU ARE SUBMITTING  (DO NOT SEND AS A SEPARATE FILE)</w:t>
      </w:r>
    </w:p>
    <w:p w14:paraId="683B1138" w14:textId="77777777" w:rsidR="00230F35" w:rsidRDefault="00230F35" w:rsidP="002E67CE">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4"/>
        <w:gridCol w:w="423"/>
        <w:gridCol w:w="1505"/>
        <w:gridCol w:w="283"/>
        <w:gridCol w:w="1791"/>
      </w:tblGrid>
      <w:tr w:rsidR="00E57529" w:rsidRPr="00230F35" w14:paraId="3A823506" w14:textId="77777777" w:rsidTr="00A745B6">
        <w:trPr>
          <w:trHeight w:val="614"/>
        </w:trPr>
        <w:tc>
          <w:tcPr>
            <w:tcW w:w="8856" w:type="dxa"/>
            <w:gridSpan w:val="5"/>
          </w:tcPr>
          <w:p w14:paraId="3D106F14"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71FD4AA6" w14:textId="77777777" w:rsidTr="00A745B6">
        <w:trPr>
          <w:trHeight w:val="718"/>
        </w:trPr>
        <w:tc>
          <w:tcPr>
            <w:tcW w:w="8856" w:type="dxa"/>
            <w:gridSpan w:val="5"/>
          </w:tcPr>
          <w:p w14:paraId="3038EA18"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DD4CB8">
              <w:rPr>
                <w:rFonts w:ascii="Arial" w:hAnsi="Arial" w:cs="Arial"/>
                <w:sz w:val="22"/>
                <w:szCs w:val="22"/>
              </w:rPr>
              <w:t xml:space="preserve"> </w:t>
            </w:r>
            <w:r w:rsidR="00DD4CB8" w:rsidRPr="00DD4CB8">
              <w:rPr>
                <w:rFonts w:ascii="Arial" w:hAnsi="Arial" w:cs="Arial"/>
                <w:b/>
                <w:bCs/>
                <w:sz w:val="22"/>
                <w:szCs w:val="22"/>
              </w:rPr>
              <w:t>SARA SUCENA</w:t>
            </w:r>
          </w:p>
          <w:p w14:paraId="12795611"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3E77841" w14:textId="7777777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DD4CB8" w:rsidRPr="00DD4CB8">
              <w:rPr>
                <w:rFonts w:ascii="Arial" w:hAnsi="Arial" w:cs="Arial"/>
                <w:b/>
                <w:bCs/>
                <w:sz w:val="22"/>
                <w:szCs w:val="22"/>
              </w:rPr>
              <w:t>1917253@student.uwtsd.ac.uk</w:t>
            </w:r>
          </w:p>
        </w:tc>
      </w:tr>
      <w:tr w:rsidR="00CE3B79" w:rsidRPr="00230F35" w14:paraId="5E42B0A1" w14:textId="77777777" w:rsidTr="00A745B6">
        <w:trPr>
          <w:trHeight w:val="849"/>
        </w:trPr>
        <w:tc>
          <w:tcPr>
            <w:tcW w:w="4788" w:type="dxa"/>
          </w:tcPr>
          <w:p w14:paraId="1D25B7DF" w14:textId="77777777" w:rsidR="00DD4CB8" w:rsidRDefault="00CE3B79" w:rsidP="00DD4C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B0B9956" w14:textId="1D2D416B" w:rsidR="00DD4CB8" w:rsidRPr="00F62B6A" w:rsidRDefault="00DD4CB8" w:rsidP="00DD4CB8">
            <w:pPr>
              <w:pStyle w:val="NormalWeb"/>
              <w:spacing w:before="0" w:beforeAutospacing="0" w:after="0" w:afterAutospacing="0"/>
              <w:ind w:right="34"/>
              <w:jc w:val="center"/>
              <w:rPr>
                <w:b/>
                <w:bCs/>
                <w:lang w:val="en-US" w:eastAsia="pt-PT"/>
              </w:rPr>
            </w:pPr>
            <w:r w:rsidRPr="00DD4CB8">
              <w:rPr>
                <w:rStyle w:val="fontstyle01"/>
                <w:b/>
                <w:bCs/>
              </w:rPr>
              <w:t>HPCA701</w:t>
            </w:r>
            <w:r w:rsidR="00E13223">
              <w:rPr>
                <w:rStyle w:val="fontstyle01"/>
                <w:b/>
                <w:bCs/>
              </w:rPr>
              <w:t>6</w:t>
            </w:r>
          </w:p>
          <w:p w14:paraId="17066258"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AF7853C" w14:textId="423509DB"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DD4CB8">
              <w:t xml:space="preserve"> </w:t>
            </w:r>
            <w:r w:rsidR="00E13223" w:rsidRPr="00E13223">
              <w:rPr>
                <w:rFonts w:ascii="Arial" w:hAnsi="Arial" w:cs="Arial"/>
                <w:b/>
                <w:bCs/>
                <w:sz w:val="22"/>
                <w:szCs w:val="22"/>
              </w:rPr>
              <w:t>Researching Contemporary Cosmologies</w:t>
            </w:r>
          </w:p>
          <w:p w14:paraId="286C3A2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B0013A8"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CFEE8ED" w14:textId="77777777" w:rsidR="00DD4CB8" w:rsidRDefault="00DD4CB8" w:rsidP="002F467C">
            <w:pPr>
              <w:pStyle w:val="NormalWeb"/>
              <w:spacing w:before="0" w:beforeAutospacing="0" w:after="0" w:afterAutospacing="0"/>
              <w:ind w:right="34"/>
              <w:rPr>
                <w:rFonts w:ascii="Arial" w:hAnsi="Arial" w:cs="Arial"/>
                <w:sz w:val="22"/>
                <w:szCs w:val="22"/>
              </w:rPr>
            </w:pPr>
          </w:p>
          <w:p w14:paraId="4A3A9E38" w14:textId="77777777" w:rsidR="00DD4CB8" w:rsidRPr="00DD4CB8" w:rsidRDefault="00DD4CB8" w:rsidP="00DD4CB8">
            <w:pPr>
              <w:pStyle w:val="NormalWeb"/>
              <w:spacing w:before="0" w:beforeAutospacing="0" w:after="0" w:afterAutospacing="0"/>
              <w:ind w:right="34"/>
              <w:jc w:val="center"/>
              <w:rPr>
                <w:rFonts w:ascii="Arial" w:hAnsi="Arial" w:cs="Arial"/>
                <w:b/>
                <w:bCs/>
                <w:sz w:val="22"/>
                <w:szCs w:val="22"/>
              </w:rPr>
            </w:pPr>
            <w:r w:rsidRPr="00DD4CB8">
              <w:rPr>
                <w:rFonts w:ascii="Arial" w:hAnsi="Arial" w:cs="Arial"/>
                <w:b/>
                <w:bCs/>
                <w:sz w:val="22"/>
                <w:szCs w:val="22"/>
              </w:rPr>
              <w:t>1917253</w:t>
            </w:r>
          </w:p>
        </w:tc>
        <w:tc>
          <w:tcPr>
            <w:tcW w:w="1802" w:type="dxa"/>
          </w:tcPr>
          <w:p w14:paraId="45D4A72E"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1E6B94" w14:textId="77777777" w:rsidR="00DD4CB8" w:rsidRPr="00230F35" w:rsidRDefault="00DD4CB8" w:rsidP="002F467C">
            <w:pPr>
              <w:pStyle w:val="NormalWeb"/>
              <w:spacing w:before="0" w:beforeAutospacing="0" w:after="0" w:afterAutospacing="0"/>
              <w:ind w:right="34"/>
              <w:rPr>
                <w:rFonts w:ascii="Arial" w:hAnsi="Arial" w:cs="Arial"/>
                <w:sz w:val="22"/>
                <w:szCs w:val="22"/>
              </w:rPr>
            </w:pPr>
          </w:p>
          <w:p w14:paraId="4C11B467" w14:textId="77777777" w:rsidR="00CE3B79" w:rsidRPr="00DD4CB8" w:rsidRDefault="00CE3B79" w:rsidP="00DD4CB8">
            <w:pPr>
              <w:pStyle w:val="NormalWeb"/>
              <w:spacing w:before="0" w:beforeAutospacing="0" w:after="0" w:afterAutospacing="0"/>
              <w:ind w:right="34"/>
              <w:jc w:val="center"/>
              <w:rPr>
                <w:rFonts w:ascii="Arial" w:hAnsi="Arial" w:cs="Arial"/>
                <w:b/>
                <w:bCs/>
                <w:sz w:val="22"/>
                <w:szCs w:val="22"/>
              </w:rPr>
            </w:pPr>
            <w:r w:rsidRPr="00DD4CB8">
              <w:rPr>
                <w:rFonts w:ascii="Arial" w:hAnsi="Arial" w:cs="Arial"/>
                <w:b/>
                <w:bCs/>
                <w:sz w:val="22"/>
                <w:szCs w:val="22"/>
              </w:rPr>
              <w:t>No</w:t>
            </w:r>
          </w:p>
        </w:tc>
      </w:tr>
      <w:tr w:rsidR="00CE3B79" w:rsidRPr="00230F35" w14:paraId="5728ACE6" w14:textId="77777777" w:rsidTr="00A745B6">
        <w:trPr>
          <w:trHeight w:val="1139"/>
        </w:trPr>
        <w:tc>
          <w:tcPr>
            <w:tcW w:w="8856" w:type="dxa"/>
            <w:gridSpan w:val="5"/>
          </w:tcPr>
          <w:p w14:paraId="3F7EE8D4" w14:textId="77777777" w:rsidR="00DD4CB8"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02B6ECC7" w14:textId="64A9311F" w:rsidR="00CE3B79" w:rsidRPr="00DD4CB8" w:rsidRDefault="00E13223" w:rsidP="00DD4CB8">
            <w:pPr>
              <w:pStyle w:val="NormalWeb"/>
              <w:spacing w:before="0" w:beforeAutospacing="0" w:after="0" w:afterAutospacing="0"/>
              <w:ind w:right="34"/>
              <w:jc w:val="center"/>
              <w:rPr>
                <w:rFonts w:ascii="Arial" w:hAnsi="Arial" w:cs="Arial"/>
                <w:b/>
                <w:bCs/>
                <w:sz w:val="22"/>
                <w:szCs w:val="22"/>
              </w:rPr>
            </w:pPr>
            <w:r w:rsidRPr="00E13223">
              <w:rPr>
                <w:rFonts w:ascii="Arial" w:hAnsi="Arial" w:cs="Arial"/>
                <w:b/>
                <w:bCs/>
                <w:sz w:val="22"/>
                <w:szCs w:val="22"/>
              </w:rPr>
              <w:t>A Critical Comparison of Two Secondary Sources</w:t>
            </w:r>
          </w:p>
          <w:p w14:paraId="3EA64704" w14:textId="77777777" w:rsidR="00230F35" w:rsidRDefault="00230F35" w:rsidP="002F467C">
            <w:pPr>
              <w:pStyle w:val="NormalWeb"/>
              <w:spacing w:before="0" w:beforeAutospacing="0" w:after="0" w:afterAutospacing="0"/>
              <w:ind w:right="34"/>
              <w:rPr>
                <w:rFonts w:ascii="Arial" w:hAnsi="Arial" w:cs="Arial"/>
                <w:sz w:val="22"/>
                <w:szCs w:val="22"/>
              </w:rPr>
            </w:pPr>
          </w:p>
          <w:p w14:paraId="0BFF2B31" w14:textId="3AB9FDDE"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D4CB8">
              <w:rPr>
                <w:rFonts w:ascii="Arial" w:hAnsi="Arial" w:cs="Arial"/>
                <w:sz w:val="22"/>
                <w:szCs w:val="22"/>
              </w:rPr>
              <w:t xml:space="preserve"> </w:t>
            </w:r>
            <w:r w:rsidR="00E13223" w:rsidRPr="00E13223">
              <w:rPr>
                <w:rFonts w:ascii="Arial" w:hAnsi="Arial" w:cs="Arial"/>
                <w:b/>
                <w:bCs/>
                <w:sz w:val="22"/>
                <w:szCs w:val="22"/>
              </w:rPr>
              <w:t>21</w:t>
            </w:r>
            <w:r w:rsidR="00934C89" w:rsidRPr="00E13223">
              <w:rPr>
                <w:rFonts w:ascii="Arial" w:hAnsi="Arial" w:cs="Arial"/>
                <w:b/>
                <w:bCs/>
                <w:sz w:val="22"/>
                <w:szCs w:val="22"/>
              </w:rPr>
              <w:t xml:space="preserve"> M</w:t>
            </w:r>
            <w:r w:rsidR="00934C89">
              <w:rPr>
                <w:rFonts w:ascii="Arial" w:hAnsi="Arial" w:cs="Arial"/>
                <w:b/>
                <w:bCs/>
                <w:sz w:val="22"/>
                <w:szCs w:val="22"/>
              </w:rPr>
              <w:t>arch</w:t>
            </w:r>
            <w:r w:rsidR="00DD4CB8" w:rsidRPr="00DD4CB8">
              <w:rPr>
                <w:rFonts w:ascii="Arial" w:hAnsi="Arial" w:cs="Arial"/>
                <w:b/>
                <w:bCs/>
                <w:sz w:val="22"/>
                <w:szCs w:val="22"/>
              </w:rPr>
              <w:t xml:space="preserve"> 202</w:t>
            </w:r>
            <w:r w:rsidR="00E13223">
              <w:rPr>
                <w:rFonts w:ascii="Arial" w:hAnsi="Arial" w:cs="Arial"/>
                <w:b/>
                <w:bCs/>
                <w:sz w:val="22"/>
                <w:szCs w:val="22"/>
              </w:rPr>
              <w:t>2</w:t>
            </w:r>
          </w:p>
        </w:tc>
      </w:tr>
      <w:tr w:rsidR="00230F35" w:rsidRPr="00230F35" w14:paraId="4C1223CB" w14:textId="77777777" w:rsidTr="00A745B6">
        <w:trPr>
          <w:trHeight w:val="978"/>
        </w:trPr>
        <w:tc>
          <w:tcPr>
            <w:tcW w:w="8856" w:type="dxa"/>
            <w:gridSpan w:val="5"/>
            <w:tcBorders>
              <w:bottom w:val="single" w:sz="4" w:space="0" w:color="000000"/>
            </w:tcBorders>
          </w:tcPr>
          <w:p w14:paraId="4E7DD2F0"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DD4CB8">
              <w:rPr>
                <w:rFonts w:ascii="Arial" w:hAnsi="Arial" w:cs="Arial"/>
                <w:sz w:val="22"/>
                <w:szCs w:val="22"/>
                <w:vertAlign w:val="superscript"/>
              </w:rPr>
              <w:t xml:space="preserve"> </w:t>
            </w:r>
            <w:r w:rsidR="00DD4CB8" w:rsidRPr="00DD4CB8">
              <w:rPr>
                <w:rFonts w:ascii="Arial" w:hAnsi="Arial" w:cs="Arial"/>
                <w:b/>
                <w:bCs/>
                <w:sz w:val="28"/>
                <w:szCs w:val="28"/>
              </w:rPr>
              <w:t>X</w:t>
            </w:r>
            <w:r w:rsidR="00DD4CB8">
              <w:rPr>
                <w:rFonts w:ascii="Arial" w:hAnsi="Arial" w:cs="Arial"/>
                <w:sz w:val="22"/>
                <w:szCs w:val="22"/>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A571D4">
              <w:rPr>
                <w:rFonts w:ascii="Arial" w:hAnsi="Arial" w:cs="Arial"/>
                <w:sz w:val="22"/>
                <w:szCs w:val="22"/>
              </w:rPr>
            </w:r>
            <w:r w:rsidR="00A571D4">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A571D4">
              <w:rPr>
                <w:rFonts w:ascii="Arial" w:hAnsi="Arial" w:cs="Arial"/>
                <w:sz w:val="22"/>
                <w:szCs w:val="22"/>
              </w:rPr>
            </w:r>
            <w:r w:rsidR="00A571D4">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A571D4">
              <w:rPr>
                <w:rFonts w:ascii="Arial" w:hAnsi="Arial" w:cs="Arial"/>
                <w:sz w:val="22"/>
                <w:szCs w:val="22"/>
              </w:rPr>
            </w:r>
            <w:r w:rsidR="00A571D4">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A571D4">
              <w:rPr>
                <w:rFonts w:ascii="Arial" w:hAnsi="Arial" w:cs="Arial"/>
                <w:sz w:val="22"/>
                <w:szCs w:val="22"/>
              </w:rPr>
            </w:r>
            <w:r w:rsidR="00A571D4">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A571D4">
              <w:rPr>
                <w:rFonts w:ascii="Arial" w:hAnsi="Arial" w:cs="Arial"/>
                <w:sz w:val="22"/>
                <w:szCs w:val="22"/>
              </w:rPr>
            </w:r>
            <w:r w:rsidR="00A571D4">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2F038652" w14:textId="77777777" w:rsidTr="00A745B6">
        <w:trPr>
          <w:trHeight w:val="978"/>
        </w:trPr>
        <w:tc>
          <w:tcPr>
            <w:tcW w:w="8856" w:type="dxa"/>
            <w:gridSpan w:val="5"/>
            <w:shd w:val="clear" w:color="auto" w:fill="D9D9D9"/>
          </w:tcPr>
          <w:p w14:paraId="6EF3FE15"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1675594"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144AE29D"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DD4CB8">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DD4CB8" w:rsidRPr="00DD4CB8">
              <w:rPr>
                <w:rFonts w:ascii="Arial" w:hAnsi="Arial" w:cs="Arial"/>
                <w:b/>
                <w:bCs/>
                <w:sz w:val="28"/>
                <w:szCs w:val="28"/>
              </w:rPr>
              <w:t>X</w:t>
            </w:r>
          </w:p>
          <w:p w14:paraId="17E45E54"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0057AF8A" w14:textId="77777777" w:rsidTr="00A745B6">
        <w:trPr>
          <w:trHeight w:val="3972"/>
        </w:trPr>
        <w:tc>
          <w:tcPr>
            <w:tcW w:w="8856" w:type="dxa"/>
            <w:gridSpan w:val="5"/>
          </w:tcPr>
          <w:p w14:paraId="3544CE68" w14:textId="77777777" w:rsidR="00A745B6" w:rsidRDefault="00A745B6" w:rsidP="00A745B6">
            <w:pPr>
              <w:rPr>
                <w:rFonts w:ascii="Arial" w:hAnsi="Arial"/>
                <w:b/>
              </w:rPr>
            </w:pPr>
          </w:p>
          <w:p w14:paraId="2BAF44B9"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6B47E5F2" w14:textId="77777777" w:rsidTr="00022345">
              <w:tc>
                <w:tcPr>
                  <w:tcW w:w="6970" w:type="dxa"/>
                </w:tcPr>
                <w:p w14:paraId="7DEC37FB" w14:textId="77777777" w:rsidR="00A745B6" w:rsidRPr="00116CE6" w:rsidRDefault="00A745B6" w:rsidP="009C1A08">
                  <w:pPr>
                    <w:rPr>
                      <w:rFonts w:ascii="Arial" w:hAnsi="Arial"/>
                      <w:sz w:val="20"/>
                      <w:szCs w:val="20"/>
                    </w:rPr>
                  </w:pPr>
                </w:p>
                <w:p w14:paraId="6A2CA306"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D770D59" w14:textId="77777777" w:rsidR="00A745B6" w:rsidRPr="00116CE6" w:rsidRDefault="00A745B6" w:rsidP="009C1A08">
                  <w:pPr>
                    <w:rPr>
                      <w:rFonts w:ascii="Arial" w:hAnsi="Arial"/>
                      <w:sz w:val="20"/>
                      <w:szCs w:val="20"/>
                    </w:rPr>
                  </w:pPr>
                </w:p>
              </w:tc>
            </w:tr>
            <w:tr w:rsidR="00A745B6" w:rsidRPr="00116CE6" w14:paraId="519C9CCB" w14:textId="77777777" w:rsidTr="00022345">
              <w:tc>
                <w:tcPr>
                  <w:tcW w:w="6970" w:type="dxa"/>
                </w:tcPr>
                <w:p w14:paraId="404D7438" w14:textId="77777777" w:rsidR="00A745B6" w:rsidRPr="00116CE6" w:rsidRDefault="00A745B6" w:rsidP="009C1A08">
                  <w:pPr>
                    <w:rPr>
                      <w:rFonts w:ascii="Arial" w:hAnsi="Arial"/>
                      <w:sz w:val="20"/>
                      <w:szCs w:val="20"/>
                    </w:rPr>
                  </w:pPr>
                </w:p>
                <w:p w14:paraId="76705332"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E34909C" w14:textId="77777777" w:rsidR="00A745B6" w:rsidRPr="00116CE6" w:rsidRDefault="00A745B6" w:rsidP="009C1A08">
                  <w:pPr>
                    <w:rPr>
                      <w:rFonts w:ascii="Arial" w:hAnsi="Arial"/>
                      <w:sz w:val="20"/>
                      <w:szCs w:val="20"/>
                    </w:rPr>
                  </w:pPr>
                </w:p>
              </w:tc>
            </w:tr>
            <w:tr w:rsidR="00A745B6" w:rsidRPr="00116CE6" w14:paraId="68096D11" w14:textId="77777777" w:rsidTr="00022345">
              <w:tc>
                <w:tcPr>
                  <w:tcW w:w="6970" w:type="dxa"/>
                </w:tcPr>
                <w:p w14:paraId="0037F5B6" w14:textId="77777777" w:rsidR="00A745B6" w:rsidRPr="00116CE6" w:rsidRDefault="00A745B6" w:rsidP="009C1A08">
                  <w:pPr>
                    <w:rPr>
                      <w:rFonts w:ascii="Arial" w:hAnsi="Arial"/>
                      <w:sz w:val="20"/>
                      <w:szCs w:val="20"/>
                    </w:rPr>
                  </w:pPr>
                </w:p>
                <w:p w14:paraId="7DD9F20C"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D27B9A3" w14:textId="77777777" w:rsidR="00A745B6" w:rsidRPr="00116CE6" w:rsidRDefault="00A745B6" w:rsidP="009C1A08">
                  <w:pPr>
                    <w:rPr>
                      <w:rFonts w:ascii="Arial" w:hAnsi="Arial"/>
                      <w:sz w:val="20"/>
                      <w:szCs w:val="20"/>
                    </w:rPr>
                  </w:pPr>
                </w:p>
              </w:tc>
            </w:tr>
            <w:tr w:rsidR="00A745B6" w:rsidRPr="00116CE6" w14:paraId="74DDD0AD" w14:textId="77777777" w:rsidTr="00022345">
              <w:tc>
                <w:tcPr>
                  <w:tcW w:w="6970" w:type="dxa"/>
                </w:tcPr>
                <w:p w14:paraId="4CAA109F" w14:textId="77777777" w:rsidR="00A745B6" w:rsidRDefault="00A745B6" w:rsidP="009C1A08">
                  <w:pPr>
                    <w:rPr>
                      <w:rFonts w:ascii="Arial" w:hAnsi="Arial"/>
                      <w:sz w:val="20"/>
                      <w:szCs w:val="20"/>
                    </w:rPr>
                  </w:pPr>
                </w:p>
                <w:p w14:paraId="334C8FBC"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1B32EF53" w14:textId="77777777" w:rsidR="00A745B6" w:rsidRPr="00116CE6" w:rsidRDefault="00A745B6" w:rsidP="009C1A08">
                  <w:pPr>
                    <w:rPr>
                      <w:rFonts w:ascii="Arial" w:hAnsi="Arial"/>
                      <w:sz w:val="20"/>
                      <w:szCs w:val="20"/>
                    </w:rPr>
                  </w:pPr>
                </w:p>
              </w:tc>
              <w:tc>
                <w:tcPr>
                  <w:tcW w:w="1660" w:type="dxa"/>
                </w:tcPr>
                <w:p w14:paraId="0C13F655" w14:textId="77777777" w:rsidR="00A745B6" w:rsidRPr="00116CE6" w:rsidRDefault="00A745B6" w:rsidP="009C1A08">
                  <w:pPr>
                    <w:rPr>
                      <w:rFonts w:ascii="Arial" w:hAnsi="Arial"/>
                      <w:sz w:val="20"/>
                      <w:szCs w:val="20"/>
                    </w:rPr>
                  </w:pPr>
                </w:p>
              </w:tc>
            </w:tr>
          </w:tbl>
          <w:p w14:paraId="7C9B66B8"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70C09402"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6FAF19C" w14:textId="77777777" w:rsidR="00A745B6" w:rsidRDefault="00A745B6" w:rsidP="002F467C">
            <w:pPr>
              <w:pStyle w:val="NormalWeb"/>
              <w:spacing w:before="0" w:beforeAutospacing="0" w:after="0" w:afterAutospacing="0"/>
              <w:rPr>
                <w:rFonts w:ascii="Arial" w:hAnsi="Arial" w:cs="Arial"/>
                <w:b/>
                <w:sz w:val="22"/>
                <w:szCs w:val="22"/>
              </w:rPr>
            </w:pPr>
          </w:p>
          <w:p w14:paraId="0413C245" w14:textId="77777777" w:rsidR="00B462B1" w:rsidRDefault="00B462B1" w:rsidP="002F467C">
            <w:pPr>
              <w:pStyle w:val="NormalWeb"/>
              <w:spacing w:before="0" w:beforeAutospacing="0" w:after="0" w:afterAutospacing="0"/>
              <w:rPr>
                <w:rFonts w:ascii="Arial" w:hAnsi="Arial" w:cs="Arial"/>
                <w:b/>
                <w:sz w:val="22"/>
                <w:szCs w:val="22"/>
              </w:rPr>
            </w:pPr>
          </w:p>
          <w:p w14:paraId="05108752" w14:textId="77777777" w:rsidR="00B462B1" w:rsidRDefault="00B462B1" w:rsidP="002F467C">
            <w:pPr>
              <w:pStyle w:val="NormalWeb"/>
              <w:spacing w:before="0" w:beforeAutospacing="0" w:after="0" w:afterAutospacing="0"/>
              <w:rPr>
                <w:rFonts w:ascii="Arial" w:hAnsi="Arial" w:cs="Arial"/>
                <w:b/>
                <w:sz w:val="22"/>
                <w:szCs w:val="22"/>
              </w:rPr>
            </w:pPr>
          </w:p>
          <w:p w14:paraId="6623F562" w14:textId="77777777" w:rsidR="00B462B1" w:rsidRDefault="00B462B1" w:rsidP="002F467C">
            <w:pPr>
              <w:pStyle w:val="NormalWeb"/>
              <w:spacing w:before="0" w:beforeAutospacing="0" w:after="0" w:afterAutospacing="0"/>
              <w:rPr>
                <w:rFonts w:ascii="Arial" w:hAnsi="Arial" w:cs="Arial"/>
                <w:b/>
                <w:sz w:val="22"/>
                <w:szCs w:val="22"/>
              </w:rPr>
            </w:pPr>
          </w:p>
          <w:p w14:paraId="0C898AF8" w14:textId="77777777" w:rsidR="00B462B1" w:rsidRDefault="00B462B1" w:rsidP="002F467C">
            <w:pPr>
              <w:pStyle w:val="NormalWeb"/>
              <w:spacing w:before="0" w:beforeAutospacing="0" w:after="0" w:afterAutospacing="0"/>
              <w:rPr>
                <w:rFonts w:ascii="Arial" w:hAnsi="Arial" w:cs="Arial"/>
                <w:b/>
                <w:sz w:val="22"/>
                <w:szCs w:val="22"/>
              </w:rPr>
            </w:pPr>
          </w:p>
          <w:p w14:paraId="13A501D2"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3C4391D5"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073E693B" w14:textId="77777777" w:rsidR="00B56E7B" w:rsidRPr="00001C3B" w:rsidRDefault="00B56E7B" w:rsidP="00043549">
            <w:pPr>
              <w:pStyle w:val="NormalWeb"/>
              <w:rPr>
                <w:rFonts w:ascii="Arial" w:hAnsi="Arial" w:cs="Arial"/>
                <w:sz w:val="22"/>
                <w:szCs w:val="22"/>
              </w:rPr>
            </w:pPr>
          </w:p>
        </w:tc>
      </w:tr>
      <w:tr w:rsidR="00EC7546" w:rsidRPr="00230F35" w14:paraId="31DF3086" w14:textId="77777777" w:rsidTr="00A745B6">
        <w:trPr>
          <w:trHeight w:val="492"/>
        </w:trPr>
        <w:tc>
          <w:tcPr>
            <w:tcW w:w="6768" w:type="dxa"/>
            <w:gridSpan w:val="3"/>
          </w:tcPr>
          <w:p w14:paraId="3EF5EFF7"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7C039E5C"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7C941E79" w14:textId="77777777" w:rsidTr="002F467C">
        <w:tc>
          <w:tcPr>
            <w:tcW w:w="8856" w:type="dxa"/>
            <w:gridSpan w:val="5"/>
          </w:tcPr>
          <w:p w14:paraId="5A555D52"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17E9E80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378560E"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3A89F8F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A20866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CCFF3A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0C250C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9A12A8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6EA114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CA6AC1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1249E2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4D4606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2829978" w14:textId="77777777" w:rsidR="00D67BF8" w:rsidRDefault="00D67BF8" w:rsidP="002F467C">
            <w:pPr>
              <w:pStyle w:val="NormalWeb"/>
              <w:spacing w:before="0" w:beforeAutospacing="0" w:after="0" w:afterAutospacing="0"/>
              <w:ind w:right="-334"/>
              <w:rPr>
                <w:rFonts w:ascii="Arial" w:hAnsi="Arial" w:cs="Arial"/>
                <w:bCs/>
                <w:sz w:val="22"/>
                <w:szCs w:val="22"/>
              </w:rPr>
            </w:pPr>
          </w:p>
          <w:p w14:paraId="274672D4"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4AFE78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B5164C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50EF8E41" w14:textId="77777777" w:rsidTr="008D674F">
        <w:trPr>
          <w:trHeight w:val="720"/>
        </w:trPr>
        <w:tc>
          <w:tcPr>
            <w:tcW w:w="5211" w:type="dxa"/>
            <w:gridSpan w:val="2"/>
          </w:tcPr>
          <w:p w14:paraId="596215A5"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2E5475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1FF657BE" w14:textId="77777777" w:rsidTr="009C1A08">
        <w:trPr>
          <w:trHeight w:val="720"/>
        </w:trPr>
        <w:tc>
          <w:tcPr>
            <w:tcW w:w="8856" w:type="dxa"/>
            <w:gridSpan w:val="5"/>
          </w:tcPr>
          <w:p w14:paraId="11313ACB"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8A935C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E81817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95182F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719D63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53C7E7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CCD27D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57E90A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37FB12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4BB18D4" w14:textId="77777777" w:rsidR="00230F35" w:rsidRDefault="00230F35" w:rsidP="002F467C">
            <w:pPr>
              <w:pStyle w:val="NormalWeb"/>
              <w:spacing w:before="0" w:beforeAutospacing="0" w:after="0" w:afterAutospacing="0"/>
              <w:ind w:right="-334"/>
              <w:rPr>
                <w:rFonts w:ascii="Arial" w:hAnsi="Arial" w:cs="Arial"/>
                <w:bCs/>
                <w:sz w:val="22"/>
                <w:szCs w:val="22"/>
              </w:rPr>
            </w:pPr>
          </w:p>
          <w:p w14:paraId="38B44EB0"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783B8F5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1C68B4F4" w14:textId="77777777" w:rsidTr="00230F35">
        <w:trPr>
          <w:trHeight w:val="720"/>
        </w:trPr>
        <w:tc>
          <w:tcPr>
            <w:tcW w:w="5211" w:type="dxa"/>
            <w:gridSpan w:val="2"/>
          </w:tcPr>
          <w:p w14:paraId="4890DFC7"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8E5A144"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77F2A2DE"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325F21A0" w14:textId="77777777" w:rsidR="00DD4CB8" w:rsidRDefault="00DD4CB8" w:rsidP="00FA07E9">
      <w:pPr>
        <w:pStyle w:val="NormalWeb"/>
        <w:spacing w:before="0" w:beforeAutospacing="0" w:after="0" w:afterAutospacing="0"/>
        <w:ind w:right="-334"/>
        <w:rPr>
          <w:rFonts w:ascii="Trebuchet MS" w:hAnsi="Trebuchet MS" w:cs="Tahoma"/>
          <w:bCs/>
          <w:sz w:val="24"/>
          <w:szCs w:val="24"/>
        </w:rPr>
      </w:pPr>
    </w:p>
    <w:p w14:paraId="0699BE16" w14:textId="77777777" w:rsidR="00DD4CB8" w:rsidRDefault="00DD4CB8" w:rsidP="00FA07E9">
      <w:pPr>
        <w:pStyle w:val="NormalWeb"/>
        <w:spacing w:before="0" w:beforeAutospacing="0" w:after="0" w:afterAutospacing="0"/>
        <w:ind w:right="-334"/>
        <w:rPr>
          <w:rFonts w:ascii="Trebuchet MS" w:hAnsi="Trebuchet MS" w:cs="Tahoma"/>
          <w:bCs/>
          <w:sz w:val="24"/>
          <w:szCs w:val="24"/>
        </w:rPr>
      </w:pPr>
    </w:p>
    <w:p w14:paraId="531E05FE" w14:textId="77777777" w:rsidR="007318C2" w:rsidRDefault="007318C2" w:rsidP="00DD4CB8">
      <w:pPr>
        <w:jc w:val="both"/>
        <w:rPr>
          <w:rStyle w:val="fontstyle01"/>
          <w:rFonts w:ascii="Garamond" w:hAnsi="Garamond"/>
          <w:b/>
          <w:bCs/>
          <w:sz w:val="40"/>
          <w:szCs w:val="40"/>
        </w:rPr>
        <w:sectPr w:rsidR="007318C2" w:rsidSect="006517D7">
          <w:footerReference w:type="default" r:id="rId9"/>
          <w:footerReference w:type="first" r:id="rId10"/>
          <w:pgSz w:w="12240" w:h="15840"/>
          <w:pgMar w:top="567" w:right="1797" w:bottom="567" w:left="1797" w:header="567" w:footer="567" w:gutter="0"/>
          <w:cols w:space="720"/>
          <w:titlePg/>
          <w:docGrid w:linePitch="326"/>
        </w:sectPr>
      </w:pPr>
    </w:p>
    <w:p w14:paraId="77287568" w14:textId="77777777" w:rsidR="00E13223" w:rsidRDefault="00E13223" w:rsidP="007318C2">
      <w:pPr>
        <w:jc w:val="center"/>
        <w:rPr>
          <w:rStyle w:val="fontstyle01"/>
          <w:rFonts w:ascii="Garamond" w:hAnsi="Garamond"/>
          <w:b/>
          <w:bCs/>
          <w:sz w:val="40"/>
          <w:szCs w:val="40"/>
        </w:rPr>
      </w:pPr>
      <w:r w:rsidRPr="00E13223">
        <w:rPr>
          <w:rStyle w:val="fontstyle01"/>
          <w:rFonts w:ascii="Garamond" w:hAnsi="Garamond"/>
          <w:b/>
          <w:bCs/>
          <w:sz w:val="40"/>
          <w:szCs w:val="40"/>
        </w:rPr>
        <w:lastRenderedPageBreak/>
        <w:t>A Critical Comparison of Two Secondary Sources</w:t>
      </w:r>
    </w:p>
    <w:p w14:paraId="32E55554" w14:textId="1F7C1B1A" w:rsidR="00DD4CB8" w:rsidRPr="000600E7" w:rsidRDefault="00DD4CB8" w:rsidP="007318C2">
      <w:pPr>
        <w:jc w:val="center"/>
        <w:rPr>
          <w:rStyle w:val="fontstyle01"/>
          <w:rFonts w:ascii="Garamond" w:hAnsi="Garamond"/>
          <w:b/>
          <w:bCs/>
          <w:color w:val="auto"/>
          <w:sz w:val="24"/>
          <w:szCs w:val="24"/>
        </w:rPr>
      </w:pPr>
      <w:r>
        <w:rPr>
          <w:rStyle w:val="fontstyle01"/>
          <w:rFonts w:ascii="Garamond" w:hAnsi="Garamond"/>
          <w:b/>
          <w:bCs/>
          <w:sz w:val="24"/>
          <w:szCs w:val="24"/>
        </w:rPr>
        <w:t>[Word Count</w:t>
      </w:r>
      <w:r w:rsidRPr="00273426">
        <w:rPr>
          <w:rStyle w:val="fontstyle01"/>
          <w:rFonts w:ascii="Garamond" w:hAnsi="Garamond"/>
          <w:b/>
          <w:bCs/>
          <w:color w:val="auto"/>
          <w:sz w:val="24"/>
          <w:szCs w:val="24"/>
        </w:rPr>
        <w:t xml:space="preserve">: </w:t>
      </w:r>
      <w:r w:rsidR="00934C89">
        <w:rPr>
          <w:rStyle w:val="fontstyle01"/>
          <w:rFonts w:ascii="Garamond" w:hAnsi="Garamond"/>
          <w:b/>
          <w:bCs/>
          <w:color w:val="auto"/>
          <w:sz w:val="24"/>
          <w:szCs w:val="24"/>
        </w:rPr>
        <w:t>2500 &gt; 2625</w:t>
      </w:r>
      <w:r w:rsidRPr="000600E7">
        <w:rPr>
          <w:rStyle w:val="fontstyle01"/>
          <w:rFonts w:ascii="Garamond" w:hAnsi="Garamond"/>
          <w:b/>
          <w:bCs/>
          <w:color w:val="auto"/>
          <w:sz w:val="24"/>
          <w:szCs w:val="24"/>
        </w:rPr>
        <w:t>]</w:t>
      </w:r>
    </w:p>
    <w:p w14:paraId="5E40E77D" w14:textId="77777777" w:rsidR="00502AB6" w:rsidRPr="003A60FB" w:rsidRDefault="00502AB6" w:rsidP="00502AB6">
      <w:pPr>
        <w:jc w:val="center"/>
        <w:rPr>
          <w:rFonts w:ascii="Garamond" w:hAnsi="Garamond"/>
          <w:sz w:val="28"/>
          <w:szCs w:val="28"/>
        </w:rPr>
      </w:pPr>
    </w:p>
    <w:p w14:paraId="7AFD9B38" w14:textId="77777777" w:rsidR="00502AB6" w:rsidRPr="00BB6CAB" w:rsidRDefault="00502AB6" w:rsidP="00502AB6">
      <w:pPr>
        <w:jc w:val="center"/>
        <w:rPr>
          <w:rFonts w:ascii="Garamond" w:hAnsi="Garamond"/>
          <w:sz w:val="28"/>
          <w:szCs w:val="28"/>
        </w:rPr>
      </w:pPr>
    </w:p>
    <w:p w14:paraId="115267EA" w14:textId="77777777" w:rsidR="00502AB6" w:rsidRPr="00BB6CAB" w:rsidRDefault="00502AB6" w:rsidP="00502AB6">
      <w:pPr>
        <w:spacing w:after="120" w:line="360" w:lineRule="auto"/>
        <w:jc w:val="both"/>
        <w:rPr>
          <w:rFonts w:ascii="Garamond" w:hAnsi="Garamond"/>
          <w:lang w:val="en-US"/>
        </w:rPr>
      </w:pPr>
      <w:r w:rsidRPr="00BB6CAB">
        <w:rPr>
          <w:rFonts w:ascii="Garamond" w:hAnsi="Garamond"/>
          <w:b/>
          <w:bCs/>
          <w:sz w:val="28"/>
          <w:szCs w:val="28"/>
          <w:lang w:val="en-US"/>
        </w:rPr>
        <w:t>INTRODUCTION</w:t>
      </w:r>
    </w:p>
    <w:p w14:paraId="5BA7AEC3" w14:textId="7FCAD021" w:rsidR="004A748A" w:rsidRPr="004A748A" w:rsidRDefault="004A748A" w:rsidP="004A748A">
      <w:pPr>
        <w:spacing w:after="240" w:line="360" w:lineRule="auto"/>
        <w:jc w:val="both"/>
        <w:rPr>
          <w:rFonts w:ascii="Garamond" w:hAnsi="Garamond"/>
        </w:rPr>
      </w:pPr>
      <w:r w:rsidRPr="004A748A">
        <w:rPr>
          <w:rFonts w:ascii="Garamond" w:hAnsi="Garamond"/>
        </w:rPr>
        <w:t xml:space="preserve">This essay critically compares and </w:t>
      </w:r>
      <w:r w:rsidRPr="00FE4536">
        <w:rPr>
          <w:rFonts w:ascii="Garamond" w:hAnsi="Garamond"/>
        </w:rPr>
        <w:t xml:space="preserve">contrasts T. L. Brink’s paper on ‘Inconsistency of Belief among Roman Catholic Girls: Concerning Religion, Astrology, Reincarnation’, with Tony Walter and Helen Waterhouse’s article on ‘A Very Private Belief: Reincarnation in Contemporary England’, both published in academic journals, the former in the </w:t>
      </w:r>
      <w:r w:rsidRPr="00FE4536">
        <w:rPr>
          <w:rFonts w:ascii="Garamond" w:hAnsi="Garamond"/>
          <w:i/>
          <w:iCs/>
        </w:rPr>
        <w:t>Review of Religious Research</w:t>
      </w:r>
      <w:r w:rsidRPr="00FE4536">
        <w:rPr>
          <w:rFonts w:ascii="Garamond" w:hAnsi="Garamond"/>
        </w:rPr>
        <w:t xml:space="preserve"> in 1978, and the latter in the </w:t>
      </w:r>
      <w:r w:rsidRPr="00FE4536">
        <w:rPr>
          <w:rFonts w:ascii="Garamond" w:hAnsi="Garamond"/>
          <w:i/>
          <w:iCs/>
        </w:rPr>
        <w:t>Sociology of Religion</w:t>
      </w:r>
      <w:r w:rsidRPr="00FE4536">
        <w:rPr>
          <w:rFonts w:ascii="Garamond" w:hAnsi="Garamond"/>
        </w:rPr>
        <w:t xml:space="preserve"> in 1999.</w:t>
      </w:r>
      <w:r w:rsidRPr="00FE4536">
        <w:rPr>
          <w:rFonts w:ascii="Garamond" w:hAnsi="Garamond"/>
        </w:rPr>
        <w:t xml:space="preserve"> </w:t>
      </w:r>
      <w:r w:rsidRPr="00FE4536">
        <w:rPr>
          <w:rFonts w:ascii="Garamond" w:hAnsi="Garamond"/>
        </w:rPr>
        <w:t>.</w:t>
      </w:r>
      <w:r w:rsidRPr="00FE4536">
        <w:rPr>
          <w:rStyle w:val="Refdenotaderodap"/>
          <w:rFonts w:ascii="Garamond" w:hAnsi="Garamond"/>
        </w:rPr>
        <w:footnoteReference w:id="1"/>
      </w:r>
    </w:p>
    <w:p w14:paraId="4AE85411" w14:textId="77777777" w:rsidR="004A748A" w:rsidRPr="004A748A" w:rsidRDefault="004A748A" w:rsidP="004A748A">
      <w:pPr>
        <w:spacing w:after="240" w:line="360" w:lineRule="auto"/>
        <w:jc w:val="both"/>
        <w:rPr>
          <w:rFonts w:ascii="Garamond" w:hAnsi="Garamond"/>
        </w:rPr>
      </w:pPr>
      <w:r w:rsidRPr="004A748A">
        <w:rPr>
          <w:rFonts w:ascii="Garamond" w:hAnsi="Garamond"/>
        </w:rPr>
        <w:t>One immediate aspect both papers share is that they were written by academics, even if coming from diverse expertise: T. L. Brink is a psychologist, Tony Walter a sociologist, and his co-author, Helen Waterhouse, comes from religious studies, all holding a PhD by the time of publication. Another common fact is that both manuscripts address a specialized audience, if not the authors’ academic peers, most likely people interested in religious studies, and informed on and familiar with the topics underlying each discussion – Religion, Astrology and Reincarnation in Brink’s paper; the latter in that of Walter and Waterhouse.</w:t>
      </w:r>
    </w:p>
    <w:p w14:paraId="4DEDF93A" w14:textId="77777777" w:rsidR="004A748A" w:rsidRPr="00D85EF0" w:rsidRDefault="004A748A" w:rsidP="004A748A">
      <w:pPr>
        <w:spacing w:after="240" w:line="360" w:lineRule="auto"/>
        <w:jc w:val="both"/>
        <w:rPr>
          <w:rFonts w:ascii="Garamond" w:hAnsi="Garamond"/>
        </w:rPr>
      </w:pPr>
      <w:r w:rsidRPr="004A748A">
        <w:rPr>
          <w:rFonts w:ascii="Garamond" w:hAnsi="Garamond"/>
        </w:rPr>
        <w:t xml:space="preserve">As to the specific focuses, both papers discussed belief in reincarnation, despite their aims being different, along with their methodologies, and so was the depth of the inquiries. Brink assessed this belief, as well as that in astrology, within the search for belief consistency, while Walter and Waterhouse wanted to </w:t>
      </w:r>
      <w:r w:rsidRPr="00D85EF0">
        <w:rPr>
          <w:rFonts w:ascii="Garamond" w:hAnsi="Garamond"/>
        </w:rPr>
        <w:t xml:space="preserve">learn about the meaning of reincarnation for the believers plus the impact this had on their lives. </w:t>
      </w:r>
    </w:p>
    <w:p w14:paraId="3D7EF2DF" w14:textId="69504555" w:rsidR="004A748A" w:rsidRPr="00D85EF0" w:rsidRDefault="004A748A" w:rsidP="004A748A">
      <w:pPr>
        <w:spacing w:after="240" w:line="360" w:lineRule="auto"/>
        <w:jc w:val="both"/>
        <w:rPr>
          <w:rFonts w:ascii="Garamond" w:hAnsi="Garamond"/>
        </w:rPr>
      </w:pPr>
      <w:r w:rsidRPr="00D85EF0">
        <w:rPr>
          <w:rFonts w:ascii="Garamond" w:hAnsi="Garamond"/>
        </w:rPr>
        <w:t xml:space="preserve">The former surveyed roman catholic girls from northwest Chicago about their belief in astrology or reincarnation, under the premise that their (assumed) faith prevented them from having other creeds, all the more so as they were (per the author) mutually exclusive. Yet the numbers of the inquest did not confirm the postulate, and the research concluded for the respondents’ inconsistency of belief, although framing it within a </w:t>
      </w:r>
      <w:r w:rsidRPr="00D85EF0">
        <w:rPr>
          <w:rFonts w:ascii="Garamond" w:hAnsi="Garamond"/>
        </w:rPr>
        <w:t>‘</w:t>
      </w:r>
      <w:r w:rsidRPr="00D85EF0">
        <w:rPr>
          <w:rFonts w:ascii="Garamond" w:hAnsi="Garamond"/>
        </w:rPr>
        <w:t>functional perspective</w:t>
      </w:r>
      <w:r w:rsidRPr="00D85EF0">
        <w:rPr>
          <w:rFonts w:ascii="Garamond" w:hAnsi="Garamond"/>
        </w:rPr>
        <w:t>’</w:t>
      </w:r>
      <w:r w:rsidRPr="00D85EF0">
        <w:rPr>
          <w:rFonts w:ascii="Garamond" w:hAnsi="Garamond"/>
        </w:rPr>
        <w:t xml:space="preserve"> as an </w:t>
      </w:r>
      <w:r w:rsidRPr="00D85EF0">
        <w:rPr>
          <w:rFonts w:ascii="Garamond" w:hAnsi="Garamond"/>
        </w:rPr>
        <w:t>‘</w:t>
      </w:r>
      <w:r w:rsidRPr="00D85EF0">
        <w:rPr>
          <w:rFonts w:ascii="Garamond" w:hAnsi="Garamond"/>
        </w:rPr>
        <w:t>adolescent’s response to confusion and uncertainty</w:t>
      </w:r>
      <w:r w:rsidRPr="00D85EF0">
        <w:rPr>
          <w:rFonts w:ascii="Garamond" w:hAnsi="Garamond"/>
        </w:rPr>
        <w:t>’</w:t>
      </w:r>
      <w:r w:rsidRPr="00D85EF0">
        <w:rPr>
          <w:rFonts w:ascii="Garamond" w:hAnsi="Garamond"/>
        </w:rPr>
        <w:t>.</w:t>
      </w:r>
      <w:r w:rsidRPr="00D85EF0">
        <w:rPr>
          <w:rStyle w:val="Refdenotaderodap"/>
          <w:rFonts w:ascii="Garamond" w:hAnsi="Garamond"/>
        </w:rPr>
        <w:footnoteReference w:id="2"/>
      </w:r>
      <w:r w:rsidRPr="00D85EF0">
        <w:rPr>
          <w:rFonts w:ascii="Garamond" w:hAnsi="Garamond"/>
        </w:rPr>
        <w:t xml:space="preserve"> (p.82, 85)</w:t>
      </w:r>
    </w:p>
    <w:p w14:paraId="4A3835D2" w14:textId="3AA5DA6C" w:rsidR="004A748A" w:rsidRPr="00D85EF0" w:rsidRDefault="004A748A" w:rsidP="004A748A">
      <w:pPr>
        <w:spacing w:after="240" w:line="360" w:lineRule="auto"/>
        <w:jc w:val="both"/>
        <w:rPr>
          <w:rFonts w:ascii="Garamond" w:hAnsi="Garamond"/>
        </w:rPr>
      </w:pPr>
      <w:r w:rsidRPr="00D85EF0">
        <w:rPr>
          <w:rFonts w:ascii="Garamond" w:hAnsi="Garamond"/>
        </w:rPr>
        <w:t xml:space="preserve">As to the latter, Walter and Waterhouse’ research inquired people from the two major western belief systems where reincarnation is not taught – Christianity and secularism. Their departure </w:t>
      </w:r>
      <w:r w:rsidRPr="00D85EF0">
        <w:rPr>
          <w:rFonts w:ascii="Garamond" w:hAnsi="Garamond"/>
        </w:rPr>
        <w:lastRenderedPageBreak/>
        <w:t xml:space="preserve">point were statistics for western believers in reincarnation the authors considered </w:t>
      </w:r>
      <w:r w:rsidRPr="00D85EF0">
        <w:rPr>
          <w:rFonts w:ascii="Garamond" w:hAnsi="Garamond"/>
        </w:rPr>
        <w:t>‘</w:t>
      </w:r>
      <w:r w:rsidRPr="00D85EF0">
        <w:rPr>
          <w:rFonts w:ascii="Garamond" w:hAnsi="Garamond"/>
        </w:rPr>
        <w:t>deviant</w:t>
      </w:r>
      <w:r w:rsidRPr="00D85EF0">
        <w:rPr>
          <w:rFonts w:ascii="Garamond" w:hAnsi="Garamond"/>
        </w:rPr>
        <w:t>’</w:t>
      </w:r>
      <w:r w:rsidRPr="00D85EF0">
        <w:rPr>
          <w:rFonts w:ascii="Garamond" w:hAnsi="Garamond"/>
        </w:rPr>
        <w:t>, and so they sought for</w:t>
      </w:r>
      <w:r w:rsidRPr="004A748A">
        <w:rPr>
          <w:rFonts w:ascii="Garamond" w:hAnsi="Garamond"/>
        </w:rPr>
        <w:t xml:space="preserve"> </w:t>
      </w:r>
      <w:r w:rsidRPr="00D85EF0">
        <w:rPr>
          <w:rFonts w:ascii="Garamond" w:hAnsi="Garamond"/>
        </w:rPr>
        <w:t xml:space="preserve">the meaning of reincarnation amongst those entertaining it, the reasons for why it attracted them, as well as its correlation to other aspects of the interviewees’ lives. A </w:t>
      </w:r>
      <w:r w:rsidR="002A342C" w:rsidRPr="00D85EF0">
        <w:rPr>
          <w:rFonts w:ascii="Garamond" w:hAnsi="Garamond"/>
        </w:rPr>
        <w:t>‘</w:t>
      </w:r>
      <w:r w:rsidRPr="00D85EF0">
        <w:rPr>
          <w:rFonts w:ascii="Garamond" w:hAnsi="Garamond"/>
        </w:rPr>
        <w:t>small intense interview study</w:t>
      </w:r>
      <w:r w:rsidR="002A342C" w:rsidRPr="00D85EF0">
        <w:rPr>
          <w:rFonts w:ascii="Garamond" w:hAnsi="Garamond"/>
        </w:rPr>
        <w:t>’</w:t>
      </w:r>
      <w:r w:rsidRPr="00D85EF0">
        <w:rPr>
          <w:rFonts w:ascii="Garamond" w:hAnsi="Garamond"/>
        </w:rPr>
        <w:t xml:space="preserve">, which took place in the South West of England, was how authors collected their data. The research findings came to show belief in reincarnation was a private one, requiring </w:t>
      </w:r>
      <w:r w:rsidR="002A342C" w:rsidRPr="00D85EF0">
        <w:rPr>
          <w:rFonts w:ascii="Garamond" w:hAnsi="Garamond"/>
        </w:rPr>
        <w:t>‘</w:t>
      </w:r>
      <w:r w:rsidRPr="00D85EF0">
        <w:rPr>
          <w:rFonts w:ascii="Garamond" w:hAnsi="Garamond"/>
        </w:rPr>
        <w:t>no church, sect, or cult for its sustenance</w:t>
      </w:r>
      <w:r w:rsidR="002A342C" w:rsidRPr="00D85EF0">
        <w:rPr>
          <w:rFonts w:ascii="Garamond" w:hAnsi="Garamond"/>
        </w:rPr>
        <w:t>’.</w:t>
      </w:r>
      <w:r w:rsidR="002A342C" w:rsidRPr="00D85EF0">
        <w:rPr>
          <w:rStyle w:val="Refdenotaderodap"/>
          <w:rFonts w:ascii="Garamond" w:hAnsi="Garamond"/>
        </w:rPr>
        <w:footnoteReference w:id="3"/>
      </w:r>
      <w:r w:rsidRPr="00D85EF0">
        <w:rPr>
          <w:rFonts w:ascii="Garamond" w:hAnsi="Garamond"/>
        </w:rPr>
        <w:t xml:space="preserve"> (p.196) and running parallel, not conflicting with the professed religion.</w:t>
      </w:r>
    </w:p>
    <w:p w14:paraId="697586D6" w14:textId="77777777" w:rsidR="004A748A" w:rsidRPr="004A748A" w:rsidRDefault="004A748A" w:rsidP="004A748A">
      <w:pPr>
        <w:spacing w:after="240" w:line="360" w:lineRule="auto"/>
        <w:jc w:val="both"/>
        <w:rPr>
          <w:rFonts w:ascii="Garamond" w:hAnsi="Garamond"/>
        </w:rPr>
      </w:pPr>
      <w:r w:rsidRPr="00D85EF0">
        <w:rPr>
          <w:rFonts w:ascii="Garamond" w:hAnsi="Garamond"/>
        </w:rPr>
        <w:t>Further comparison between the two papers concern methodology, the researchers’ stance on the</w:t>
      </w:r>
      <w:r w:rsidRPr="004A748A">
        <w:rPr>
          <w:rFonts w:ascii="Garamond" w:hAnsi="Garamond"/>
        </w:rPr>
        <w:t xml:space="preserve"> in/outside continuum relating their population study, as well as the role awarded to theory in support of both the evidence and findings’ discussion. However, they are now only superficially characterized. So, differing on the first two subjects, both papers came close regarding the latter. Brink’s article, sitting under the positivist paradigm, used quantitative research, while Walter and Waterhouse’s research was framed by the interpretive paradigm and followed a qualitative approach. As to the researchers’ role as insiders or/and outsiders within the research setting, a number of authors sees it differently thus provisionally I am placing Brink as an outsider, and Walter and Waterhouse as insiders. Theorization seemed to come in both papers in the wake of the data collection stage and/or discussion of the findings.</w:t>
      </w:r>
    </w:p>
    <w:p w14:paraId="5CC2BFDE" w14:textId="77777777" w:rsidR="004A748A" w:rsidRPr="004A748A" w:rsidRDefault="004A748A" w:rsidP="004A748A">
      <w:pPr>
        <w:spacing w:after="240" w:line="360" w:lineRule="auto"/>
        <w:jc w:val="both"/>
        <w:rPr>
          <w:rFonts w:ascii="Garamond" w:hAnsi="Garamond"/>
        </w:rPr>
      </w:pPr>
    </w:p>
    <w:p w14:paraId="364798B7" w14:textId="77777777" w:rsidR="004A748A" w:rsidRPr="004A748A" w:rsidRDefault="004A748A" w:rsidP="004A748A">
      <w:pPr>
        <w:spacing w:after="240" w:line="360" w:lineRule="auto"/>
        <w:jc w:val="both"/>
        <w:rPr>
          <w:rFonts w:ascii="Garamond" w:hAnsi="Garamond"/>
          <w:lang w:val="en-US"/>
        </w:rPr>
      </w:pPr>
      <w:r w:rsidRPr="004A748A">
        <w:rPr>
          <w:rFonts w:ascii="Garamond" w:hAnsi="Garamond"/>
          <w:b/>
          <w:bCs/>
        </w:rPr>
        <w:t>DISCUSSION</w:t>
      </w:r>
    </w:p>
    <w:p w14:paraId="73BA81FD" w14:textId="77777777" w:rsidR="004A748A" w:rsidRPr="004A748A" w:rsidRDefault="004A748A" w:rsidP="004A748A">
      <w:pPr>
        <w:spacing w:after="240" w:line="360" w:lineRule="auto"/>
        <w:jc w:val="both"/>
        <w:rPr>
          <w:rFonts w:ascii="Garamond" w:hAnsi="Garamond"/>
          <w:lang w:val="en-US"/>
        </w:rPr>
      </w:pPr>
      <w:r w:rsidRPr="004A748A">
        <w:rPr>
          <w:rFonts w:ascii="Garamond" w:hAnsi="Garamond"/>
          <w:lang w:val="en-US"/>
        </w:rPr>
        <w:t>C</w:t>
      </w:r>
      <w:r w:rsidRPr="004A748A">
        <w:rPr>
          <w:rFonts w:ascii="Garamond" w:hAnsi="Garamond"/>
        </w:rPr>
        <w:t xml:space="preserve">contrasting Brink’s with Walter and Waterhouse’s papers </w:t>
      </w:r>
      <w:r w:rsidRPr="004A748A">
        <w:rPr>
          <w:rFonts w:ascii="Garamond" w:hAnsi="Garamond"/>
          <w:lang w:val="en-US"/>
        </w:rPr>
        <w:t>brought three main topics to my attention which I will critically discuss below. They all relate to methodology and their relevance came from their conditioning of both the process of validation of the research question(s) and the findings of the investigations.</w:t>
      </w:r>
    </w:p>
    <w:p w14:paraId="5519BB1F" w14:textId="77777777" w:rsidR="004A748A" w:rsidRPr="004A748A" w:rsidRDefault="004A748A" w:rsidP="004A748A">
      <w:pPr>
        <w:spacing w:after="240" w:line="360" w:lineRule="auto"/>
        <w:jc w:val="both"/>
        <w:rPr>
          <w:rFonts w:ascii="Garamond" w:hAnsi="Garamond"/>
          <w:b/>
          <w:bCs/>
        </w:rPr>
      </w:pPr>
      <w:bookmarkStart w:id="5" w:name="_Hlk98789684"/>
      <w:r w:rsidRPr="004A748A">
        <w:rPr>
          <w:rFonts w:ascii="Garamond" w:hAnsi="Garamond"/>
          <w:b/>
          <w:bCs/>
          <w:i/>
          <w:iCs/>
        </w:rPr>
        <w:t>Research Model and Assumptions</w:t>
      </w:r>
    </w:p>
    <w:bookmarkEnd w:id="5"/>
    <w:p w14:paraId="572C89F9" w14:textId="402155ED" w:rsidR="004A748A" w:rsidRPr="004A748A" w:rsidRDefault="004A748A" w:rsidP="004A748A">
      <w:pPr>
        <w:spacing w:after="240" w:line="360" w:lineRule="auto"/>
        <w:jc w:val="both"/>
        <w:rPr>
          <w:rFonts w:ascii="Garamond" w:hAnsi="Garamond"/>
        </w:rPr>
      </w:pPr>
      <w:r w:rsidRPr="004A748A">
        <w:rPr>
          <w:rFonts w:ascii="Garamond" w:hAnsi="Garamond"/>
        </w:rPr>
        <w:t xml:space="preserve">One of the most distinctive features of the two papers is the different methodology applied to investigate the research issues. As mentioned above, Brink used quantitative methodology, based on the positivist paradigm; and Walter and Waterhouse </w:t>
      </w:r>
      <w:r w:rsidRPr="00D85EF0">
        <w:rPr>
          <w:rFonts w:ascii="Garamond" w:hAnsi="Garamond"/>
        </w:rPr>
        <w:t xml:space="preserve">used the qualitative methodology, </w:t>
      </w:r>
      <w:bookmarkStart w:id="6" w:name="_Hlk98790743"/>
      <w:r w:rsidRPr="00D85EF0">
        <w:rPr>
          <w:rFonts w:ascii="Garamond" w:hAnsi="Garamond"/>
        </w:rPr>
        <w:t xml:space="preserve">framed in the </w:t>
      </w:r>
      <w:bookmarkStart w:id="7" w:name="_Hlk98790734"/>
      <w:bookmarkEnd w:id="6"/>
      <w:r w:rsidRPr="00D85EF0">
        <w:rPr>
          <w:rFonts w:ascii="Garamond" w:hAnsi="Garamond"/>
        </w:rPr>
        <w:t>interpretive paradigm</w:t>
      </w:r>
      <w:bookmarkEnd w:id="7"/>
      <w:r w:rsidRPr="00D85EF0">
        <w:rPr>
          <w:rFonts w:ascii="Garamond" w:hAnsi="Garamond"/>
        </w:rPr>
        <w:t xml:space="preserve">. As paradigms are, according to Earl Babbie, ‘the fundamental models or frames of reference we use to organize our observations and reasoning’ (p.32), within the </w:t>
      </w:r>
      <w:r w:rsidRPr="00D85EF0">
        <w:rPr>
          <w:rFonts w:ascii="Garamond" w:hAnsi="Garamond"/>
        </w:rPr>
        <w:lastRenderedPageBreak/>
        <w:t xml:space="preserve">ongoing discussion it is worth stressing that paradigm shift’s inevitably apport a different positioning </w:t>
      </w:r>
      <w:r w:rsidRPr="004A748A">
        <w:rPr>
          <w:rFonts w:ascii="Garamond" w:hAnsi="Garamond"/>
        </w:rPr>
        <w:t>on the part of the authors in relation to both object and context of their study</w:t>
      </w:r>
      <w:r w:rsidR="002A342C" w:rsidRPr="004A748A">
        <w:rPr>
          <w:rFonts w:ascii="Garamond" w:hAnsi="Garamond"/>
        </w:rPr>
        <w:t>.</w:t>
      </w:r>
      <w:r w:rsidR="002A342C">
        <w:rPr>
          <w:rStyle w:val="Refdenotaderodap"/>
          <w:rFonts w:ascii="Garamond" w:hAnsi="Garamond"/>
        </w:rPr>
        <w:footnoteReference w:id="4"/>
      </w:r>
    </w:p>
    <w:p w14:paraId="62B5FD02" w14:textId="244A15F8" w:rsidR="004A748A" w:rsidRPr="00D85EF0" w:rsidRDefault="004A748A" w:rsidP="004A748A">
      <w:pPr>
        <w:spacing w:after="240" w:line="360" w:lineRule="auto"/>
        <w:jc w:val="both"/>
        <w:rPr>
          <w:rFonts w:ascii="Garamond" w:hAnsi="Garamond"/>
        </w:rPr>
      </w:pPr>
      <w:r w:rsidRPr="00D85EF0">
        <w:rPr>
          <w:rFonts w:ascii="Garamond" w:hAnsi="Garamond"/>
        </w:rPr>
        <w:t xml:space="preserve">Alan Bryman pointed to the epistemological distinction as one of the reasons that explained the usual opposition between quantitative and qualitative methodologies, since it substantiated divergent understandings in relation to the processes that legitimized the acquisition of knowledge about the social world. Still, Bryman did not matched </w:t>
      </w:r>
      <w:r w:rsidRPr="00D85EF0">
        <w:rPr>
          <w:rFonts w:ascii="Garamond" w:hAnsi="Garamond"/>
          <w:i/>
          <w:iCs/>
        </w:rPr>
        <w:t>tout court</w:t>
      </w:r>
      <w:r w:rsidRPr="00D85EF0">
        <w:rPr>
          <w:rFonts w:ascii="Garamond" w:hAnsi="Garamond"/>
        </w:rPr>
        <w:t xml:space="preserve"> the positivist paradigm with quantitative research; rather, he preferred envisaging its correspondence with certain tenets of the positivist paradigm, namely in its affinity with the model of description of scientific thought applied to the natural sciences, which is one of its defining connotations.</w:t>
      </w:r>
      <w:r w:rsidR="0089423A" w:rsidRPr="00D85EF0">
        <w:rPr>
          <w:rStyle w:val="Refdenotaderodap"/>
          <w:rFonts w:ascii="Garamond" w:hAnsi="Garamond"/>
        </w:rPr>
        <w:footnoteReference w:id="5"/>
      </w:r>
      <w:r w:rsidRPr="00D85EF0">
        <w:rPr>
          <w:rFonts w:ascii="Garamond" w:hAnsi="Garamond"/>
        </w:rPr>
        <w:t xml:space="preserve"> The description of the “scientific method” was synthesized by Babbie, whose transposition one can easily recognize in the logical structure of quantitative research as graphically represented by Bryman through the stages of a linear sequence: from theory the hypothesis is deducted, then operationalized through data collection and observation, followed by analysis, whose interpretation validates (or not) the hypothesis, after which the findings feed the theory back.</w:t>
      </w:r>
      <w:r w:rsidR="0089423A" w:rsidRPr="00D85EF0">
        <w:rPr>
          <w:rStyle w:val="Refdenotaderodap"/>
          <w:rFonts w:ascii="Garamond" w:hAnsi="Garamond"/>
        </w:rPr>
        <w:footnoteReference w:id="6"/>
      </w:r>
      <w:r w:rsidRPr="00D85EF0">
        <w:rPr>
          <w:rFonts w:ascii="Garamond" w:hAnsi="Garamond"/>
        </w:rPr>
        <w:t xml:space="preserve"> In a similar way Creswell schematically represented these four phases of the deductive approach typically used in quantitative research.</w:t>
      </w:r>
      <w:r w:rsidR="00E90D85" w:rsidRPr="00D85EF0">
        <w:rPr>
          <w:rStyle w:val="Refdenotaderodap"/>
          <w:rFonts w:ascii="Garamond" w:hAnsi="Garamond"/>
        </w:rPr>
        <w:footnoteReference w:id="7"/>
      </w:r>
    </w:p>
    <w:p w14:paraId="7AB8109C" w14:textId="4CE89C10" w:rsidR="004A748A" w:rsidRPr="00D85EF0" w:rsidRDefault="004A748A" w:rsidP="004A748A">
      <w:pPr>
        <w:spacing w:after="240" w:line="360" w:lineRule="auto"/>
        <w:jc w:val="both"/>
        <w:rPr>
          <w:rFonts w:ascii="Garamond" w:hAnsi="Garamond"/>
        </w:rPr>
      </w:pPr>
      <w:r w:rsidRPr="00D85EF0">
        <w:rPr>
          <w:rFonts w:ascii="Garamond" w:hAnsi="Garamond"/>
        </w:rPr>
        <w:t xml:space="preserve">As for qualitative research, Bryman referred it to </w:t>
      </w:r>
      <w:r w:rsidR="00E90D85" w:rsidRPr="00D85EF0">
        <w:rPr>
          <w:rFonts w:ascii="Garamond" w:hAnsi="Garamond"/>
        </w:rPr>
        <w:t>‘</w:t>
      </w:r>
      <w:r w:rsidRPr="00D85EF0">
        <w:rPr>
          <w:rFonts w:ascii="Garamond" w:hAnsi="Garamond"/>
        </w:rPr>
        <w:t>intellectual undercurrents</w:t>
      </w:r>
      <w:r w:rsidR="00E90D85" w:rsidRPr="00D85EF0">
        <w:rPr>
          <w:rFonts w:ascii="Garamond" w:hAnsi="Garamond"/>
        </w:rPr>
        <w:t>’</w:t>
      </w:r>
      <w:r w:rsidRPr="00D85EF0">
        <w:rPr>
          <w:rFonts w:ascii="Garamond" w:hAnsi="Garamond"/>
        </w:rPr>
        <w:t xml:space="preserve"> such as phenomenology or </w:t>
      </w:r>
      <w:r w:rsidRPr="00D85EF0">
        <w:rPr>
          <w:rFonts w:ascii="Garamond" w:hAnsi="Garamond"/>
          <w:i/>
          <w:iCs/>
        </w:rPr>
        <w:t>verstehen</w:t>
      </w:r>
      <w:r w:rsidRPr="00D85EF0">
        <w:rPr>
          <w:rFonts w:ascii="Garamond" w:hAnsi="Garamond"/>
        </w:rPr>
        <w:t xml:space="preserve">, which share as the most obvious characteristic </w:t>
      </w:r>
      <w:r w:rsidR="00E90D85" w:rsidRPr="00D85EF0">
        <w:rPr>
          <w:rFonts w:ascii="Garamond" w:hAnsi="Garamond"/>
        </w:rPr>
        <w:t>‘</w:t>
      </w:r>
      <w:r w:rsidRPr="00D85EF0">
        <w:rPr>
          <w:rFonts w:ascii="Garamond" w:hAnsi="Garamond"/>
        </w:rPr>
        <w:t>the commitment to seeing through the eyes of the people being studied</w:t>
      </w:r>
      <w:r w:rsidR="00E90D85" w:rsidRPr="00D85EF0">
        <w:rPr>
          <w:rFonts w:ascii="Garamond" w:hAnsi="Garamond"/>
        </w:rPr>
        <w:t>’</w:t>
      </w:r>
      <w:r w:rsidRPr="00D85EF0">
        <w:rPr>
          <w:rFonts w:ascii="Garamond" w:hAnsi="Garamond"/>
        </w:rPr>
        <w:t>.</w:t>
      </w:r>
      <w:r w:rsidR="00E90D85" w:rsidRPr="00D85EF0">
        <w:rPr>
          <w:rStyle w:val="Refdenotaderodap"/>
          <w:rFonts w:ascii="Garamond" w:hAnsi="Garamond"/>
        </w:rPr>
        <w:footnoteReference w:id="8"/>
      </w:r>
      <w:r w:rsidRPr="00D85EF0">
        <w:rPr>
          <w:rFonts w:ascii="Garamond" w:hAnsi="Garamond"/>
        </w:rPr>
        <w:t xml:space="preserve"> He makes no mention to the interpretive paradigm, which, on their turn, Hennink, Hutter &amp; Bailey address specifically. Among other features, these authors defined it as the approach that ‘seeks to understand people’s lived experience from the perspective of people themselves’, making it clear the focus is the in-depth interpretation of the individual.</w:t>
      </w:r>
      <w:r w:rsidR="00E90D85" w:rsidRPr="00D85EF0">
        <w:rPr>
          <w:rStyle w:val="Refdenotaderodap"/>
          <w:rFonts w:ascii="Garamond" w:hAnsi="Garamond"/>
        </w:rPr>
        <w:footnoteReference w:id="9"/>
      </w:r>
      <w:r w:rsidRPr="00D85EF0">
        <w:rPr>
          <w:rFonts w:ascii="Garamond" w:hAnsi="Garamond"/>
        </w:rPr>
        <w:t xml:space="preserve"> Consequently, induction is now the logic that characterizes qualitative research, which Creswell construes and outlines in five phases.</w:t>
      </w:r>
      <w:r w:rsidR="00D85EF0" w:rsidRPr="00D85EF0">
        <w:rPr>
          <w:rStyle w:val="Refdenotaderodap"/>
          <w:rFonts w:ascii="Garamond" w:hAnsi="Garamond"/>
        </w:rPr>
        <w:footnoteReference w:id="10"/>
      </w:r>
      <w:r w:rsidRPr="00D85EF0">
        <w:rPr>
          <w:rFonts w:ascii="Garamond" w:hAnsi="Garamond"/>
        </w:rPr>
        <w:t xml:space="preserve"> Adding to it, Babbie compares the two methods via three sequential steps – deductive (Hypothesis, Observations, Accept or reject hypothesis?) vs. inductive (Observations, Finding a pattern, Tentative conclusion).</w:t>
      </w:r>
      <w:r w:rsidR="00D85EF0" w:rsidRPr="00D85EF0">
        <w:rPr>
          <w:rStyle w:val="Refdenotaderodap"/>
          <w:rFonts w:ascii="Garamond" w:hAnsi="Garamond"/>
        </w:rPr>
        <w:footnoteReference w:id="11"/>
      </w:r>
    </w:p>
    <w:p w14:paraId="02623D8B" w14:textId="6B668AAE" w:rsidR="004A748A" w:rsidRPr="00700667" w:rsidRDefault="004A748A" w:rsidP="004A748A">
      <w:pPr>
        <w:spacing w:after="240" w:line="360" w:lineRule="auto"/>
        <w:jc w:val="both"/>
        <w:rPr>
          <w:rFonts w:ascii="Garamond" w:hAnsi="Garamond"/>
        </w:rPr>
      </w:pPr>
      <w:r w:rsidRPr="004A748A">
        <w:rPr>
          <w:rFonts w:ascii="Garamond" w:hAnsi="Garamond"/>
        </w:rPr>
        <w:t xml:space="preserve">Thus framed, one distinguishes better Brink’s specificity against Walter and Waterhouse's. It was within the positivist context and the deductive logic that the former examined the Consistency of </w:t>
      </w:r>
      <w:r w:rsidRPr="004A748A">
        <w:rPr>
          <w:rFonts w:ascii="Garamond" w:hAnsi="Garamond"/>
        </w:rPr>
        <w:lastRenderedPageBreak/>
        <w:t xml:space="preserve">Belief among Roman Catholic Girls. Brink drew a survey aimed at proving an hypothesis he clearly pointed out– </w:t>
      </w:r>
      <w:r w:rsidR="00D85EF0">
        <w:rPr>
          <w:rFonts w:ascii="Garamond" w:hAnsi="Garamond"/>
        </w:rPr>
        <w:t>‘</w:t>
      </w:r>
      <w:r w:rsidRPr="004A748A">
        <w:rPr>
          <w:rFonts w:ascii="Garamond" w:hAnsi="Garamond"/>
        </w:rPr>
        <w:t>that a study of beliefs of adolescent girls will show an acceptance of only one of these three sets (Roman Catholic, astrology, reincarnation) acceptance accompanied by a rejection of the others</w:t>
      </w:r>
      <w:r w:rsidR="00D85EF0">
        <w:rPr>
          <w:rFonts w:ascii="Garamond" w:hAnsi="Garamond"/>
        </w:rPr>
        <w:t>’.</w:t>
      </w:r>
      <w:r w:rsidR="00D85EF0">
        <w:rPr>
          <w:rStyle w:val="Refdenotaderodap"/>
          <w:rFonts w:ascii="Garamond" w:hAnsi="Garamond"/>
        </w:rPr>
        <w:footnoteReference w:id="12"/>
      </w:r>
      <w:r w:rsidRPr="004A748A">
        <w:rPr>
          <w:rFonts w:ascii="Garamond" w:hAnsi="Garamond"/>
        </w:rPr>
        <w:t xml:space="preserve"> His hypothesis built on an </w:t>
      </w:r>
      <w:r w:rsidRPr="00700667">
        <w:rPr>
          <w:rFonts w:ascii="Garamond" w:hAnsi="Garamond"/>
        </w:rPr>
        <w:t>axiom – ‘Simultaneous belief in Roman Catholic doctrine, astrology, and reincarnation is logically incompatible’ – and on a set of subsequent propositions.</w:t>
      </w:r>
      <w:r w:rsidR="00D85EF0" w:rsidRPr="00700667">
        <w:rPr>
          <w:rStyle w:val="Refdenotaderodap"/>
          <w:rFonts w:ascii="Garamond" w:hAnsi="Garamond"/>
        </w:rPr>
        <w:footnoteReference w:id="13"/>
      </w:r>
      <w:r w:rsidRPr="00700667">
        <w:rPr>
          <w:rFonts w:ascii="Garamond" w:hAnsi="Garamond"/>
        </w:rPr>
        <w:t xml:space="preserve"> Brink therefore seemed to adopt the linear conceptual process outlined by Bryman, or the structure of “the scientific method” synthesized by Babbie, which one sees transposed in an obvious and recognizable way into the set-up of his research, as additionally in the structure of the paper.</w:t>
      </w:r>
      <w:r w:rsidR="00700667" w:rsidRPr="00700667">
        <w:rPr>
          <w:rStyle w:val="Refdenotaderodap"/>
          <w:rFonts w:ascii="Garamond" w:hAnsi="Garamond"/>
        </w:rPr>
        <w:footnoteReference w:id="14"/>
      </w:r>
    </w:p>
    <w:p w14:paraId="0DDF9D32" w14:textId="669DAB12" w:rsidR="004A748A" w:rsidRPr="004A748A" w:rsidRDefault="004A748A" w:rsidP="004A748A">
      <w:pPr>
        <w:spacing w:after="240" w:line="360" w:lineRule="auto"/>
        <w:jc w:val="both"/>
        <w:rPr>
          <w:rFonts w:ascii="Garamond" w:hAnsi="Garamond"/>
        </w:rPr>
      </w:pPr>
      <w:r w:rsidRPr="00700667">
        <w:rPr>
          <w:rFonts w:ascii="Garamond" w:hAnsi="Garamond"/>
        </w:rPr>
        <w:t>Conversely, Walter and Waterhouse's approach contrasts with Brink's. Set on investigating the meaning of reincarnation for a certain type of believers, they followed a qualitative methodology</w:t>
      </w:r>
      <w:r w:rsidRPr="004A748A">
        <w:rPr>
          <w:rFonts w:ascii="Garamond" w:hAnsi="Garamond"/>
        </w:rPr>
        <w:t xml:space="preserve"> which they grounded in </w:t>
      </w:r>
      <w:r w:rsidR="00700667">
        <w:rPr>
          <w:rFonts w:ascii="Garamond" w:hAnsi="Garamond"/>
        </w:rPr>
        <w:t>‘</w:t>
      </w:r>
      <w:r w:rsidRPr="004A748A">
        <w:rPr>
          <w:rFonts w:ascii="Garamond" w:hAnsi="Garamond"/>
        </w:rPr>
        <w:t>a small intensive interview study”, as mentioned above, aimed at letting the “interviewees speak in their own terms</w:t>
      </w:r>
      <w:r w:rsidR="00700667">
        <w:rPr>
          <w:rFonts w:ascii="Garamond" w:hAnsi="Garamond"/>
        </w:rPr>
        <w:t>’.</w:t>
      </w:r>
      <w:r w:rsidR="00700667">
        <w:rPr>
          <w:rStyle w:val="Refdenotaderodap"/>
          <w:rFonts w:ascii="Garamond" w:hAnsi="Garamond"/>
        </w:rPr>
        <w:footnoteReference w:id="15"/>
      </w:r>
      <w:r w:rsidRPr="004A748A">
        <w:rPr>
          <w:rFonts w:ascii="Garamond" w:hAnsi="Garamond"/>
        </w:rPr>
        <w:t xml:space="preserve"> They set no preliminary hypothesis and opened the research to an inductive logic/method, which granted large weight to the participants accounts. Still, given that their research question(s) issued from the European Values Study (EVS) survey data – and most accurately one should say they followed mixed methods research – some deduction was also entailed within their conceptual research framing. Indeed, they’re triggered by some </w:t>
      </w:r>
      <w:r w:rsidR="00700667">
        <w:rPr>
          <w:rFonts w:ascii="Garamond" w:hAnsi="Garamond" w:cs="Garamond"/>
        </w:rPr>
        <w:t>‘</w:t>
      </w:r>
      <w:r w:rsidRPr="004A748A">
        <w:rPr>
          <w:rFonts w:ascii="Garamond" w:hAnsi="Garamond"/>
        </w:rPr>
        <w:t>intriguing questions</w:t>
      </w:r>
      <w:r w:rsidR="00700667">
        <w:rPr>
          <w:rFonts w:ascii="Garamond" w:hAnsi="Garamond"/>
        </w:rPr>
        <w:t>’</w:t>
      </w:r>
      <w:r w:rsidRPr="004A748A">
        <w:rPr>
          <w:rFonts w:ascii="Garamond" w:hAnsi="Garamond"/>
        </w:rPr>
        <w:t xml:space="preserve"> arisen from the survey data, namely that of a </w:t>
      </w:r>
      <w:r w:rsidR="00700667">
        <w:rPr>
          <w:rFonts w:ascii="Garamond" w:hAnsi="Garamond"/>
        </w:rPr>
        <w:t>‘</w:t>
      </w:r>
      <w:r w:rsidRPr="004A748A">
        <w:rPr>
          <w:rFonts w:ascii="Garamond" w:hAnsi="Garamond"/>
        </w:rPr>
        <w:t>substantial minority of westerners</w:t>
      </w:r>
      <w:r w:rsidR="00700667">
        <w:rPr>
          <w:rFonts w:ascii="Garamond" w:hAnsi="Garamond"/>
        </w:rPr>
        <w:t>’</w:t>
      </w:r>
      <w:r w:rsidRPr="004A748A">
        <w:rPr>
          <w:rFonts w:ascii="Garamond" w:hAnsi="Garamond"/>
        </w:rPr>
        <w:t xml:space="preserve"> believing in reincarnation and exceeding </w:t>
      </w:r>
      <w:r w:rsidR="00700667">
        <w:rPr>
          <w:rFonts w:ascii="Garamond" w:hAnsi="Garamond"/>
        </w:rPr>
        <w:t>‘</w:t>
      </w:r>
      <w:r w:rsidRPr="004A748A">
        <w:rPr>
          <w:rFonts w:ascii="Garamond" w:hAnsi="Garamond"/>
        </w:rPr>
        <w:t>the numbers of westerners attached to Eastern or New Age religions</w:t>
      </w:r>
      <w:r w:rsidR="00700667">
        <w:rPr>
          <w:rFonts w:ascii="Garamond" w:hAnsi="Garamond"/>
        </w:rPr>
        <w:t>’</w:t>
      </w:r>
      <w:r w:rsidRPr="004A748A">
        <w:rPr>
          <w:rFonts w:ascii="Garamond" w:hAnsi="Garamond"/>
        </w:rPr>
        <w:t xml:space="preserve"> (which are structured by that creed), which led the authors to study that minority. So, despite no hypothesis being set to test, the paper was credited with the findings’ framing </w:t>
      </w:r>
      <w:r w:rsidR="00700667">
        <w:rPr>
          <w:rFonts w:ascii="Garamond" w:hAnsi="Garamond"/>
        </w:rPr>
        <w:t>‘</w:t>
      </w:r>
      <w:r w:rsidRPr="004A748A">
        <w:rPr>
          <w:rFonts w:ascii="Garamond" w:hAnsi="Garamond"/>
        </w:rPr>
        <w:t>within the debate about the privatization of contemporary religion</w:t>
      </w:r>
      <w:r w:rsidR="00700667">
        <w:rPr>
          <w:rFonts w:ascii="Garamond" w:hAnsi="Garamond"/>
        </w:rPr>
        <w:t>’</w:t>
      </w:r>
      <w:r w:rsidRPr="004A748A">
        <w:rPr>
          <w:rFonts w:ascii="Garamond" w:hAnsi="Garamond"/>
        </w:rPr>
        <w:t>, thus expecting to contribute for the theories in force.</w:t>
      </w:r>
      <w:r w:rsidR="00700667">
        <w:rPr>
          <w:rStyle w:val="Refdenotaderodap"/>
          <w:rFonts w:ascii="Garamond" w:hAnsi="Garamond"/>
        </w:rPr>
        <w:footnoteReference w:id="16"/>
      </w:r>
    </w:p>
    <w:p w14:paraId="569E3446" w14:textId="77777777" w:rsidR="004A748A" w:rsidRPr="004A748A" w:rsidRDefault="004A748A" w:rsidP="004A748A">
      <w:pPr>
        <w:spacing w:after="240" w:line="360" w:lineRule="auto"/>
        <w:jc w:val="both"/>
        <w:rPr>
          <w:rFonts w:ascii="Garamond" w:hAnsi="Garamond"/>
        </w:rPr>
      </w:pPr>
    </w:p>
    <w:p w14:paraId="0E483940" w14:textId="77777777" w:rsidR="004A748A" w:rsidRPr="004A748A" w:rsidRDefault="004A748A" w:rsidP="004A748A">
      <w:pPr>
        <w:spacing w:after="240" w:line="360" w:lineRule="auto"/>
        <w:jc w:val="both"/>
        <w:rPr>
          <w:rFonts w:ascii="Garamond" w:hAnsi="Garamond"/>
          <w:b/>
          <w:bCs/>
          <w:i/>
          <w:iCs/>
          <w:lang w:val="en-US"/>
        </w:rPr>
      </w:pPr>
      <w:bookmarkStart w:id="8" w:name="_Hlk98789704"/>
      <w:r w:rsidRPr="004A748A">
        <w:rPr>
          <w:rFonts w:ascii="Garamond" w:hAnsi="Garamond"/>
          <w:b/>
          <w:bCs/>
          <w:i/>
          <w:iCs/>
          <w:lang w:val="en-US"/>
        </w:rPr>
        <w:t>Adequacy between selected methods and research question(s)</w:t>
      </w:r>
    </w:p>
    <w:bookmarkEnd w:id="8"/>
    <w:p w14:paraId="03C8FB3C" w14:textId="77777777" w:rsidR="004A748A" w:rsidRPr="004A748A" w:rsidRDefault="004A748A" w:rsidP="004A748A">
      <w:pPr>
        <w:spacing w:after="240" w:line="360" w:lineRule="auto"/>
        <w:jc w:val="both"/>
        <w:rPr>
          <w:rFonts w:ascii="Garamond" w:hAnsi="Garamond"/>
        </w:rPr>
      </w:pPr>
      <w:r w:rsidRPr="004A748A">
        <w:rPr>
          <w:rFonts w:ascii="Garamond" w:hAnsi="Garamond"/>
        </w:rPr>
        <w:t xml:space="preserve">I stated in the introduction both papers study the concept of “belief” with a shared emphasis on reincarnation against other belief systems. Despite nuances and specifications, the investigation of the core topic is supported by different methods. Brink uses the questionnaire and Walter and Waterhouse the in-depth interview, following a European survey. </w:t>
      </w:r>
    </w:p>
    <w:p w14:paraId="505ADC00" w14:textId="458C9651" w:rsidR="004A748A" w:rsidRPr="004A748A" w:rsidRDefault="004A748A" w:rsidP="004A748A">
      <w:pPr>
        <w:spacing w:after="240" w:line="360" w:lineRule="auto"/>
        <w:jc w:val="both"/>
        <w:rPr>
          <w:rFonts w:ascii="Garamond" w:hAnsi="Garamond"/>
        </w:rPr>
      </w:pPr>
      <w:r w:rsidRPr="00FE4536">
        <w:rPr>
          <w:rFonts w:ascii="Garamond" w:hAnsi="Garamond"/>
        </w:rPr>
        <w:lastRenderedPageBreak/>
        <w:t>To begin with, in order to analyse the topic, one needs to bear in mind that, according to Hennink, Hutter &amp; Bailey, qualitative research’s purpose is to ‘understand why? how?’ As to the quantitative research, its purpose is ‘To measure, count, or quantify a problem’</w:t>
      </w:r>
      <w:r w:rsidR="00700667" w:rsidRPr="00FE4536">
        <w:rPr>
          <w:rFonts w:ascii="Garamond" w:hAnsi="Garamond"/>
        </w:rPr>
        <w:t xml:space="preserve">. </w:t>
      </w:r>
      <w:r w:rsidR="00700667" w:rsidRPr="00FE4536">
        <w:rPr>
          <w:rStyle w:val="Refdenotaderodap"/>
          <w:rFonts w:ascii="Garamond" w:hAnsi="Garamond"/>
        </w:rPr>
        <w:footnoteReference w:id="17"/>
      </w:r>
      <w:r w:rsidRPr="00FE4536">
        <w:rPr>
          <w:rFonts w:ascii="Garamond" w:hAnsi="Garamond"/>
        </w:rPr>
        <w:t xml:space="preserve"> Within this broader context, questionnaires</w:t>
      </w:r>
      <w:r w:rsidRPr="004A748A">
        <w:rPr>
          <w:rFonts w:ascii="Garamond" w:hAnsi="Garamond"/>
        </w:rPr>
        <w:t xml:space="preserve"> suit the former and interviews the latter.</w:t>
      </w:r>
    </w:p>
    <w:p w14:paraId="48B6D679" w14:textId="3021C0AA" w:rsidR="004A748A" w:rsidRPr="00A45445" w:rsidRDefault="004A748A" w:rsidP="004A748A">
      <w:pPr>
        <w:spacing w:after="240" w:line="360" w:lineRule="auto"/>
        <w:jc w:val="both"/>
        <w:rPr>
          <w:rFonts w:ascii="Garamond" w:hAnsi="Garamond"/>
        </w:rPr>
      </w:pPr>
      <w:r w:rsidRPr="004A748A">
        <w:rPr>
          <w:rFonts w:ascii="Garamond" w:hAnsi="Garamond"/>
        </w:rPr>
        <w:t xml:space="preserve">According to </w:t>
      </w:r>
      <w:r w:rsidRPr="00A45445">
        <w:rPr>
          <w:rFonts w:ascii="Garamond" w:hAnsi="Garamond"/>
        </w:rPr>
        <w:t xml:space="preserve">Rawley, the questionnaire is effective when “the researcher wants to profile the sample in terms of numbers” or wants to assess </w:t>
      </w:r>
      <w:r w:rsidR="00700667" w:rsidRPr="00A45445">
        <w:rPr>
          <w:rFonts w:ascii="Garamond" w:hAnsi="Garamond"/>
        </w:rPr>
        <w:t>‘</w:t>
      </w:r>
      <w:r w:rsidRPr="00A45445">
        <w:rPr>
          <w:rFonts w:ascii="Garamond" w:hAnsi="Garamond"/>
        </w:rPr>
        <w:t>frequency of occurrence of opinions, attitudes, experiences, processes, behaviours, or predictions</w:t>
      </w:r>
      <w:r w:rsidR="00700667" w:rsidRPr="00A45445">
        <w:rPr>
          <w:rFonts w:ascii="Garamond" w:hAnsi="Garamond"/>
        </w:rPr>
        <w:t>’</w:t>
      </w:r>
      <w:r w:rsidRPr="00A45445">
        <w:rPr>
          <w:rFonts w:ascii="Garamond" w:hAnsi="Garamond"/>
        </w:rPr>
        <w:t xml:space="preserve">, aiming to </w:t>
      </w:r>
      <w:r w:rsidR="00700667" w:rsidRPr="00A45445">
        <w:rPr>
          <w:rFonts w:ascii="Garamond" w:hAnsi="Garamond"/>
        </w:rPr>
        <w:t>‘</w:t>
      </w:r>
      <w:r w:rsidRPr="00A45445">
        <w:rPr>
          <w:rFonts w:ascii="Garamond" w:hAnsi="Garamond"/>
        </w:rPr>
        <w:t>collect data from a relatively large number of people (say between 100 and 1000)</w:t>
      </w:r>
      <w:r w:rsidR="00700667" w:rsidRPr="00A45445">
        <w:rPr>
          <w:rFonts w:ascii="Garamond" w:hAnsi="Garamond"/>
        </w:rPr>
        <w:t>’</w:t>
      </w:r>
      <w:r w:rsidRPr="00A45445">
        <w:rPr>
          <w:rFonts w:ascii="Garamond" w:hAnsi="Garamond"/>
        </w:rPr>
        <w:t>.</w:t>
      </w:r>
      <w:r w:rsidR="00700667" w:rsidRPr="00A45445">
        <w:rPr>
          <w:rStyle w:val="Refdenotaderodap"/>
          <w:rFonts w:ascii="Garamond" w:hAnsi="Garamond"/>
        </w:rPr>
        <w:footnoteReference w:id="18"/>
      </w:r>
      <w:r w:rsidR="00A45445" w:rsidRPr="00A45445">
        <w:rPr>
          <w:rFonts w:ascii="Garamond" w:hAnsi="Garamond"/>
        </w:rPr>
        <w:t xml:space="preserve"> </w:t>
      </w:r>
      <w:r w:rsidRPr="00A45445">
        <w:rPr>
          <w:rFonts w:ascii="Garamond" w:hAnsi="Garamond"/>
        </w:rPr>
        <w:t>Considering Birk’s hypothesis and his description of the operationalization procedures, his method seems to suit both the general research question (measuring belief system/person), as well as the sample size (227 girls).</w:t>
      </w:r>
    </w:p>
    <w:p w14:paraId="294EBE12" w14:textId="3896E424" w:rsidR="004A748A" w:rsidRPr="00A45445" w:rsidRDefault="004A748A" w:rsidP="004A748A">
      <w:pPr>
        <w:spacing w:after="240" w:line="360" w:lineRule="auto"/>
        <w:jc w:val="both"/>
        <w:rPr>
          <w:rFonts w:ascii="Garamond" w:hAnsi="Garamond"/>
        </w:rPr>
      </w:pPr>
      <w:r w:rsidRPr="00A45445">
        <w:rPr>
          <w:rFonts w:ascii="Garamond" w:hAnsi="Garamond"/>
        </w:rPr>
        <w:t xml:space="preserve">On the other hand, Walter and Waterhouse selected the semi-structured interview as the preferred method of collecting information from the participants. On this method, Hennink, Hutter and Bailey stated that </w:t>
      </w:r>
      <w:r w:rsidR="00A45445" w:rsidRPr="00A45445">
        <w:rPr>
          <w:rFonts w:ascii="Garamond" w:hAnsi="Garamond"/>
        </w:rPr>
        <w:t>‘</w:t>
      </w:r>
      <w:r w:rsidRPr="00A45445">
        <w:rPr>
          <w:rFonts w:ascii="Garamond" w:hAnsi="Garamond"/>
        </w:rPr>
        <w:t>it reinforces the purpose of gaining a detailed insight into the research issues from the perspective of the study participant themselves</w:t>
      </w:r>
      <w:r w:rsidR="00A45445" w:rsidRPr="00A45445">
        <w:rPr>
          <w:rFonts w:ascii="Garamond" w:hAnsi="Garamond"/>
        </w:rPr>
        <w:t>’</w:t>
      </w:r>
      <w:r w:rsidRPr="00A45445">
        <w:rPr>
          <w:rFonts w:ascii="Garamond" w:hAnsi="Garamond"/>
        </w:rPr>
        <w:t>, a feature that matched the aim of the investigators.</w:t>
      </w:r>
      <w:r w:rsidR="00A45445" w:rsidRPr="00A45445">
        <w:rPr>
          <w:rStyle w:val="Refdenotaderodap"/>
          <w:rFonts w:ascii="Garamond" w:hAnsi="Garamond"/>
        </w:rPr>
        <w:footnoteReference w:id="19"/>
      </w:r>
      <w:r w:rsidR="00A45445" w:rsidRPr="00A45445">
        <w:rPr>
          <w:rFonts w:ascii="Garamond" w:hAnsi="Garamond"/>
        </w:rPr>
        <w:t xml:space="preserve"> </w:t>
      </w:r>
      <w:r w:rsidRPr="00A45445">
        <w:rPr>
          <w:rFonts w:ascii="Garamond" w:hAnsi="Garamond"/>
        </w:rPr>
        <w:t xml:space="preserve">As to the added value of the semi-structured interviews to the detriment of the unstructured ones, Bell and Waters, highlight the former gave freedom to </w:t>
      </w:r>
      <w:r w:rsidR="00A45445" w:rsidRPr="00A45445">
        <w:rPr>
          <w:rFonts w:ascii="Garamond" w:hAnsi="Garamond"/>
        </w:rPr>
        <w:t>‘</w:t>
      </w:r>
      <w:r w:rsidRPr="00A45445">
        <w:rPr>
          <w:rFonts w:ascii="Garamond" w:hAnsi="Garamond"/>
        </w:rPr>
        <w:t>the respondents to talk about what is of central significance to them rather than to the interviewer</w:t>
      </w:r>
      <w:r w:rsidR="00A45445" w:rsidRPr="00A45445">
        <w:rPr>
          <w:rFonts w:ascii="Garamond" w:hAnsi="Garamond"/>
        </w:rPr>
        <w:t>’</w:t>
      </w:r>
      <w:r w:rsidRPr="00A45445">
        <w:rPr>
          <w:rFonts w:ascii="Garamond" w:hAnsi="Garamond"/>
        </w:rPr>
        <w:t xml:space="preserve">, while they provide </w:t>
      </w:r>
      <w:r w:rsidR="00A45445" w:rsidRPr="00A45445">
        <w:rPr>
          <w:rFonts w:ascii="Garamond" w:hAnsi="Garamond"/>
        </w:rPr>
        <w:t>‘</w:t>
      </w:r>
      <w:r w:rsidRPr="00A45445">
        <w:rPr>
          <w:rFonts w:ascii="Garamond" w:hAnsi="Garamond"/>
        </w:rPr>
        <w:t>a flexible structure to ensure all topics considered crucial to the study are covered</w:t>
      </w:r>
      <w:r w:rsidR="00A45445" w:rsidRPr="00A45445">
        <w:rPr>
          <w:rFonts w:ascii="Garamond" w:hAnsi="Garamond"/>
        </w:rPr>
        <w:t>’.</w:t>
      </w:r>
      <w:r w:rsidR="00A45445" w:rsidRPr="00A45445">
        <w:rPr>
          <w:rStyle w:val="Refdenotaderodap"/>
          <w:rFonts w:ascii="Garamond" w:hAnsi="Garamond"/>
        </w:rPr>
        <w:footnoteReference w:id="20"/>
      </w:r>
      <w:r w:rsidRPr="00A45445">
        <w:rPr>
          <w:rFonts w:ascii="Garamond" w:hAnsi="Garamond"/>
        </w:rPr>
        <w:t xml:space="preserve"> Considering, therefore, the Walter and Waterhouse’s objective of collecting the personal views of individuals regarding the personal meaning of reincarnation, this method fitted it.</w:t>
      </w:r>
    </w:p>
    <w:p w14:paraId="4CDE7169" w14:textId="1884A55B" w:rsidR="004A748A" w:rsidRPr="0004347D" w:rsidRDefault="004A748A" w:rsidP="004A748A">
      <w:pPr>
        <w:spacing w:after="240" w:line="360" w:lineRule="auto"/>
        <w:jc w:val="both"/>
        <w:rPr>
          <w:rFonts w:ascii="Garamond" w:hAnsi="Garamond"/>
        </w:rPr>
      </w:pPr>
      <w:r w:rsidRPr="00A45445">
        <w:rPr>
          <w:rFonts w:ascii="Garamond" w:hAnsi="Garamond"/>
        </w:rPr>
        <w:t xml:space="preserve">As to the evaluation of the papers’ findings against both the chosen method and the answer to the research question, Brink was further away from the intended result than Walter and Waterhouse. In fact, his words were clear in this regard: </w:t>
      </w:r>
      <w:r w:rsidR="00A45445" w:rsidRPr="00A45445">
        <w:rPr>
          <w:rFonts w:ascii="Garamond" w:hAnsi="Garamond"/>
        </w:rPr>
        <w:t>‘</w:t>
      </w:r>
      <w:r w:rsidRPr="00A45445">
        <w:rPr>
          <w:rFonts w:ascii="Garamond" w:hAnsi="Garamond"/>
        </w:rPr>
        <w:t>This survey raises more questions than it answers</w:t>
      </w:r>
      <w:r w:rsidR="00A45445" w:rsidRPr="00A45445">
        <w:rPr>
          <w:rFonts w:ascii="Garamond" w:hAnsi="Garamond"/>
        </w:rPr>
        <w:t>’</w:t>
      </w:r>
      <w:r w:rsidRPr="00A45445">
        <w:rPr>
          <w:rFonts w:ascii="Garamond" w:hAnsi="Garamond"/>
        </w:rPr>
        <w:t>.</w:t>
      </w:r>
      <w:r w:rsidR="00A45445" w:rsidRPr="00A45445">
        <w:rPr>
          <w:rStyle w:val="Refdenotaderodap"/>
          <w:rFonts w:ascii="Garamond" w:hAnsi="Garamond"/>
        </w:rPr>
        <w:footnoteReference w:id="21"/>
      </w:r>
      <w:r w:rsidRPr="00A45445">
        <w:rPr>
          <w:rFonts w:ascii="Garamond" w:hAnsi="Garamond"/>
        </w:rPr>
        <w:t xml:space="preserve"> The study carried out not only did not confirm his hypothesis, but</w:t>
      </w:r>
      <w:r w:rsidRPr="004A748A">
        <w:rPr>
          <w:rFonts w:ascii="Garamond" w:hAnsi="Garamond"/>
        </w:rPr>
        <w:t xml:space="preserve"> also did not allow the confirmation of supplementary ones (“substitution”) that resulted from the interpretation of the answers of the survey itself and its relation with existing literature: “The present study fails to confirm the substitution hypothesis”</w:t>
      </w:r>
      <w:r w:rsidR="00A45445">
        <w:rPr>
          <w:rFonts w:ascii="Garamond" w:hAnsi="Garamond"/>
        </w:rPr>
        <w:t>.</w:t>
      </w:r>
      <w:r w:rsidR="00A45445">
        <w:rPr>
          <w:rStyle w:val="Refdenotaderodap"/>
          <w:rFonts w:ascii="Garamond" w:hAnsi="Garamond"/>
        </w:rPr>
        <w:footnoteReference w:id="22"/>
      </w:r>
      <w:r w:rsidRPr="004A748A">
        <w:rPr>
          <w:rFonts w:ascii="Garamond" w:hAnsi="Garamond"/>
        </w:rPr>
        <w:t xml:space="preserve"> Minimizing this effect, the interview method could have been an additional/complementary choice, as the author expressed the need and usefulness of having more information about the </w:t>
      </w:r>
      <w:r w:rsidRPr="004A748A">
        <w:rPr>
          <w:rFonts w:ascii="Garamond" w:hAnsi="Garamond"/>
          <w:i/>
          <w:iCs/>
        </w:rPr>
        <w:t>background</w:t>
      </w:r>
      <w:r w:rsidRPr="004A748A">
        <w:rPr>
          <w:rFonts w:ascii="Garamond" w:hAnsi="Garamond"/>
        </w:rPr>
        <w:t xml:space="preserve"> of the respondents in relation to their beliefs, thus </w:t>
      </w:r>
      <w:r w:rsidRPr="004A748A">
        <w:rPr>
          <w:rFonts w:ascii="Garamond" w:hAnsi="Garamond"/>
        </w:rPr>
        <w:lastRenderedPageBreak/>
        <w:t>asking for a qualitative approach. Indeed, the survey findings surprised the author.</w:t>
      </w:r>
      <w:r w:rsidR="00A45445">
        <w:rPr>
          <w:rStyle w:val="Refdenotaderodap"/>
          <w:rFonts w:ascii="Garamond" w:hAnsi="Garamond"/>
        </w:rPr>
        <w:footnoteReference w:id="23"/>
      </w:r>
      <w:r w:rsidRPr="004A748A">
        <w:rPr>
          <w:rFonts w:ascii="Garamond" w:hAnsi="Garamond"/>
        </w:rPr>
        <w:t xml:space="preserve"> However, what stood out from the paper was not the inadequacy of the survey/questionnaire regarding the problem investigated, but the rigidity of the hypothesis (or/or) and the binary framework offered to its interpretation, ultimately the reason for the experiment’s failure. At this point Brink's paper must also be placed within temporal perspective. Published in the late 1970s, it reflects a decade still largely dominated by positivist thinking and the scientific research determined by it, even if already under the auspices of the resurgence </w:t>
      </w:r>
      <w:r w:rsidRPr="0004347D">
        <w:rPr>
          <w:rFonts w:ascii="Garamond" w:hAnsi="Garamond"/>
        </w:rPr>
        <w:t>of interest in qualitative studies within the social sciences (since the 1960s). The example of Herbert J. Gans, cited by Bryman, acutely grasps this transitional moment as he accounts that between two editions of his book 20 years apart (1962/1982) he questioned “the belief in the appropriateness of the scientific method”.</w:t>
      </w:r>
      <w:r w:rsidR="00A45445" w:rsidRPr="0004347D">
        <w:rPr>
          <w:rStyle w:val="Refdenotaderodap"/>
          <w:rFonts w:ascii="Garamond" w:hAnsi="Garamond"/>
        </w:rPr>
        <w:footnoteReference w:id="24"/>
      </w:r>
    </w:p>
    <w:p w14:paraId="0CB19DD1" w14:textId="46C4CDDB" w:rsidR="004A748A" w:rsidRPr="0004347D" w:rsidRDefault="004A748A" w:rsidP="004A748A">
      <w:pPr>
        <w:spacing w:after="240" w:line="360" w:lineRule="auto"/>
        <w:jc w:val="both"/>
        <w:rPr>
          <w:rFonts w:ascii="Garamond" w:hAnsi="Garamond"/>
        </w:rPr>
      </w:pPr>
      <w:r w:rsidRPr="0004347D">
        <w:rPr>
          <w:rFonts w:ascii="Garamond" w:hAnsi="Garamond"/>
        </w:rPr>
        <w:t>As to Walter and Waterhouse’s study, bearing in mind that the basis for it was an external survey and that mixed methods research were in place, the validation of the chosen method was confirmed through the bridging between the questionnaire and the interviews along the paper. Indeed, the interview allowed to overcome the incongruities of the survey, showing the interdependence and complementarity between the two. Comparing the answers of their interviewees with the rigidity of the answers allowed by the EVS survey (“Yes, No, or Don't know”), Walter and Waterhouse concluded for their maladjustment in relation to “to the way people think and talk about the concept”.</w:t>
      </w:r>
      <w:r w:rsidR="0004347D" w:rsidRPr="0004347D">
        <w:rPr>
          <w:rStyle w:val="Refdenotaderodap"/>
          <w:rFonts w:ascii="Garamond" w:hAnsi="Garamond"/>
        </w:rPr>
        <w:footnoteReference w:id="25"/>
      </w:r>
      <w:r w:rsidRPr="0004347D">
        <w:rPr>
          <w:rFonts w:ascii="Garamond" w:hAnsi="Garamond"/>
        </w:rPr>
        <w:t xml:space="preserve"> Still, their closing section denoted satisfaction with the findings for most of them a confirming-fact: “reincarnation belief… [i]t is easily subsumed within the private and less-than-world-shattering religion… that the English know so well”.</w:t>
      </w:r>
      <w:r w:rsidR="0004347D" w:rsidRPr="0004347D">
        <w:rPr>
          <w:rStyle w:val="Refdenotaderodap"/>
          <w:rFonts w:ascii="Garamond" w:hAnsi="Garamond"/>
        </w:rPr>
        <w:footnoteReference w:id="26"/>
      </w:r>
    </w:p>
    <w:p w14:paraId="15001825" w14:textId="77777777" w:rsidR="004A748A" w:rsidRPr="0004347D" w:rsidRDefault="004A748A" w:rsidP="004A748A">
      <w:pPr>
        <w:spacing w:after="240" w:line="360" w:lineRule="auto"/>
        <w:jc w:val="both"/>
        <w:rPr>
          <w:rFonts w:ascii="Garamond" w:hAnsi="Garamond"/>
          <w:b/>
          <w:bCs/>
        </w:rPr>
      </w:pPr>
    </w:p>
    <w:p w14:paraId="3FAB0647" w14:textId="77777777" w:rsidR="004A748A" w:rsidRPr="0004347D" w:rsidRDefault="004A748A" w:rsidP="004A748A">
      <w:pPr>
        <w:spacing w:after="240" w:line="360" w:lineRule="auto"/>
        <w:jc w:val="both"/>
        <w:rPr>
          <w:rFonts w:ascii="Garamond" w:hAnsi="Garamond"/>
        </w:rPr>
      </w:pPr>
      <w:bookmarkStart w:id="9" w:name="_Hlk98789719"/>
      <w:r w:rsidRPr="0004347D">
        <w:rPr>
          <w:rFonts w:ascii="Garamond" w:hAnsi="Garamond"/>
          <w:b/>
          <w:bCs/>
          <w:i/>
          <w:iCs/>
        </w:rPr>
        <w:t>Researchers: insiders or outsiders?</w:t>
      </w:r>
    </w:p>
    <w:bookmarkEnd w:id="9"/>
    <w:p w14:paraId="1F1CAC89" w14:textId="77777777" w:rsidR="004A748A" w:rsidRPr="0004347D" w:rsidRDefault="004A748A" w:rsidP="004A748A">
      <w:pPr>
        <w:spacing w:after="240" w:line="360" w:lineRule="auto"/>
        <w:jc w:val="both"/>
        <w:rPr>
          <w:rFonts w:ascii="Garamond" w:hAnsi="Garamond"/>
        </w:rPr>
      </w:pPr>
      <w:r w:rsidRPr="0004347D">
        <w:rPr>
          <w:rFonts w:ascii="Garamond" w:hAnsi="Garamond"/>
        </w:rPr>
        <w:t xml:space="preserve">The role of researchers in both papers is the opposite. Brink is the </w:t>
      </w:r>
      <w:r w:rsidRPr="0004347D">
        <w:rPr>
          <w:rFonts w:ascii="Garamond" w:hAnsi="Garamond"/>
          <w:i/>
          <w:iCs/>
        </w:rPr>
        <w:t>scientist</w:t>
      </w:r>
      <w:r w:rsidRPr="0004347D">
        <w:rPr>
          <w:rFonts w:ascii="Garamond" w:hAnsi="Garamond"/>
        </w:rPr>
        <w:t xml:space="preserve"> within the positivist paradigm; Walter and Waterhouse are the </w:t>
      </w:r>
      <w:r w:rsidRPr="0004347D">
        <w:rPr>
          <w:rFonts w:ascii="Garamond" w:hAnsi="Garamond"/>
          <w:i/>
          <w:iCs/>
        </w:rPr>
        <w:t>co-participants</w:t>
      </w:r>
      <w:r w:rsidRPr="0004347D">
        <w:rPr>
          <w:rFonts w:ascii="Garamond" w:hAnsi="Garamond"/>
        </w:rPr>
        <w:t xml:space="preserve"> in the phenomenology.</w:t>
      </w:r>
    </w:p>
    <w:p w14:paraId="2A13B5F9" w14:textId="0875073A" w:rsidR="004A748A" w:rsidRPr="004A748A" w:rsidRDefault="004A748A" w:rsidP="004A748A">
      <w:pPr>
        <w:spacing w:after="240" w:line="360" w:lineRule="auto"/>
        <w:jc w:val="both"/>
        <w:rPr>
          <w:rFonts w:ascii="Garamond" w:hAnsi="Garamond"/>
        </w:rPr>
      </w:pPr>
      <w:r w:rsidRPr="0004347D">
        <w:rPr>
          <w:rFonts w:ascii="Garamond" w:hAnsi="Garamond"/>
        </w:rPr>
        <w:t xml:space="preserve">Within the background of the scientific model procedures, Brink collected his data via a questionnaire, previously determining the </w:t>
      </w:r>
      <w:r w:rsidRPr="0004347D">
        <w:rPr>
          <w:rFonts w:ascii="Garamond" w:hAnsi="Garamond"/>
          <w:i/>
          <w:iCs/>
        </w:rPr>
        <w:t>objective</w:t>
      </w:r>
      <w:r w:rsidRPr="0004347D">
        <w:rPr>
          <w:rFonts w:ascii="Garamond" w:hAnsi="Garamond"/>
        </w:rPr>
        <w:t xml:space="preserve"> setting conditions, from the population studied to the context of the experiment (under terms that would allow its replication, if desired). Further, he was as little involved as possible throughout the process, at least subjectively. Gender, (approximate) ages of the respondents, place – a Catholic school, and a religion class (compulsory) </w:t>
      </w:r>
      <w:r w:rsidRPr="0004347D">
        <w:rPr>
          <w:rFonts w:ascii="Garamond" w:hAnsi="Garamond"/>
        </w:rPr>
        <w:lastRenderedPageBreak/>
        <w:t>–, day and period of the day when the questionnaires were to be submitted, all were variables controlled by him. However, some other were left relatively undetermined. Following what Bryman identified as a</w:t>
      </w:r>
      <w:r w:rsidRPr="004A748A">
        <w:rPr>
          <w:rFonts w:ascii="Garamond" w:hAnsi="Garamond"/>
        </w:rPr>
        <w:t xml:space="preserve"> “widespread preference among textbooks and… many practitioners” – some “random sampling” took place.</w:t>
      </w:r>
      <w:r w:rsidR="0004347D">
        <w:rPr>
          <w:rStyle w:val="Refdenotaderodap"/>
          <w:rFonts w:ascii="Garamond" w:hAnsi="Garamond"/>
        </w:rPr>
        <w:footnoteReference w:id="27"/>
      </w:r>
    </w:p>
    <w:p w14:paraId="5138DFC2" w14:textId="4FB6211A" w:rsidR="004A748A" w:rsidRPr="00FE4536" w:rsidRDefault="004A748A" w:rsidP="004A748A">
      <w:pPr>
        <w:spacing w:after="240" w:line="360" w:lineRule="auto"/>
        <w:jc w:val="both"/>
        <w:rPr>
          <w:rFonts w:ascii="Garamond" w:hAnsi="Garamond"/>
        </w:rPr>
      </w:pPr>
      <w:r w:rsidRPr="00FE4536">
        <w:rPr>
          <w:rFonts w:ascii="Garamond" w:hAnsi="Garamond"/>
        </w:rPr>
        <w:t>When Brink stated that “[w]hoever was present in religion class (a required course) that day got a questionnaire”, he was attesting his non-direct interference in the sample selection process.</w:t>
      </w:r>
      <w:r w:rsidR="0004347D" w:rsidRPr="00FE4536">
        <w:rPr>
          <w:rStyle w:val="Refdenotaderodap"/>
          <w:rFonts w:ascii="Garamond" w:hAnsi="Garamond"/>
        </w:rPr>
        <w:footnoteReference w:id="28"/>
      </w:r>
      <w:r w:rsidRPr="00FE4536">
        <w:rPr>
          <w:rFonts w:ascii="Garamond" w:hAnsi="Garamond"/>
        </w:rPr>
        <w:t xml:space="preserve"> 227 was the number of respondents in his survey, but it could have been more; or less, depending on who showed up for that class that particular day. From this assertion, I take it that for him the individual was “demonstrably instrumental”, essentially a source of data, somehow both separated and deprived from the complexity of the social world “as if it were identical to the natural order”.</w:t>
      </w:r>
      <w:r w:rsidR="0004347D" w:rsidRPr="00FE4536">
        <w:rPr>
          <w:rStyle w:val="Refdenotaderodap"/>
          <w:rFonts w:ascii="Garamond" w:hAnsi="Garamond"/>
        </w:rPr>
        <w:footnoteReference w:id="29"/>
      </w:r>
      <w:r w:rsidRPr="00FE4536">
        <w:rPr>
          <w:rFonts w:ascii="Garamond" w:hAnsi="Garamond"/>
        </w:rPr>
        <w:t xml:space="preserve"> Indeed, following </w:t>
      </w:r>
      <w:bookmarkStart w:id="10" w:name="_Hlk98798425"/>
      <w:r w:rsidRPr="00FE4536">
        <w:rPr>
          <w:rFonts w:ascii="Garamond" w:hAnsi="Garamond"/>
        </w:rPr>
        <w:t xml:space="preserve">Roger Evered and Meryl Reis Louis’ </w:t>
      </w:r>
      <w:bookmarkEnd w:id="10"/>
      <w:r w:rsidRPr="00FE4536">
        <w:rPr>
          <w:rFonts w:ascii="Garamond" w:hAnsi="Garamond"/>
        </w:rPr>
        <w:t xml:space="preserve">understanding, one can see Brink acting as an </w:t>
      </w:r>
      <w:r w:rsidRPr="00FE4536">
        <w:rPr>
          <w:rFonts w:ascii="Garamond" w:hAnsi="Garamond"/>
          <w:i/>
          <w:iCs/>
        </w:rPr>
        <w:t>outsider</w:t>
      </w:r>
      <w:r w:rsidRPr="00FE4536">
        <w:rPr>
          <w:rFonts w:ascii="Garamond" w:hAnsi="Garamond"/>
        </w:rPr>
        <w:t xml:space="preserve">, self-excluded ‘from the organizational setting’ under the epistemological standpoint that there was “an </w:t>
      </w:r>
      <w:r w:rsidRPr="00FE4536">
        <w:rPr>
          <w:rFonts w:ascii="Garamond" w:hAnsi="Garamond"/>
          <w:i/>
          <w:iCs/>
        </w:rPr>
        <w:t>external</w:t>
      </w:r>
      <w:r w:rsidRPr="00FE4536">
        <w:rPr>
          <w:rFonts w:ascii="Garamond" w:hAnsi="Garamond"/>
        </w:rPr>
        <w:t xml:space="preserve"> reality constituted of </w:t>
      </w:r>
      <w:r w:rsidRPr="00FE4536">
        <w:rPr>
          <w:rFonts w:ascii="Garamond" w:hAnsi="Garamond"/>
          <w:i/>
          <w:iCs/>
        </w:rPr>
        <w:t>facts</w:t>
      </w:r>
      <w:r w:rsidRPr="00FE4536">
        <w:rPr>
          <w:rFonts w:ascii="Garamond" w:hAnsi="Garamond"/>
        </w:rPr>
        <w:t xml:space="preserve"> that are </w:t>
      </w:r>
      <w:r w:rsidRPr="00FE4536">
        <w:rPr>
          <w:rFonts w:ascii="Garamond" w:hAnsi="Garamond"/>
          <w:i/>
          <w:iCs/>
        </w:rPr>
        <w:t>structured</w:t>
      </w:r>
      <w:r w:rsidRPr="00FE4536">
        <w:rPr>
          <w:rFonts w:ascii="Garamond" w:hAnsi="Garamond"/>
        </w:rPr>
        <w:t xml:space="preserve"> in a law-like manner’.</w:t>
      </w:r>
      <w:r w:rsidR="00445DB5" w:rsidRPr="00FE4536">
        <w:rPr>
          <w:rStyle w:val="Refdenotaderodap"/>
          <w:rFonts w:ascii="Garamond" w:hAnsi="Garamond"/>
        </w:rPr>
        <w:footnoteReference w:id="30"/>
      </w:r>
      <w:r w:rsidRPr="00FE4536">
        <w:rPr>
          <w:rFonts w:ascii="Garamond" w:hAnsi="Garamond"/>
        </w:rPr>
        <w:t xml:space="preserve"> This pragmatic approach was also visible in the paper’s structure itself – very clear and bearing witness to that reasoning: “Hypothesis” was the heading of the opening section, followed by two others, “Procedures and Results” and “Discussion and Conclusions”. Nevertheless, some literature sees it differently, and should the outsider/insider position be perceived as a fluid status like Marlize Rabe did, then Brink would be an </w:t>
      </w:r>
      <w:r w:rsidRPr="00FE4536">
        <w:rPr>
          <w:rFonts w:ascii="Garamond" w:hAnsi="Garamond"/>
          <w:i/>
          <w:iCs/>
        </w:rPr>
        <w:t>insider</w:t>
      </w:r>
      <w:r w:rsidRPr="00FE4536">
        <w:rPr>
          <w:rFonts w:ascii="Garamond" w:hAnsi="Garamond"/>
        </w:rPr>
        <w:t>.</w:t>
      </w:r>
      <w:r w:rsidR="00445DB5" w:rsidRPr="00FE4536">
        <w:rPr>
          <w:rStyle w:val="Refdenotaderodap"/>
          <w:rFonts w:ascii="Garamond" w:hAnsi="Garamond"/>
        </w:rPr>
        <w:footnoteReference w:id="31"/>
      </w:r>
    </w:p>
    <w:p w14:paraId="0DECE833" w14:textId="3980B341" w:rsidR="004A748A" w:rsidRPr="004A748A" w:rsidRDefault="004A748A" w:rsidP="004A748A">
      <w:pPr>
        <w:spacing w:after="240" w:line="360" w:lineRule="auto"/>
        <w:jc w:val="both"/>
        <w:rPr>
          <w:rFonts w:ascii="Garamond" w:hAnsi="Garamond"/>
        </w:rPr>
      </w:pPr>
      <w:r w:rsidRPr="00FE4536">
        <w:rPr>
          <w:rFonts w:ascii="Garamond" w:hAnsi="Garamond"/>
        </w:rPr>
        <w:t>Diverging from Brink’s, Walter and Waterhouse’s research was set within the context of interpretivism, to which, contrarily to the above, subjectivity is inherently assumed as part of the research process, stemming from the stances of both the researcher and the participant</w:t>
      </w:r>
      <w:r w:rsidR="00445DB5" w:rsidRPr="00FE4536">
        <w:rPr>
          <w:rFonts w:ascii="Garamond" w:hAnsi="Garamond"/>
        </w:rPr>
        <w:t>.</w:t>
      </w:r>
      <w:r w:rsidR="00445DB5" w:rsidRPr="00FE4536">
        <w:rPr>
          <w:rStyle w:val="Refdenotaderodap"/>
          <w:rFonts w:ascii="Garamond" w:hAnsi="Garamond"/>
        </w:rPr>
        <w:footnoteReference w:id="32"/>
      </w:r>
      <w:r w:rsidRPr="00FE4536">
        <w:rPr>
          <w:rFonts w:ascii="Garamond" w:hAnsi="Garamond"/>
        </w:rPr>
        <w:t xml:space="preserve"> Walter and Waterhouse’s option for ‘an intensive interview study’, of just thirty participants, conducted in a very open-ended way so “interviewees [could] speak in their own terms”</w:t>
      </w:r>
      <w:r w:rsidR="00FE4536" w:rsidRPr="00FE4536">
        <w:rPr>
          <w:rFonts w:ascii="Garamond" w:hAnsi="Garamond"/>
        </w:rPr>
        <w:t xml:space="preserve"> </w:t>
      </w:r>
      <w:r w:rsidRPr="00FE4536">
        <w:rPr>
          <w:rFonts w:ascii="Garamond" w:hAnsi="Garamond"/>
        </w:rPr>
        <w:t>testified of their awareness of the different epistemological nature framing qualitative research.</w:t>
      </w:r>
      <w:r w:rsidR="00FE4536" w:rsidRPr="00FE4536">
        <w:rPr>
          <w:rStyle w:val="Refdenotaderodap"/>
          <w:rFonts w:ascii="Garamond" w:hAnsi="Garamond"/>
        </w:rPr>
        <w:footnoteReference w:id="33"/>
      </w:r>
      <w:r w:rsidRPr="00FE4536">
        <w:rPr>
          <w:rFonts w:ascii="Garamond" w:hAnsi="Garamond"/>
        </w:rPr>
        <w:t xml:space="preserve"> Indeed, they stressed ‘[t]he intention was not to assemble a representative sample’.</w:t>
      </w:r>
      <w:r w:rsidR="00FE4536" w:rsidRPr="00FE4536">
        <w:rPr>
          <w:rStyle w:val="Refdenotaderodap"/>
          <w:rFonts w:ascii="Garamond" w:hAnsi="Garamond"/>
        </w:rPr>
        <w:footnoteReference w:id="34"/>
      </w:r>
      <w:r w:rsidRPr="00FE4536">
        <w:rPr>
          <w:rFonts w:ascii="Garamond" w:hAnsi="Garamond"/>
        </w:rPr>
        <w:t xml:space="preserve"> This approach inherently converted the researchers into </w:t>
      </w:r>
      <w:r w:rsidRPr="00FE4536">
        <w:rPr>
          <w:rFonts w:ascii="Garamond" w:hAnsi="Garamond"/>
          <w:i/>
          <w:iCs/>
        </w:rPr>
        <w:t>insiders</w:t>
      </w:r>
      <w:r w:rsidRPr="00FE4536">
        <w:rPr>
          <w:rFonts w:ascii="Garamond" w:hAnsi="Garamond"/>
        </w:rPr>
        <w:t xml:space="preserve">, and despite this not being acknowledged within the paper, it was still clear enough if the conceptual framing proposed by Rabe would be taken as reference. Thus, considering the specific context under analysis, Walter and Waterhouse (particularly the latter, </w:t>
      </w:r>
      <w:r w:rsidRPr="00FE4536">
        <w:rPr>
          <w:rFonts w:ascii="Garamond" w:hAnsi="Garamond"/>
        </w:rPr>
        <w:lastRenderedPageBreak/>
        <w:t>who conducted the interviews) fit at least within one of the three concepts set by Rabe, as they found themselves in the position of “power” regarding the interviewees: they were the ones responsible for the interpretation, interrelation and report of the participants’ accounts .</w:t>
      </w:r>
      <w:r w:rsidR="00FE4536" w:rsidRPr="00FE4536">
        <w:rPr>
          <w:rStyle w:val="Refdenotaderodap"/>
          <w:rFonts w:ascii="Garamond" w:hAnsi="Garamond"/>
        </w:rPr>
        <w:footnoteReference w:id="35"/>
      </w:r>
      <w:r w:rsidRPr="00FE4536">
        <w:rPr>
          <w:rFonts w:ascii="Garamond" w:hAnsi="Garamond"/>
        </w:rPr>
        <w:t xml:space="preserve"> Regarding the specific “knowledge” under inquiry, however, and still according to Rabe’s conceptualization, the researchers were </w:t>
      </w:r>
      <w:r w:rsidRPr="00FE4536">
        <w:rPr>
          <w:rFonts w:ascii="Garamond" w:hAnsi="Garamond"/>
          <w:i/>
          <w:iCs/>
        </w:rPr>
        <w:t>outs</w:t>
      </w:r>
      <w:r w:rsidRPr="004A748A">
        <w:rPr>
          <w:rFonts w:ascii="Garamond" w:hAnsi="Garamond"/>
          <w:i/>
          <w:iCs/>
        </w:rPr>
        <w:t>iders</w:t>
      </w:r>
      <w:r w:rsidRPr="004A748A">
        <w:rPr>
          <w:rFonts w:ascii="Garamond" w:hAnsi="Garamond"/>
        </w:rPr>
        <w:t>: the “inside knowledge” was a prerogative of the participants.</w:t>
      </w:r>
      <w:r w:rsidR="00FE4536">
        <w:rPr>
          <w:rStyle w:val="Refdenotaderodap"/>
          <w:rFonts w:ascii="Garamond" w:hAnsi="Garamond"/>
        </w:rPr>
        <w:footnoteReference w:id="36"/>
      </w:r>
      <w:r w:rsidRPr="004A748A">
        <w:rPr>
          <w:rFonts w:ascii="Garamond" w:hAnsi="Garamond"/>
        </w:rPr>
        <w:t xml:space="preserve"> Still, taking </w:t>
      </w:r>
      <w:bookmarkStart w:id="11" w:name="_Hlk98798935"/>
      <w:r w:rsidRPr="00FE4536">
        <w:rPr>
          <w:rFonts w:ascii="Garamond" w:hAnsi="Garamond"/>
        </w:rPr>
        <w:t xml:space="preserve">Sonya Dewer and Jennifer Buckle’s </w:t>
      </w:r>
      <w:bookmarkEnd w:id="11"/>
      <w:r w:rsidRPr="00FE4536">
        <w:rPr>
          <w:rFonts w:ascii="Garamond" w:hAnsi="Garamond"/>
        </w:rPr>
        <w:t xml:space="preserve">view into consideration, no qualitative researcher is really an </w:t>
      </w:r>
      <w:r w:rsidRPr="00FE4536">
        <w:rPr>
          <w:rFonts w:ascii="Garamond" w:hAnsi="Garamond"/>
          <w:i/>
          <w:iCs/>
        </w:rPr>
        <w:t>outsider</w:t>
      </w:r>
      <w:r w:rsidRPr="00FE4536">
        <w:rPr>
          <w:rFonts w:ascii="Garamond" w:hAnsi="Garamond"/>
        </w:rPr>
        <w:t xml:space="preserve"> as participants live through their stories and accounts in the head (and heart?) of the researchers: “individual voices are not lost in a pool of numbers”.</w:t>
      </w:r>
      <w:r w:rsidR="00FE4536" w:rsidRPr="00FE4536">
        <w:rPr>
          <w:rStyle w:val="Refdenotaderodap"/>
          <w:rFonts w:ascii="Garamond" w:hAnsi="Garamond"/>
        </w:rPr>
        <w:footnoteReference w:id="37"/>
      </w:r>
      <w:r w:rsidRPr="00FE4536">
        <w:rPr>
          <w:rFonts w:ascii="Garamond" w:hAnsi="Garamond"/>
        </w:rPr>
        <w:t xml:space="preserve"> From this perspective, although not without biases, nor totally away from numbers, Walter and Waterhouse</w:t>
      </w:r>
      <w:r w:rsidRPr="004A748A">
        <w:rPr>
          <w:rFonts w:ascii="Garamond" w:hAnsi="Garamond"/>
        </w:rPr>
        <w:t xml:space="preserve"> were, as researchers, not ‘true outsiders’, nor ‘complete insiders’, rather occupying the ‘space between’.</w:t>
      </w:r>
      <w:r w:rsidR="00FE4536">
        <w:rPr>
          <w:rStyle w:val="Refdenotaderodap"/>
          <w:rFonts w:ascii="Garamond" w:hAnsi="Garamond"/>
        </w:rPr>
        <w:footnoteReference w:id="38"/>
      </w:r>
    </w:p>
    <w:p w14:paraId="5494B462" w14:textId="77777777" w:rsidR="004A748A" w:rsidRPr="004A748A" w:rsidRDefault="004A748A" w:rsidP="004A748A">
      <w:pPr>
        <w:spacing w:after="240" w:line="360" w:lineRule="auto"/>
        <w:jc w:val="both"/>
        <w:rPr>
          <w:rFonts w:ascii="Garamond" w:hAnsi="Garamond"/>
        </w:rPr>
      </w:pPr>
    </w:p>
    <w:p w14:paraId="67D8F4DB" w14:textId="77777777" w:rsidR="004A748A" w:rsidRPr="004A748A" w:rsidRDefault="004A748A" w:rsidP="004A748A">
      <w:pPr>
        <w:spacing w:after="240" w:line="360" w:lineRule="auto"/>
        <w:jc w:val="both"/>
        <w:rPr>
          <w:rFonts w:ascii="Garamond" w:hAnsi="Garamond"/>
          <w:lang w:val="en-US"/>
        </w:rPr>
      </w:pPr>
      <w:r w:rsidRPr="004A748A">
        <w:rPr>
          <w:rFonts w:ascii="Garamond" w:hAnsi="Garamond"/>
          <w:b/>
          <w:bCs/>
        </w:rPr>
        <w:t>CONCLUSION</w:t>
      </w:r>
    </w:p>
    <w:p w14:paraId="09366CEC" w14:textId="77777777" w:rsidR="004A748A" w:rsidRPr="004A748A" w:rsidRDefault="004A748A" w:rsidP="004A748A">
      <w:pPr>
        <w:spacing w:after="240" w:line="360" w:lineRule="auto"/>
        <w:jc w:val="both"/>
        <w:rPr>
          <w:rFonts w:ascii="Garamond" w:hAnsi="Garamond"/>
          <w:color w:val="000000"/>
          <w:shd w:val="clear" w:color="auto" w:fill="FFFFFF"/>
        </w:rPr>
      </w:pPr>
      <w:r w:rsidRPr="004A748A">
        <w:rPr>
          <w:rFonts w:ascii="Garamond" w:hAnsi="Garamond"/>
          <w:color w:val="000000"/>
          <w:shd w:val="clear" w:color="auto" w:fill="FFFFFF"/>
        </w:rPr>
        <w:t>The aim of this essay was to critically compare and contrast TL Brink's paper on 'Inconsistency of Belief among Roman Catholic Girls: Concerning Religion, Astrology, Reincarnation', with Tony Walter and Helen Waterhouse's article on 'A Very Private Belief: Reincarnation in Contemporary England ', respectively published in 1978 and 1999.</w:t>
      </w:r>
    </w:p>
    <w:p w14:paraId="07FD5AC7" w14:textId="77777777" w:rsidR="004A748A" w:rsidRPr="004A748A" w:rsidRDefault="004A748A" w:rsidP="004A748A">
      <w:pPr>
        <w:spacing w:after="240" w:line="360" w:lineRule="auto"/>
        <w:jc w:val="both"/>
      </w:pPr>
      <w:r w:rsidRPr="004A748A">
        <w:rPr>
          <w:rFonts w:ascii="Garamond" w:hAnsi="Garamond"/>
          <w:color w:val="000000"/>
          <w:shd w:val="clear" w:color="auto" w:fill="FFFFFF"/>
        </w:rPr>
        <w:t xml:space="preserve">As clearly stated by their titles, both papers discussed belief in reincarnation, despite their aims and context being different. However, it was the topic of methodology, and correlated aspects, that were debated in this paper, as they were considered key in the process of validation of the research question(s), conditioning the findings of the investigations. Three themes stood out from that larger topic, and the differences and similarities found between the two papers and their respective authors were organized around them. The discussion of </w:t>
      </w:r>
      <w:r w:rsidRPr="004A748A">
        <w:rPr>
          <w:rFonts w:ascii="Garamond" w:hAnsi="Garamond"/>
          <w:i/>
          <w:iCs/>
          <w:color w:val="000000"/>
          <w:shd w:val="clear" w:color="auto" w:fill="FFFFFF"/>
        </w:rPr>
        <w:t>Research Model and Assumptions</w:t>
      </w:r>
      <w:r w:rsidRPr="004A748A">
        <w:rPr>
          <w:rFonts w:ascii="Garamond" w:hAnsi="Garamond"/>
          <w:color w:val="000000"/>
          <w:shd w:val="clear" w:color="auto" w:fill="FFFFFF"/>
        </w:rPr>
        <w:t xml:space="preserve">, the assessment of the </w:t>
      </w:r>
      <w:r w:rsidRPr="004A748A">
        <w:rPr>
          <w:rFonts w:ascii="Garamond" w:hAnsi="Garamond"/>
          <w:i/>
          <w:iCs/>
          <w:color w:val="000000"/>
          <w:shd w:val="clear" w:color="auto" w:fill="FFFFFF"/>
        </w:rPr>
        <w:t>Adequacy between selected methods and research question(s)</w:t>
      </w:r>
      <w:r w:rsidRPr="004A748A">
        <w:rPr>
          <w:rFonts w:ascii="Garamond" w:hAnsi="Garamond"/>
          <w:color w:val="000000"/>
          <w:shd w:val="clear" w:color="auto" w:fill="FFFFFF"/>
        </w:rPr>
        <w:t xml:space="preserve">, and the questioning of </w:t>
      </w:r>
      <w:r w:rsidRPr="004A748A">
        <w:rPr>
          <w:rFonts w:ascii="Garamond" w:hAnsi="Garamond"/>
          <w:i/>
          <w:iCs/>
          <w:color w:val="000000"/>
          <w:shd w:val="clear" w:color="auto" w:fill="FFFFFF"/>
        </w:rPr>
        <w:t>Researchers: [as] insiders or outsiders</w:t>
      </w:r>
      <w:r w:rsidRPr="004A748A">
        <w:rPr>
          <w:rFonts w:ascii="Garamond" w:hAnsi="Garamond"/>
          <w:color w:val="000000"/>
          <w:shd w:val="clear" w:color="auto" w:fill="FFFFFF"/>
        </w:rPr>
        <w:t xml:space="preserve"> came to show the main differences. Nonetheless, if the paradigms (positivist or interpretive) justify the methodology, it was not so much the methods as, in the end, the intellectual/conceptual apparatus of the researchers that guided and conditioned, on the one </w:t>
      </w:r>
      <w:r w:rsidRPr="004A748A">
        <w:rPr>
          <w:rFonts w:ascii="Garamond" w:hAnsi="Garamond"/>
          <w:color w:val="000000"/>
          <w:shd w:val="clear" w:color="auto" w:fill="FFFFFF"/>
        </w:rPr>
        <w:lastRenderedPageBreak/>
        <w:t>hand, the involvement of researchers in the research process, on the other hand, the interpretation of the investigation results and, in the end, the validation of the research question.</w:t>
      </w:r>
    </w:p>
    <w:p w14:paraId="1D902AE2" w14:textId="77777777" w:rsidR="004A748A" w:rsidRPr="00CF254C" w:rsidRDefault="004A748A" w:rsidP="004A748A">
      <w:pPr>
        <w:spacing w:after="120" w:line="360" w:lineRule="auto"/>
        <w:jc w:val="both"/>
        <w:rPr>
          <w:rFonts w:ascii="Garamond" w:hAnsi="Garamond"/>
        </w:rPr>
      </w:pPr>
    </w:p>
    <w:p w14:paraId="3EC9E87C" w14:textId="77777777" w:rsidR="004A748A" w:rsidRPr="003A21C9" w:rsidRDefault="004A748A" w:rsidP="004A748A">
      <w:pPr>
        <w:rPr>
          <w:rFonts w:ascii="Garamond" w:hAnsi="Garamond" w:cs="Arial"/>
          <w:sz w:val="28"/>
          <w:szCs w:val="28"/>
        </w:rPr>
      </w:pPr>
      <w:bookmarkStart w:id="12" w:name="_Hlk98796377"/>
      <w:r w:rsidRPr="003A21C9">
        <w:rPr>
          <w:rFonts w:ascii="Garamond" w:hAnsi="Garamond" w:cs="Arial"/>
          <w:b/>
          <w:bCs/>
          <w:sz w:val="28"/>
          <w:szCs w:val="28"/>
        </w:rPr>
        <w:t xml:space="preserve">References </w:t>
      </w:r>
    </w:p>
    <w:p w14:paraId="427541C0" w14:textId="77777777" w:rsidR="00C86AE8" w:rsidRDefault="00C86AE8" w:rsidP="004A748A">
      <w:pPr>
        <w:jc w:val="both"/>
        <w:rPr>
          <w:rFonts w:ascii="Garamond" w:hAnsi="Garamond"/>
        </w:rPr>
      </w:pPr>
    </w:p>
    <w:bookmarkEnd w:id="12"/>
    <w:p w14:paraId="4EBEDF04" w14:textId="77777777" w:rsidR="00931992" w:rsidRPr="00931992" w:rsidRDefault="00931992" w:rsidP="00931992">
      <w:pPr>
        <w:jc w:val="both"/>
        <w:rPr>
          <w:rFonts w:ascii="Garamond" w:hAnsi="Garamond"/>
        </w:rPr>
      </w:pPr>
      <w:r w:rsidRPr="00931992">
        <w:rPr>
          <w:rFonts w:ascii="Garamond" w:hAnsi="Garamond"/>
        </w:rPr>
        <w:t xml:space="preserve">Babbie, Earl, </w:t>
      </w:r>
      <w:r w:rsidRPr="00931992">
        <w:rPr>
          <w:rFonts w:ascii="Garamond" w:hAnsi="Garamond"/>
          <w:i/>
          <w:iCs/>
        </w:rPr>
        <w:t>The Practice of Social Research</w:t>
      </w:r>
      <w:r w:rsidRPr="00931992">
        <w:rPr>
          <w:rFonts w:ascii="Garamond" w:hAnsi="Garamond"/>
        </w:rPr>
        <w:t xml:space="preserve"> (Cengage Learning, 2013) </w:t>
      </w:r>
    </w:p>
    <w:p w14:paraId="0B7E837C" w14:textId="77777777" w:rsidR="00931992" w:rsidRPr="00931992" w:rsidRDefault="00931992" w:rsidP="00931992">
      <w:pPr>
        <w:jc w:val="both"/>
        <w:rPr>
          <w:rFonts w:ascii="Garamond" w:hAnsi="Garamond"/>
        </w:rPr>
      </w:pPr>
    </w:p>
    <w:p w14:paraId="58F7D347" w14:textId="643CC1A2" w:rsidR="00931992" w:rsidRPr="00931992" w:rsidRDefault="00931992" w:rsidP="00931992">
      <w:pPr>
        <w:jc w:val="both"/>
        <w:rPr>
          <w:rFonts w:ascii="Garamond" w:hAnsi="Garamond"/>
        </w:rPr>
      </w:pPr>
      <w:r w:rsidRPr="00931992">
        <w:rPr>
          <w:rFonts w:ascii="Garamond" w:hAnsi="Garamond"/>
        </w:rPr>
        <w:t xml:space="preserve">Bell, Judith, and Waters, Stephen, </w:t>
      </w:r>
      <w:r w:rsidRPr="00931992">
        <w:rPr>
          <w:rFonts w:ascii="Garamond" w:hAnsi="Garamond"/>
          <w:i/>
          <w:iCs/>
        </w:rPr>
        <w:t>Doing Your Research Project</w:t>
      </w:r>
      <w:r w:rsidRPr="00931992">
        <w:rPr>
          <w:rFonts w:ascii="Garamond" w:hAnsi="Garamond"/>
        </w:rPr>
        <w:t xml:space="preserve"> (New York, Open University Press/McGraw-Hill, 2017)</w:t>
      </w:r>
    </w:p>
    <w:p w14:paraId="36713677" w14:textId="77777777" w:rsidR="00931992" w:rsidRPr="00931992" w:rsidRDefault="00931992" w:rsidP="00931992">
      <w:pPr>
        <w:jc w:val="both"/>
        <w:rPr>
          <w:rFonts w:ascii="Garamond" w:hAnsi="Garamond"/>
        </w:rPr>
      </w:pPr>
    </w:p>
    <w:p w14:paraId="30434DBF" w14:textId="77777777" w:rsidR="00931992" w:rsidRPr="00931992" w:rsidRDefault="00931992" w:rsidP="00931992">
      <w:pPr>
        <w:jc w:val="both"/>
        <w:rPr>
          <w:rFonts w:ascii="Garamond" w:hAnsi="Garamond"/>
        </w:rPr>
      </w:pPr>
      <w:r w:rsidRPr="00931992">
        <w:rPr>
          <w:rFonts w:ascii="Garamond" w:hAnsi="Garamond"/>
        </w:rPr>
        <w:t xml:space="preserve">Bryman, Alan, </w:t>
      </w:r>
      <w:r w:rsidRPr="00931992">
        <w:rPr>
          <w:rFonts w:ascii="Garamond" w:hAnsi="Garamond"/>
          <w:i/>
          <w:iCs/>
        </w:rPr>
        <w:t>Quantity and Quality in Social Research</w:t>
      </w:r>
      <w:r w:rsidRPr="00931992">
        <w:rPr>
          <w:rFonts w:ascii="Garamond" w:hAnsi="Garamond"/>
        </w:rPr>
        <w:t xml:space="preserve"> (London, Unwin Hyman, 1988)</w:t>
      </w:r>
    </w:p>
    <w:p w14:paraId="210A5C0D" w14:textId="77777777" w:rsidR="00931992" w:rsidRPr="00931992" w:rsidRDefault="00931992" w:rsidP="00931992">
      <w:pPr>
        <w:jc w:val="both"/>
        <w:rPr>
          <w:rFonts w:ascii="Garamond" w:hAnsi="Garamond"/>
        </w:rPr>
      </w:pPr>
    </w:p>
    <w:p w14:paraId="1E9EB508" w14:textId="77777777" w:rsidR="00931992" w:rsidRPr="00931992" w:rsidRDefault="00931992" w:rsidP="00931992">
      <w:pPr>
        <w:jc w:val="both"/>
        <w:rPr>
          <w:rFonts w:ascii="Garamond" w:hAnsi="Garamond"/>
        </w:rPr>
      </w:pPr>
      <w:r w:rsidRPr="00931992">
        <w:rPr>
          <w:rFonts w:ascii="Garamond" w:hAnsi="Garamond"/>
        </w:rPr>
        <w:t xml:space="preserve">Creswell, C., ‘The Use of Theory’, in </w:t>
      </w:r>
      <w:r w:rsidRPr="00931992">
        <w:rPr>
          <w:rFonts w:ascii="Garamond" w:hAnsi="Garamond"/>
          <w:i/>
          <w:iCs/>
        </w:rPr>
        <w:t>Research Design</w:t>
      </w:r>
      <w:r w:rsidRPr="00931992">
        <w:rPr>
          <w:rFonts w:ascii="Garamond" w:hAnsi="Garamond"/>
        </w:rPr>
        <w:t xml:space="preserve"> (Sage, s.d.), pp. 119-141</w:t>
      </w:r>
    </w:p>
    <w:p w14:paraId="257A1306" w14:textId="77777777" w:rsidR="00931992" w:rsidRPr="00931992" w:rsidRDefault="00931992" w:rsidP="00931992">
      <w:pPr>
        <w:jc w:val="both"/>
        <w:rPr>
          <w:rFonts w:ascii="Garamond" w:hAnsi="Garamond"/>
        </w:rPr>
      </w:pPr>
      <w:r w:rsidRPr="00931992">
        <w:rPr>
          <w:rFonts w:ascii="Garamond" w:hAnsi="Garamond"/>
        </w:rPr>
        <w:t xml:space="preserve">Hennink, Monique; Hutter, Inge, and Bailey, Ajay. </w:t>
      </w:r>
      <w:r w:rsidRPr="00931992">
        <w:rPr>
          <w:rFonts w:ascii="Garamond" w:hAnsi="Garamond"/>
          <w:i/>
          <w:iCs/>
        </w:rPr>
        <w:t>Qualitative Research Methods</w:t>
      </w:r>
      <w:r w:rsidRPr="00931992">
        <w:rPr>
          <w:rFonts w:ascii="Garamond" w:hAnsi="Garamond"/>
        </w:rPr>
        <w:t xml:space="preserve"> (Sage, 2020)</w:t>
      </w:r>
    </w:p>
    <w:p w14:paraId="57389EC7" w14:textId="77777777" w:rsidR="00931992" w:rsidRPr="00931992" w:rsidRDefault="00931992" w:rsidP="00931992">
      <w:pPr>
        <w:jc w:val="both"/>
        <w:rPr>
          <w:rFonts w:ascii="Garamond" w:hAnsi="Garamond"/>
        </w:rPr>
      </w:pPr>
    </w:p>
    <w:p w14:paraId="2B6441FC" w14:textId="38708047" w:rsidR="00931992" w:rsidRPr="00931992" w:rsidRDefault="00931992" w:rsidP="00931992">
      <w:pPr>
        <w:jc w:val="both"/>
        <w:rPr>
          <w:rFonts w:ascii="Garamond" w:hAnsi="Garamond"/>
        </w:rPr>
      </w:pPr>
      <w:r w:rsidRPr="00931992">
        <w:rPr>
          <w:rFonts w:ascii="Garamond" w:hAnsi="Garamond"/>
        </w:rPr>
        <w:t xml:space="preserve">Evered, Roger and Louis, Meryl Reis, Alternatives Perspectives in the Organizational Sciences: “Inquiry from the inside” and “Inquiry from the outside”, </w:t>
      </w:r>
      <w:r w:rsidRPr="00931992">
        <w:rPr>
          <w:rFonts w:ascii="Garamond" w:hAnsi="Garamond"/>
          <w:i/>
          <w:iCs/>
        </w:rPr>
        <w:t>The Academy of management Review</w:t>
      </w:r>
      <w:r w:rsidRPr="00931992">
        <w:rPr>
          <w:rFonts w:ascii="Garamond" w:hAnsi="Garamond"/>
        </w:rPr>
        <w:t>, 6.3 (1981), 385-395</w:t>
      </w:r>
    </w:p>
    <w:p w14:paraId="404432BE" w14:textId="77777777" w:rsidR="00931992" w:rsidRPr="00931992" w:rsidRDefault="00931992" w:rsidP="00931992">
      <w:pPr>
        <w:jc w:val="both"/>
        <w:rPr>
          <w:rFonts w:ascii="Garamond" w:hAnsi="Garamond"/>
        </w:rPr>
      </w:pPr>
    </w:p>
    <w:p w14:paraId="27383D8A" w14:textId="77777777" w:rsidR="00931992" w:rsidRPr="00931992" w:rsidRDefault="00931992" w:rsidP="00931992">
      <w:pPr>
        <w:pStyle w:val="NormalWeb"/>
        <w:spacing w:before="0" w:beforeAutospacing="0" w:after="120" w:afterAutospacing="0"/>
        <w:jc w:val="both"/>
        <w:rPr>
          <w:rFonts w:ascii="Garamond" w:hAnsi="Garamond"/>
          <w:sz w:val="24"/>
          <w:szCs w:val="24"/>
        </w:rPr>
      </w:pPr>
      <w:r w:rsidRPr="00931992">
        <w:rPr>
          <w:rFonts w:ascii="Garamond" w:hAnsi="Garamond"/>
          <w:sz w:val="24"/>
          <w:szCs w:val="24"/>
        </w:rPr>
        <w:t xml:space="preserve">Haynes, Kathryn. ‘Reflexivity in qualitative research’, in </w:t>
      </w:r>
      <w:r w:rsidRPr="00931992">
        <w:rPr>
          <w:rFonts w:ascii="Garamond" w:hAnsi="Garamond"/>
          <w:i/>
          <w:iCs/>
          <w:sz w:val="24"/>
          <w:szCs w:val="24"/>
        </w:rPr>
        <w:t>Qualitative Organizational Research: Core Methods and Current Challenges</w:t>
      </w:r>
      <w:r w:rsidRPr="00931992">
        <w:rPr>
          <w:rFonts w:ascii="Garamond" w:hAnsi="Garamond"/>
          <w:sz w:val="24"/>
          <w:szCs w:val="24"/>
        </w:rPr>
        <w:t>, ed. by G. Symon, and C. Cassell, pp. 72-89 (SAGE Publications, Inc., 2012)</w:t>
      </w:r>
    </w:p>
    <w:p w14:paraId="45F568C8" w14:textId="77777777" w:rsidR="00931992" w:rsidRPr="00931992" w:rsidRDefault="00931992" w:rsidP="00931992">
      <w:pPr>
        <w:rPr>
          <w:rFonts w:ascii="Garamond" w:hAnsi="Garamond"/>
        </w:rPr>
      </w:pPr>
      <w:r w:rsidRPr="00931992">
        <w:rPr>
          <w:rFonts w:ascii="Garamond" w:hAnsi="Garamond"/>
        </w:rPr>
        <w:t>Rabe, Marlize, Revisiting ‘insiders’ and ‘outsiders’ as social researchers, African Sociological Review, 7.2 (2003), 149-161</w:t>
      </w:r>
    </w:p>
    <w:p w14:paraId="72C1928D" w14:textId="77777777" w:rsidR="00931992" w:rsidRPr="00931992" w:rsidRDefault="00931992" w:rsidP="00931992">
      <w:pPr>
        <w:rPr>
          <w:rFonts w:ascii="Garamond" w:hAnsi="Garamond"/>
        </w:rPr>
      </w:pPr>
    </w:p>
    <w:p w14:paraId="32300AB7" w14:textId="77777777" w:rsidR="00931992" w:rsidRPr="00931992" w:rsidRDefault="00931992" w:rsidP="00931992">
      <w:pPr>
        <w:jc w:val="both"/>
        <w:rPr>
          <w:rFonts w:ascii="Garamond" w:hAnsi="Garamond"/>
        </w:rPr>
      </w:pPr>
      <w:r w:rsidRPr="00931992">
        <w:rPr>
          <w:rFonts w:ascii="Garamond" w:hAnsi="Garamond"/>
        </w:rPr>
        <w:t xml:space="preserve">Rowley, J., </w:t>
      </w:r>
      <w:r w:rsidRPr="00931992">
        <w:rPr>
          <w:rFonts w:ascii="Garamond" w:hAnsi="Garamond"/>
          <w:i/>
          <w:iCs/>
        </w:rPr>
        <w:t>Designing and Using Research Questionnaires</w:t>
      </w:r>
      <w:r w:rsidRPr="00931992">
        <w:rPr>
          <w:rFonts w:ascii="Garamond" w:hAnsi="Garamond"/>
        </w:rPr>
        <w:t xml:space="preserve"> (2014).</w:t>
      </w:r>
    </w:p>
    <w:p w14:paraId="7817E0D3" w14:textId="77777777" w:rsidR="00931992" w:rsidRPr="00931992" w:rsidRDefault="00931992" w:rsidP="00931992">
      <w:pPr>
        <w:jc w:val="both"/>
        <w:rPr>
          <w:rFonts w:ascii="Garamond" w:hAnsi="Garamond"/>
        </w:rPr>
      </w:pPr>
    </w:p>
    <w:p w14:paraId="1304EF06" w14:textId="77777777" w:rsidR="00931992" w:rsidRPr="00931992" w:rsidRDefault="00931992" w:rsidP="00931992">
      <w:pPr>
        <w:pStyle w:val="Textodenotaderodap"/>
        <w:jc w:val="both"/>
        <w:rPr>
          <w:rFonts w:ascii="Garamond" w:hAnsi="Garamond"/>
          <w:sz w:val="24"/>
          <w:szCs w:val="24"/>
        </w:rPr>
      </w:pPr>
      <w:r w:rsidRPr="00931992">
        <w:rPr>
          <w:rFonts w:ascii="Garamond" w:hAnsi="Garamond"/>
          <w:sz w:val="24"/>
          <w:szCs w:val="24"/>
        </w:rPr>
        <w:t xml:space="preserve">T. L. Brink, ‘Inconsistency of Belief among Roman Catholic Girls: Concerning Religion, Astrology, Reincarnation’, </w:t>
      </w:r>
      <w:r w:rsidRPr="00931992">
        <w:rPr>
          <w:rFonts w:ascii="Garamond" w:hAnsi="Garamond"/>
          <w:i/>
          <w:iCs/>
          <w:sz w:val="24"/>
          <w:szCs w:val="24"/>
        </w:rPr>
        <w:t>Review of Religious Research</w:t>
      </w:r>
      <w:r w:rsidRPr="00931992">
        <w:rPr>
          <w:rFonts w:ascii="Garamond" w:hAnsi="Garamond"/>
          <w:sz w:val="24"/>
          <w:szCs w:val="24"/>
        </w:rPr>
        <w:t>, 60.1 (1978), 82-85;</w:t>
      </w:r>
    </w:p>
    <w:p w14:paraId="3F527174" w14:textId="77777777" w:rsidR="00931992" w:rsidRPr="00931992" w:rsidRDefault="00931992" w:rsidP="00931992">
      <w:pPr>
        <w:pStyle w:val="Textodenotaderodap"/>
        <w:jc w:val="both"/>
        <w:rPr>
          <w:rFonts w:ascii="Garamond" w:hAnsi="Garamond"/>
          <w:sz w:val="24"/>
          <w:szCs w:val="24"/>
        </w:rPr>
      </w:pPr>
    </w:p>
    <w:p w14:paraId="58D7326D" w14:textId="5319C1B7" w:rsidR="00931992" w:rsidRPr="00931992" w:rsidRDefault="00931992" w:rsidP="00931992">
      <w:pPr>
        <w:pStyle w:val="Textodenotaderodap"/>
        <w:jc w:val="both"/>
        <w:rPr>
          <w:rFonts w:ascii="Garamond" w:hAnsi="Garamond"/>
          <w:sz w:val="24"/>
          <w:szCs w:val="24"/>
        </w:rPr>
      </w:pPr>
      <w:r w:rsidRPr="00931992">
        <w:rPr>
          <w:rFonts w:ascii="Garamond" w:hAnsi="Garamond"/>
          <w:sz w:val="24"/>
          <w:szCs w:val="24"/>
        </w:rPr>
        <w:t xml:space="preserve">Tony Walter and Helen Waterhouse, ‘A Very Private Belief: Reincarnation in Contemporary England’, </w:t>
      </w:r>
      <w:r w:rsidRPr="00931992">
        <w:rPr>
          <w:rFonts w:ascii="Garamond" w:hAnsi="Garamond"/>
          <w:i/>
          <w:iCs/>
          <w:sz w:val="24"/>
          <w:szCs w:val="24"/>
        </w:rPr>
        <w:t>Sociology of Religion</w:t>
      </w:r>
      <w:r w:rsidRPr="00931992">
        <w:rPr>
          <w:rFonts w:ascii="Garamond" w:hAnsi="Garamond"/>
          <w:sz w:val="24"/>
          <w:szCs w:val="24"/>
        </w:rPr>
        <w:t>, 60.2 (1999), 187-197.</w:t>
      </w:r>
    </w:p>
    <w:p w14:paraId="52B65DC8" w14:textId="77777777" w:rsidR="00931992" w:rsidRPr="00931992" w:rsidRDefault="00931992" w:rsidP="00931992">
      <w:pPr>
        <w:pStyle w:val="Textodenotaderodap"/>
        <w:jc w:val="both"/>
        <w:rPr>
          <w:rFonts w:ascii="Garamond" w:hAnsi="Garamond"/>
          <w:sz w:val="24"/>
          <w:szCs w:val="24"/>
        </w:rPr>
      </w:pPr>
    </w:p>
    <w:p w14:paraId="78F23D8C" w14:textId="3CF0D5DF" w:rsidR="00931992" w:rsidRDefault="00931992" w:rsidP="00931992">
      <w:r w:rsidRPr="00931992">
        <w:rPr>
          <w:rFonts w:ascii="Garamond" w:hAnsi="Garamond"/>
        </w:rPr>
        <w:t>Dewer</w:t>
      </w:r>
      <w:r w:rsidRPr="00931992">
        <w:rPr>
          <w:rFonts w:ascii="Garamond" w:hAnsi="Garamond"/>
        </w:rPr>
        <w:t>,</w:t>
      </w:r>
      <w:r w:rsidRPr="00931992">
        <w:rPr>
          <w:rFonts w:ascii="Garamond" w:hAnsi="Garamond"/>
        </w:rPr>
        <w:t xml:space="preserve"> Sonya and Buckle</w:t>
      </w:r>
      <w:r w:rsidRPr="00931992">
        <w:rPr>
          <w:rFonts w:ascii="Garamond" w:hAnsi="Garamond"/>
        </w:rPr>
        <w:t xml:space="preserve">, </w:t>
      </w:r>
      <w:r w:rsidRPr="00931992">
        <w:rPr>
          <w:rFonts w:ascii="Garamond" w:hAnsi="Garamond"/>
        </w:rPr>
        <w:t>Jennifer, The space Between: On being an insider-outsider in qualitative Research, Intenational Journal of Qualitative Methods, 54-63.</w:t>
      </w:r>
    </w:p>
    <w:p w14:paraId="1E295862" w14:textId="77777777" w:rsidR="00931992" w:rsidRPr="00931992" w:rsidRDefault="00931992">
      <w:pPr>
        <w:rPr>
          <w:rFonts w:ascii="Garamond" w:hAnsi="Garamond"/>
        </w:rPr>
      </w:pPr>
    </w:p>
    <w:sectPr w:rsidR="00931992" w:rsidRPr="00931992" w:rsidSect="00BB1DAD">
      <w:pgSz w:w="11906" w:h="16838" w:code="9"/>
      <w:pgMar w:top="1134" w:right="1418" w:bottom="567" w:left="1418" w:header="567" w:footer="567"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62946" w14:textId="77777777" w:rsidR="00A571D4" w:rsidRDefault="00A571D4" w:rsidP="00AD5D5A">
      <w:r>
        <w:separator/>
      </w:r>
    </w:p>
  </w:endnote>
  <w:endnote w:type="continuationSeparator" w:id="0">
    <w:p w14:paraId="50EDF3B4" w14:textId="77777777" w:rsidR="00A571D4" w:rsidRDefault="00A571D4"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A545B" w14:textId="1F8E7439" w:rsidR="00262CE7" w:rsidRDefault="00262CE7">
    <w:pPr>
      <w:pStyle w:val="Rodap"/>
      <w:jc w:val="center"/>
      <w:rPr>
        <w:rFonts w:ascii="Garamond" w:hAnsi="Garamond"/>
        <w:b/>
        <w:bCs/>
        <w:sz w:val="20"/>
        <w:szCs w:val="20"/>
      </w:rPr>
    </w:pPr>
  </w:p>
  <w:p w14:paraId="370D693A" w14:textId="77777777" w:rsidR="00262CE7" w:rsidRDefault="00262CE7">
    <w:pPr>
      <w:pStyle w:val="Rodap"/>
      <w:jc w:val="center"/>
      <w:rPr>
        <w:rFonts w:ascii="Garamond" w:hAnsi="Garamond"/>
        <w:b/>
        <w:bCs/>
        <w:sz w:val="20"/>
        <w:szCs w:val="20"/>
      </w:rPr>
    </w:pPr>
  </w:p>
  <w:p w14:paraId="55A30A7D" w14:textId="77777777" w:rsidR="00262CE7" w:rsidRPr="007318C2" w:rsidRDefault="00262CE7" w:rsidP="006B0D85">
    <w:pPr>
      <w:pStyle w:val="Rodap"/>
      <w:jc w:val="center"/>
    </w:pPr>
    <w:r w:rsidRPr="007318C2">
      <w:rPr>
        <w:rFonts w:ascii="Garamond" w:hAnsi="Garamond"/>
        <w:b/>
        <w:bCs/>
        <w:sz w:val="20"/>
        <w:szCs w:val="20"/>
        <w:lang w:val="pt-PT"/>
      </w:rPr>
      <w:t>Sara Sucena 1917253____________</w:t>
    </w:r>
    <w:r w:rsidRPr="007318C2">
      <w:rPr>
        <w:rFonts w:ascii="Garamond" w:hAnsi="Garamond"/>
        <w:b/>
        <w:bCs/>
        <w:sz w:val="20"/>
        <w:szCs w:val="20"/>
      </w:rPr>
      <w:fldChar w:fldCharType="begin"/>
    </w:r>
    <w:r w:rsidRPr="007318C2">
      <w:rPr>
        <w:rFonts w:ascii="Garamond" w:hAnsi="Garamond"/>
        <w:b/>
        <w:bCs/>
        <w:sz w:val="20"/>
        <w:szCs w:val="20"/>
      </w:rPr>
      <w:instrText>PAGE</w:instrText>
    </w:r>
    <w:r w:rsidRPr="007318C2">
      <w:rPr>
        <w:rFonts w:ascii="Garamond" w:hAnsi="Garamond"/>
        <w:b/>
        <w:bCs/>
        <w:sz w:val="20"/>
        <w:szCs w:val="20"/>
      </w:rPr>
      <w:fldChar w:fldCharType="separate"/>
    </w:r>
    <w:r>
      <w:rPr>
        <w:rFonts w:ascii="Garamond" w:hAnsi="Garamond"/>
        <w:b/>
        <w:bCs/>
        <w:noProof/>
        <w:sz w:val="20"/>
        <w:szCs w:val="20"/>
      </w:rPr>
      <w:t>10</w:t>
    </w:r>
    <w:r w:rsidRPr="007318C2">
      <w:rPr>
        <w:rFonts w:ascii="Garamond" w:hAnsi="Garamond"/>
        <w:b/>
        <w:bCs/>
        <w:sz w:val="20"/>
        <w:szCs w:val="20"/>
      </w:rPr>
      <w:fldChar w:fldCharType="end"/>
    </w:r>
    <w:r>
      <w:rPr>
        <w:rFonts w:ascii="Garamond" w:hAnsi="Garamond"/>
        <w:b/>
        <w:bCs/>
        <w:sz w:val="20"/>
        <w:szCs w:val="20"/>
        <w:lang w:val="pt-PT"/>
      </w:rPr>
      <w:t>/</w:t>
    </w:r>
    <w:r w:rsidRPr="007318C2">
      <w:rPr>
        <w:rFonts w:ascii="Garamond" w:hAnsi="Garamond"/>
        <w:b/>
        <w:bCs/>
        <w:sz w:val="20"/>
        <w:szCs w:val="20"/>
      </w:rPr>
      <w:fldChar w:fldCharType="begin"/>
    </w:r>
    <w:r w:rsidRPr="007318C2">
      <w:rPr>
        <w:rFonts w:ascii="Garamond" w:hAnsi="Garamond"/>
        <w:b/>
        <w:bCs/>
        <w:sz w:val="20"/>
        <w:szCs w:val="20"/>
      </w:rPr>
      <w:instrText>NUMPAGES</w:instrText>
    </w:r>
    <w:r w:rsidRPr="007318C2">
      <w:rPr>
        <w:rFonts w:ascii="Garamond" w:hAnsi="Garamond"/>
        <w:b/>
        <w:bCs/>
        <w:sz w:val="20"/>
        <w:szCs w:val="20"/>
      </w:rPr>
      <w:fldChar w:fldCharType="separate"/>
    </w:r>
    <w:r>
      <w:rPr>
        <w:rFonts w:ascii="Garamond" w:hAnsi="Garamond"/>
        <w:b/>
        <w:bCs/>
        <w:noProof/>
        <w:sz w:val="20"/>
        <w:szCs w:val="20"/>
      </w:rPr>
      <w:t>10</w:t>
    </w:r>
    <w:r w:rsidRPr="007318C2">
      <w:rPr>
        <w:rFonts w:ascii="Garamond" w:hAnsi="Garamond"/>
        <w:b/>
        <w:bCs/>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490177" w14:textId="77777777" w:rsidR="00262CE7" w:rsidRDefault="00262CE7">
    <w:pPr>
      <w:pStyle w:val="Rodap"/>
      <w:jc w:val="center"/>
    </w:pPr>
  </w:p>
  <w:p w14:paraId="06CA0A20" w14:textId="77777777" w:rsidR="00262CE7" w:rsidRDefault="00262CE7">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E193E" w14:textId="77777777" w:rsidR="00A571D4" w:rsidRDefault="00A571D4" w:rsidP="00AD5D5A">
      <w:r>
        <w:separator/>
      </w:r>
    </w:p>
  </w:footnote>
  <w:footnote w:type="continuationSeparator" w:id="0">
    <w:p w14:paraId="3CA0067E" w14:textId="77777777" w:rsidR="00A571D4" w:rsidRDefault="00A571D4" w:rsidP="00AD5D5A">
      <w:r>
        <w:continuationSeparator/>
      </w:r>
    </w:p>
  </w:footnote>
  <w:footnote w:id="1">
    <w:p w14:paraId="264D5536" w14:textId="77777777" w:rsidR="004A748A" w:rsidRPr="00FE4536" w:rsidRDefault="004A748A" w:rsidP="004A748A">
      <w:pPr>
        <w:pStyle w:val="Textodenotaderodap"/>
        <w:jc w:val="both"/>
        <w:rPr>
          <w:rFonts w:ascii="Garamond" w:hAnsi="Garamond"/>
        </w:rPr>
      </w:pPr>
      <w:r w:rsidRPr="00FE4536">
        <w:rPr>
          <w:rStyle w:val="Refdenotaderodap"/>
          <w:rFonts w:ascii="Garamond" w:hAnsi="Garamond"/>
        </w:rPr>
        <w:footnoteRef/>
      </w:r>
      <w:r w:rsidRPr="00FE4536">
        <w:rPr>
          <w:rFonts w:ascii="Garamond" w:hAnsi="Garamond"/>
        </w:rPr>
        <w:t xml:space="preserve"> T. L. Brink, ‘Inconsistency of Belief among Roman Catholic Girls: Concerning Religion, Astrology, Reincarnation’, </w:t>
      </w:r>
      <w:r w:rsidRPr="00FE4536">
        <w:rPr>
          <w:rFonts w:ascii="Garamond" w:hAnsi="Garamond"/>
          <w:i/>
          <w:iCs/>
        </w:rPr>
        <w:t>Review of Religious Research</w:t>
      </w:r>
      <w:r w:rsidRPr="00FE4536">
        <w:rPr>
          <w:rFonts w:ascii="Garamond" w:hAnsi="Garamond"/>
        </w:rPr>
        <w:t xml:space="preserve">, 60.1 (1978), 82-85; Tony Walter and Helen Waterhouse, ‘A Very Private Belief: Reincarnation in Contemporary England’, </w:t>
      </w:r>
      <w:r w:rsidRPr="00FE4536">
        <w:rPr>
          <w:rFonts w:ascii="Garamond" w:hAnsi="Garamond"/>
          <w:i/>
          <w:iCs/>
        </w:rPr>
        <w:t>Sociology of Religion</w:t>
      </w:r>
      <w:r w:rsidRPr="00FE4536">
        <w:rPr>
          <w:rFonts w:ascii="Garamond" w:hAnsi="Garamond"/>
        </w:rPr>
        <w:t>, 60.2 (1999), 187-197.</w:t>
      </w:r>
    </w:p>
  </w:footnote>
  <w:footnote w:id="2">
    <w:p w14:paraId="4780D054" w14:textId="51AFC8C1" w:rsidR="004A748A" w:rsidRPr="00FE4536" w:rsidRDefault="004A748A">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 xml:space="preserve">Brink, </w:t>
      </w:r>
      <w:r w:rsidRPr="00FE4536">
        <w:rPr>
          <w:rFonts w:ascii="Garamond" w:hAnsi="Garamond"/>
          <w:i/>
          <w:iCs/>
        </w:rPr>
        <w:t>Inconsistency of Belief among Roman Catholic Girls</w:t>
      </w:r>
      <w:r w:rsidRPr="00FE4536">
        <w:rPr>
          <w:rFonts w:ascii="Garamond" w:hAnsi="Garamond"/>
        </w:rPr>
        <w:t xml:space="preserve">, </w:t>
      </w:r>
      <w:r w:rsidR="002A342C" w:rsidRPr="00FE4536">
        <w:rPr>
          <w:rFonts w:ascii="Garamond" w:hAnsi="Garamond"/>
        </w:rPr>
        <w:t>p</w:t>
      </w:r>
      <w:r w:rsidRPr="00FE4536">
        <w:rPr>
          <w:rFonts w:ascii="Garamond" w:hAnsi="Garamond"/>
        </w:rPr>
        <w:t>.</w:t>
      </w:r>
      <w:r w:rsidR="002A342C" w:rsidRPr="00FE4536">
        <w:rPr>
          <w:rFonts w:ascii="Garamond" w:hAnsi="Garamond"/>
        </w:rPr>
        <w:t xml:space="preserve"> 82, 85.</w:t>
      </w:r>
    </w:p>
  </w:footnote>
  <w:footnote w:id="3">
    <w:p w14:paraId="07B92739" w14:textId="3BD09402" w:rsidR="002A342C" w:rsidRPr="00FE4536" w:rsidRDefault="002A342C">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 xml:space="preserve">Walter and Waterhouse, </w:t>
      </w:r>
      <w:r w:rsidRPr="00FE4536">
        <w:rPr>
          <w:rFonts w:ascii="Garamond" w:hAnsi="Garamond"/>
          <w:i/>
          <w:iCs/>
        </w:rPr>
        <w:t>A Very Private Belief</w:t>
      </w:r>
      <w:r w:rsidRPr="00FE4536">
        <w:rPr>
          <w:rFonts w:ascii="Garamond" w:hAnsi="Garamond"/>
        </w:rPr>
        <w:t>, p. 196.</w:t>
      </w:r>
    </w:p>
  </w:footnote>
  <w:footnote w:id="4">
    <w:p w14:paraId="59EA350B" w14:textId="68510DC3" w:rsidR="002A342C" w:rsidRPr="00FE4536" w:rsidRDefault="002A342C" w:rsidP="002A342C">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Earl Babbie, </w:t>
      </w:r>
      <w:r w:rsidRPr="00FE4536">
        <w:rPr>
          <w:rFonts w:ascii="Garamond" w:hAnsi="Garamond"/>
          <w:i/>
          <w:iCs/>
        </w:rPr>
        <w:t>The Practice</w:t>
      </w:r>
      <w:r w:rsidRPr="00FE4536">
        <w:rPr>
          <w:rFonts w:ascii="Garamond" w:hAnsi="Garamond"/>
          <w:i/>
          <w:iCs/>
        </w:rPr>
        <w:t xml:space="preserve"> </w:t>
      </w:r>
      <w:r w:rsidRPr="00FE4536">
        <w:rPr>
          <w:rFonts w:ascii="Garamond" w:hAnsi="Garamond"/>
          <w:i/>
          <w:iCs/>
        </w:rPr>
        <w:t>of Social Research</w:t>
      </w:r>
      <w:r w:rsidR="0089423A" w:rsidRPr="00FE4536">
        <w:rPr>
          <w:rFonts w:ascii="Garamond" w:hAnsi="Garamond"/>
        </w:rPr>
        <w:t xml:space="preserve"> </w:t>
      </w:r>
      <w:r w:rsidR="0089423A" w:rsidRPr="00FE4536">
        <w:rPr>
          <w:rFonts w:ascii="Garamond" w:hAnsi="Garamond"/>
        </w:rPr>
        <w:t>(Cengage Learning, 2013)</w:t>
      </w:r>
      <w:r w:rsidR="0089423A" w:rsidRPr="00FE4536">
        <w:rPr>
          <w:rFonts w:ascii="Garamond" w:hAnsi="Garamond"/>
        </w:rPr>
        <w:t>, p. 32.</w:t>
      </w:r>
    </w:p>
  </w:footnote>
  <w:footnote w:id="5">
    <w:p w14:paraId="256002E7" w14:textId="6F3BD182" w:rsidR="0089423A" w:rsidRPr="00FE4536" w:rsidRDefault="0089423A">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00E5475C" w:rsidRPr="00FE4536">
        <w:rPr>
          <w:rFonts w:ascii="Garamond" w:hAnsi="Garamond"/>
        </w:rPr>
        <w:t>Alan</w:t>
      </w:r>
      <w:r w:rsidR="00E5475C" w:rsidRPr="00FE4536">
        <w:rPr>
          <w:rFonts w:ascii="Garamond" w:hAnsi="Garamond"/>
        </w:rPr>
        <w:t xml:space="preserve"> </w:t>
      </w:r>
      <w:r w:rsidRPr="00FE4536">
        <w:rPr>
          <w:rFonts w:ascii="Garamond" w:hAnsi="Garamond"/>
        </w:rPr>
        <w:t xml:space="preserve">Bryman, </w:t>
      </w:r>
      <w:r w:rsidRPr="00FE4536">
        <w:rPr>
          <w:rFonts w:ascii="Garamond" w:hAnsi="Garamond"/>
          <w:i/>
          <w:iCs/>
        </w:rPr>
        <w:t>Quantity and Quality in Social Research</w:t>
      </w:r>
      <w:r w:rsidRPr="00FE4536">
        <w:rPr>
          <w:rFonts w:ascii="Garamond" w:hAnsi="Garamond"/>
        </w:rPr>
        <w:t xml:space="preserve"> (London, Unwin Hyman, 1988)</w:t>
      </w:r>
      <w:r w:rsidRPr="00FE4536">
        <w:rPr>
          <w:rFonts w:ascii="Garamond" w:hAnsi="Garamond"/>
        </w:rPr>
        <w:t>, p.14-15.</w:t>
      </w:r>
    </w:p>
  </w:footnote>
  <w:footnote w:id="6">
    <w:p w14:paraId="44985F9F" w14:textId="5E9A8EAD" w:rsidR="0089423A" w:rsidRPr="00FE4536" w:rsidRDefault="0089423A">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 xml:space="preserve">Babbie, </w:t>
      </w:r>
      <w:r w:rsidRPr="00FE4536">
        <w:rPr>
          <w:rFonts w:ascii="Garamond" w:hAnsi="Garamond"/>
          <w:i/>
          <w:iCs/>
        </w:rPr>
        <w:t>The Practice of Social Research</w:t>
      </w:r>
      <w:r w:rsidRPr="00FE4536">
        <w:rPr>
          <w:rFonts w:ascii="Garamond" w:hAnsi="Garamond"/>
        </w:rPr>
        <w:t>, pp. 45ss (between commas in the original)</w:t>
      </w:r>
      <w:r w:rsidR="00E5475C" w:rsidRPr="00FE4536">
        <w:rPr>
          <w:rFonts w:ascii="Garamond" w:hAnsi="Garamond"/>
        </w:rPr>
        <w:t xml:space="preserve">; and </w:t>
      </w:r>
      <w:r w:rsidR="00E5475C" w:rsidRPr="00FE4536">
        <w:rPr>
          <w:rFonts w:ascii="Garamond" w:hAnsi="Garamond"/>
        </w:rPr>
        <w:t xml:space="preserve">Bryman, </w:t>
      </w:r>
      <w:r w:rsidR="00E5475C" w:rsidRPr="00FE4536">
        <w:rPr>
          <w:rFonts w:ascii="Garamond" w:hAnsi="Garamond"/>
          <w:i/>
          <w:iCs/>
        </w:rPr>
        <w:t>Quantity and Quality in Social Research</w:t>
      </w:r>
      <w:r w:rsidR="00E5475C" w:rsidRPr="00FE4536">
        <w:rPr>
          <w:rFonts w:ascii="Garamond" w:hAnsi="Garamond"/>
        </w:rPr>
        <w:t>, p. 20.</w:t>
      </w:r>
    </w:p>
  </w:footnote>
  <w:footnote w:id="7">
    <w:p w14:paraId="291ED743" w14:textId="2F8C8C2A" w:rsidR="00E90D85" w:rsidRPr="00FE4536" w:rsidRDefault="00E90D85">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Creswell, C., ‘The Use of Theory’, in Research Design (Sage, s.d.)</w:t>
      </w:r>
      <w:r w:rsidRPr="00FE4536">
        <w:rPr>
          <w:rFonts w:ascii="Garamond" w:hAnsi="Garamond"/>
        </w:rPr>
        <w:t>, p.125.</w:t>
      </w:r>
    </w:p>
  </w:footnote>
  <w:footnote w:id="8">
    <w:p w14:paraId="2312A8E3" w14:textId="7B0EEEA5" w:rsidR="00E90D85" w:rsidRPr="00FE4536" w:rsidRDefault="00E90D85">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 xml:space="preserve">Bryman, </w:t>
      </w:r>
      <w:r w:rsidRPr="00FE4536">
        <w:rPr>
          <w:rFonts w:ascii="Garamond" w:hAnsi="Garamond"/>
          <w:i/>
          <w:iCs/>
        </w:rPr>
        <w:t>Quantity and Quality in Social Research</w:t>
      </w:r>
      <w:r w:rsidRPr="00FE4536">
        <w:rPr>
          <w:rFonts w:ascii="Garamond" w:hAnsi="Garamond"/>
        </w:rPr>
        <w:t xml:space="preserve">, p. </w:t>
      </w:r>
      <w:r w:rsidRPr="00FE4536">
        <w:rPr>
          <w:rFonts w:ascii="Garamond" w:hAnsi="Garamond"/>
        </w:rPr>
        <w:t>69</w:t>
      </w:r>
      <w:r w:rsidRPr="00FE4536">
        <w:rPr>
          <w:rFonts w:ascii="Garamond" w:hAnsi="Garamond"/>
        </w:rPr>
        <w:t>.</w:t>
      </w:r>
    </w:p>
  </w:footnote>
  <w:footnote w:id="9">
    <w:p w14:paraId="5DFCEA1C" w14:textId="49F4A200" w:rsidR="00E90D85" w:rsidRPr="00FE4536" w:rsidRDefault="00E90D85" w:rsidP="00D85EF0">
      <w:pPr>
        <w:jc w:val="both"/>
        <w:rPr>
          <w:rFonts w:ascii="Garamond" w:hAnsi="Garamond"/>
          <w:sz w:val="20"/>
          <w:szCs w:val="20"/>
        </w:rPr>
      </w:pPr>
      <w:r w:rsidRPr="00FE4536">
        <w:rPr>
          <w:rStyle w:val="Refdenotaderodap"/>
          <w:rFonts w:ascii="Garamond" w:hAnsi="Garamond"/>
          <w:sz w:val="20"/>
          <w:szCs w:val="20"/>
        </w:rPr>
        <w:footnoteRef/>
      </w:r>
      <w:r w:rsidRPr="00FE4536">
        <w:rPr>
          <w:rFonts w:ascii="Garamond" w:hAnsi="Garamond"/>
          <w:sz w:val="20"/>
          <w:szCs w:val="20"/>
        </w:rPr>
        <w:t xml:space="preserve"> </w:t>
      </w:r>
      <w:r w:rsidRPr="00FE4536">
        <w:rPr>
          <w:rFonts w:ascii="Garamond" w:hAnsi="Garamond"/>
          <w:sz w:val="20"/>
          <w:szCs w:val="20"/>
        </w:rPr>
        <w:t xml:space="preserve">Hennink, Monique; Hutter, Inge, and Bailey, Ajay. </w:t>
      </w:r>
      <w:r w:rsidRPr="00FE4536">
        <w:rPr>
          <w:rFonts w:ascii="Garamond" w:hAnsi="Garamond"/>
          <w:i/>
          <w:iCs/>
          <w:sz w:val="20"/>
          <w:szCs w:val="20"/>
        </w:rPr>
        <w:t>Qualitative Research Methods</w:t>
      </w:r>
      <w:r w:rsidRPr="00FE4536">
        <w:rPr>
          <w:rFonts w:ascii="Garamond" w:hAnsi="Garamond"/>
          <w:sz w:val="20"/>
          <w:szCs w:val="20"/>
        </w:rPr>
        <w:t xml:space="preserve"> (Sage, 2020)</w:t>
      </w:r>
      <w:r w:rsidRPr="00FE4536">
        <w:rPr>
          <w:rFonts w:ascii="Garamond" w:hAnsi="Garamond"/>
          <w:sz w:val="20"/>
          <w:szCs w:val="20"/>
        </w:rPr>
        <w:t>, p.15.</w:t>
      </w:r>
    </w:p>
  </w:footnote>
  <w:footnote w:id="10">
    <w:p w14:paraId="64607A69" w14:textId="32DA6584" w:rsidR="00D85EF0" w:rsidRPr="00FE4536" w:rsidRDefault="00D85EF0">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Creswell, C., ‘The Use of Theory’</w:t>
      </w:r>
      <w:r w:rsidRPr="00FE4536">
        <w:rPr>
          <w:rFonts w:ascii="Garamond" w:hAnsi="Garamond"/>
        </w:rPr>
        <w:t>, p.132.</w:t>
      </w:r>
    </w:p>
  </w:footnote>
  <w:footnote w:id="11">
    <w:p w14:paraId="7A1B44C5" w14:textId="6019D066" w:rsidR="00D85EF0" w:rsidRPr="00FE4536" w:rsidRDefault="00D85EF0">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 xml:space="preserve">Babbie, </w:t>
      </w:r>
      <w:r w:rsidRPr="00FE4536">
        <w:rPr>
          <w:rFonts w:ascii="Garamond" w:hAnsi="Garamond"/>
          <w:i/>
          <w:iCs/>
        </w:rPr>
        <w:t>The Practice of Social Research</w:t>
      </w:r>
      <w:r w:rsidRPr="00FE4536">
        <w:rPr>
          <w:rFonts w:ascii="Garamond" w:hAnsi="Garamond"/>
        </w:rPr>
        <w:t>, p</w:t>
      </w:r>
      <w:r w:rsidRPr="00FE4536">
        <w:rPr>
          <w:rFonts w:ascii="Garamond" w:hAnsi="Garamond"/>
        </w:rPr>
        <w:t>. 51.</w:t>
      </w:r>
    </w:p>
  </w:footnote>
  <w:footnote w:id="12">
    <w:p w14:paraId="2E6EE49E" w14:textId="29D33A75" w:rsidR="00D85EF0" w:rsidRPr="00FE4536" w:rsidRDefault="00D85EF0">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 xml:space="preserve">Brink, </w:t>
      </w:r>
      <w:r w:rsidRPr="00FE4536">
        <w:rPr>
          <w:rFonts w:ascii="Garamond" w:hAnsi="Garamond"/>
          <w:i/>
          <w:iCs/>
        </w:rPr>
        <w:t>Inconsistency of Belief among Roman Catholic Girls</w:t>
      </w:r>
      <w:r w:rsidRPr="00FE4536">
        <w:rPr>
          <w:rFonts w:ascii="Garamond" w:hAnsi="Garamond"/>
        </w:rPr>
        <w:t>, p. 82</w:t>
      </w:r>
      <w:r w:rsidRPr="00FE4536">
        <w:rPr>
          <w:rFonts w:ascii="Garamond" w:hAnsi="Garamond"/>
        </w:rPr>
        <w:t>.</w:t>
      </w:r>
    </w:p>
  </w:footnote>
  <w:footnote w:id="13">
    <w:p w14:paraId="01525F95" w14:textId="26498B59" w:rsidR="00D85EF0" w:rsidRPr="00FE4536" w:rsidRDefault="00D85EF0">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 xml:space="preserve">Brink, </w:t>
      </w:r>
      <w:r w:rsidRPr="00FE4536">
        <w:rPr>
          <w:rFonts w:ascii="Garamond" w:hAnsi="Garamond"/>
          <w:i/>
          <w:iCs/>
        </w:rPr>
        <w:t>Inconsistency of Belief among Roman Catholic Girls</w:t>
      </w:r>
      <w:r w:rsidRPr="00FE4536">
        <w:rPr>
          <w:rFonts w:ascii="Garamond" w:hAnsi="Garamond"/>
        </w:rPr>
        <w:t>, p. 82</w:t>
      </w:r>
      <w:r w:rsidRPr="00FE4536">
        <w:rPr>
          <w:rFonts w:ascii="Garamond" w:hAnsi="Garamond"/>
        </w:rPr>
        <w:t>.</w:t>
      </w:r>
    </w:p>
  </w:footnote>
  <w:footnote w:id="14">
    <w:p w14:paraId="10CE9DC0" w14:textId="48277909" w:rsidR="00700667" w:rsidRPr="00FE4536" w:rsidRDefault="00700667">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 xml:space="preserve">Babbie, </w:t>
      </w:r>
      <w:r w:rsidRPr="00FE4536">
        <w:rPr>
          <w:rFonts w:ascii="Garamond" w:hAnsi="Garamond"/>
          <w:i/>
          <w:iCs/>
        </w:rPr>
        <w:t>The Practice of Social Research</w:t>
      </w:r>
      <w:r w:rsidRPr="00FE4536">
        <w:rPr>
          <w:rFonts w:ascii="Garamond" w:hAnsi="Garamond"/>
        </w:rPr>
        <w:t xml:space="preserve">, pp. 45ss (between commas in the original); and Bryman, </w:t>
      </w:r>
      <w:r w:rsidRPr="00FE4536">
        <w:rPr>
          <w:rFonts w:ascii="Garamond" w:hAnsi="Garamond"/>
          <w:i/>
          <w:iCs/>
        </w:rPr>
        <w:t>Quantity and Quality in Social Research</w:t>
      </w:r>
      <w:r w:rsidRPr="00FE4536">
        <w:rPr>
          <w:rFonts w:ascii="Garamond" w:hAnsi="Garamond"/>
        </w:rPr>
        <w:t>, p. 20.</w:t>
      </w:r>
    </w:p>
  </w:footnote>
  <w:footnote w:id="15">
    <w:p w14:paraId="79A21865" w14:textId="2C9A7FE1" w:rsidR="00700667" w:rsidRPr="00FE4536" w:rsidRDefault="00700667">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 xml:space="preserve">Walter and Waterhouse, </w:t>
      </w:r>
      <w:r w:rsidRPr="00FE4536">
        <w:rPr>
          <w:rFonts w:ascii="Garamond" w:hAnsi="Garamond"/>
          <w:i/>
          <w:iCs/>
        </w:rPr>
        <w:t>A Very Private Belief</w:t>
      </w:r>
      <w:r w:rsidRPr="00FE4536">
        <w:rPr>
          <w:rFonts w:ascii="Garamond" w:hAnsi="Garamond"/>
        </w:rPr>
        <w:t xml:space="preserve">, p. </w:t>
      </w:r>
      <w:r w:rsidRPr="00FE4536">
        <w:rPr>
          <w:rFonts w:ascii="Garamond" w:hAnsi="Garamond"/>
        </w:rPr>
        <w:t>187, 189</w:t>
      </w:r>
      <w:r w:rsidRPr="00FE4536">
        <w:rPr>
          <w:rFonts w:ascii="Garamond" w:hAnsi="Garamond"/>
        </w:rPr>
        <w:t>.</w:t>
      </w:r>
    </w:p>
  </w:footnote>
  <w:footnote w:id="16">
    <w:p w14:paraId="49B8B6D8" w14:textId="4053CFC7" w:rsidR="00700667" w:rsidRPr="00FE4536" w:rsidRDefault="00700667">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 xml:space="preserve">Walter and Waterhouse, </w:t>
      </w:r>
      <w:r w:rsidRPr="00FE4536">
        <w:rPr>
          <w:rFonts w:ascii="Garamond" w:hAnsi="Garamond"/>
          <w:i/>
          <w:iCs/>
        </w:rPr>
        <w:t>A Very Private Belief</w:t>
      </w:r>
      <w:r w:rsidRPr="00FE4536">
        <w:rPr>
          <w:rFonts w:ascii="Garamond" w:hAnsi="Garamond"/>
        </w:rPr>
        <w:t>, p. 1</w:t>
      </w:r>
      <w:r w:rsidRPr="00FE4536">
        <w:rPr>
          <w:rFonts w:ascii="Garamond" w:hAnsi="Garamond"/>
        </w:rPr>
        <w:t>89.</w:t>
      </w:r>
    </w:p>
  </w:footnote>
  <w:footnote w:id="17">
    <w:p w14:paraId="6EC9D118" w14:textId="143D5757" w:rsidR="00700667" w:rsidRPr="00FE4536" w:rsidRDefault="00700667">
      <w:pPr>
        <w:pStyle w:val="Textodenotaderodap"/>
        <w:rPr>
          <w:rFonts w:ascii="Garamond" w:hAnsi="Garamond"/>
        </w:rPr>
      </w:pPr>
      <w:r w:rsidRPr="00FE4536">
        <w:rPr>
          <w:rStyle w:val="Refdenotaderodap"/>
          <w:rFonts w:ascii="Garamond" w:hAnsi="Garamond"/>
        </w:rPr>
        <w:footnoteRef/>
      </w:r>
      <w:r w:rsidRPr="00FE4536">
        <w:rPr>
          <w:rFonts w:ascii="Garamond" w:hAnsi="Garamond"/>
        </w:rPr>
        <w:t xml:space="preserve"> </w:t>
      </w:r>
      <w:r w:rsidRPr="00FE4536">
        <w:rPr>
          <w:rFonts w:ascii="Garamond" w:hAnsi="Garamond"/>
        </w:rPr>
        <w:t>Hennink</w:t>
      </w:r>
      <w:r w:rsidRPr="00FE4536">
        <w:rPr>
          <w:rFonts w:ascii="Garamond" w:hAnsi="Garamond"/>
        </w:rPr>
        <w:t>,</w:t>
      </w:r>
      <w:r w:rsidRPr="00FE4536">
        <w:rPr>
          <w:rFonts w:ascii="Garamond" w:hAnsi="Garamond"/>
        </w:rPr>
        <w:t xml:space="preserve"> Hutter, and Baile</w:t>
      </w:r>
      <w:r w:rsidRPr="00FE4536">
        <w:rPr>
          <w:rFonts w:ascii="Garamond" w:hAnsi="Garamond"/>
        </w:rPr>
        <w:t>y,</w:t>
      </w:r>
      <w:r w:rsidRPr="00FE4536">
        <w:rPr>
          <w:rFonts w:ascii="Garamond" w:hAnsi="Garamond"/>
        </w:rPr>
        <w:t xml:space="preserve"> </w:t>
      </w:r>
      <w:r w:rsidRPr="00FE4536">
        <w:rPr>
          <w:rFonts w:ascii="Garamond" w:hAnsi="Garamond"/>
          <w:i/>
          <w:iCs/>
        </w:rPr>
        <w:t>Qualitative Research Methods</w:t>
      </w:r>
      <w:r w:rsidRPr="00FE4536">
        <w:rPr>
          <w:rFonts w:ascii="Garamond" w:hAnsi="Garamond"/>
        </w:rPr>
        <w:t>, p.16.</w:t>
      </w:r>
    </w:p>
  </w:footnote>
  <w:footnote w:id="18">
    <w:p w14:paraId="5B7FF3EC" w14:textId="0FBB08E1" w:rsidR="00700667" w:rsidRPr="00931992" w:rsidRDefault="00700667" w:rsidP="00A45445">
      <w:pPr>
        <w:jc w:val="both"/>
        <w:rPr>
          <w:rFonts w:ascii="Garamond" w:hAnsi="Garamond"/>
          <w:sz w:val="20"/>
          <w:szCs w:val="20"/>
        </w:rPr>
      </w:pPr>
      <w:r w:rsidRPr="00931992">
        <w:rPr>
          <w:rStyle w:val="Refdenotaderodap"/>
          <w:rFonts w:ascii="Garamond" w:hAnsi="Garamond"/>
          <w:sz w:val="20"/>
          <w:szCs w:val="20"/>
        </w:rPr>
        <w:footnoteRef/>
      </w:r>
      <w:r w:rsidRPr="00931992">
        <w:rPr>
          <w:rFonts w:ascii="Garamond" w:hAnsi="Garamond"/>
          <w:sz w:val="20"/>
          <w:szCs w:val="20"/>
        </w:rPr>
        <w:t xml:space="preserve"> </w:t>
      </w:r>
      <w:r w:rsidR="00A45445" w:rsidRPr="00931992">
        <w:rPr>
          <w:rFonts w:ascii="Garamond" w:hAnsi="Garamond"/>
          <w:sz w:val="20"/>
          <w:szCs w:val="20"/>
        </w:rPr>
        <w:t>J. R</w:t>
      </w:r>
      <w:r w:rsidR="00A45445" w:rsidRPr="00931992">
        <w:rPr>
          <w:rFonts w:ascii="Garamond" w:hAnsi="Garamond"/>
          <w:sz w:val="20"/>
          <w:szCs w:val="20"/>
        </w:rPr>
        <w:t xml:space="preserve">owley, </w:t>
      </w:r>
      <w:r w:rsidR="00A45445" w:rsidRPr="00931992">
        <w:rPr>
          <w:rFonts w:ascii="Garamond" w:hAnsi="Garamond"/>
          <w:i/>
          <w:iCs/>
          <w:sz w:val="20"/>
          <w:szCs w:val="20"/>
        </w:rPr>
        <w:t>Designing and Using Research Questionnaires</w:t>
      </w:r>
      <w:r w:rsidR="00A45445" w:rsidRPr="00931992">
        <w:rPr>
          <w:rFonts w:ascii="Garamond" w:hAnsi="Garamond"/>
          <w:sz w:val="20"/>
          <w:szCs w:val="20"/>
        </w:rPr>
        <w:t xml:space="preserve"> (2014)</w:t>
      </w:r>
      <w:r w:rsidR="00A45445" w:rsidRPr="00931992">
        <w:rPr>
          <w:rFonts w:ascii="Garamond" w:hAnsi="Garamond"/>
          <w:sz w:val="20"/>
          <w:szCs w:val="20"/>
        </w:rPr>
        <w:t xml:space="preserve">, </w:t>
      </w:r>
      <w:r w:rsidRPr="00931992">
        <w:rPr>
          <w:rFonts w:ascii="Garamond" w:hAnsi="Garamond"/>
          <w:sz w:val="20"/>
          <w:szCs w:val="20"/>
        </w:rPr>
        <w:t>p. 4.</w:t>
      </w:r>
    </w:p>
  </w:footnote>
  <w:footnote w:id="19">
    <w:p w14:paraId="43859CB6" w14:textId="15506460" w:rsidR="00A45445" w:rsidRPr="00931992" w:rsidRDefault="00A45445">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Hennink, Hutter, and Bailey, </w:t>
      </w:r>
      <w:r w:rsidRPr="00931992">
        <w:rPr>
          <w:rFonts w:ascii="Garamond" w:hAnsi="Garamond"/>
          <w:i/>
          <w:iCs/>
        </w:rPr>
        <w:t>Qualitative Research Methods</w:t>
      </w:r>
      <w:r w:rsidRPr="00931992">
        <w:rPr>
          <w:rFonts w:ascii="Garamond" w:hAnsi="Garamond"/>
        </w:rPr>
        <w:t>, p.1</w:t>
      </w:r>
      <w:r w:rsidRPr="00931992">
        <w:rPr>
          <w:rFonts w:ascii="Garamond" w:hAnsi="Garamond"/>
        </w:rPr>
        <w:t>1</w:t>
      </w:r>
      <w:r w:rsidRPr="00931992">
        <w:rPr>
          <w:rFonts w:ascii="Garamond" w:hAnsi="Garamond"/>
        </w:rPr>
        <w:t>6.</w:t>
      </w:r>
    </w:p>
  </w:footnote>
  <w:footnote w:id="20">
    <w:p w14:paraId="666CCD86" w14:textId="5E305727" w:rsidR="00A45445" w:rsidRPr="00931992" w:rsidRDefault="00A45445" w:rsidP="00A45445">
      <w:pPr>
        <w:jc w:val="both"/>
        <w:rPr>
          <w:rFonts w:ascii="Garamond" w:hAnsi="Garamond"/>
          <w:sz w:val="20"/>
          <w:szCs w:val="20"/>
        </w:rPr>
      </w:pPr>
      <w:r w:rsidRPr="00931992">
        <w:rPr>
          <w:rStyle w:val="Refdenotaderodap"/>
          <w:rFonts w:ascii="Garamond" w:hAnsi="Garamond"/>
          <w:sz w:val="20"/>
          <w:szCs w:val="20"/>
        </w:rPr>
        <w:footnoteRef/>
      </w:r>
      <w:r w:rsidRPr="00931992">
        <w:rPr>
          <w:rFonts w:ascii="Garamond" w:hAnsi="Garamond"/>
          <w:sz w:val="20"/>
          <w:szCs w:val="20"/>
        </w:rPr>
        <w:t xml:space="preserve"> </w:t>
      </w:r>
      <w:r w:rsidRPr="00931992">
        <w:rPr>
          <w:rFonts w:ascii="Garamond" w:hAnsi="Garamond"/>
          <w:sz w:val="20"/>
          <w:szCs w:val="20"/>
        </w:rPr>
        <w:t xml:space="preserve">Bell, Judith, and Waters, Stephen, </w:t>
      </w:r>
      <w:r w:rsidRPr="00931992">
        <w:rPr>
          <w:rFonts w:ascii="Garamond" w:hAnsi="Garamond"/>
          <w:i/>
          <w:iCs/>
          <w:sz w:val="20"/>
          <w:szCs w:val="20"/>
        </w:rPr>
        <w:t>Doing Your Research Project</w:t>
      </w:r>
      <w:r w:rsidRPr="00931992">
        <w:rPr>
          <w:rFonts w:ascii="Garamond" w:hAnsi="Garamond"/>
          <w:sz w:val="20"/>
          <w:szCs w:val="20"/>
        </w:rPr>
        <w:t xml:space="preserve"> (New York, Open University Press/McGraw-Hill, 2017)</w:t>
      </w:r>
      <w:r w:rsidRPr="00931992">
        <w:rPr>
          <w:rFonts w:ascii="Garamond" w:hAnsi="Garamond"/>
          <w:sz w:val="20"/>
          <w:szCs w:val="20"/>
        </w:rPr>
        <w:t>, p.214</w:t>
      </w:r>
    </w:p>
  </w:footnote>
  <w:footnote w:id="21">
    <w:p w14:paraId="70A40719" w14:textId="7F8C6342" w:rsidR="00A45445" w:rsidRPr="00931992" w:rsidRDefault="00A45445">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Brink, </w:t>
      </w:r>
      <w:r w:rsidRPr="00931992">
        <w:rPr>
          <w:rFonts w:ascii="Garamond" w:hAnsi="Garamond"/>
          <w:i/>
          <w:iCs/>
        </w:rPr>
        <w:t>Inconsistency of Belief among Roman Catholic Girls</w:t>
      </w:r>
      <w:r w:rsidRPr="00931992">
        <w:rPr>
          <w:rFonts w:ascii="Garamond" w:hAnsi="Garamond"/>
        </w:rPr>
        <w:t>, p. 8</w:t>
      </w:r>
      <w:r w:rsidRPr="00931992">
        <w:rPr>
          <w:rFonts w:ascii="Garamond" w:hAnsi="Garamond"/>
        </w:rPr>
        <w:t>4</w:t>
      </w:r>
      <w:r w:rsidRPr="00931992">
        <w:rPr>
          <w:rFonts w:ascii="Garamond" w:hAnsi="Garamond"/>
        </w:rPr>
        <w:t>.</w:t>
      </w:r>
    </w:p>
  </w:footnote>
  <w:footnote w:id="22">
    <w:p w14:paraId="0243FE37" w14:textId="47C8D0FD" w:rsidR="00A45445" w:rsidRPr="00931992" w:rsidRDefault="00A45445">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Brink, </w:t>
      </w:r>
      <w:r w:rsidRPr="00931992">
        <w:rPr>
          <w:rFonts w:ascii="Garamond" w:hAnsi="Garamond"/>
          <w:i/>
          <w:iCs/>
        </w:rPr>
        <w:t>Inconsistency of Belief among Roman Catholic Girls</w:t>
      </w:r>
      <w:r w:rsidRPr="00931992">
        <w:rPr>
          <w:rFonts w:ascii="Garamond" w:hAnsi="Garamond"/>
        </w:rPr>
        <w:t>, p. 8</w:t>
      </w:r>
      <w:r w:rsidRPr="00931992">
        <w:rPr>
          <w:rFonts w:ascii="Garamond" w:hAnsi="Garamond"/>
        </w:rPr>
        <w:t>4</w:t>
      </w:r>
      <w:r w:rsidRPr="00931992">
        <w:rPr>
          <w:rFonts w:ascii="Garamond" w:hAnsi="Garamond"/>
        </w:rPr>
        <w:t>.</w:t>
      </w:r>
    </w:p>
  </w:footnote>
  <w:footnote w:id="23">
    <w:p w14:paraId="4FC79381" w14:textId="3C1B5A37" w:rsidR="00A45445" w:rsidRPr="00931992" w:rsidRDefault="00A45445">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Brink, </w:t>
      </w:r>
      <w:r w:rsidRPr="00931992">
        <w:rPr>
          <w:rFonts w:ascii="Garamond" w:hAnsi="Garamond"/>
          <w:i/>
          <w:iCs/>
        </w:rPr>
        <w:t>Inconsistency of Belief among Roman Catholic Girls</w:t>
      </w:r>
      <w:r w:rsidRPr="00931992">
        <w:rPr>
          <w:rFonts w:ascii="Garamond" w:hAnsi="Garamond"/>
        </w:rPr>
        <w:t>, p. 8</w:t>
      </w:r>
      <w:r w:rsidRPr="00931992">
        <w:rPr>
          <w:rFonts w:ascii="Garamond" w:hAnsi="Garamond"/>
        </w:rPr>
        <w:t>4</w:t>
      </w:r>
      <w:r w:rsidRPr="00931992">
        <w:rPr>
          <w:rFonts w:ascii="Garamond" w:hAnsi="Garamond"/>
        </w:rPr>
        <w:t>.</w:t>
      </w:r>
    </w:p>
  </w:footnote>
  <w:footnote w:id="24">
    <w:p w14:paraId="24FB41F7" w14:textId="121B4169" w:rsidR="00A45445" w:rsidRPr="00931992" w:rsidRDefault="00A45445">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Bryman, </w:t>
      </w:r>
      <w:r w:rsidRPr="00931992">
        <w:rPr>
          <w:rFonts w:ascii="Garamond" w:hAnsi="Garamond"/>
          <w:i/>
          <w:iCs/>
        </w:rPr>
        <w:t>Quantity and Quality in Social Research</w:t>
      </w:r>
      <w:r w:rsidRPr="00931992">
        <w:rPr>
          <w:rFonts w:ascii="Garamond" w:hAnsi="Garamond"/>
        </w:rPr>
        <w:t>, p.</w:t>
      </w:r>
      <w:r w:rsidR="0004347D" w:rsidRPr="00931992">
        <w:rPr>
          <w:rFonts w:ascii="Garamond" w:hAnsi="Garamond"/>
        </w:rPr>
        <w:t xml:space="preserve"> 95</w:t>
      </w:r>
      <w:r w:rsidRPr="00931992">
        <w:rPr>
          <w:rFonts w:ascii="Garamond" w:hAnsi="Garamond"/>
        </w:rPr>
        <w:t>.</w:t>
      </w:r>
    </w:p>
  </w:footnote>
  <w:footnote w:id="25">
    <w:p w14:paraId="26251C2B" w14:textId="3AA909B3" w:rsidR="0004347D" w:rsidRPr="00931992" w:rsidRDefault="0004347D" w:rsidP="0004347D">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Walter and Waterhouse, </w:t>
      </w:r>
      <w:r w:rsidRPr="00931992">
        <w:rPr>
          <w:rFonts w:ascii="Garamond" w:hAnsi="Garamond"/>
          <w:i/>
          <w:iCs/>
        </w:rPr>
        <w:t>A Very Private Belief</w:t>
      </w:r>
      <w:r w:rsidRPr="00931992">
        <w:rPr>
          <w:rFonts w:ascii="Garamond" w:hAnsi="Garamond"/>
        </w:rPr>
        <w:t>, p. 19</w:t>
      </w:r>
      <w:r w:rsidRPr="00931992">
        <w:rPr>
          <w:rFonts w:ascii="Garamond" w:hAnsi="Garamond"/>
        </w:rPr>
        <w:t>1,192</w:t>
      </w:r>
      <w:r w:rsidRPr="00931992">
        <w:rPr>
          <w:rFonts w:ascii="Garamond" w:hAnsi="Garamond"/>
        </w:rPr>
        <w:t>.</w:t>
      </w:r>
    </w:p>
  </w:footnote>
  <w:footnote w:id="26">
    <w:p w14:paraId="097E5B83" w14:textId="12DFCDA3" w:rsidR="0004347D" w:rsidRPr="00931992" w:rsidRDefault="0004347D">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Walter and Waterhouse, </w:t>
      </w:r>
      <w:r w:rsidRPr="00931992">
        <w:rPr>
          <w:rFonts w:ascii="Garamond" w:hAnsi="Garamond"/>
          <w:i/>
          <w:iCs/>
        </w:rPr>
        <w:t>A Very Private Belief</w:t>
      </w:r>
      <w:r w:rsidRPr="00931992">
        <w:rPr>
          <w:rFonts w:ascii="Garamond" w:hAnsi="Garamond"/>
        </w:rPr>
        <w:t>, p. 1</w:t>
      </w:r>
      <w:r w:rsidRPr="00931992">
        <w:rPr>
          <w:rFonts w:ascii="Garamond" w:hAnsi="Garamond"/>
        </w:rPr>
        <w:t>96</w:t>
      </w:r>
      <w:r w:rsidRPr="00931992">
        <w:rPr>
          <w:rFonts w:ascii="Garamond" w:hAnsi="Garamond"/>
        </w:rPr>
        <w:t>.</w:t>
      </w:r>
    </w:p>
  </w:footnote>
  <w:footnote w:id="27">
    <w:p w14:paraId="6BC7B6FA" w14:textId="4C57CDCF" w:rsidR="0004347D" w:rsidRPr="00931992" w:rsidRDefault="0004347D">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Bryman, </w:t>
      </w:r>
      <w:r w:rsidRPr="00931992">
        <w:rPr>
          <w:rFonts w:ascii="Garamond" w:hAnsi="Garamond"/>
          <w:i/>
          <w:iCs/>
        </w:rPr>
        <w:t>Quantity and Quality in Social Research</w:t>
      </w:r>
      <w:r w:rsidRPr="00931992">
        <w:rPr>
          <w:rFonts w:ascii="Garamond" w:hAnsi="Garamond"/>
        </w:rPr>
        <w:t xml:space="preserve">, p. </w:t>
      </w:r>
      <w:r w:rsidRPr="00931992">
        <w:rPr>
          <w:rFonts w:ascii="Garamond" w:hAnsi="Garamond"/>
        </w:rPr>
        <w:t>35</w:t>
      </w:r>
      <w:r w:rsidRPr="00931992">
        <w:rPr>
          <w:rFonts w:ascii="Garamond" w:hAnsi="Garamond"/>
        </w:rPr>
        <w:t>.</w:t>
      </w:r>
    </w:p>
  </w:footnote>
  <w:footnote w:id="28">
    <w:p w14:paraId="3312A0AD" w14:textId="0FA1F600" w:rsidR="0004347D" w:rsidRPr="00931992" w:rsidRDefault="0004347D">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Brink, </w:t>
      </w:r>
      <w:r w:rsidRPr="00931992">
        <w:rPr>
          <w:rFonts w:ascii="Garamond" w:hAnsi="Garamond"/>
          <w:i/>
          <w:iCs/>
        </w:rPr>
        <w:t>Inconsistency of Belief among Roman Catholic Girls</w:t>
      </w:r>
      <w:r w:rsidRPr="00931992">
        <w:rPr>
          <w:rFonts w:ascii="Garamond" w:hAnsi="Garamond"/>
        </w:rPr>
        <w:t xml:space="preserve">, p. </w:t>
      </w:r>
      <w:r w:rsidRPr="00931992">
        <w:rPr>
          <w:rFonts w:ascii="Garamond" w:hAnsi="Garamond"/>
        </w:rPr>
        <w:t>83.</w:t>
      </w:r>
    </w:p>
  </w:footnote>
  <w:footnote w:id="29">
    <w:p w14:paraId="17A9EE09" w14:textId="04020F1C" w:rsidR="0004347D" w:rsidRPr="00931992" w:rsidRDefault="0004347D">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Bryman, </w:t>
      </w:r>
      <w:r w:rsidRPr="00931992">
        <w:rPr>
          <w:rFonts w:ascii="Garamond" w:hAnsi="Garamond"/>
          <w:i/>
          <w:iCs/>
        </w:rPr>
        <w:t>Quantity and Quality in Social Research</w:t>
      </w:r>
      <w:r w:rsidRPr="00931992">
        <w:rPr>
          <w:rFonts w:ascii="Garamond" w:hAnsi="Garamond"/>
        </w:rPr>
        <w:t xml:space="preserve">, p. </w:t>
      </w:r>
      <w:r w:rsidRPr="00931992">
        <w:rPr>
          <w:rFonts w:ascii="Garamond" w:hAnsi="Garamond"/>
        </w:rPr>
        <w:t>40.</w:t>
      </w:r>
    </w:p>
  </w:footnote>
  <w:footnote w:id="30">
    <w:p w14:paraId="3C451C03" w14:textId="55140E6D" w:rsidR="00445DB5" w:rsidRPr="00931992" w:rsidRDefault="00445DB5" w:rsidP="00445DB5">
      <w:pPr>
        <w:jc w:val="both"/>
        <w:rPr>
          <w:rFonts w:ascii="Garamond" w:hAnsi="Garamond"/>
          <w:sz w:val="20"/>
          <w:szCs w:val="20"/>
        </w:rPr>
      </w:pPr>
      <w:r w:rsidRPr="00931992">
        <w:rPr>
          <w:rStyle w:val="Refdenotaderodap"/>
          <w:rFonts w:ascii="Garamond" w:hAnsi="Garamond"/>
          <w:sz w:val="20"/>
          <w:szCs w:val="20"/>
        </w:rPr>
        <w:footnoteRef/>
      </w:r>
      <w:r w:rsidRPr="00931992">
        <w:rPr>
          <w:rFonts w:ascii="Garamond" w:hAnsi="Garamond"/>
          <w:sz w:val="20"/>
          <w:szCs w:val="20"/>
        </w:rPr>
        <w:t xml:space="preserve"> </w:t>
      </w:r>
      <w:r w:rsidRPr="00931992">
        <w:rPr>
          <w:rFonts w:ascii="Garamond" w:hAnsi="Garamond"/>
          <w:sz w:val="20"/>
          <w:szCs w:val="20"/>
        </w:rPr>
        <w:t xml:space="preserve">Roger Evered and Meryl Reis Louis, Alternatives Perspectives in the Organizational Sciences: “Inquiry from the inside” and “Inquiry from the outside”, </w:t>
      </w:r>
      <w:r w:rsidRPr="00931992">
        <w:rPr>
          <w:rFonts w:ascii="Garamond" w:hAnsi="Garamond"/>
          <w:i/>
          <w:iCs/>
          <w:sz w:val="20"/>
          <w:szCs w:val="20"/>
        </w:rPr>
        <w:t>The Academy of management Review</w:t>
      </w:r>
      <w:r w:rsidRPr="00931992">
        <w:rPr>
          <w:rFonts w:ascii="Garamond" w:hAnsi="Garamond"/>
          <w:sz w:val="20"/>
          <w:szCs w:val="20"/>
        </w:rPr>
        <w:t>, 6.3 (1981), 385-395</w:t>
      </w:r>
      <w:r w:rsidRPr="00931992">
        <w:rPr>
          <w:rFonts w:ascii="Garamond" w:hAnsi="Garamond"/>
          <w:sz w:val="20"/>
          <w:szCs w:val="20"/>
        </w:rPr>
        <w:t>, p. 388.</w:t>
      </w:r>
    </w:p>
  </w:footnote>
  <w:footnote w:id="31">
    <w:p w14:paraId="54FE4B2E" w14:textId="1AEB31C5" w:rsidR="00445DB5" w:rsidRPr="00931992" w:rsidRDefault="00445DB5" w:rsidP="00445DB5">
      <w:pPr>
        <w:rPr>
          <w:rFonts w:ascii="Garamond" w:hAnsi="Garamond"/>
          <w:sz w:val="20"/>
          <w:szCs w:val="20"/>
        </w:rPr>
      </w:pPr>
      <w:r w:rsidRPr="00931992">
        <w:rPr>
          <w:rStyle w:val="Refdenotaderodap"/>
          <w:rFonts w:ascii="Garamond" w:hAnsi="Garamond"/>
          <w:sz w:val="20"/>
          <w:szCs w:val="20"/>
        </w:rPr>
        <w:footnoteRef/>
      </w:r>
      <w:r w:rsidRPr="00931992">
        <w:rPr>
          <w:rFonts w:ascii="Garamond" w:hAnsi="Garamond"/>
          <w:sz w:val="20"/>
          <w:szCs w:val="20"/>
        </w:rPr>
        <w:t xml:space="preserve"> </w:t>
      </w:r>
      <w:r w:rsidRPr="00931992">
        <w:rPr>
          <w:rFonts w:ascii="Garamond" w:hAnsi="Garamond"/>
          <w:sz w:val="20"/>
          <w:szCs w:val="20"/>
        </w:rPr>
        <w:t>Marlize</w:t>
      </w:r>
      <w:r w:rsidRPr="00931992">
        <w:rPr>
          <w:rFonts w:ascii="Garamond" w:hAnsi="Garamond"/>
          <w:sz w:val="20"/>
          <w:szCs w:val="20"/>
        </w:rPr>
        <w:t xml:space="preserve"> </w:t>
      </w:r>
      <w:r w:rsidRPr="00931992">
        <w:rPr>
          <w:rFonts w:ascii="Garamond" w:hAnsi="Garamond"/>
          <w:sz w:val="20"/>
          <w:szCs w:val="20"/>
        </w:rPr>
        <w:t xml:space="preserve">Rabe, Revisiting ‘insiders’ and ‘outsiders’ as social researchers, </w:t>
      </w:r>
      <w:r w:rsidRPr="00931992">
        <w:rPr>
          <w:rFonts w:ascii="Garamond" w:hAnsi="Garamond"/>
          <w:i/>
          <w:iCs/>
          <w:sz w:val="20"/>
          <w:szCs w:val="20"/>
        </w:rPr>
        <w:t>African Sociological Review</w:t>
      </w:r>
      <w:r w:rsidRPr="00931992">
        <w:rPr>
          <w:rFonts w:ascii="Garamond" w:hAnsi="Garamond"/>
          <w:sz w:val="20"/>
          <w:szCs w:val="20"/>
        </w:rPr>
        <w:t>, 7.2 (2003), 149-161</w:t>
      </w:r>
      <w:r w:rsidRPr="00931992">
        <w:rPr>
          <w:rFonts w:ascii="Garamond" w:hAnsi="Garamond"/>
          <w:sz w:val="20"/>
          <w:szCs w:val="20"/>
        </w:rPr>
        <w:t>, p. 150.</w:t>
      </w:r>
    </w:p>
  </w:footnote>
  <w:footnote w:id="32">
    <w:p w14:paraId="3276A1EB" w14:textId="57096CDF" w:rsidR="00445DB5" w:rsidRPr="00931992" w:rsidRDefault="00445DB5">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Hennink, Hutter, and Bailey, </w:t>
      </w:r>
      <w:r w:rsidRPr="00931992">
        <w:rPr>
          <w:rFonts w:ascii="Garamond" w:hAnsi="Garamond"/>
          <w:i/>
          <w:iCs/>
        </w:rPr>
        <w:t>Qualitative Research Methods</w:t>
      </w:r>
      <w:r w:rsidRPr="00931992">
        <w:rPr>
          <w:rFonts w:ascii="Garamond" w:hAnsi="Garamond"/>
        </w:rPr>
        <w:t>, p.1</w:t>
      </w:r>
      <w:r w:rsidRPr="00931992">
        <w:rPr>
          <w:rFonts w:ascii="Garamond" w:hAnsi="Garamond"/>
        </w:rPr>
        <w:t>5-19</w:t>
      </w:r>
      <w:r w:rsidRPr="00931992">
        <w:rPr>
          <w:rFonts w:ascii="Garamond" w:hAnsi="Garamond"/>
        </w:rPr>
        <w:t>.</w:t>
      </w:r>
    </w:p>
  </w:footnote>
  <w:footnote w:id="33">
    <w:p w14:paraId="6521FCDA" w14:textId="5AD9734D" w:rsidR="00FE4536" w:rsidRPr="00931992" w:rsidRDefault="00FE4536">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Walter and Waterhouse, </w:t>
      </w:r>
      <w:r w:rsidRPr="00931992">
        <w:rPr>
          <w:rFonts w:ascii="Garamond" w:hAnsi="Garamond"/>
          <w:i/>
          <w:iCs/>
        </w:rPr>
        <w:t>A Very Private Belief</w:t>
      </w:r>
      <w:r w:rsidRPr="00931992">
        <w:rPr>
          <w:rFonts w:ascii="Garamond" w:hAnsi="Garamond"/>
        </w:rPr>
        <w:t>, p. 1</w:t>
      </w:r>
      <w:r w:rsidRPr="00931992">
        <w:rPr>
          <w:rFonts w:ascii="Garamond" w:hAnsi="Garamond"/>
        </w:rPr>
        <w:t>87, 189</w:t>
      </w:r>
      <w:r w:rsidRPr="00931992">
        <w:rPr>
          <w:rFonts w:ascii="Garamond" w:hAnsi="Garamond"/>
        </w:rPr>
        <w:t>.</w:t>
      </w:r>
    </w:p>
  </w:footnote>
  <w:footnote w:id="34">
    <w:p w14:paraId="27774451" w14:textId="762E7443" w:rsidR="00FE4536" w:rsidRPr="00931992" w:rsidRDefault="00FE4536">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 xml:space="preserve">Walter and Waterhouse, </w:t>
      </w:r>
      <w:r w:rsidRPr="00931992">
        <w:rPr>
          <w:rFonts w:ascii="Garamond" w:hAnsi="Garamond"/>
          <w:i/>
          <w:iCs/>
        </w:rPr>
        <w:t>A Very Private Belief</w:t>
      </w:r>
      <w:r w:rsidRPr="00931992">
        <w:rPr>
          <w:rFonts w:ascii="Garamond" w:hAnsi="Garamond"/>
        </w:rPr>
        <w:t>, p. 1</w:t>
      </w:r>
      <w:r w:rsidRPr="00931992">
        <w:rPr>
          <w:rFonts w:ascii="Garamond" w:hAnsi="Garamond"/>
        </w:rPr>
        <w:t>89.</w:t>
      </w:r>
    </w:p>
  </w:footnote>
  <w:footnote w:id="35">
    <w:p w14:paraId="2A03F4D4" w14:textId="718B39C6" w:rsidR="00FE4536" w:rsidRPr="00931992" w:rsidRDefault="00FE4536">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Rabe, Revisiting ‘insiders’ and ‘outsiders’ as social researchers</w:t>
      </w:r>
      <w:r w:rsidRPr="00931992">
        <w:rPr>
          <w:rFonts w:ascii="Garamond" w:hAnsi="Garamond"/>
        </w:rPr>
        <w:t>, p. 150-151.</w:t>
      </w:r>
    </w:p>
  </w:footnote>
  <w:footnote w:id="36">
    <w:p w14:paraId="469BA3D4" w14:textId="4B7F8F0F" w:rsidR="00FE4536" w:rsidRPr="00931992" w:rsidRDefault="00FE4536">
      <w:pPr>
        <w:pStyle w:val="Textodenotaderodap"/>
        <w:rPr>
          <w:rFonts w:ascii="Garamond" w:hAnsi="Garamond"/>
        </w:rPr>
      </w:pPr>
      <w:r w:rsidRPr="00931992">
        <w:rPr>
          <w:rStyle w:val="Refdenotaderodap"/>
          <w:rFonts w:ascii="Garamond" w:hAnsi="Garamond"/>
        </w:rPr>
        <w:footnoteRef/>
      </w:r>
      <w:r w:rsidRPr="00931992">
        <w:rPr>
          <w:rFonts w:ascii="Garamond" w:hAnsi="Garamond"/>
        </w:rPr>
        <w:t xml:space="preserve"> </w:t>
      </w:r>
      <w:r w:rsidRPr="00931992">
        <w:rPr>
          <w:rFonts w:ascii="Garamond" w:hAnsi="Garamond"/>
        </w:rPr>
        <w:t>Rabe, Revisiting ‘insiders’ and ‘outsiders’ as social researchers, p. 151.</w:t>
      </w:r>
    </w:p>
  </w:footnote>
  <w:footnote w:id="37">
    <w:p w14:paraId="20A5548E" w14:textId="725558B5" w:rsidR="00FE4536" w:rsidRPr="00931992" w:rsidRDefault="00FE4536" w:rsidP="00FE4536">
      <w:pPr>
        <w:rPr>
          <w:rFonts w:ascii="Garamond" w:hAnsi="Garamond"/>
          <w:sz w:val="20"/>
          <w:szCs w:val="20"/>
        </w:rPr>
      </w:pPr>
      <w:r w:rsidRPr="00931992">
        <w:rPr>
          <w:rStyle w:val="Refdenotaderodap"/>
          <w:rFonts w:ascii="Garamond" w:hAnsi="Garamond"/>
          <w:sz w:val="20"/>
          <w:szCs w:val="20"/>
        </w:rPr>
        <w:footnoteRef/>
      </w:r>
      <w:r w:rsidRPr="00931992">
        <w:rPr>
          <w:rFonts w:ascii="Garamond" w:hAnsi="Garamond"/>
          <w:sz w:val="20"/>
          <w:szCs w:val="20"/>
        </w:rPr>
        <w:t xml:space="preserve"> </w:t>
      </w:r>
      <w:r w:rsidRPr="00931992">
        <w:rPr>
          <w:rFonts w:ascii="Garamond" w:hAnsi="Garamond"/>
          <w:sz w:val="20"/>
          <w:szCs w:val="20"/>
        </w:rPr>
        <w:t>Sonya Dewer and Jennifer Buckle, The space Between: On being an insider-outsider in qualitative Research, Intenational Journal of Qualitative Methods, 54-63</w:t>
      </w:r>
      <w:r w:rsidRPr="00931992">
        <w:rPr>
          <w:rFonts w:ascii="Garamond" w:hAnsi="Garamond"/>
          <w:sz w:val="20"/>
          <w:szCs w:val="20"/>
        </w:rPr>
        <w:t>, p.61.</w:t>
      </w:r>
    </w:p>
  </w:footnote>
  <w:footnote w:id="38">
    <w:p w14:paraId="7741DFE1" w14:textId="02FC1B45" w:rsidR="00FE4536" w:rsidRPr="00931992" w:rsidRDefault="00FE4536" w:rsidP="00FE4536">
      <w:pPr>
        <w:rPr>
          <w:rFonts w:ascii="Garamond" w:hAnsi="Garamond"/>
          <w:sz w:val="20"/>
          <w:szCs w:val="20"/>
        </w:rPr>
      </w:pPr>
      <w:r w:rsidRPr="00931992">
        <w:rPr>
          <w:rStyle w:val="Refdenotaderodap"/>
          <w:rFonts w:ascii="Garamond" w:hAnsi="Garamond"/>
          <w:sz w:val="20"/>
          <w:szCs w:val="20"/>
        </w:rPr>
        <w:footnoteRef/>
      </w:r>
      <w:r w:rsidRPr="00931992">
        <w:rPr>
          <w:rFonts w:ascii="Garamond" w:hAnsi="Garamond"/>
          <w:sz w:val="20"/>
          <w:szCs w:val="20"/>
        </w:rPr>
        <w:t xml:space="preserve"> </w:t>
      </w:r>
      <w:r w:rsidRPr="00931992">
        <w:rPr>
          <w:rFonts w:ascii="Garamond" w:hAnsi="Garamond"/>
          <w:sz w:val="20"/>
          <w:szCs w:val="20"/>
        </w:rPr>
        <w:t xml:space="preserve">Dewer and Buckle, </w:t>
      </w:r>
      <w:r w:rsidRPr="00931992">
        <w:rPr>
          <w:rFonts w:ascii="Garamond" w:hAnsi="Garamond"/>
          <w:i/>
          <w:iCs/>
          <w:sz w:val="20"/>
          <w:szCs w:val="20"/>
        </w:rPr>
        <w:t>The space Between</w:t>
      </w:r>
      <w:r w:rsidR="00931992">
        <w:rPr>
          <w:rFonts w:ascii="Garamond" w:hAnsi="Garamond"/>
          <w:sz w:val="20"/>
          <w:szCs w:val="20"/>
        </w:rPr>
        <w:t>,</w:t>
      </w:r>
      <w:r w:rsidRPr="00931992">
        <w:rPr>
          <w:rFonts w:ascii="Garamond" w:hAnsi="Garamond"/>
          <w:sz w:val="20"/>
          <w:szCs w:val="20"/>
        </w:rPr>
        <w:t xml:space="preserve"> p. 61</w:t>
      </w:r>
      <w:r w:rsidRPr="00931992">
        <w:rPr>
          <w:rFonts w:ascii="Garamond" w:hAnsi="Garamond"/>
          <w:sz w:val="20"/>
          <w:szCs w:val="20"/>
        </w:rPr>
        <w:t>.</w:t>
      </w:r>
    </w:p>
    <w:p w14:paraId="428A9AEC" w14:textId="3536ADFB" w:rsidR="00FE4536" w:rsidRPr="00FE4536" w:rsidRDefault="00FE4536">
      <w:pPr>
        <w:pStyle w:val="Textodenotaderodap"/>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185F"/>
    <w:rsid w:val="00001C3B"/>
    <w:rsid w:val="000021B7"/>
    <w:rsid w:val="00004103"/>
    <w:rsid w:val="00004832"/>
    <w:rsid w:val="00013545"/>
    <w:rsid w:val="00022345"/>
    <w:rsid w:val="000237EB"/>
    <w:rsid w:val="00026363"/>
    <w:rsid w:val="00031A5D"/>
    <w:rsid w:val="00036778"/>
    <w:rsid w:val="000373DE"/>
    <w:rsid w:val="000431C3"/>
    <w:rsid w:val="0004347D"/>
    <w:rsid w:val="00043549"/>
    <w:rsid w:val="0004603E"/>
    <w:rsid w:val="00046A16"/>
    <w:rsid w:val="00047074"/>
    <w:rsid w:val="000504B7"/>
    <w:rsid w:val="00056326"/>
    <w:rsid w:val="00060F9B"/>
    <w:rsid w:val="00061D56"/>
    <w:rsid w:val="000742A5"/>
    <w:rsid w:val="00076A0B"/>
    <w:rsid w:val="00084A2D"/>
    <w:rsid w:val="000854DF"/>
    <w:rsid w:val="00092C4C"/>
    <w:rsid w:val="0009318C"/>
    <w:rsid w:val="000A1673"/>
    <w:rsid w:val="000A6D49"/>
    <w:rsid w:val="000C788D"/>
    <w:rsid w:val="000D3CA1"/>
    <w:rsid w:val="000D44BE"/>
    <w:rsid w:val="000E0938"/>
    <w:rsid w:val="000E3682"/>
    <w:rsid w:val="000E3751"/>
    <w:rsid w:val="000E3B58"/>
    <w:rsid w:val="000E7EE6"/>
    <w:rsid w:val="000F187A"/>
    <w:rsid w:val="000F2A52"/>
    <w:rsid w:val="0010199D"/>
    <w:rsid w:val="001070F2"/>
    <w:rsid w:val="001106BB"/>
    <w:rsid w:val="00111283"/>
    <w:rsid w:val="0011161A"/>
    <w:rsid w:val="001133B0"/>
    <w:rsid w:val="0011776E"/>
    <w:rsid w:val="00122C86"/>
    <w:rsid w:val="00127E4C"/>
    <w:rsid w:val="0013130F"/>
    <w:rsid w:val="0013534F"/>
    <w:rsid w:val="00142FCA"/>
    <w:rsid w:val="0014394F"/>
    <w:rsid w:val="00145D57"/>
    <w:rsid w:val="00150F9A"/>
    <w:rsid w:val="00151139"/>
    <w:rsid w:val="00154165"/>
    <w:rsid w:val="0015785D"/>
    <w:rsid w:val="00160A10"/>
    <w:rsid w:val="00162495"/>
    <w:rsid w:val="00165047"/>
    <w:rsid w:val="00172497"/>
    <w:rsid w:val="001724C9"/>
    <w:rsid w:val="00172FF4"/>
    <w:rsid w:val="00176ADC"/>
    <w:rsid w:val="00176DA4"/>
    <w:rsid w:val="00177644"/>
    <w:rsid w:val="00180050"/>
    <w:rsid w:val="001821AA"/>
    <w:rsid w:val="001A2368"/>
    <w:rsid w:val="001A47B3"/>
    <w:rsid w:val="001A5BF6"/>
    <w:rsid w:val="001A5C95"/>
    <w:rsid w:val="001B24A0"/>
    <w:rsid w:val="001B3B7D"/>
    <w:rsid w:val="001B6759"/>
    <w:rsid w:val="001B6FF8"/>
    <w:rsid w:val="001C0B52"/>
    <w:rsid w:val="001C0D1B"/>
    <w:rsid w:val="001C3DDD"/>
    <w:rsid w:val="001C3FD2"/>
    <w:rsid w:val="001C4B2D"/>
    <w:rsid w:val="001D4350"/>
    <w:rsid w:val="001D5290"/>
    <w:rsid w:val="001D7CF6"/>
    <w:rsid w:val="001E0E06"/>
    <w:rsid w:val="001F0AE3"/>
    <w:rsid w:val="001F4CE1"/>
    <w:rsid w:val="001F5861"/>
    <w:rsid w:val="00202D0E"/>
    <w:rsid w:val="002109C5"/>
    <w:rsid w:val="002132DC"/>
    <w:rsid w:val="00216211"/>
    <w:rsid w:val="00220016"/>
    <w:rsid w:val="00224B95"/>
    <w:rsid w:val="00226A95"/>
    <w:rsid w:val="00230983"/>
    <w:rsid w:val="00230F35"/>
    <w:rsid w:val="0023166E"/>
    <w:rsid w:val="002428E3"/>
    <w:rsid w:val="00245541"/>
    <w:rsid w:val="0024665B"/>
    <w:rsid w:val="00253C9F"/>
    <w:rsid w:val="0025530E"/>
    <w:rsid w:val="00255518"/>
    <w:rsid w:val="00260068"/>
    <w:rsid w:val="00262123"/>
    <w:rsid w:val="00262CE7"/>
    <w:rsid w:val="0026420B"/>
    <w:rsid w:val="0026692A"/>
    <w:rsid w:val="00270F20"/>
    <w:rsid w:val="002715FA"/>
    <w:rsid w:val="00272B5D"/>
    <w:rsid w:val="00273426"/>
    <w:rsid w:val="00273F47"/>
    <w:rsid w:val="00274195"/>
    <w:rsid w:val="00275FAA"/>
    <w:rsid w:val="00276002"/>
    <w:rsid w:val="00277421"/>
    <w:rsid w:val="00281504"/>
    <w:rsid w:val="00285864"/>
    <w:rsid w:val="00285AD0"/>
    <w:rsid w:val="00287639"/>
    <w:rsid w:val="00290783"/>
    <w:rsid w:val="0029156F"/>
    <w:rsid w:val="00293293"/>
    <w:rsid w:val="00295494"/>
    <w:rsid w:val="00297651"/>
    <w:rsid w:val="002A342C"/>
    <w:rsid w:val="002A4954"/>
    <w:rsid w:val="002A4BC4"/>
    <w:rsid w:val="002B290C"/>
    <w:rsid w:val="002B296E"/>
    <w:rsid w:val="002B37A4"/>
    <w:rsid w:val="002B3A32"/>
    <w:rsid w:val="002B3B96"/>
    <w:rsid w:val="002C0D6B"/>
    <w:rsid w:val="002C489C"/>
    <w:rsid w:val="002C71BA"/>
    <w:rsid w:val="002D0096"/>
    <w:rsid w:val="002D0C28"/>
    <w:rsid w:val="002D2A04"/>
    <w:rsid w:val="002D64E1"/>
    <w:rsid w:val="002E29CD"/>
    <w:rsid w:val="002E2BA0"/>
    <w:rsid w:val="002E51A3"/>
    <w:rsid w:val="002E52BB"/>
    <w:rsid w:val="002E59A0"/>
    <w:rsid w:val="002E67CE"/>
    <w:rsid w:val="002E6A77"/>
    <w:rsid w:val="002F105F"/>
    <w:rsid w:val="002F1475"/>
    <w:rsid w:val="002F37C1"/>
    <w:rsid w:val="002F394C"/>
    <w:rsid w:val="002F467C"/>
    <w:rsid w:val="002F6812"/>
    <w:rsid w:val="002F73DD"/>
    <w:rsid w:val="00301DFB"/>
    <w:rsid w:val="003035C4"/>
    <w:rsid w:val="0030504B"/>
    <w:rsid w:val="00305185"/>
    <w:rsid w:val="00307B22"/>
    <w:rsid w:val="00313498"/>
    <w:rsid w:val="00316376"/>
    <w:rsid w:val="00321901"/>
    <w:rsid w:val="00321E8E"/>
    <w:rsid w:val="00322FC1"/>
    <w:rsid w:val="00326631"/>
    <w:rsid w:val="0033179F"/>
    <w:rsid w:val="00333B25"/>
    <w:rsid w:val="00337A70"/>
    <w:rsid w:val="00341D2F"/>
    <w:rsid w:val="00345114"/>
    <w:rsid w:val="00351F4B"/>
    <w:rsid w:val="00351F83"/>
    <w:rsid w:val="00361EF1"/>
    <w:rsid w:val="00363BFD"/>
    <w:rsid w:val="00367626"/>
    <w:rsid w:val="00371670"/>
    <w:rsid w:val="003757A0"/>
    <w:rsid w:val="0038321D"/>
    <w:rsid w:val="0038342D"/>
    <w:rsid w:val="00387366"/>
    <w:rsid w:val="00394949"/>
    <w:rsid w:val="00394EA0"/>
    <w:rsid w:val="003A0D6A"/>
    <w:rsid w:val="003B3DEE"/>
    <w:rsid w:val="003B766A"/>
    <w:rsid w:val="003C04EC"/>
    <w:rsid w:val="003C2E54"/>
    <w:rsid w:val="003C3F4F"/>
    <w:rsid w:val="003C4B4A"/>
    <w:rsid w:val="003C521B"/>
    <w:rsid w:val="003C68C0"/>
    <w:rsid w:val="003C6A37"/>
    <w:rsid w:val="003C7F6F"/>
    <w:rsid w:val="003D093E"/>
    <w:rsid w:val="003D5C39"/>
    <w:rsid w:val="003D6255"/>
    <w:rsid w:val="003E0082"/>
    <w:rsid w:val="003E08F3"/>
    <w:rsid w:val="003E22D6"/>
    <w:rsid w:val="003F0AD2"/>
    <w:rsid w:val="003F3BDA"/>
    <w:rsid w:val="003F709B"/>
    <w:rsid w:val="003F737B"/>
    <w:rsid w:val="0040244A"/>
    <w:rsid w:val="00402DB0"/>
    <w:rsid w:val="0040732D"/>
    <w:rsid w:val="004134D9"/>
    <w:rsid w:val="004200C3"/>
    <w:rsid w:val="004250DD"/>
    <w:rsid w:val="00434ABB"/>
    <w:rsid w:val="0043758C"/>
    <w:rsid w:val="004379B3"/>
    <w:rsid w:val="0044129B"/>
    <w:rsid w:val="00445DB5"/>
    <w:rsid w:val="00447497"/>
    <w:rsid w:val="0045013E"/>
    <w:rsid w:val="00454A4A"/>
    <w:rsid w:val="0045552A"/>
    <w:rsid w:val="00460A5C"/>
    <w:rsid w:val="004627BA"/>
    <w:rsid w:val="0046720E"/>
    <w:rsid w:val="004724D6"/>
    <w:rsid w:val="00475C78"/>
    <w:rsid w:val="00476864"/>
    <w:rsid w:val="004838D5"/>
    <w:rsid w:val="00496C61"/>
    <w:rsid w:val="0049742D"/>
    <w:rsid w:val="004A024B"/>
    <w:rsid w:val="004A0839"/>
    <w:rsid w:val="004A3A79"/>
    <w:rsid w:val="004A6D21"/>
    <w:rsid w:val="004A748A"/>
    <w:rsid w:val="004B490B"/>
    <w:rsid w:val="004B73BA"/>
    <w:rsid w:val="004C3684"/>
    <w:rsid w:val="004C5544"/>
    <w:rsid w:val="004C79CE"/>
    <w:rsid w:val="004D28B0"/>
    <w:rsid w:val="004D5700"/>
    <w:rsid w:val="004E1DB6"/>
    <w:rsid w:val="004F10CF"/>
    <w:rsid w:val="004F2976"/>
    <w:rsid w:val="004F2B31"/>
    <w:rsid w:val="00502AB6"/>
    <w:rsid w:val="00503C7E"/>
    <w:rsid w:val="00504999"/>
    <w:rsid w:val="00507272"/>
    <w:rsid w:val="005103C6"/>
    <w:rsid w:val="00521E0F"/>
    <w:rsid w:val="0052507E"/>
    <w:rsid w:val="0052578B"/>
    <w:rsid w:val="005269D6"/>
    <w:rsid w:val="0053064F"/>
    <w:rsid w:val="00531109"/>
    <w:rsid w:val="00536320"/>
    <w:rsid w:val="00537B4C"/>
    <w:rsid w:val="005404EC"/>
    <w:rsid w:val="005429EF"/>
    <w:rsid w:val="00547C37"/>
    <w:rsid w:val="005525EB"/>
    <w:rsid w:val="005538A6"/>
    <w:rsid w:val="0055426D"/>
    <w:rsid w:val="005623D3"/>
    <w:rsid w:val="005627D4"/>
    <w:rsid w:val="005629A6"/>
    <w:rsid w:val="00566558"/>
    <w:rsid w:val="00570EF6"/>
    <w:rsid w:val="00573B91"/>
    <w:rsid w:val="0057776B"/>
    <w:rsid w:val="00577A02"/>
    <w:rsid w:val="005811AF"/>
    <w:rsid w:val="00584237"/>
    <w:rsid w:val="00586D84"/>
    <w:rsid w:val="0058726A"/>
    <w:rsid w:val="00590E9A"/>
    <w:rsid w:val="005914B9"/>
    <w:rsid w:val="00591702"/>
    <w:rsid w:val="005942E9"/>
    <w:rsid w:val="005A3C82"/>
    <w:rsid w:val="005B2492"/>
    <w:rsid w:val="005B3821"/>
    <w:rsid w:val="005C001A"/>
    <w:rsid w:val="005C6560"/>
    <w:rsid w:val="005D154F"/>
    <w:rsid w:val="005D2277"/>
    <w:rsid w:val="005D3B22"/>
    <w:rsid w:val="005D5EDB"/>
    <w:rsid w:val="005D7DCD"/>
    <w:rsid w:val="005E3DE1"/>
    <w:rsid w:val="005E4F7A"/>
    <w:rsid w:val="005F01DE"/>
    <w:rsid w:val="005F5BF6"/>
    <w:rsid w:val="005F61DB"/>
    <w:rsid w:val="005F64D5"/>
    <w:rsid w:val="005F7A2D"/>
    <w:rsid w:val="006027F8"/>
    <w:rsid w:val="006055EC"/>
    <w:rsid w:val="00605F5D"/>
    <w:rsid w:val="00610318"/>
    <w:rsid w:val="006129AB"/>
    <w:rsid w:val="006140EB"/>
    <w:rsid w:val="00614B7E"/>
    <w:rsid w:val="00617898"/>
    <w:rsid w:val="00621642"/>
    <w:rsid w:val="00623431"/>
    <w:rsid w:val="0062367B"/>
    <w:rsid w:val="0062385A"/>
    <w:rsid w:val="00624EE1"/>
    <w:rsid w:val="00632937"/>
    <w:rsid w:val="0063427F"/>
    <w:rsid w:val="006351B1"/>
    <w:rsid w:val="00637BD3"/>
    <w:rsid w:val="0064341C"/>
    <w:rsid w:val="00645A8A"/>
    <w:rsid w:val="006517D7"/>
    <w:rsid w:val="00653F42"/>
    <w:rsid w:val="006557BD"/>
    <w:rsid w:val="006558B9"/>
    <w:rsid w:val="0065654E"/>
    <w:rsid w:val="00657941"/>
    <w:rsid w:val="006605EF"/>
    <w:rsid w:val="00662A40"/>
    <w:rsid w:val="006779F6"/>
    <w:rsid w:val="006805EC"/>
    <w:rsid w:val="00682AF0"/>
    <w:rsid w:val="006863A6"/>
    <w:rsid w:val="00687068"/>
    <w:rsid w:val="00691073"/>
    <w:rsid w:val="006913CE"/>
    <w:rsid w:val="00691819"/>
    <w:rsid w:val="0069189B"/>
    <w:rsid w:val="006935BB"/>
    <w:rsid w:val="00693C4D"/>
    <w:rsid w:val="006950EF"/>
    <w:rsid w:val="00695E71"/>
    <w:rsid w:val="00696EA7"/>
    <w:rsid w:val="00697D9B"/>
    <w:rsid w:val="006A205D"/>
    <w:rsid w:val="006A49E6"/>
    <w:rsid w:val="006A65E9"/>
    <w:rsid w:val="006B0D85"/>
    <w:rsid w:val="006B598D"/>
    <w:rsid w:val="006C0A3A"/>
    <w:rsid w:val="006C5E96"/>
    <w:rsid w:val="006D66E8"/>
    <w:rsid w:val="006E2751"/>
    <w:rsid w:val="006E3782"/>
    <w:rsid w:val="006E4F24"/>
    <w:rsid w:val="006E6907"/>
    <w:rsid w:val="006F04B7"/>
    <w:rsid w:val="006F063F"/>
    <w:rsid w:val="006F6C82"/>
    <w:rsid w:val="00700667"/>
    <w:rsid w:val="0070378E"/>
    <w:rsid w:val="00704EC9"/>
    <w:rsid w:val="00712852"/>
    <w:rsid w:val="007133DA"/>
    <w:rsid w:val="00714A48"/>
    <w:rsid w:val="0071537D"/>
    <w:rsid w:val="007157E1"/>
    <w:rsid w:val="00716BB4"/>
    <w:rsid w:val="007202B0"/>
    <w:rsid w:val="00721777"/>
    <w:rsid w:val="00725FB0"/>
    <w:rsid w:val="007318C2"/>
    <w:rsid w:val="007341B2"/>
    <w:rsid w:val="0073549F"/>
    <w:rsid w:val="00747D44"/>
    <w:rsid w:val="00751BE2"/>
    <w:rsid w:val="00751E38"/>
    <w:rsid w:val="00752233"/>
    <w:rsid w:val="00754095"/>
    <w:rsid w:val="007625B7"/>
    <w:rsid w:val="00765417"/>
    <w:rsid w:val="00770733"/>
    <w:rsid w:val="00770780"/>
    <w:rsid w:val="00773D0E"/>
    <w:rsid w:val="0077617B"/>
    <w:rsid w:val="00776451"/>
    <w:rsid w:val="0078585B"/>
    <w:rsid w:val="00785BF6"/>
    <w:rsid w:val="0078643A"/>
    <w:rsid w:val="007867A3"/>
    <w:rsid w:val="00790E2F"/>
    <w:rsid w:val="00794016"/>
    <w:rsid w:val="007A13D8"/>
    <w:rsid w:val="007A595C"/>
    <w:rsid w:val="007A5D21"/>
    <w:rsid w:val="007A6ED2"/>
    <w:rsid w:val="007B0748"/>
    <w:rsid w:val="007B25F1"/>
    <w:rsid w:val="007B721A"/>
    <w:rsid w:val="007C098A"/>
    <w:rsid w:val="007C2621"/>
    <w:rsid w:val="007C6F33"/>
    <w:rsid w:val="007D2B27"/>
    <w:rsid w:val="007D4276"/>
    <w:rsid w:val="007D683B"/>
    <w:rsid w:val="007D7175"/>
    <w:rsid w:val="007D7715"/>
    <w:rsid w:val="007E284E"/>
    <w:rsid w:val="007E3A2B"/>
    <w:rsid w:val="007E3D52"/>
    <w:rsid w:val="007E47FB"/>
    <w:rsid w:val="007F0560"/>
    <w:rsid w:val="007F317C"/>
    <w:rsid w:val="008008EB"/>
    <w:rsid w:val="00802811"/>
    <w:rsid w:val="008035BF"/>
    <w:rsid w:val="00803F66"/>
    <w:rsid w:val="008043EB"/>
    <w:rsid w:val="008065AA"/>
    <w:rsid w:val="00811B0E"/>
    <w:rsid w:val="0081291B"/>
    <w:rsid w:val="00813BBE"/>
    <w:rsid w:val="00816B50"/>
    <w:rsid w:val="00823895"/>
    <w:rsid w:val="008259FA"/>
    <w:rsid w:val="00827105"/>
    <w:rsid w:val="008336F4"/>
    <w:rsid w:val="008337A4"/>
    <w:rsid w:val="0083442E"/>
    <w:rsid w:val="00835014"/>
    <w:rsid w:val="00840B95"/>
    <w:rsid w:val="0084272E"/>
    <w:rsid w:val="0084301B"/>
    <w:rsid w:val="00843DE9"/>
    <w:rsid w:val="00845E7B"/>
    <w:rsid w:val="00852A46"/>
    <w:rsid w:val="0085510A"/>
    <w:rsid w:val="008565FD"/>
    <w:rsid w:val="00860711"/>
    <w:rsid w:val="00863409"/>
    <w:rsid w:val="00863F7A"/>
    <w:rsid w:val="00871589"/>
    <w:rsid w:val="00874E30"/>
    <w:rsid w:val="00883859"/>
    <w:rsid w:val="00883BA7"/>
    <w:rsid w:val="0089423A"/>
    <w:rsid w:val="0089447F"/>
    <w:rsid w:val="00894CAE"/>
    <w:rsid w:val="00896846"/>
    <w:rsid w:val="008A4178"/>
    <w:rsid w:val="008A4DCC"/>
    <w:rsid w:val="008A59D9"/>
    <w:rsid w:val="008B2B42"/>
    <w:rsid w:val="008B2CFE"/>
    <w:rsid w:val="008B3A97"/>
    <w:rsid w:val="008B44CC"/>
    <w:rsid w:val="008B62BC"/>
    <w:rsid w:val="008B6AD0"/>
    <w:rsid w:val="008C7080"/>
    <w:rsid w:val="008D03F0"/>
    <w:rsid w:val="008D674F"/>
    <w:rsid w:val="008E525C"/>
    <w:rsid w:val="008F0881"/>
    <w:rsid w:val="008F3AB1"/>
    <w:rsid w:val="008F51C8"/>
    <w:rsid w:val="008F5C60"/>
    <w:rsid w:val="00901157"/>
    <w:rsid w:val="009028E7"/>
    <w:rsid w:val="00904EF4"/>
    <w:rsid w:val="00905780"/>
    <w:rsid w:val="00905B64"/>
    <w:rsid w:val="00914769"/>
    <w:rsid w:val="009271DE"/>
    <w:rsid w:val="00930E4F"/>
    <w:rsid w:val="00931992"/>
    <w:rsid w:val="00931E88"/>
    <w:rsid w:val="00934C89"/>
    <w:rsid w:val="0093558E"/>
    <w:rsid w:val="00942603"/>
    <w:rsid w:val="00942F88"/>
    <w:rsid w:val="0096207A"/>
    <w:rsid w:val="00967601"/>
    <w:rsid w:val="00967A68"/>
    <w:rsid w:val="00972E00"/>
    <w:rsid w:val="00973B44"/>
    <w:rsid w:val="009801D3"/>
    <w:rsid w:val="00981ADE"/>
    <w:rsid w:val="00982144"/>
    <w:rsid w:val="00990F63"/>
    <w:rsid w:val="009A3D0A"/>
    <w:rsid w:val="009A58B0"/>
    <w:rsid w:val="009B115C"/>
    <w:rsid w:val="009B2D10"/>
    <w:rsid w:val="009C01A3"/>
    <w:rsid w:val="009C1A08"/>
    <w:rsid w:val="009C24FE"/>
    <w:rsid w:val="009C396A"/>
    <w:rsid w:val="009C4A42"/>
    <w:rsid w:val="009C586B"/>
    <w:rsid w:val="009C699E"/>
    <w:rsid w:val="009D20A4"/>
    <w:rsid w:val="009D4397"/>
    <w:rsid w:val="009D71A4"/>
    <w:rsid w:val="009E6553"/>
    <w:rsid w:val="009F2623"/>
    <w:rsid w:val="009F4245"/>
    <w:rsid w:val="009F6624"/>
    <w:rsid w:val="009F7434"/>
    <w:rsid w:val="009F76AE"/>
    <w:rsid w:val="00A02C62"/>
    <w:rsid w:val="00A02E17"/>
    <w:rsid w:val="00A062EE"/>
    <w:rsid w:val="00A06B94"/>
    <w:rsid w:val="00A10CFF"/>
    <w:rsid w:val="00A11BA0"/>
    <w:rsid w:val="00A12377"/>
    <w:rsid w:val="00A14BBB"/>
    <w:rsid w:val="00A2073F"/>
    <w:rsid w:val="00A228D3"/>
    <w:rsid w:val="00A23D0B"/>
    <w:rsid w:val="00A2464D"/>
    <w:rsid w:val="00A24C1B"/>
    <w:rsid w:val="00A27520"/>
    <w:rsid w:val="00A303FE"/>
    <w:rsid w:val="00A3660A"/>
    <w:rsid w:val="00A41032"/>
    <w:rsid w:val="00A41AF9"/>
    <w:rsid w:val="00A4269B"/>
    <w:rsid w:val="00A44169"/>
    <w:rsid w:val="00A45445"/>
    <w:rsid w:val="00A46CFD"/>
    <w:rsid w:val="00A507E4"/>
    <w:rsid w:val="00A5117D"/>
    <w:rsid w:val="00A524B3"/>
    <w:rsid w:val="00A55B7C"/>
    <w:rsid w:val="00A571D4"/>
    <w:rsid w:val="00A62E68"/>
    <w:rsid w:val="00A66A04"/>
    <w:rsid w:val="00A66D85"/>
    <w:rsid w:val="00A7384D"/>
    <w:rsid w:val="00A73B47"/>
    <w:rsid w:val="00A745B6"/>
    <w:rsid w:val="00A8088F"/>
    <w:rsid w:val="00A91C65"/>
    <w:rsid w:val="00A93DE8"/>
    <w:rsid w:val="00A96C14"/>
    <w:rsid w:val="00A972E4"/>
    <w:rsid w:val="00A9744A"/>
    <w:rsid w:val="00AA31CF"/>
    <w:rsid w:val="00AA39D8"/>
    <w:rsid w:val="00AA4BB4"/>
    <w:rsid w:val="00AA5124"/>
    <w:rsid w:val="00AA630B"/>
    <w:rsid w:val="00AB0040"/>
    <w:rsid w:val="00AB30B8"/>
    <w:rsid w:val="00AB32E0"/>
    <w:rsid w:val="00AB6DEB"/>
    <w:rsid w:val="00AC36E3"/>
    <w:rsid w:val="00AC6213"/>
    <w:rsid w:val="00AC66FB"/>
    <w:rsid w:val="00AD1FCE"/>
    <w:rsid w:val="00AD260E"/>
    <w:rsid w:val="00AD5569"/>
    <w:rsid w:val="00AD5D5A"/>
    <w:rsid w:val="00AE1D8B"/>
    <w:rsid w:val="00AE3217"/>
    <w:rsid w:val="00AE495F"/>
    <w:rsid w:val="00AF3C6C"/>
    <w:rsid w:val="00AF6507"/>
    <w:rsid w:val="00AF7040"/>
    <w:rsid w:val="00B00511"/>
    <w:rsid w:val="00B013C7"/>
    <w:rsid w:val="00B11E29"/>
    <w:rsid w:val="00B21138"/>
    <w:rsid w:val="00B27D6C"/>
    <w:rsid w:val="00B33116"/>
    <w:rsid w:val="00B34964"/>
    <w:rsid w:val="00B3504B"/>
    <w:rsid w:val="00B36F4A"/>
    <w:rsid w:val="00B37223"/>
    <w:rsid w:val="00B420C2"/>
    <w:rsid w:val="00B42501"/>
    <w:rsid w:val="00B4345C"/>
    <w:rsid w:val="00B44083"/>
    <w:rsid w:val="00B45FEF"/>
    <w:rsid w:val="00B462B1"/>
    <w:rsid w:val="00B51660"/>
    <w:rsid w:val="00B56E7B"/>
    <w:rsid w:val="00B607A7"/>
    <w:rsid w:val="00B64DC4"/>
    <w:rsid w:val="00B70CB8"/>
    <w:rsid w:val="00B71120"/>
    <w:rsid w:val="00B7163E"/>
    <w:rsid w:val="00B72F46"/>
    <w:rsid w:val="00B7315C"/>
    <w:rsid w:val="00B80F3B"/>
    <w:rsid w:val="00B81E5D"/>
    <w:rsid w:val="00B83818"/>
    <w:rsid w:val="00B9266B"/>
    <w:rsid w:val="00B9544A"/>
    <w:rsid w:val="00B9561A"/>
    <w:rsid w:val="00B96983"/>
    <w:rsid w:val="00B9724B"/>
    <w:rsid w:val="00BA51CB"/>
    <w:rsid w:val="00BA6512"/>
    <w:rsid w:val="00BB1DAD"/>
    <w:rsid w:val="00BB2CCA"/>
    <w:rsid w:val="00BB316D"/>
    <w:rsid w:val="00BB3564"/>
    <w:rsid w:val="00BB6CAB"/>
    <w:rsid w:val="00BC00F1"/>
    <w:rsid w:val="00BC0594"/>
    <w:rsid w:val="00BC17F1"/>
    <w:rsid w:val="00BD0270"/>
    <w:rsid w:val="00BD05C8"/>
    <w:rsid w:val="00BE0EA7"/>
    <w:rsid w:val="00BE6465"/>
    <w:rsid w:val="00BE7B7A"/>
    <w:rsid w:val="00BE7BEC"/>
    <w:rsid w:val="00BF22DC"/>
    <w:rsid w:val="00BF2D52"/>
    <w:rsid w:val="00BF3D29"/>
    <w:rsid w:val="00BF43F4"/>
    <w:rsid w:val="00BF6291"/>
    <w:rsid w:val="00C00947"/>
    <w:rsid w:val="00C129C7"/>
    <w:rsid w:val="00C14580"/>
    <w:rsid w:val="00C173D6"/>
    <w:rsid w:val="00C22A88"/>
    <w:rsid w:val="00C22E01"/>
    <w:rsid w:val="00C23AE9"/>
    <w:rsid w:val="00C24A5D"/>
    <w:rsid w:val="00C26015"/>
    <w:rsid w:val="00C302FE"/>
    <w:rsid w:val="00C31E63"/>
    <w:rsid w:val="00C3693C"/>
    <w:rsid w:val="00C37423"/>
    <w:rsid w:val="00C43B13"/>
    <w:rsid w:val="00C44838"/>
    <w:rsid w:val="00C5326A"/>
    <w:rsid w:val="00C53E66"/>
    <w:rsid w:val="00C570F5"/>
    <w:rsid w:val="00C65E7F"/>
    <w:rsid w:val="00C86AE8"/>
    <w:rsid w:val="00C91C31"/>
    <w:rsid w:val="00C93CD4"/>
    <w:rsid w:val="00C94E99"/>
    <w:rsid w:val="00C97496"/>
    <w:rsid w:val="00C97666"/>
    <w:rsid w:val="00CA7EED"/>
    <w:rsid w:val="00CB5E37"/>
    <w:rsid w:val="00CB67CE"/>
    <w:rsid w:val="00CC4253"/>
    <w:rsid w:val="00CC52A3"/>
    <w:rsid w:val="00CD7658"/>
    <w:rsid w:val="00CE3B79"/>
    <w:rsid w:val="00CE3EC9"/>
    <w:rsid w:val="00CE5D7C"/>
    <w:rsid w:val="00CE707D"/>
    <w:rsid w:val="00D06AF5"/>
    <w:rsid w:val="00D0754F"/>
    <w:rsid w:val="00D115EF"/>
    <w:rsid w:val="00D123D2"/>
    <w:rsid w:val="00D136B8"/>
    <w:rsid w:val="00D1602B"/>
    <w:rsid w:val="00D20F61"/>
    <w:rsid w:val="00D21ED1"/>
    <w:rsid w:val="00D30B3B"/>
    <w:rsid w:val="00D328AB"/>
    <w:rsid w:val="00D37BF1"/>
    <w:rsid w:val="00D424A8"/>
    <w:rsid w:val="00D429CC"/>
    <w:rsid w:val="00D44E5C"/>
    <w:rsid w:val="00D459DC"/>
    <w:rsid w:val="00D5407E"/>
    <w:rsid w:val="00D54286"/>
    <w:rsid w:val="00D548FF"/>
    <w:rsid w:val="00D56EFA"/>
    <w:rsid w:val="00D57736"/>
    <w:rsid w:val="00D64F7A"/>
    <w:rsid w:val="00D65FD5"/>
    <w:rsid w:val="00D67BF8"/>
    <w:rsid w:val="00D74786"/>
    <w:rsid w:val="00D76DDF"/>
    <w:rsid w:val="00D829E8"/>
    <w:rsid w:val="00D82CE6"/>
    <w:rsid w:val="00D83A4D"/>
    <w:rsid w:val="00D85EF0"/>
    <w:rsid w:val="00D95BED"/>
    <w:rsid w:val="00DA3217"/>
    <w:rsid w:val="00DA3E0F"/>
    <w:rsid w:val="00DA4F6F"/>
    <w:rsid w:val="00DA5543"/>
    <w:rsid w:val="00DB185F"/>
    <w:rsid w:val="00DB2E2D"/>
    <w:rsid w:val="00DB43BB"/>
    <w:rsid w:val="00DB4726"/>
    <w:rsid w:val="00DB6F41"/>
    <w:rsid w:val="00DB716A"/>
    <w:rsid w:val="00DB76D1"/>
    <w:rsid w:val="00DC0EF6"/>
    <w:rsid w:val="00DC1CE1"/>
    <w:rsid w:val="00DD363B"/>
    <w:rsid w:val="00DD4CB8"/>
    <w:rsid w:val="00DD60FB"/>
    <w:rsid w:val="00DD6D3A"/>
    <w:rsid w:val="00DE0EFA"/>
    <w:rsid w:val="00DE395B"/>
    <w:rsid w:val="00DE3DE1"/>
    <w:rsid w:val="00DE452A"/>
    <w:rsid w:val="00DE54B1"/>
    <w:rsid w:val="00DE66EB"/>
    <w:rsid w:val="00DF2DC9"/>
    <w:rsid w:val="00DF6C61"/>
    <w:rsid w:val="00DF6E72"/>
    <w:rsid w:val="00DF732A"/>
    <w:rsid w:val="00E03068"/>
    <w:rsid w:val="00E13223"/>
    <w:rsid w:val="00E1744F"/>
    <w:rsid w:val="00E251B2"/>
    <w:rsid w:val="00E2677A"/>
    <w:rsid w:val="00E300A2"/>
    <w:rsid w:val="00E3766D"/>
    <w:rsid w:val="00E4537C"/>
    <w:rsid w:val="00E4752C"/>
    <w:rsid w:val="00E502BA"/>
    <w:rsid w:val="00E52FCD"/>
    <w:rsid w:val="00E5475C"/>
    <w:rsid w:val="00E5573F"/>
    <w:rsid w:val="00E57529"/>
    <w:rsid w:val="00E6159A"/>
    <w:rsid w:val="00E67719"/>
    <w:rsid w:val="00E731B9"/>
    <w:rsid w:val="00E81095"/>
    <w:rsid w:val="00E84F5D"/>
    <w:rsid w:val="00E90D85"/>
    <w:rsid w:val="00E90FC1"/>
    <w:rsid w:val="00E914CB"/>
    <w:rsid w:val="00E92E42"/>
    <w:rsid w:val="00E939F3"/>
    <w:rsid w:val="00E97313"/>
    <w:rsid w:val="00E97877"/>
    <w:rsid w:val="00EA56CB"/>
    <w:rsid w:val="00EB5124"/>
    <w:rsid w:val="00EB75AA"/>
    <w:rsid w:val="00EC7546"/>
    <w:rsid w:val="00ED182A"/>
    <w:rsid w:val="00ED329C"/>
    <w:rsid w:val="00ED4806"/>
    <w:rsid w:val="00EE04B3"/>
    <w:rsid w:val="00EE33BA"/>
    <w:rsid w:val="00EF1E68"/>
    <w:rsid w:val="00EF5925"/>
    <w:rsid w:val="00EF7126"/>
    <w:rsid w:val="00F00349"/>
    <w:rsid w:val="00F0313B"/>
    <w:rsid w:val="00F07CB9"/>
    <w:rsid w:val="00F1352E"/>
    <w:rsid w:val="00F15BA6"/>
    <w:rsid w:val="00F15E99"/>
    <w:rsid w:val="00F1659D"/>
    <w:rsid w:val="00F1661E"/>
    <w:rsid w:val="00F169E7"/>
    <w:rsid w:val="00F207A9"/>
    <w:rsid w:val="00F20B11"/>
    <w:rsid w:val="00F2453C"/>
    <w:rsid w:val="00F346BE"/>
    <w:rsid w:val="00F41220"/>
    <w:rsid w:val="00F604FC"/>
    <w:rsid w:val="00F62B6A"/>
    <w:rsid w:val="00F63E5A"/>
    <w:rsid w:val="00F73533"/>
    <w:rsid w:val="00F8643D"/>
    <w:rsid w:val="00F87C79"/>
    <w:rsid w:val="00F90D3B"/>
    <w:rsid w:val="00FA07E9"/>
    <w:rsid w:val="00FA2A4C"/>
    <w:rsid w:val="00FB3CA9"/>
    <w:rsid w:val="00FC0289"/>
    <w:rsid w:val="00FC1EB5"/>
    <w:rsid w:val="00FC4D46"/>
    <w:rsid w:val="00FC5FB7"/>
    <w:rsid w:val="00FD3F31"/>
    <w:rsid w:val="00FD580F"/>
    <w:rsid w:val="00FD6071"/>
    <w:rsid w:val="00FD70ED"/>
    <w:rsid w:val="00FE4536"/>
    <w:rsid w:val="00FF1125"/>
    <w:rsid w:val="00FF17D3"/>
    <w:rsid w:val="00FF1A5D"/>
    <w:rsid w:val="00FF36A0"/>
    <w:rsid w:val="00FF5097"/>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3AA41B"/>
  <w15:chartTrackingRefBased/>
  <w15:docId w15:val="{495AF607-9C39-4099-99D2-1AF2F786B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pt-PT" w:eastAsia="pt-PT"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Ttulo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Ttulo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Ttulo3">
    <w:name w:val="heading 3"/>
    <w:basedOn w:val="Normal"/>
    <w:qFormat/>
    <w:rsid w:val="00DB185F"/>
    <w:pPr>
      <w:keepNext/>
      <w:ind w:left="720"/>
      <w:jc w:val="both"/>
      <w:outlineLvl w:val="2"/>
    </w:pPr>
    <w:rPr>
      <w:rFonts w:ascii="Tahoma" w:hAnsi="Tahoma" w:cs="Tahoma"/>
      <w:b/>
      <w:bCs/>
      <w:sz w:val="20"/>
      <w:szCs w:val="20"/>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Refdecomentrio">
    <w:name w:val="annotation reference"/>
    <w:rsid w:val="00840B95"/>
    <w:rPr>
      <w:sz w:val="16"/>
      <w:szCs w:val="16"/>
    </w:rPr>
  </w:style>
  <w:style w:type="paragraph" w:styleId="Textodecomentrio">
    <w:name w:val="annotation text"/>
    <w:basedOn w:val="Normal"/>
    <w:link w:val="TextodecomentrioCarter"/>
    <w:rsid w:val="00840B95"/>
    <w:rPr>
      <w:sz w:val="20"/>
      <w:szCs w:val="20"/>
      <w:lang w:val="x-none"/>
    </w:rPr>
  </w:style>
  <w:style w:type="character" w:customStyle="1" w:styleId="TextodecomentrioCarter">
    <w:name w:val="Texto de comentário Caráter"/>
    <w:link w:val="Textodecomentrio"/>
    <w:rsid w:val="00840B95"/>
    <w:rPr>
      <w:lang w:eastAsia="zh-CN"/>
    </w:rPr>
  </w:style>
  <w:style w:type="paragraph" w:styleId="Assuntodecomentrio">
    <w:name w:val="annotation subject"/>
    <w:basedOn w:val="Textodecomentrio"/>
    <w:next w:val="Textodecomentrio"/>
    <w:link w:val="AssuntodecomentrioCarter"/>
    <w:rsid w:val="00840B95"/>
    <w:rPr>
      <w:b/>
      <w:bCs/>
    </w:rPr>
  </w:style>
  <w:style w:type="character" w:customStyle="1" w:styleId="AssuntodecomentrioCarter">
    <w:name w:val="Assunto de comentário Caráter"/>
    <w:link w:val="Assuntodecomentrio"/>
    <w:rsid w:val="00840B95"/>
    <w:rPr>
      <w:b/>
      <w:bCs/>
      <w:lang w:eastAsia="zh-CN"/>
    </w:rPr>
  </w:style>
  <w:style w:type="paragraph" w:styleId="Textodebalo">
    <w:name w:val="Balloon Text"/>
    <w:basedOn w:val="Normal"/>
    <w:link w:val="TextodebaloCarter"/>
    <w:uiPriority w:val="99"/>
    <w:rsid w:val="00840B95"/>
    <w:rPr>
      <w:rFonts w:ascii="Tahoma" w:hAnsi="Tahoma"/>
      <w:sz w:val="16"/>
      <w:szCs w:val="16"/>
      <w:lang w:val="x-none"/>
    </w:rPr>
  </w:style>
  <w:style w:type="character" w:customStyle="1" w:styleId="TextodebaloCarter">
    <w:name w:val="Texto de balão Caráter"/>
    <w:link w:val="Textodebalo"/>
    <w:uiPriority w:val="99"/>
    <w:rsid w:val="00840B95"/>
    <w:rPr>
      <w:rFonts w:ascii="Tahoma" w:hAnsi="Tahoma" w:cs="Tahoma"/>
      <w:sz w:val="16"/>
      <w:szCs w:val="16"/>
      <w:lang w:eastAsia="zh-CN"/>
    </w:rPr>
  </w:style>
  <w:style w:type="paragraph" w:styleId="Cabealho">
    <w:name w:val="header"/>
    <w:basedOn w:val="Normal"/>
    <w:link w:val="CabealhoCarte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CabealhoCarter">
    <w:name w:val="Cabeçalho Caráter"/>
    <w:link w:val="Cabealho"/>
    <w:uiPriority w:val="99"/>
    <w:rsid w:val="008A4DCC"/>
    <w:rPr>
      <w:rFonts w:ascii="Trebuchet MS" w:eastAsia="Calibri" w:hAnsi="Trebuchet MS" w:cs="Tahoma"/>
      <w:sz w:val="22"/>
      <w:lang w:eastAsia="en-US"/>
    </w:rPr>
  </w:style>
  <w:style w:type="paragraph" w:styleId="Rodap">
    <w:name w:val="footer"/>
    <w:basedOn w:val="Normal"/>
    <w:link w:val="RodapCarter"/>
    <w:uiPriority w:val="99"/>
    <w:rsid w:val="00AD5D5A"/>
    <w:pPr>
      <w:tabs>
        <w:tab w:val="center" w:pos="4513"/>
        <w:tab w:val="right" w:pos="9026"/>
      </w:tabs>
    </w:pPr>
    <w:rPr>
      <w:lang w:val="x-none"/>
    </w:rPr>
  </w:style>
  <w:style w:type="character" w:customStyle="1" w:styleId="RodapCarter">
    <w:name w:val="Rodapé Caráter"/>
    <w:link w:val="Rodap"/>
    <w:uiPriority w:val="99"/>
    <w:rsid w:val="00AD5D5A"/>
    <w:rPr>
      <w:sz w:val="24"/>
      <w:szCs w:val="24"/>
      <w:lang w:eastAsia="zh-CN"/>
    </w:rPr>
  </w:style>
  <w:style w:type="table" w:styleId="TabelacomGrelha">
    <w:name w:val="Table Grid"/>
    <w:basedOn w:val="Tabela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ntstyle01">
    <w:name w:val="fontstyle01"/>
    <w:rsid w:val="00DD4CB8"/>
    <w:rPr>
      <w:rFonts w:ascii="Helvetica" w:hAnsi="Helvetica" w:cs="Helvetica" w:hint="default"/>
      <w:b w:val="0"/>
      <w:bCs w:val="0"/>
      <w:i w:val="0"/>
      <w:iCs w:val="0"/>
      <w:color w:val="000000"/>
      <w:sz w:val="22"/>
      <w:szCs w:val="22"/>
    </w:rPr>
  </w:style>
  <w:style w:type="character" w:customStyle="1" w:styleId="fontstyle21">
    <w:name w:val="fontstyle21"/>
    <w:rsid w:val="00DD4CB8"/>
    <w:rPr>
      <w:rFonts w:ascii="Helvetica" w:hAnsi="Helvetica" w:hint="default"/>
      <w:b w:val="0"/>
      <w:bCs w:val="0"/>
      <w:i w:val="0"/>
      <w:iCs w:val="0"/>
      <w:color w:val="000000"/>
      <w:sz w:val="24"/>
      <w:szCs w:val="24"/>
    </w:rPr>
  </w:style>
  <w:style w:type="character" w:styleId="Hiperligao">
    <w:name w:val="Hyperlink"/>
    <w:rsid w:val="00657941"/>
    <w:rPr>
      <w:color w:val="0563C1"/>
      <w:u w:val="single"/>
    </w:rPr>
  </w:style>
  <w:style w:type="character" w:customStyle="1" w:styleId="MenoNoResolvida1">
    <w:name w:val="Menção Não Resolvida1"/>
    <w:uiPriority w:val="99"/>
    <w:semiHidden/>
    <w:unhideWhenUsed/>
    <w:rsid w:val="00657941"/>
    <w:rPr>
      <w:color w:val="605E5C"/>
      <w:shd w:val="clear" w:color="auto" w:fill="E1DFDD"/>
    </w:rPr>
  </w:style>
  <w:style w:type="paragraph" w:styleId="Textodenotaderodap">
    <w:name w:val="footnote text"/>
    <w:basedOn w:val="Normal"/>
    <w:link w:val="TextodenotaderodapCarter"/>
    <w:rsid w:val="00E731B9"/>
    <w:rPr>
      <w:sz w:val="20"/>
      <w:szCs w:val="20"/>
    </w:rPr>
  </w:style>
  <w:style w:type="character" w:customStyle="1" w:styleId="TextodenotaderodapCarter">
    <w:name w:val="Texto de nota de rodapé Caráter"/>
    <w:basedOn w:val="Tipodeletrapredefinidodopargrafo"/>
    <w:link w:val="Textodenotaderodap"/>
    <w:rsid w:val="00E731B9"/>
    <w:rPr>
      <w:lang w:val="en-GB" w:eastAsia="zh-CN"/>
    </w:rPr>
  </w:style>
  <w:style w:type="character" w:styleId="Refdenotaderodap">
    <w:name w:val="footnote reference"/>
    <w:basedOn w:val="Tipodeletrapredefinidodopargrafo"/>
    <w:rsid w:val="00E731B9"/>
    <w:rPr>
      <w:vertAlign w:val="superscript"/>
    </w:rPr>
  </w:style>
  <w:style w:type="character" w:styleId="MenoNoResolvida">
    <w:name w:val="Unresolved Mention"/>
    <w:basedOn w:val="Tipodeletrapredefinidodopargrafo"/>
    <w:uiPriority w:val="99"/>
    <w:semiHidden/>
    <w:unhideWhenUsed/>
    <w:rsid w:val="0030504B"/>
    <w:rPr>
      <w:color w:val="605E5C"/>
      <w:shd w:val="clear" w:color="auto" w:fill="E1DFDD"/>
    </w:rPr>
  </w:style>
  <w:style w:type="paragraph" w:styleId="Legenda">
    <w:name w:val="caption"/>
    <w:basedOn w:val="Normal"/>
    <w:next w:val="Normal"/>
    <w:unhideWhenUsed/>
    <w:qFormat/>
    <w:rsid w:val="00A12377"/>
    <w:pPr>
      <w:spacing w:after="200"/>
    </w:pPr>
    <w:rPr>
      <w:i/>
      <w:iCs/>
      <w:color w:val="44546A" w:themeColor="text2"/>
      <w:sz w:val="18"/>
      <w:szCs w:val="18"/>
    </w:rPr>
  </w:style>
  <w:style w:type="character" w:styleId="nfase">
    <w:name w:val="Emphasis"/>
    <w:basedOn w:val="Tipodeletrapredefinidodopargrafo"/>
    <w:uiPriority w:val="20"/>
    <w:qFormat/>
    <w:rsid w:val="00C570F5"/>
    <w:rPr>
      <w:i/>
      <w:iCs/>
    </w:rPr>
  </w:style>
  <w:style w:type="character" w:customStyle="1" w:styleId="fontstyle31">
    <w:name w:val="fontstyle31"/>
    <w:basedOn w:val="Tipodeletrapredefinidodopargrafo"/>
    <w:rsid w:val="00AF7040"/>
    <w:rPr>
      <w:rFonts w:ascii="Symbol" w:hAnsi="Symbol" w:hint="default"/>
      <w:b w:val="0"/>
      <w:bCs w:val="0"/>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3819929">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5ACA9F-6A8B-461F-9BCD-E0C28C2DA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11</Pages>
  <Words>3633</Words>
  <Characters>19619</Characters>
  <Application>Microsoft Office Word</Application>
  <DocSecurity>0</DocSecurity>
  <Lines>163</Lines>
  <Paragraphs>46</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23206</CharactersWithSpaces>
  <SharedDoc>false</SharedDoc>
  <HLinks>
    <vt:vector size="6" baseType="variant">
      <vt:variant>
        <vt:i4>3670063</vt:i4>
      </vt:variant>
      <vt:variant>
        <vt:i4>10</vt:i4>
      </vt:variant>
      <vt:variant>
        <vt:i4>0</vt:i4>
      </vt:variant>
      <vt:variant>
        <vt:i4>5</vt:i4>
      </vt:variant>
      <vt:variant>
        <vt:lpwstr>http://www.jstor.org/stable/4121268. Accessed 31 Oct. 2020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sara sucena</cp:lastModifiedBy>
  <cp:revision>9</cp:revision>
  <cp:lastPrinted>2021-03-19T21:09:00Z</cp:lastPrinted>
  <dcterms:created xsi:type="dcterms:W3CDTF">2022-03-15T11:49:00Z</dcterms:created>
  <dcterms:modified xsi:type="dcterms:W3CDTF">2022-03-21T23:57:00Z</dcterms:modified>
</cp:coreProperties>
</file>