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3609991"/>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3A67B731" w14:textId="72518656" w:rsidR="007E1E1E" w:rsidRDefault="007E1E1E">
          <w:pPr>
            <w:pStyle w:val="TOCHeading"/>
          </w:pPr>
          <w:r>
            <w:t>Contents</w:t>
          </w:r>
        </w:p>
        <w:p w14:paraId="7180A546" w14:textId="2005F72E" w:rsidR="002536E3" w:rsidRDefault="007E1E1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64561292" w:history="1">
            <w:r w:rsidR="002536E3" w:rsidRPr="0074271B">
              <w:rPr>
                <w:rStyle w:val="Hyperlink"/>
                <w:b/>
                <w:bCs/>
                <w:noProof/>
              </w:rPr>
              <w:t>Introduction</w:t>
            </w:r>
            <w:r w:rsidR="002536E3">
              <w:rPr>
                <w:noProof/>
                <w:webHidden/>
              </w:rPr>
              <w:tab/>
            </w:r>
            <w:r w:rsidR="002536E3">
              <w:rPr>
                <w:noProof/>
                <w:webHidden/>
              </w:rPr>
              <w:fldChar w:fldCharType="begin"/>
            </w:r>
            <w:r w:rsidR="002536E3">
              <w:rPr>
                <w:noProof/>
                <w:webHidden/>
              </w:rPr>
              <w:instrText xml:space="preserve"> PAGEREF _Toc164561292 \h </w:instrText>
            </w:r>
            <w:r w:rsidR="002536E3">
              <w:rPr>
                <w:noProof/>
                <w:webHidden/>
              </w:rPr>
            </w:r>
            <w:r w:rsidR="002536E3">
              <w:rPr>
                <w:noProof/>
                <w:webHidden/>
              </w:rPr>
              <w:fldChar w:fldCharType="separate"/>
            </w:r>
            <w:r w:rsidR="002536E3">
              <w:rPr>
                <w:noProof/>
                <w:webHidden/>
              </w:rPr>
              <w:t>2</w:t>
            </w:r>
            <w:r w:rsidR="002536E3">
              <w:rPr>
                <w:noProof/>
                <w:webHidden/>
              </w:rPr>
              <w:fldChar w:fldCharType="end"/>
            </w:r>
          </w:hyperlink>
        </w:p>
        <w:p w14:paraId="6F51748C" w14:textId="5DB19DDB" w:rsidR="002536E3" w:rsidRDefault="002536E3">
          <w:pPr>
            <w:pStyle w:val="TOC1"/>
            <w:tabs>
              <w:tab w:val="right" w:leader="dot" w:pos="9350"/>
            </w:tabs>
            <w:rPr>
              <w:rFonts w:eastAsiaTheme="minorEastAsia"/>
              <w:noProof/>
            </w:rPr>
          </w:pPr>
          <w:hyperlink w:anchor="_Toc164561293" w:history="1">
            <w:r w:rsidRPr="0074271B">
              <w:rPr>
                <w:rStyle w:val="Hyperlink"/>
                <w:b/>
                <w:bCs/>
                <w:noProof/>
              </w:rPr>
              <w:t>Main Body</w:t>
            </w:r>
            <w:r>
              <w:rPr>
                <w:noProof/>
                <w:webHidden/>
              </w:rPr>
              <w:tab/>
            </w:r>
            <w:r>
              <w:rPr>
                <w:noProof/>
                <w:webHidden/>
              </w:rPr>
              <w:fldChar w:fldCharType="begin"/>
            </w:r>
            <w:r>
              <w:rPr>
                <w:noProof/>
                <w:webHidden/>
              </w:rPr>
              <w:instrText xml:space="preserve"> PAGEREF _Toc164561293 \h </w:instrText>
            </w:r>
            <w:r>
              <w:rPr>
                <w:noProof/>
                <w:webHidden/>
              </w:rPr>
            </w:r>
            <w:r>
              <w:rPr>
                <w:noProof/>
                <w:webHidden/>
              </w:rPr>
              <w:fldChar w:fldCharType="separate"/>
            </w:r>
            <w:r>
              <w:rPr>
                <w:noProof/>
                <w:webHidden/>
              </w:rPr>
              <w:t>2</w:t>
            </w:r>
            <w:r>
              <w:rPr>
                <w:noProof/>
                <w:webHidden/>
              </w:rPr>
              <w:fldChar w:fldCharType="end"/>
            </w:r>
          </w:hyperlink>
        </w:p>
        <w:p w14:paraId="22F12475" w14:textId="4EC4BB69" w:rsidR="002536E3" w:rsidRDefault="002536E3">
          <w:pPr>
            <w:pStyle w:val="TOC2"/>
            <w:tabs>
              <w:tab w:val="right" w:leader="dot" w:pos="9350"/>
            </w:tabs>
            <w:rPr>
              <w:rFonts w:eastAsiaTheme="minorEastAsia"/>
              <w:noProof/>
            </w:rPr>
          </w:pPr>
          <w:hyperlink w:anchor="_Toc164561294" w:history="1">
            <w:r w:rsidRPr="0074271B">
              <w:rPr>
                <w:rStyle w:val="Hyperlink"/>
                <w:rFonts w:asciiTheme="majorHAnsi" w:hAnsiTheme="majorHAnsi" w:cstheme="majorHAnsi"/>
                <w:noProof/>
              </w:rPr>
              <w:t>Overview of Company, Business, Target Market and USP</w:t>
            </w:r>
            <w:r>
              <w:rPr>
                <w:noProof/>
                <w:webHidden/>
              </w:rPr>
              <w:tab/>
            </w:r>
            <w:r>
              <w:rPr>
                <w:noProof/>
                <w:webHidden/>
              </w:rPr>
              <w:fldChar w:fldCharType="begin"/>
            </w:r>
            <w:r>
              <w:rPr>
                <w:noProof/>
                <w:webHidden/>
              </w:rPr>
              <w:instrText xml:space="preserve"> PAGEREF _Toc164561294 \h </w:instrText>
            </w:r>
            <w:r>
              <w:rPr>
                <w:noProof/>
                <w:webHidden/>
              </w:rPr>
            </w:r>
            <w:r>
              <w:rPr>
                <w:noProof/>
                <w:webHidden/>
              </w:rPr>
              <w:fldChar w:fldCharType="separate"/>
            </w:r>
            <w:r>
              <w:rPr>
                <w:noProof/>
                <w:webHidden/>
              </w:rPr>
              <w:t>2</w:t>
            </w:r>
            <w:r>
              <w:rPr>
                <w:noProof/>
                <w:webHidden/>
              </w:rPr>
              <w:fldChar w:fldCharType="end"/>
            </w:r>
          </w:hyperlink>
        </w:p>
        <w:p w14:paraId="18107140" w14:textId="7FD9B870" w:rsidR="002536E3" w:rsidRDefault="002536E3">
          <w:pPr>
            <w:pStyle w:val="TOC2"/>
            <w:tabs>
              <w:tab w:val="right" w:leader="dot" w:pos="9350"/>
            </w:tabs>
            <w:rPr>
              <w:rFonts w:eastAsiaTheme="minorEastAsia"/>
              <w:noProof/>
            </w:rPr>
          </w:pPr>
          <w:hyperlink w:anchor="_Toc164561295" w:history="1">
            <w:r w:rsidRPr="0074271B">
              <w:rPr>
                <w:rStyle w:val="Hyperlink"/>
                <w:rFonts w:asciiTheme="majorHAnsi" w:hAnsiTheme="majorHAnsi" w:cstheme="majorHAnsi"/>
                <w:noProof/>
              </w:rPr>
              <w:t>Key reasons of Uber for going public</w:t>
            </w:r>
            <w:r>
              <w:rPr>
                <w:noProof/>
                <w:webHidden/>
              </w:rPr>
              <w:tab/>
            </w:r>
            <w:r>
              <w:rPr>
                <w:noProof/>
                <w:webHidden/>
              </w:rPr>
              <w:fldChar w:fldCharType="begin"/>
            </w:r>
            <w:r>
              <w:rPr>
                <w:noProof/>
                <w:webHidden/>
              </w:rPr>
              <w:instrText xml:space="preserve"> PAGEREF _Toc164561295 \h </w:instrText>
            </w:r>
            <w:r>
              <w:rPr>
                <w:noProof/>
                <w:webHidden/>
              </w:rPr>
            </w:r>
            <w:r>
              <w:rPr>
                <w:noProof/>
                <w:webHidden/>
              </w:rPr>
              <w:fldChar w:fldCharType="separate"/>
            </w:r>
            <w:r>
              <w:rPr>
                <w:noProof/>
                <w:webHidden/>
              </w:rPr>
              <w:t>3</w:t>
            </w:r>
            <w:r>
              <w:rPr>
                <w:noProof/>
                <w:webHidden/>
              </w:rPr>
              <w:fldChar w:fldCharType="end"/>
            </w:r>
          </w:hyperlink>
        </w:p>
        <w:p w14:paraId="49D5686F" w14:textId="077C1A0E" w:rsidR="002536E3" w:rsidRDefault="002536E3">
          <w:pPr>
            <w:pStyle w:val="TOC2"/>
            <w:tabs>
              <w:tab w:val="right" w:leader="dot" w:pos="9350"/>
            </w:tabs>
            <w:rPr>
              <w:rFonts w:eastAsiaTheme="minorEastAsia"/>
              <w:noProof/>
            </w:rPr>
          </w:pPr>
          <w:hyperlink w:anchor="_Toc164561296" w:history="1">
            <w:r w:rsidRPr="0074271B">
              <w:rPr>
                <w:rStyle w:val="Hyperlink"/>
                <w:rFonts w:asciiTheme="majorHAnsi" w:hAnsiTheme="majorHAnsi" w:cstheme="majorHAnsi"/>
                <w:noProof/>
              </w:rPr>
              <w:t>Key Risks</w:t>
            </w:r>
            <w:r>
              <w:rPr>
                <w:noProof/>
                <w:webHidden/>
              </w:rPr>
              <w:tab/>
            </w:r>
            <w:r>
              <w:rPr>
                <w:noProof/>
                <w:webHidden/>
              </w:rPr>
              <w:fldChar w:fldCharType="begin"/>
            </w:r>
            <w:r>
              <w:rPr>
                <w:noProof/>
                <w:webHidden/>
              </w:rPr>
              <w:instrText xml:space="preserve"> PAGEREF _Toc164561296 \h </w:instrText>
            </w:r>
            <w:r>
              <w:rPr>
                <w:noProof/>
                <w:webHidden/>
              </w:rPr>
            </w:r>
            <w:r>
              <w:rPr>
                <w:noProof/>
                <w:webHidden/>
              </w:rPr>
              <w:fldChar w:fldCharType="separate"/>
            </w:r>
            <w:r>
              <w:rPr>
                <w:noProof/>
                <w:webHidden/>
              </w:rPr>
              <w:t>4</w:t>
            </w:r>
            <w:r>
              <w:rPr>
                <w:noProof/>
                <w:webHidden/>
              </w:rPr>
              <w:fldChar w:fldCharType="end"/>
            </w:r>
          </w:hyperlink>
        </w:p>
        <w:p w14:paraId="1B144F68" w14:textId="06B0E707" w:rsidR="002536E3" w:rsidRDefault="002536E3">
          <w:pPr>
            <w:pStyle w:val="TOC2"/>
            <w:tabs>
              <w:tab w:val="right" w:leader="dot" w:pos="9350"/>
            </w:tabs>
            <w:rPr>
              <w:rFonts w:eastAsiaTheme="minorEastAsia"/>
              <w:noProof/>
            </w:rPr>
          </w:pPr>
          <w:hyperlink w:anchor="_Toc164561297" w:history="1">
            <w:r w:rsidRPr="0074271B">
              <w:rPr>
                <w:rStyle w:val="Hyperlink"/>
                <w:rFonts w:asciiTheme="majorHAnsi" w:hAnsiTheme="majorHAnsi" w:cstheme="majorHAnsi"/>
                <w:noProof/>
              </w:rPr>
              <w:t>CAGR OF Uber</w:t>
            </w:r>
            <w:r>
              <w:rPr>
                <w:noProof/>
                <w:webHidden/>
              </w:rPr>
              <w:tab/>
            </w:r>
            <w:r>
              <w:rPr>
                <w:noProof/>
                <w:webHidden/>
              </w:rPr>
              <w:fldChar w:fldCharType="begin"/>
            </w:r>
            <w:r>
              <w:rPr>
                <w:noProof/>
                <w:webHidden/>
              </w:rPr>
              <w:instrText xml:space="preserve"> PAGEREF _Toc164561297 \h </w:instrText>
            </w:r>
            <w:r>
              <w:rPr>
                <w:noProof/>
                <w:webHidden/>
              </w:rPr>
            </w:r>
            <w:r>
              <w:rPr>
                <w:noProof/>
                <w:webHidden/>
              </w:rPr>
              <w:fldChar w:fldCharType="separate"/>
            </w:r>
            <w:r>
              <w:rPr>
                <w:noProof/>
                <w:webHidden/>
              </w:rPr>
              <w:t>6</w:t>
            </w:r>
            <w:r>
              <w:rPr>
                <w:noProof/>
                <w:webHidden/>
              </w:rPr>
              <w:fldChar w:fldCharType="end"/>
            </w:r>
          </w:hyperlink>
        </w:p>
        <w:p w14:paraId="7536FD87" w14:textId="6D478F3A" w:rsidR="002536E3" w:rsidRDefault="002536E3">
          <w:pPr>
            <w:pStyle w:val="TOC3"/>
            <w:tabs>
              <w:tab w:val="right" w:leader="dot" w:pos="9350"/>
            </w:tabs>
            <w:rPr>
              <w:rFonts w:eastAsiaTheme="minorEastAsia"/>
              <w:noProof/>
            </w:rPr>
          </w:pPr>
          <w:hyperlink w:anchor="_Toc164561298" w:history="1">
            <w:r w:rsidRPr="0074271B">
              <w:rPr>
                <w:rStyle w:val="Hyperlink"/>
                <w:noProof/>
              </w:rPr>
              <w:t>CAGR of Lyft</w:t>
            </w:r>
            <w:r>
              <w:rPr>
                <w:noProof/>
                <w:webHidden/>
              </w:rPr>
              <w:tab/>
            </w:r>
            <w:r>
              <w:rPr>
                <w:noProof/>
                <w:webHidden/>
              </w:rPr>
              <w:fldChar w:fldCharType="begin"/>
            </w:r>
            <w:r>
              <w:rPr>
                <w:noProof/>
                <w:webHidden/>
              </w:rPr>
              <w:instrText xml:space="preserve"> PAGEREF _Toc164561298 \h </w:instrText>
            </w:r>
            <w:r>
              <w:rPr>
                <w:noProof/>
                <w:webHidden/>
              </w:rPr>
            </w:r>
            <w:r>
              <w:rPr>
                <w:noProof/>
                <w:webHidden/>
              </w:rPr>
              <w:fldChar w:fldCharType="separate"/>
            </w:r>
            <w:r>
              <w:rPr>
                <w:noProof/>
                <w:webHidden/>
              </w:rPr>
              <w:t>7</w:t>
            </w:r>
            <w:r>
              <w:rPr>
                <w:noProof/>
                <w:webHidden/>
              </w:rPr>
              <w:fldChar w:fldCharType="end"/>
            </w:r>
          </w:hyperlink>
        </w:p>
        <w:p w14:paraId="59A91F73" w14:textId="4FFA9CD5" w:rsidR="002536E3" w:rsidRDefault="002536E3">
          <w:pPr>
            <w:pStyle w:val="TOC3"/>
            <w:tabs>
              <w:tab w:val="right" w:leader="dot" w:pos="9350"/>
            </w:tabs>
            <w:rPr>
              <w:rFonts w:eastAsiaTheme="minorEastAsia"/>
              <w:noProof/>
            </w:rPr>
          </w:pPr>
          <w:hyperlink w:anchor="_Toc164561299" w:history="1">
            <w:r w:rsidRPr="0074271B">
              <w:rPr>
                <w:rStyle w:val="Hyperlink"/>
                <w:noProof/>
              </w:rPr>
              <w:t>Comparison of Uber and Lyft</w:t>
            </w:r>
            <w:r>
              <w:rPr>
                <w:noProof/>
                <w:webHidden/>
              </w:rPr>
              <w:tab/>
            </w:r>
            <w:r>
              <w:rPr>
                <w:noProof/>
                <w:webHidden/>
              </w:rPr>
              <w:fldChar w:fldCharType="begin"/>
            </w:r>
            <w:r>
              <w:rPr>
                <w:noProof/>
                <w:webHidden/>
              </w:rPr>
              <w:instrText xml:space="preserve"> PAGEREF _Toc164561299 \h </w:instrText>
            </w:r>
            <w:r>
              <w:rPr>
                <w:noProof/>
                <w:webHidden/>
              </w:rPr>
            </w:r>
            <w:r>
              <w:rPr>
                <w:noProof/>
                <w:webHidden/>
              </w:rPr>
              <w:fldChar w:fldCharType="separate"/>
            </w:r>
            <w:r>
              <w:rPr>
                <w:noProof/>
                <w:webHidden/>
              </w:rPr>
              <w:t>7</w:t>
            </w:r>
            <w:r>
              <w:rPr>
                <w:noProof/>
                <w:webHidden/>
              </w:rPr>
              <w:fldChar w:fldCharType="end"/>
            </w:r>
          </w:hyperlink>
        </w:p>
        <w:p w14:paraId="48285EE9" w14:textId="6422C9D7" w:rsidR="002536E3" w:rsidRDefault="002536E3">
          <w:pPr>
            <w:pStyle w:val="TOC2"/>
            <w:tabs>
              <w:tab w:val="right" w:leader="dot" w:pos="9350"/>
            </w:tabs>
            <w:rPr>
              <w:rFonts w:eastAsiaTheme="minorEastAsia"/>
              <w:noProof/>
            </w:rPr>
          </w:pPr>
          <w:hyperlink w:anchor="_Toc164561300" w:history="1">
            <w:r w:rsidRPr="0074271B">
              <w:rPr>
                <w:rStyle w:val="Hyperlink"/>
                <w:rFonts w:asciiTheme="majorHAnsi" w:hAnsiTheme="majorHAnsi" w:cstheme="majorHAnsi"/>
                <w:noProof/>
              </w:rPr>
              <w:t>Sharpe and Treynor Ratios</w:t>
            </w:r>
            <w:r>
              <w:rPr>
                <w:noProof/>
                <w:webHidden/>
              </w:rPr>
              <w:tab/>
            </w:r>
            <w:r>
              <w:rPr>
                <w:noProof/>
                <w:webHidden/>
              </w:rPr>
              <w:fldChar w:fldCharType="begin"/>
            </w:r>
            <w:r>
              <w:rPr>
                <w:noProof/>
                <w:webHidden/>
              </w:rPr>
              <w:instrText xml:space="preserve"> PAGEREF _Toc164561300 \h </w:instrText>
            </w:r>
            <w:r>
              <w:rPr>
                <w:noProof/>
                <w:webHidden/>
              </w:rPr>
            </w:r>
            <w:r>
              <w:rPr>
                <w:noProof/>
                <w:webHidden/>
              </w:rPr>
              <w:fldChar w:fldCharType="separate"/>
            </w:r>
            <w:r>
              <w:rPr>
                <w:noProof/>
                <w:webHidden/>
              </w:rPr>
              <w:t>9</w:t>
            </w:r>
            <w:r>
              <w:rPr>
                <w:noProof/>
                <w:webHidden/>
              </w:rPr>
              <w:fldChar w:fldCharType="end"/>
            </w:r>
          </w:hyperlink>
        </w:p>
        <w:p w14:paraId="4FCDEC35" w14:textId="24ECE5DA" w:rsidR="002536E3" w:rsidRDefault="002536E3">
          <w:pPr>
            <w:pStyle w:val="TOC3"/>
            <w:tabs>
              <w:tab w:val="right" w:leader="dot" w:pos="9350"/>
            </w:tabs>
            <w:rPr>
              <w:rFonts w:eastAsiaTheme="minorEastAsia"/>
              <w:noProof/>
            </w:rPr>
          </w:pPr>
          <w:hyperlink w:anchor="_Toc164561301" w:history="1">
            <w:r w:rsidRPr="0074271B">
              <w:rPr>
                <w:rStyle w:val="Hyperlink"/>
                <w:noProof/>
              </w:rPr>
              <w:t>Sharpe Ratio:</w:t>
            </w:r>
            <w:r>
              <w:rPr>
                <w:noProof/>
                <w:webHidden/>
              </w:rPr>
              <w:tab/>
            </w:r>
            <w:r>
              <w:rPr>
                <w:noProof/>
                <w:webHidden/>
              </w:rPr>
              <w:fldChar w:fldCharType="begin"/>
            </w:r>
            <w:r>
              <w:rPr>
                <w:noProof/>
                <w:webHidden/>
              </w:rPr>
              <w:instrText xml:space="preserve"> PAGEREF _Toc164561301 \h </w:instrText>
            </w:r>
            <w:r>
              <w:rPr>
                <w:noProof/>
                <w:webHidden/>
              </w:rPr>
            </w:r>
            <w:r>
              <w:rPr>
                <w:noProof/>
                <w:webHidden/>
              </w:rPr>
              <w:fldChar w:fldCharType="separate"/>
            </w:r>
            <w:r>
              <w:rPr>
                <w:noProof/>
                <w:webHidden/>
              </w:rPr>
              <w:t>9</w:t>
            </w:r>
            <w:r>
              <w:rPr>
                <w:noProof/>
                <w:webHidden/>
              </w:rPr>
              <w:fldChar w:fldCharType="end"/>
            </w:r>
          </w:hyperlink>
        </w:p>
        <w:p w14:paraId="29EB85BF" w14:textId="0E9D0C6D" w:rsidR="002536E3" w:rsidRDefault="002536E3">
          <w:pPr>
            <w:pStyle w:val="TOC3"/>
            <w:tabs>
              <w:tab w:val="right" w:leader="dot" w:pos="9350"/>
            </w:tabs>
            <w:rPr>
              <w:rFonts w:eastAsiaTheme="minorEastAsia"/>
              <w:noProof/>
            </w:rPr>
          </w:pPr>
          <w:hyperlink w:anchor="_Toc164561302" w:history="1">
            <w:r w:rsidRPr="0074271B">
              <w:rPr>
                <w:rStyle w:val="Hyperlink"/>
                <w:noProof/>
              </w:rPr>
              <w:t>Treynor Ratio:</w:t>
            </w:r>
            <w:r>
              <w:rPr>
                <w:noProof/>
                <w:webHidden/>
              </w:rPr>
              <w:tab/>
            </w:r>
            <w:r>
              <w:rPr>
                <w:noProof/>
                <w:webHidden/>
              </w:rPr>
              <w:fldChar w:fldCharType="begin"/>
            </w:r>
            <w:r>
              <w:rPr>
                <w:noProof/>
                <w:webHidden/>
              </w:rPr>
              <w:instrText xml:space="preserve"> PAGEREF _Toc164561302 \h </w:instrText>
            </w:r>
            <w:r>
              <w:rPr>
                <w:noProof/>
                <w:webHidden/>
              </w:rPr>
            </w:r>
            <w:r>
              <w:rPr>
                <w:noProof/>
                <w:webHidden/>
              </w:rPr>
              <w:fldChar w:fldCharType="separate"/>
            </w:r>
            <w:r>
              <w:rPr>
                <w:noProof/>
                <w:webHidden/>
              </w:rPr>
              <w:t>10</w:t>
            </w:r>
            <w:r>
              <w:rPr>
                <w:noProof/>
                <w:webHidden/>
              </w:rPr>
              <w:fldChar w:fldCharType="end"/>
            </w:r>
          </w:hyperlink>
        </w:p>
        <w:p w14:paraId="4B76B7B8" w14:textId="7F9CC825" w:rsidR="002536E3" w:rsidRDefault="002536E3">
          <w:pPr>
            <w:pStyle w:val="TOC2"/>
            <w:tabs>
              <w:tab w:val="right" w:leader="dot" w:pos="9350"/>
            </w:tabs>
            <w:rPr>
              <w:rFonts w:eastAsiaTheme="minorEastAsia"/>
              <w:noProof/>
            </w:rPr>
          </w:pPr>
          <w:hyperlink w:anchor="_Toc164561303" w:history="1">
            <w:r w:rsidRPr="0074271B">
              <w:rPr>
                <w:rStyle w:val="Hyperlink"/>
                <w:rFonts w:asciiTheme="majorHAnsi" w:hAnsiTheme="majorHAnsi" w:cstheme="majorHAnsi"/>
                <w:noProof/>
              </w:rPr>
              <w:t>Money call option</w:t>
            </w:r>
            <w:r>
              <w:rPr>
                <w:noProof/>
                <w:webHidden/>
              </w:rPr>
              <w:tab/>
            </w:r>
            <w:r>
              <w:rPr>
                <w:noProof/>
                <w:webHidden/>
              </w:rPr>
              <w:fldChar w:fldCharType="begin"/>
            </w:r>
            <w:r>
              <w:rPr>
                <w:noProof/>
                <w:webHidden/>
              </w:rPr>
              <w:instrText xml:space="preserve"> PAGEREF _Toc164561303 \h </w:instrText>
            </w:r>
            <w:r>
              <w:rPr>
                <w:noProof/>
                <w:webHidden/>
              </w:rPr>
            </w:r>
            <w:r>
              <w:rPr>
                <w:noProof/>
                <w:webHidden/>
              </w:rPr>
              <w:fldChar w:fldCharType="separate"/>
            </w:r>
            <w:r>
              <w:rPr>
                <w:noProof/>
                <w:webHidden/>
              </w:rPr>
              <w:t>10</w:t>
            </w:r>
            <w:r>
              <w:rPr>
                <w:noProof/>
                <w:webHidden/>
              </w:rPr>
              <w:fldChar w:fldCharType="end"/>
            </w:r>
          </w:hyperlink>
        </w:p>
        <w:p w14:paraId="2472E4B0" w14:textId="3D266ED6" w:rsidR="002536E3" w:rsidRDefault="002536E3">
          <w:pPr>
            <w:pStyle w:val="TOC2"/>
            <w:tabs>
              <w:tab w:val="right" w:leader="dot" w:pos="9350"/>
            </w:tabs>
            <w:rPr>
              <w:rFonts w:eastAsiaTheme="minorEastAsia"/>
              <w:noProof/>
            </w:rPr>
          </w:pPr>
          <w:hyperlink w:anchor="_Toc164561304" w:history="1">
            <w:r w:rsidRPr="0074271B">
              <w:rPr>
                <w:rStyle w:val="Hyperlink"/>
                <w:rFonts w:asciiTheme="majorHAnsi" w:hAnsiTheme="majorHAnsi" w:cstheme="majorHAnsi"/>
                <w:noProof/>
              </w:rPr>
              <w:t>Money put option</w:t>
            </w:r>
            <w:r>
              <w:rPr>
                <w:noProof/>
                <w:webHidden/>
              </w:rPr>
              <w:tab/>
            </w:r>
            <w:r>
              <w:rPr>
                <w:noProof/>
                <w:webHidden/>
              </w:rPr>
              <w:fldChar w:fldCharType="begin"/>
            </w:r>
            <w:r>
              <w:rPr>
                <w:noProof/>
                <w:webHidden/>
              </w:rPr>
              <w:instrText xml:space="preserve"> PAGEREF _Toc164561304 \h </w:instrText>
            </w:r>
            <w:r>
              <w:rPr>
                <w:noProof/>
                <w:webHidden/>
              </w:rPr>
            </w:r>
            <w:r>
              <w:rPr>
                <w:noProof/>
                <w:webHidden/>
              </w:rPr>
              <w:fldChar w:fldCharType="separate"/>
            </w:r>
            <w:r>
              <w:rPr>
                <w:noProof/>
                <w:webHidden/>
              </w:rPr>
              <w:t>11</w:t>
            </w:r>
            <w:r>
              <w:rPr>
                <w:noProof/>
                <w:webHidden/>
              </w:rPr>
              <w:fldChar w:fldCharType="end"/>
            </w:r>
          </w:hyperlink>
        </w:p>
        <w:p w14:paraId="66BBFB6B" w14:textId="68EDAE34" w:rsidR="002536E3" w:rsidRDefault="002536E3">
          <w:pPr>
            <w:pStyle w:val="TOC2"/>
            <w:tabs>
              <w:tab w:val="right" w:leader="dot" w:pos="9350"/>
            </w:tabs>
            <w:rPr>
              <w:rFonts w:eastAsiaTheme="minorEastAsia"/>
              <w:noProof/>
            </w:rPr>
          </w:pPr>
          <w:hyperlink w:anchor="_Toc164561305" w:history="1">
            <w:r w:rsidRPr="0074271B">
              <w:rPr>
                <w:rStyle w:val="Hyperlink"/>
                <w:rFonts w:asciiTheme="majorHAnsi" w:hAnsiTheme="majorHAnsi" w:cstheme="majorHAnsi"/>
                <w:noProof/>
              </w:rPr>
              <w:t>Strangle or Straddle</w:t>
            </w:r>
            <w:r>
              <w:rPr>
                <w:noProof/>
                <w:webHidden/>
              </w:rPr>
              <w:tab/>
            </w:r>
            <w:r>
              <w:rPr>
                <w:noProof/>
                <w:webHidden/>
              </w:rPr>
              <w:fldChar w:fldCharType="begin"/>
            </w:r>
            <w:r>
              <w:rPr>
                <w:noProof/>
                <w:webHidden/>
              </w:rPr>
              <w:instrText xml:space="preserve"> PAGEREF _Toc164561305 \h </w:instrText>
            </w:r>
            <w:r>
              <w:rPr>
                <w:noProof/>
                <w:webHidden/>
              </w:rPr>
            </w:r>
            <w:r>
              <w:rPr>
                <w:noProof/>
                <w:webHidden/>
              </w:rPr>
              <w:fldChar w:fldCharType="separate"/>
            </w:r>
            <w:r>
              <w:rPr>
                <w:noProof/>
                <w:webHidden/>
              </w:rPr>
              <w:t>12</w:t>
            </w:r>
            <w:r>
              <w:rPr>
                <w:noProof/>
                <w:webHidden/>
              </w:rPr>
              <w:fldChar w:fldCharType="end"/>
            </w:r>
          </w:hyperlink>
        </w:p>
        <w:p w14:paraId="54A91CA6" w14:textId="682F0F5F" w:rsidR="002536E3" w:rsidRDefault="002536E3">
          <w:pPr>
            <w:pStyle w:val="TOC2"/>
            <w:tabs>
              <w:tab w:val="right" w:leader="dot" w:pos="9350"/>
            </w:tabs>
            <w:rPr>
              <w:rFonts w:eastAsiaTheme="minorEastAsia"/>
              <w:noProof/>
            </w:rPr>
          </w:pPr>
          <w:hyperlink w:anchor="_Toc164561306" w:history="1">
            <w:r w:rsidRPr="0074271B">
              <w:rPr>
                <w:rStyle w:val="Hyperlink"/>
                <w:rFonts w:asciiTheme="majorHAnsi" w:hAnsiTheme="majorHAnsi" w:cstheme="majorHAnsi"/>
                <w:noProof/>
              </w:rPr>
              <w:t>Performance of 10Y note</w:t>
            </w:r>
            <w:r>
              <w:rPr>
                <w:noProof/>
                <w:webHidden/>
              </w:rPr>
              <w:tab/>
            </w:r>
            <w:r>
              <w:rPr>
                <w:noProof/>
                <w:webHidden/>
              </w:rPr>
              <w:fldChar w:fldCharType="begin"/>
            </w:r>
            <w:r>
              <w:rPr>
                <w:noProof/>
                <w:webHidden/>
              </w:rPr>
              <w:instrText xml:space="preserve"> PAGEREF _Toc164561306 \h </w:instrText>
            </w:r>
            <w:r>
              <w:rPr>
                <w:noProof/>
                <w:webHidden/>
              </w:rPr>
            </w:r>
            <w:r>
              <w:rPr>
                <w:noProof/>
                <w:webHidden/>
              </w:rPr>
              <w:fldChar w:fldCharType="separate"/>
            </w:r>
            <w:r>
              <w:rPr>
                <w:noProof/>
                <w:webHidden/>
              </w:rPr>
              <w:t>13</w:t>
            </w:r>
            <w:r>
              <w:rPr>
                <w:noProof/>
                <w:webHidden/>
              </w:rPr>
              <w:fldChar w:fldCharType="end"/>
            </w:r>
          </w:hyperlink>
        </w:p>
        <w:p w14:paraId="76BCF1E8" w14:textId="5F1F3928" w:rsidR="002536E3" w:rsidRDefault="002536E3">
          <w:pPr>
            <w:pStyle w:val="TOC2"/>
            <w:tabs>
              <w:tab w:val="right" w:leader="dot" w:pos="9350"/>
            </w:tabs>
            <w:rPr>
              <w:rFonts w:eastAsiaTheme="minorEastAsia"/>
              <w:noProof/>
            </w:rPr>
          </w:pPr>
          <w:hyperlink w:anchor="_Toc164561307" w:history="1">
            <w:r w:rsidRPr="0074271B">
              <w:rPr>
                <w:rStyle w:val="Hyperlink"/>
                <w:rFonts w:asciiTheme="majorHAnsi" w:hAnsiTheme="majorHAnsi" w:cstheme="majorHAnsi"/>
                <w:noProof/>
              </w:rPr>
              <w:t>Impact of changes in the yield upon consumer debt</w:t>
            </w:r>
            <w:r>
              <w:rPr>
                <w:noProof/>
                <w:webHidden/>
              </w:rPr>
              <w:tab/>
            </w:r>
            <w:r>
              <w:rPr>
                <w:noProof/>
                <w:webHidden/>
              </w:rPr>
              <w:fldChar w:fldCharType="begin"/>
            </w:r>
            <w:r>
              <w:rPr>
                <w:noProof/>
                <w:webHidden/>
              </w:rPr>
              <w:instrText xml:space="preserve"> PAGEREF _Toc164561307 \h </w:instrText>
            </w:r>
            <w:r>
              <w:rPr>
                <w:noProof/>
                <w:webHidden/>
              </w:rPr>
            </w:r>
            <w:r>
              <w:rPr>
                <w:noProof/>
                <w:webHidden/>
              </w:rPr>
              <w:fldChar w:fldCharType="separate"/>
            </w:r>
            <w:r>
              <w:rPr>
                <w:noProof/>
                <w:webHidden/>
              </w:rPr>
              <w:t>13</w:t>
            </w:r>
            <w:r>
              <w:rPr>
                <w:noProof/>
                <w:webHidden/>
              </w:rPr>
              <w:fldChar w:fldCharType="end"/>
            </w:r>
          </w:hyperlink>
        </w:p>
        <w:p w14:paraId="499936CF" w14:textId="73EF6AB6" w:rsidR="002536E3" w:rsidRDefault="002536E3">
          <w:pPr>
            <w:pStyle w:val="TOC1"/>
            <w:tabs>
              <w:tab w:val="right" w:leader="dot" w:pos="9350"/>
            </w:tabs>
            <w:rPr>
              <w:rFonts w:eastAsiaTheme="minorEastAsia"/>
              <w:noProof/>
            </w:rPr>
          </w:pPr>
          <w:hyperlink w:anchor="_Toc164561308" w:history="1">
            <w:r w:rsidRPr="0074271B">
              <w:rPr>
                <w:rStyle w:val="Hyperlink"/>
                <w:b/>
                <w:bCs/>
                <w:noProof/>
              </w:rPr>
              <w:t>Conclusions:</w:t>
            </w:r>
            <w:r>
              <w:rPr>
                <w:noProof/>
                <w:webHidden/>
              </w:rPr>
              <w:tab/>
            </w:r>
            <w:r>
              <w:rPr>
                <w:noProof/>
                <w:webHidden/>
              </w:rPr>
              <w:fldChar w:fldCharType="begin"/>
            </w:r>
            <w:r>
              <w:rPr>
                <w:noProof/>
                <w:webHidden/>
              </w:rPr>
              <w:instrText xml:space="preserve"> PAGEREF _Toc164561308 \h </w:instrText>
            </w:r>
            <w:r>
              <w:rPr>
                <w:noProof/>
                <w:webHidden/>
              </w:rPr>
            </w:r>
            <w:r>
              <w:rPr>
                <w:noProof/>
                <w:webHidden/>
              </w:rPr>
              <w:fldChar w:fldCharType="separate"/>
            </w:r>
            <w:r>
              <w:rPr>
                <w:noProof/>
                <w:webHidden/>
              </w:rPr>
              <w:t>14</w:t>
            </w:r>
            <w:r>
              <w:rPr>
                <w:noProof/>
                <w:webHidden/>
              </w:rPr>
              <w:fldChar w:fldCharType="end"/>
            </w:r>
          </w:hyperlink>
        </w:p>
        <w:p w14:paraId="15D881D6" w14:textId="4DD5AA3E" w:rsidR="002536E3" w:rsidRDefault="002536E3">
          <w:pPr>
            <w:pStyle w:val="TOC1"/>
            <w:tabs>
              <w:tab w:val="right" w:leader="dot" w:pos="9350"/>
            </w:tabs>
            <w:rPr>
              <w:rFonts w:eastAsiaTheme="minorEastAsia"/>
              <w:noProof/>
            </w:rPr>
          </w:pPr>
          <w:hyperlink w:anchor="_Toc164561309" w:history="1">
            <w:r w:rsidRPr="0074271B">
              <w:rPr>
                <w:rStyle w:val="Hyperlink"/>
                <w:b/>
                <w:bCs/>
                <w:noProof/>
              </w:rPr>
              <w:t>References:</w:t>
            </w:r>
            <w:r>
              <w:rPr>
                <w:noProof/>
                <w:webHidden/>
              </w:rPr>
              <w:tab/>
            </w:r>
            <w:r>
              <w:rPr>
                <w:noProof/>
                <w:webHidden/>
              </w:rPr>
              <w:fldChar w:fldCharType="begin"/>
            </w:r>
            <w:r>
              <w:rPr>
                <w:noProof/>
                <w:webHidden/>
              </w:rPr>
              <w:instrText xml:space="preserve"> PAGEREF _Toc164561309 \h </w:instrText>
            </w:r>
            <w:r>
              <w:rPr>
                <w:noProof/>
                <w:webHidden/>
              </w:rPr>
            </w:r>
            <w:r>
              <w:rPr>
                <w:noProof/>
                <w:webHidden/>
              </w:rPr>
              <w:fldChar w:fldCharType="separate"/>
            </w:r>
            <w:r>
              <w:rPr>
                <w:noProof/>
                <w:webHidden/>
              </w:rPr>
              <w:t>15</w:t>
            </w:r>
            <w:r>
              <w:rPr>
                <w:noProof/>
                <w:webHidden/>
              </w:rPr>
              <w:fldChar w:fldCharType="end"/>
            </w:r>
          </w:hyperlink>
        </w:p>
        <w:p w14:paraId="37EB9BB5" w14:textId="2DF9B207" w:rsidR="007E1E1E" w:rsidRDefault="007E1E1E">
          <w:r>
            <w:rPr>
              <w:b/>
              <w:bCs/>
              <w:noProof/>
            </w:rPr>
            <w:fldChar w:fldCharType="end"/>
          </w:r>
        </w:p>
      </w:sdtContent>
    </w:sdt>
    <w:p w14:paraId="7A3C03CB" w14:textId="77777777" w:rsidR="007E1E1E" w:rsidRDefault="007E1E1E" w:rsidP="007E1E1E"/>
    <w:p w14:paraId="6D90B43B" w14:textId="77777777" w:rsidR="007E1E1E" w:rsidRDefault="007E1E1E">
      <w:pPr>
        <w:rPr>
          <w:rFonts w:asciiTheme="majorHAnsi" w:eastAsiaTheme="majorEastAsia" w:hAnsiTheme="majorHAnsi" w:cstheme="majorBidi"/>
          <w:b/>
          <w:bCs/>
          <w:sz w:val="36"/>
          <w:szCs w:val="36"/>
        </w:rPr>
      </w:pPr>
      <w:r>
        <w:rPr>
          <w:b/>
          <w:bCs/>
          <w:sz w:val="36"/>
          <w:szCs w:val="36"/>
        </w:rPr>
        <w:br w:type="page"/>
      </w:r>
    </w:p>
    <w:p w14:paraId="141C2CF6" w14:textId="6B6A717D" w:rsidR="00AC161A" w:rsidRPr="00AC161A" w:rsidRDefault="00AC161A" w:rsidP="00AC161A">
      <w:pPr>
        <w:pStyle w:val="Heading1"/>
        <w:spacing w:line="360" w:lineRule="auto"/>
        <w:rPr>
          <w:b/>
          <w:bCs/>
          <w:color w:val="auto"/>
          <w:sz w:val="36"/>
          <w:szCs w:val="36"/>
        </w:rPr>
      </w:pPr>
      <w:bookmarkStart w:id="0" w:name="_Toc164561292"/>
      <w:r w:rsidRPr="00AC161A">
        <w:rPr>
          <w:b/>
          <w:bCs/>
          <w:color w:val="auto"/>
          <w:sz w:val="36"/>
          <w:szCs w:val="36"/>
        </w:rPr>
        <w:lastRenderedPageBreak/>
        <w:t>Introduction</w:t>
      </w:r>
      <w:bookmarkEnd w:id="0"/>
      <w:r w:rsidRPr="00AC161A">
        <w:rPr>
          <w:b/>
          <w:bCs/>
          <w:color w:val="auto"/>
          <w:sz w:val="36"/>
          <w:szCs w:val="36"/>
        </w:rPr>
        <w:t xml:space="preserve"> </w:t>
      </w:r>
    </w:p>
    <w:p w14:paraId="294FF3A1" w14:textId="10690E43" w:rsidR="002536E3" w:rsidRPr="002536E3" w:rsidRDefault="002536E3" w:rsidP="002536E3">
      <w:pPr>
        <w:jc w:val="both"/>
        <w:rPr>
          <w:rFonts w:ascii="Times New Roman" w:hAnsi="Times New Roman" w:cs="Times New Roman"/>
          <w:sz w:val="24"/>
          <w:szCs w:val="24"/>
        </w:rPr>
      </w:pPr>
      <w:r w:rsidRPr="002536E3">
        <w:rPr>
          <w:rFonts w:ascii="Times New Roman" w:hAnsi="Times New Roman" w:cs="Times New Roman"/>
          <w:sz w:val="24"/>
          <w:szCs w:val="24"/>
        </w:rPr>
        <w:t>The company Uber, which is situated in San Francisco, California, and provides transportation technology, is the subject of this article. Uber was established in 2009 and revolutionized the taxi industry by using mobile technology to simplify the process of matching drivers and customers via the use of an app.</w:t>
      </w:r>
    </w:p>
    <w:p w14:paraId="08240F42" w14:textId="27D779D1" w:rsidR="002536E3" w:rsidRPr="002536E3" w:rsidRDefault="002536E3" w:rsidP="002536E3">
      <w:pPr>
        <w:jc w:val="both"/>
        <w:rPr>
          <w:rFonts w:ascii="Times New Roman" w:hAnsi="Times New Roman" w:cs="Times New Roman"/>
          <w:sz w:val="24"/>
          <w:szCs w:val="24"/>
        </w:rPr>
      </w:pPr>
      <w:r w:rsidRPr="002536E3">
        <w:rPr>
          <w:rFonts w:ascii="Times New Roman" w:hAnsi="Times New Roman" w:cs="Times New Roman"/>
          <w:sz w:val="24"/>
          <w:szCs w:val="24"/>
        </w:rPr>
        <w:t>In the article, the target market, Uber's business strategy, and Uber's unique selling proposition are discussed. The primary justification for Uber's initial public offering (IPO) in 2019 is then investigated, along with the primary challenges that the company must surmount.</w:t>
      </w:r>
    </w:p>
    <w:p w14:paraId="00621E5A" w14:textId="5E240B6F" w:rsidR="002536E3" w:rsidRPr="002536E3" w:rsidRDefault="002536E3" w:rsidP="002536E3">
      <w:pPr>
        <w:jc w:val="both"/>
        <w:rPr>
          <w:rFonts w:ascii="Times New Roman" w:hAnsi="Times New Roman" w:cs="Times New Roman"/>
          <w:sz w:val="24"/>
          <w:szCs w:val="24"/>
        </w:rPr>
      </w:pPr>
      <w:r w:rsidRPr="002536E3">
        <w:rPr>
          <w:rFonts w:ascii="Times New Roman" w:hAnsi="Times New Roman" w:cs="Times New Roman"/>
          <w:sz w:val="24"/>
          <w:szCs w:val="24"/>
        </w:rPr>
        <w:t>In addition, the article examines the market performance of Uber's stock price from 2019 to 2023 in comparison to that of Lyft, which is Uber's key competitor. For the purpose of assessing the performance of the two firms, the compound annual growth rate (CAGR) is used. A calculation of the Treynor and Sharpe Ratios is also included in the article in order to assess the risk-adjusted return on investment that Uber has achieved.</w:t>
      </w:r>
    </w:p>
    <w:p w14:paraId="732366AD" w14:textId="7659627B" w:rsidR="00AC161A" w:rsidRPr="002536E3" w:rsidRDefault="002536E3" w:rsidP="002536E3">
      <w:pPr>
        <w:jc w:val="both"/>
        <w:rPr>
          <w:rFonts w:ascii="Times New Roman" w:hAnsi="Times New Roman" w:cs="Times New Roman"/>
          <w:sz w:val="24"/>
          <w:szCs w:val="24"/>
        </w:rPr>
      </w:pPr>
      <w:r w:rsidRPr="002536E3">
        <w:rPr>
          <w:rFonts w:ascii="Times New Roman" w:hAnsi="Times New Roman" w:cs="Times New Roman"/>
          <w:sz w:val="24"/>
          <w:szCs w:val="24"/>
        </w:rPr>
        <w:t>The piece comes to a close by analyzing a number of other opportunities for investing in Lyft stock, including straddle approaches, money call and put options, and other similar strategies. In conclusion, it discusses why Uber does not issue 10-year Treasury notes as a company that finances its operations via the sale of stocks, as well as how fluctuations in the interest rate on these notes might potentially impact consumer debt.</w:t>
      </w:r>
    </w:p>
    <w:p w14:paraId="5E976037" w14:textId="5DDA4867" w:rsidR="00AC161A" w:rsidRPr="00AC161A" w:rsidRDefault="00AC161A" w:rsidP="00AC161A">
      <w:pPr>
        <w:pStyle w:val="Heading1"/>
        <w:spacing w:line="360" w:lineRule="auto"/>
        <w:rPr>
          <w:b/>
          <w:bCs/>
          <w:color w:val="auto"/>
          <w:sz w:val="36"/>
          <w:szCs w:val="36"/>
        </w:rPr>
      </w:pPr>
      <w:bookmarkStart w:id="1" w:name="_Toc164561293"/>
      <w:r w:rsidRPr="00AC161A">
        <w:rPr>
          <w:b/>
          <w:bCs/>
          <w:color w:val="auto"/>
          <w:sz w:val="36"/>
          <w:szCs w:val="36"/>
        </w:rPr>
        <w:t>Main Body</w:t>
      </w:r>
      <w:bookmarkEnd w:id="1"/>
    </w:p>
    <w:p w14:paraId="7510A47D" w14:textId="47188E69" w:rsidR="00D5670D" w:rsidRPr="00AC161A" w:rsidRDefault="00D5670D" w:rsidP="00AC161A">
      <w:pPr>
        <w:rPr>
          <w:b/>
          <w:bCs/>
          <w:i/>
          <w:iCs/>
          <w:sz w:val="32"/>
          <w:szCs w:val="32"/>
          <w:u w:val="single"/>
        </w:rPr>
      </w:pPr>
      <w:r w:rsidRPr="00AC161A">
        <w:rPr>
          <w:b/>
          <w:bCs/>
          <w:i/>
          <w:iCs/>
          <w:sz w:val="32"/>
          <w:szCs w:val="32"/>
          <w:u w:val="single"/>
        </w:rPr>
        <w:t>P</w:t>
      </w:r>
      <w:r w:rsidR="00AC161A" w:rsidRPr="00AC161A">
        <w:rPr>
          <w:b/>
          <w:bCs/>
          <w:i/>
          <w:iCs/>
          <w:sz w:val="32"/>
          <w:szCs w:val="32"/>
          <w:u w:val="single"/>
        </w:rPr>
        <w:t>art</w:t>
      </w:r>
      <w:r w:rsidRPr="00AC161A">
        <w:rPr>
          <w:b/>
          <w:bCs/>
          <w:i/>
          <w:iCs/>
          <w:sz w:val="32"/>
          <w:szCs w:val="32"/>
          <w:u w:val="single"/>
        </w:rPr>
        <w:t xml:space="preserve"> 1</w:t>
      </w:r>
    </w:p>
    <w:p w14:paraId="29E6864A" w14:textId="1FD9C25F" w:rsidR="00AC161A" w:rsidRPr="00AC161A" w:rsidRDefault="00AC161A" w:rsidP="00AC161A">
      <w:pPr>
        <w:pStyle w:val="Heading2"/>
        <w:rPr>
          <w:rFonts w:asciiTheme="majorHAnsi" w:hAnsiTheme="majorHAnsi" w:cstheme="majorHAnsi"/>
          <w:sz w:val="32"/>
          <w:szCs w:val="32"/>
          <w:u w:val="single"/>
        </w:rPr>
      </w:pPr>
      <w:bookmarkStart w:id="2" w:name="_Toc164561294"/>
      <w:r w:rsidRPr="00AC161A">
        <w:rPr>
          <w:rFonts w:asciiTheme="majorHAnsi" w:hAnsiTheme="majorHAnsi" w:cstheme="majorHAnsi"/>
          <w:sz w:val="32"/>
          <w:szCs w:val="32"/>
          <w:u w:val="single"/>
        </w:rPr>
        <w:t>Overview of Company, Business, Target Market and USP</w:t>
      </w:r>
      <w:bookmarkEnd w:id="2"/>
    </w:p>
    <w:p w14:paraId="5729D74E" w14:textId="422B18A2" w:rsidR="00D5670D" w:rsidRPr="00AC161A" w:rsidRDefault="00D5670D" w:rsidP="00AC161A">
      <w:pPr>
        <w:rPr>
          <w:rFonts w:ascii="Times New Roman" w:hAnsi="Times New Roman" w:cs="Times New Roman"/>
          <w:b/>
          <w:bCs/>
          <w:sz w:val="24"/>
          <w:szCs w:val="24"/>
        </w:rPr>
      </w:pPr>
      <w:r w:rsidRPr="00AC161A">
        <w:rPr>
          <w:rFonts w:ascii="Times New Roman" w:hAnsi="Times New Roman" w:cs="Times New Roman"/>
          <w:b/>
          <w:bCs/>
          <w:sz w:val="24"/>
          <w:szCs w:val="24"/>
        </w:rPr>
        <w:t>Uber</w:t>
      </w:r>
      <w:r w:rsidR="00AC161A">
        <w:rPr>
          <w:rFonts w:ascii="Times New Roman" w:hAnsi="Times New Roman" w:cs="Times New Roman"/>
          <w:b/>
          <w:bCs/>
          <w:sz w:val="24"/>
          <w:szCs w:val="24"/>
        </w:rPr>
        <w:t xml:space="preserve"> Overview:</w:t>
      </w:r>
    </w:p>
    <w:p w14:paraId="4095A911" w14:textId="6E40DF80" w:rsidR="0002445F" w:rsidRPr="0002445F" w:rsidRDefault="0002445F" w:rsidP="0002445F">
      <w:pPr>
        <w:jc w:val="both"/>
        <w:rPr>
          <w:rFonts w:ascii="Times New Roman" w:hAnsi="Times New Roman" w:cs="Times New Roman"/>
          <w:sz w:val="24"/>
          <w:szCs w:val="24"/>
        </w:rPr>
      </w:pPr>
      <w:r w:rsidRPr="0002445F">
        <w:rPr>
          <w:rFonts w:ascii="Times New Roman" w:hAnsi="Times New Roman" w:cs="Times New Roman"/>
          <w:sz w:val="24"/>
          <w:szCs w:val="24"/>
        </w:rPr>
        <w:t>The transportation technology company Uber, which is headquartered in San Francisco, California, is now generally acknowledged as the industry standard for ride-hailing services. It was established in 2009 and used mobile technology to connect passengers with drivers using an app that was simple to use, therefore producing a disruption in the traditional taxi industry.</w:t>
      </w:r>
    </w:p>
    <w:p w14:paraId="5797F848" w14:textId="306C775D" w:rsidR="00D5670D" w:rsidRPr="00AC161A" w:rsidRDefault="00D5670D" w:rsidP="00AC161A">
      <w:pPr>
        <w:rPr>
          <w:rFonts w:ascii="Times New Roman" w:hAnsi="Times New Roman" w:cs="Times New Roman"/>
          <w:b/>
          <w:bCs/>
          <w:sz w:val="24"/>
          <w:szCs w:val="24"/>
        </w:rPr>
      </w:pPr>
      <w:r w:rsidRPr="00AC161A">
        <w:rPr>
          <w:rFonts w:ascii="Times New Roman" w:hAnsi="Times New Roman" w:cs="Times New Roman"/>
          <w:b/>
          <w:bCs/>
          <w:sz w:val="24"/>
          <w:szCs w:val="24"/>
        </w:rPr>
        <w:t xml:space="preserve">Business Model: </w:t>
      </w:r>
    </w:p>
    <w:p w14:paraId="52974C45" w14:textId="4113E090" w:rsidR="0002445F" w:rsidRPr="0002445F" w:rsidRDefault="0002445F" w:rsidP="0002445F">
      <w:pPr>
        <w:jc w:val="both"/>
        <w:rPr>
          <w:rFonts w:ascii="Times New Roman" w:hAnsi="Times New Roman" w:cs="Times New Roman"/>
          <w:sz w:val="24"/>
          <w:szCs w:val="24"/>
        </w:rPr>
      </w:pPr>
      <w:r w:rsidRPr="0002445F">
        <w:rPr>
          <w:rFonts w:ascii="Times New Roman" w:hAnsi="Times New Roman" w:cs="Times New Roman"/>
          <w:sz w:val="24"/>
          <w:szCs w:val="24"/>
        </w:rPr>
        <w:t xml:space="preserve">Ridesharing is made possible by Uber via the use of a network of independent drivers. Through the use of the app, users are able to hail a taxi, see an estimate of the fare before beginning their journey, and track the progress of their driver in real time. Because of the prevalence of digital payment processing, the usage of cash has become more outdated. </w:t>
      </w:r>
      <w:r w:rsidR="004D3C3A">
        <w:rPr>
          <w:rFonts w:ascii="Times New Roman" w:hAnsi="Times New Roman" w:cs="Times New Roman"/>
          <w:sz w:val="24"/>
          <w:szCs w:val="24"/>
        </w:rPr>
        <w:t>The</w:t>
      </w:r>
      <w:r w:rsidRPr="0002445F">
        <w:rPr>
          <w:rFonts w:ascii="Times New Roman" w:hAnsi="Times New Roman" w:cs="Times New Roman"/>
          <w:sz w:val="24"/>
          <w:szCs w:val="24"/>
        </w:rPr>
        <w:t xml:space="preserve"> drivers who operate as independent contractors have the ability to choose their own schedules and use their own vehicles. Additionally, they have the option to use their own vehicles. Uber receives a fee for each trip that is successfully completed, which results in Cash for Uber.</w:t>
      </w:r>
    </w:p>
    <w:p w14:paraId="6835144C" w14:textId="37685E81" w:rsidR="0002445F" w:rsidRPr="0002445F" w:rsidRDefault="0002445F" w:rsidP="0002445F">
      <w:pPr>
        <w:jc w:val="both"/>
        <w:rPr>
          <w:rFonts w:ascii="Times New Roman" w:hAnsi="Times New Roman" w:cs="Times New Roman"/>
          <w:sz w:val="24"/>
          <w:szCs w:val="24"/>
        </w:rPr>
      </w:pPr>
      <w:r w:rsidRPr="0002445F">
        <w:rPr>
          <w:rFonts w:ascii="Times New Roman" w:hAnsi="Times New Roman" w:cs="Times New Roman"/>
          <w:sz w:val="24"/>
          <w:szCs w:val="24"/>
        </w:rPr>
        <w:lastRenderedPageBreak/>
        <w:t xml:space="preserve">Additionally, Uber provides food delivery via its Uber Eats service, logistics through its Uber Freight service, and micromobility through its Jump bikes and scooters. This is in addition to its original ridesharing business. As a result of its diversification, Uber is able to provide a wider variety of urban transportation requirements </w:t>
      </w:r>
      <w:r w:rsidR="004D3C3A" w:rsidRPr="004D3C3A">
        <w:rPr>
          <w:rFonts w:ascii="Times New Roman" w:hAnsi="Times New Roman" w:cs="Times New Roman"/>
          <w:sz w:val="24"/>
          <w:szCs w:val="24"/>
        </w:rPr>
        <w:t>(Lahoti, 2019)</w:t>
      </w:r>
      <w:r w:rsidR="004D3C3A">
        <w:rPr>
          <w:rFonts w:ascii="Times New Roman" w:hAnsi="Times New Roman" w:cs="Times New Roman"/>
          <w:sz w:val="24"/>
          <w:szCs w:val="24"/>
        </w:rPr>
        <w:t>.</w:t>
      </w:r>
    </w:p>
    <w:p w14:paraId="56E4AE8F" w14:textId="6415B924" w:rsidR="00D5670D" w:rsidRPr="00AC161A" w:rsidRDefault="00D5670D" w:rsidP="00AC161A">
      <w:pPr>
        <w:rPr>
          <w:rFonts w:ascii="Times New Roman" w:hAnsi="Times New Roman" w:cs="Times New Roman"/>
          <w:b/>
          <w:bCs/>
          <w:sz w:val="24"/>
          <w:szCs w:val="24"/>
        </w:rPr>
      </w:pPr>
      <w:r w:rsidRPr="00AC161A">
        <w:rPr>
          <w:rFonts w:ascii="Times New Roman" w:hAnsi="Times New Roman" w:cs="Times New Roman"/>
          <w:b/>
          <w:bCs/>
          <w:sz w:val="24"/>
          <w:szCs w:val="24"/>
        </w:rPr>
        <w:t>Target Market</w:t>
      </w:r>
      <w:r w:rsidR="00AC161A">
        <w:rPr>
          <w:rFonts w:ascii="Times New Roman" w:hAnsi="Times New Roman" w:cs="Times New Roman"/>
          <w:b/>
          <w:bCs/>
          <w:sz w:val="24"/>
          <w:szCs w:val="24"/>
        </w:rPr>
        <w:t>:</w:t>
      </w:r>
    </w:p>
    <w:p w14:paraId="1B076B1D" w14:textId="74DE42A0" w:rsidR="0002445F" w:rsidRPr="0002445F" w:rsidRDefault="0002445F" w:rsidP="0002445F">
      <w:pPr>
        <w:jc w:val="both"/>
        <w:rPr>
          <w:rFonts w:ascii="Times New Roman" w:hAnsi="Times New Roman" w:cs="Times New Roman"/>
          <w:sz w:val="24"/>
          <w:szCs w:val="24"/>
        </w:rPr>
      </w:pPr>
      <w:r w:rsidRPr="0002445F">
        <w:rPr>
          <w:rFonts w:ascii="Times New Roman" w:hAnsi="Times New Roman" w:cs="Times New Roman"/>
          <w:sz w:val="24"/>
          <w:szCs w:val="24"/>
        </w:rPr>
        <w:t>The people who live in cities and place a high value on accessibility, affordability, and convenience of use are the primary target audience for Uber. Due to the fact that, according to research conducted, younger generations, namely Millennials and Gen Z, are more likely to use ridesharing services than older demographics, Uber has identified them as a primary target demographic</w:t>
      </w:r>
      <w:r w:rsidR="004D3C3A">
        <w:rPr>
          <w:rFonts w:ascii="Times New Roman" w:hAnsi="Times New Roman" w:cs="Times New Roman"/>
          <w:sz w:val="24"/>
          <w:szCs w:val="24"/>
        </w:rPr>
        <w:t xml:space="preserve"> </w:t>
      </w:r>
      <w:r w:rsidR="004D3C3A" w:rsidRPr="004D3C3A">
        <w:rPr>
          <w:rFonts w:ascii="Times New Roman" w:hAnsi="Times New Roman" w:cs="Times New Roman"/>
          <w:sz w:val="24"/>
          <w:szCs w:val="24"/>
        </w:rPr>
        <w:t>(</w:t>
      </w:r>
      <w:proofErr w:type="spellStart"/>
      <w:r w:rsidR="004D3C3A" w:rsidRPr="004D3C3A">
        <w:rPr>
          <w:rFonts w:ascii="Times New Roman" w:hAnsi="Times New Roman" w:cs="Times New Roman"/>
          <w:sz w:val="24"/>
          <w:szCs w:val="24"/>
        </w:rPr>
        <w:t>Jillani</w:t>
      </w:r>
      <w:proofErr w:type="spellEnd"/>
      <w:r w:rsidR="004D3C3A" w:rsidRPr="004D3C3A">
        <w:rPr>
          <w:rFonts w:ascii="Times New Roman" w:hAnsi="Times New Roman" w:cs="Times New Roman"/>
          <w:sz w:val="24"/>
          <w:szCs w:val="24"/>
        </w:rPr>
        <w:t>, Zahid and Rasool, 2021)</w:t>
      </w:r>
      <w:r w:rsidRPr="0002445F">
        <w:rPr>
          <w:rFonts w:ascii="Times New Roman" w:hAnsi="Times New Roman" w:cs="Times New Roman"/>
          <w:sz w:val="24"/>
          <w:szCs w:val="24"/>
        </w:rPr>
        <w:t>.</w:t>
      </w:r>
    </w:p>
    <w:p w14:paraId="3EA4933C" w14:textId="37B58C63" w:rsidR="0002445F" w:rsidRPr="0002445F" w:rsidRDefault="0002445F" w:rsidP="0002445F">
      <w:pPr>
        <w:jc w:val="both"/>
        <w:rPr>
          <w:rFonts w:ascii="Times New Roman" w:hAnsi="Times New Roman" w:cs="Times New Roman"/>
          <w:sz w:val="24"/>
          <w:szCs w:val="24"/>
        </w:rPr>
      </w:pPr>
      <w:r w:rsidRPr="0002445F">
        <w:rPr>
          <w:rFonts w:ascii="Times New Roman" w:hAnsi="Times New Roman" w:cs="Times New Roman"/>
          <w:sz w:val="24"/>
          <w:szCs w:val="24"/>
        </w:rPr>
        <w:t>Through its Uber for Business platform, Uber also seeks to attract businesses that are searching for solutions to manage their corporate transportation and logistics that are both cost-effective and efficient</w:t>
      </w:r>
      <w:r w:rsidR="004D3C3A">
        <w:rPr>
          <w:rFonts w:ascii="Times New Roman" w:hAnsi="Times New Roman" w:cs="Times New Roman"/>
          <w:sz w:val="24"/>
          <w:szCs w:val="24"/>
        </w:rPr>
        <w:t xml:space="preserve"> </w:t>
      </w:r>
      <w:r w:rsidR="004D3C3A" w:rsidRPr="004D3C3A">
        <w:rPr>
          <w:rFonts w:ascii="Times New Roman" w:hAnsi="Times New Roman" w:cs="Times New Roman"/>
          <w:sz w:val="24"/>
          <w:szCs w:val="24"/>
        </w:rPr>
        <w:t>(Lahoti, 2019)</w:t>
      </w:r>
      <w:r w:rsidR="004D3C3A">
        <w:rPr>
          <w:rFonts w:ascii="Times New Roman" w:hAnsi="Times New Roman" w:cs="Times New Roman"/>
          <w:sz w:val="24"/>
          <w:szCs w:val="24"/>
        </w:rPr>
        <w:t>.</w:t>
      </w:r>
    </w:p>
    <w:p w14:paraId="2EE2C7E7" w14:textId="77777777" w:rsidR="0002445F" w:rsidRDefault="0002445F" w:rsidP="0002445F"/>
    <w:p w14:paraId="61C610AC" w14:textId="0A5CDB64" w:rsidR="00D5670D" w:rsidRPr="00AC161A" w:rsidRDefault="00D5670D" w:rsidP="00AC161A">
      <w:pPr>
        <w:rPr>
          <w:rFonts w:ascii="Times New Roman" w:hAnsi="Times New Roman" w:cs="Times New Roman"/>
          <w:b/>
          <w:bCs/>
          <w:sz w:val="24"/>
          <w:szCs w:val="24"/>
        </w:rPr>
      </w:pPr>
      <w:r w:rsidRPr="00AC161A">
        <w:rPr>
          <w:rFonts w:ascii="Times New Roman" w:hAnsi="Times New Roman" w:cs="Times New Roman"/>
          <w:b/>
          <w:bCs/>
          <w:sz w:val="24"/>
          <w:szCs w:val="24"/>
        </w:rPr>
        <w:t>Unique Selling Proposition (USP)</w:t>
      </w:r>
      <w:r w:rsidR="00AC161A">
        <w:rPr>
          <w:rFonts w:ascii="Times New Roman" w:hAnsi="Times New Roman" w:cs="Times New Roman"/>
          <w:b/>
          <w:bCs/>
          <w:sz w:val="24"/>
          <w:szCs w:val="24"/>
        </w:rPr>
        <w:t>:</w:t>
      </w:r>
    </w:p>
    <w:p w14:paraId="00F2DB13" w14:textId="5E4212C4" w:rsidR="0002445F" w:rsidRPr="0002445F" w:rsidRDefault="0002445F" w:rsidP="0002445F">
      <w:pPr>
        <w:jc w:val="both"/>
        <w:rPr>
          <w:rFonts w:ascii="Times New Roman" w:hAnsi="Times New Roman" w:cs="Times New Roman"/>
          <w:sz w:val="24"/>
          <w:szCs w:val="24"/>
        </w:rPr>
      </w:pPr>
      <w:r w:rsidRPr="0002445F">
        <w:rPr>
          <w:rFonts w:ascii="Times New Roman" w:hAnsi="Times New Roman" w:cs="Times New Roman"/>
          <w:sz w:val="24"/>
          <w:szCs w:val="24"/>
        </w:rPr>
        <w:t>Uber is distinguished from conventional taxi services by its technology-driven approach, which offers a number of advantages, including the following:</w:t>
      </w:r>
    </w:p>
    <w:p w14:paraId="2360CBE2" w14:textId="7B79C8C9" w:rsidR="0002445F" w:rsidRPr="00BF15F4" w:rsidRDefault="0002445F" w:rsidP="00BF15F4">
      <w:pPr>
        <w:pStyle w:val="ListParagraph"/>
        <w:numPr>
          <w:ilvl w:val="0"/>
          <w:numId w:val="46"/>
        </w:numPr>
        <w:jc w:val="both"/>
        <w:rPr>
          <w:rFonts w:ascii="Times New Roman" w:hAnsi="Times New Roman" w:cs="Times New Roman"/>
          <w:sz w:val="24"/>
          <w:szCs w:val="24"/>
        </w:rPr>
      </w:pPr>
      <w:r w:rsidRPr="00BF15F4">
        <w:rPr>
          <w:rFonts w:ascii="Times New Roman" w:hAnsi="Times New Roman" w:cs="Times New Roman"/>
          <w:sz w:val="24"/>
          <w:szCs w:val="24"/>
        </w:rPr>
        <w:t>The app's features that make it simple to request rides and monitor them give users with an experience that is seamless and uncomplicated.</w:t>
      </w:r>
    </w:p>
    <w:p w14:paraId="537A5C31" w14:textId="77777777" w:rsidR="0002445F" w:rsidRPr="00BF15F4" w:rsidRDefault="0002445F" w:rsidP="00BF15F4">
      <w:pPr>
        <w:pStyle w:val="ListParagraph"/>
        <w:numPr>
          <w:ilvl w:val="0"/>
          <w:numId w:val="46"/>
        </w:numPr>
        <w:jc w:val="both"/>
        <w:rPr>
          <w:rFonts w:ascii="Times New Roman" w:hAnsi="Times New Roman" w:cs="Times New Roman"/>
          <w:sz w:val="24"/>
          <w:szCs w:val="24"/>
        </w:rPr>
      </w:pPr>
      <w:r w:rsidRPr="00BF15F4">
        <w:rPr>
          <w:rFonts w:ascii="Times New Roman" w:hAnsi="Times New Roman" w:cs="Times New Roman"/>
          <w:sz w:val="24"/>
          <w:szCs w:val="24"/>
        </w:rPr>
        <w:t>The inherent unpredictability of the traditional taxi meter is made obsolete by the use of upfront fee projections, which promote transparency.</w:t>
      </w:r>
    </w:p>
    <w:p w14:paraId="75693220" w14:textId="2D989544" w:rsidR="0002445F" w:rsidRPr="00BF15F4" w:rsidRDefault="0002445F" w:rsidP="00BF15F4">
      <w:pPr>
        <w:pStyle w:val="ListParagraph"/>
        <w:numPr>
          <w:ilvl w:val="0"/>
          <w:numId w:val="46"/>
        </w:numPr>
        <w:jc w:val="both"/>
        <w:rPr>
          <w:rFonts w:ascii="Times New Roman" w:hAnsi="Times New Roman" w:cs="Times New Roman"/>
          <w:sz w:val="24"/>
          <w:szCs w:val="24"/>
        </w:rPr>
      </w:pPr>
      <w:r w:rsidRPr="00BF15F4">
        <w:rPr>
          <w:rFonts w:ascii="Times New Roman" w:hAnsi="Times New Roman" w:cs="Times New Roman"/>
          <w:sz w:val="24"/>
          <w:szCs w:val="24"/>
        </w:rPr>
        <w:t>Customers have the ability to personalize their experience by picking from a variety of vehicle types and service levels that correspond with their specific requirements and within their financial means.</w:t>
      </w:r>
    </w:p>
    <w:p w14:paraId="274AA064" w14:textId="51A32972" w:rsidR="0002445F" w:rsidRPr="00BF15F4" w:rsidRDefault="0002445F" w:rsidP="00BF15F4">
      <w:pPr>
        <w:pStyle w:val="ListParagraph"/>
        <w:numPr>
          <w:ilvl w:val="0"/>
          <w:numId w:val="46"/>
        </w:numPr>
        <w:jc w:val="both"/>
        <w:rPr>
          <w:rFonts w:ascii="Times New Roman" w:hAnsi="Times New Roman" w:cs="Times New Roman"/>
          <w:sz w:val="24"/>
          <w:szCs w:val="24"/>
        </w:rPr>
      </w:pPr>
      <w:r w:rsidRPr="00BF15F4">
        <w:rPr>
          <w:rFonts w:ascii="Times New Roman" w:hAnsi="Times New Roman" w:cs="Times New Roman"/>
          <w:sz w:val="24"/>
          <w:szCs w:val="24"/>
        </w:rPr>
        <w:t>Because there are so many drivers available, especially in more remote areas, it is possible that you may be able to acquire a ride much more quickly than you would with a taxi.</w:t>
      </w:r>
    </w:p>
    <w:p w14:paraId="74F7E887" w14:textId="2CC6FC6C" w:rsidR="0002445F" w:rsidRPr="0002445F" w:rsidRDefault="0002445F" w:rsidP="0002445F">
      <w:pPr>
        <w:jc w:val="both"/>
        <w:rPr>
          <w:rFonts w:ascii="Times New Roman" w:hAnsi="Times New Roman" w:cs="Times New Roman"/>
          <w:sz w:val="24"/>
          <w:szCs w:val="24"/>
        </w:rPr>
      </w:pPr>
      <w:r w:rsidRPr="0002445F">
        <w:rPr>
          <w:rFonts w:ascii="Times New Roman" w:hAnsi="Times New Roman" w:cs="Times New Roman"/>
          <w:sz w:val="24"/>
          <w:szCs w:val="24"/>
        </w:rPr>
        <w:t>Uber has a number of challenges, including competition from Lyft and other ridesharing services, challenges with driver regulations and labor processes, and competition from other ridesharing businesses</w:t>
      </w:r>
      <w:r w:rsidR="004D3C3A">
        <w:rPr>
          <w:rFonts w:ascii="Times New Roman" w:hAnsi="Times New Roman" w:cs="Times New Roman"/>
          <w:sz w:val="24"/>
          <w:szCs w:val="24"/>
        </w:rPr>
        <w:t xml:space="preserve"> </w:t>
      </w:r>
      <w:r w:rsidR="004D3C3A" w:rsidRPr="004D3C3A">
        <w:rPr>
          <w:rFonts w:ascii="Times New Roman" w:hAnsi="Times New Roman" w:cs="Times New Roman"/>
          <w:sz w:val="24"/>
          <w:szCs w:val="24"/>
        </w:rPr>
        <w:t>(Zhang and Zhang, 2018)</w:t>
      </w:r>
      <w:r w:rsidR="004D3C3A">
        <w:rPr>
          <w:rFonts w:ascii="Times New Roman" w:hAnsi="Times New Roman" w:cs="Times New Roman"/>
          <w:sz w:val="24"/>
          <w:szCs w:val="24"/>
        </w:rPr>
        <w:t>.</w:t>
      </w:r>
    </w:p>
    <w:p w14:paraId="58484B89" w14:textId="46C8DC03" w:rsidR="0002445F" w:rsidRPr="0002445F" w:rsidRDefault="0002445F" w:rsidP="0002445F">
      <w:pPr>
        <w:jc w:val="both"/>
        <w:rPr>
          <w:rFonts w:ascii="Times New Roman" w:hAnsi="Times New Roman" w:cs="Times New Roman"/>
          <w:sz w:val="24"/>
          <w:szCs w:val="24"/>
        </w:rPr>
      </w:pPr>
      <w:r w:rsidRPr="0002445F">
        <w:rPr>
          <w:rFonts w:ascii="Times New Roman" w:hAnsi="Times New Roman" w:cs="Times New Roman"/>
          <w:sz w:val="24"/>
          <w:szCs w:val="24"/>
        </w:rPr>
        <w:t>In spite of these challenges, Uber has emerged as a leader in the transportation technology industry because to its innovative platform and its focus on providing a positive experience for its customers.</w:t>
      </w:r>
    </w:p>
    <w:p w14:paraId="45F4215E" w14:textId="77777777" w:rsidR="0002445F" w:rsidRDefault="0002445F" w:rsidP="0002445F"/>
    <w:p w14:paraId="57BFA9A5" w14:textId="3CFB4F83" w:rsidR="007B7569" w:rsidRPr="00AC161A" w:rsidRDefault="00AC161A" w:rsidP="00AC161A">
      <w:pPr>
        <w:pStyle w:val="Heading2"/>
        <w:rPr>
          <w:rFonts w:asciiTheme="majorHAnsi" w:hAnsiTheme="majorHAnsi" w:cstheme="majorHAnsi"/>
          <w:sz w:val="56"/>
          <w:szCs w:val="56"/>
          <w:u w:val="single"/>
        </w:rPr>
      </w:pPr>
      <w:bookmarkStart w:id="3" w:name="_Toc164561295"/>
      <w:r w:rsidRPr="00AC161A">
        <w:rPr>
          <w:rFonts w:asciiTheme="majorHAnsi" w:hAnsiTheme="majorHAnsi" w:cstheme="majorHAnsi"/>
          <w:sz w:val="32"/>
          <w:szCs w:val="32"/>
          <w:u w:val="single"/>
        </w:rPr>
        <w:t>Key reasons of Uber for going public</w:t>
      </w:r>
      <w:bookmarkEnd w:id="3"/>
    </w:p>
    <w:p w14:paraId="161EA0C4" w14:textId="40132A89" w:rsidR="0002445F" w:rsidRPr="0002445F" w:rsidRDefault="0002445F" w:rsidP="0002445F">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02445F">
        <w:rPr>
          <w:rFonts w:ascii="Times New Roman" w:eastAsia="Times New Roman" w:hAnsi="Times New Roman" w:cs="Times New Roman"/>
          <w:color w:val="1F1F1F"/>
          <w:kern w:val="0"/>
          <w:sz w:val="24"/>
          <w:szCs w:val="24"/>
          <w14:ligatures w14:val="none"/>
        </w:rPr>
        <w:lastRenderedPageBreak/>
        <w:t>There were a number of factors that contributed to the success of Uber's initial public offering (IPO) in 2019, including strategic considerations and market conditions. The following is a summary of the primary causes:</w:t>
      </w:r>
    </w:p>
    <w:p w14:paraId="14276520" w14:textId="0E439F43" w:rsidR="00D5670D" w:rsidRPr="00BF15F4" w:rsidRDefault="00D5670D" w:rsidP="00BF15F4">
      <w:pPr>
        <w:pStyle w:val="ListParagraph"/>
        <w:numPr>
          <w:ilvl w:val="0"/>
          <w:numId w:val="43"/>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Capital Acquisition:</w:t>
      </w:r>
    </w:p>
    <w:p w14:paraId="465F4395" w14:textId="622D1E1C" w:rsidR="00D5670D" w:rsidRPr="00BF15F4" w:rsidRDefault="00D5670D" w:rsidP="00BF15F4">
      <w:pPr>
        <w:pStyle w:val="ListParagraph"/>
        <w:numPr>
          <w:ilvl w:val="0"/>
          <w:numId w:val="44"/>
        </w:numPr>
        <w:shd w:val="clear" w:color="auto" w:fill="FFFFFF"/>
        <w:spacing w:before="100" w:beforeAutospacing="1" w:after="0" w:line="240" w:lineRule="auto"/>
        <w:jc w:val="both"/>
        <w:rPr>
          <w:rFonts w:ascii="Times New Roman" w:eastAsia="Times New Roman" w:hAnsi="Times New Roman" w:cs="Times New Roman"/>
          <w:color w:val="FF0000"/>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Raising Funds for Growth:</w:t>
      </w:r>
      <w:r w:rsidRPr="00BF15F4">
        <w:rPr>
          <w:rFonts w:ascii="Times New Roman" w:eastAsia="Times New Roman" w:hAnsi="Times New Roman" w:cs="Times New Roman"/>
          <w:color w:val="1F1F1F"/>
          <w:kern w:val="0"/>
          <w:sz w:val="24"/>
          <w:szCs w:val="24"/>
          <w14:ligatures w14:val="none"/>
        </w:rPr>
        <w:t> </w:t>
      </w:r>
      <w:r w:rsidR="0002445F" w:rsidRPr="00BF15F4">
        <w:rPr>
          <w:rFonts w:ascii="Times New Roman" w:eastAsia="Times New Roman" w:hAnsi="Times New Roman" w:cs="Times New Roman"/>
          <w:color w:val="1F1F1F"/>
          <w:kern w:val="0"/>
          <w:sz w:val="24"/>
          <w:szCs w:val="24"/>
          <w14:ligatures w14:val="none"/>
        </w:rPr>
        <w:t>The need to get funds in order to continue expanding was a primary driver of this endeavor. Over the course of all this time, Uber continued to invest money in research and development, particularly for driverless cars, as well as expanding into new areas. If one were to establish connections with a big number of investors, it would be possible to raise a substantial amount of funds via the public markets</w:t>
      </w:r>
      <w:r w:rsidR="004D3C3A" w:rsidRPr="00BF15F4">
        <w:rPr>
          <w:rFonts w:ascii="Times New Roman" w:eastAsia="Times New Roman" w:hAnsi="Times New Roman" w:cs="Times New Roman"/>
          <w:color w:val="1F1F1F"/>
          <w:kern w:val="0"/>
          <w:sz w:val="24"/>
          <w:szCs w:val="24"/>
          <w14:ligatures w14:val="none"/>
        </w:rPr>
        <w:t xml:space="preserve"> </w:t>
      </w:r>
      <w:r w:rsidR="004D3C3A" w:rsidRPr="00BF15F4">
        <w:rPr>
          <w:rFonts w:ascii="Times New Roman" w:eastAsia="Times New Roman" w:hAnsi="Times New Roman" w:cs="Times New Roman"/>
          <w:color w:val="1F1F1F"/>
          <w:kern w:val="0"/>
          <w:sz w:val="24"/>
          <w:szCs w:val="24"/>
          <w14:ligatures w14:val="none"/>
        </w:rPr>
        <w:t>(Divine, 2017)</w:t>
      </w:r>
      <w:r w:rsidR="004D3C3A" w:rsidRPr="00BF15F4">
        <w:rPr>
          <w:rFonts w:ascii="Times New Roman" w:eastAsia="Times New Roman" w:hAnsi="Times New Roman" w:cs="Times New Roman"/>
          <w:color w:val="1F1F1F"/>
          <w:kern w:val="0"/>
          <w:sz w:val="24"/>
          <w:szCs w:val="24"/>
          <w14:ligatures w14:val="none"/>
        </w:rPr>
        <w:t>.</w:t>
      </w:r>
    </w:p>
    <w:p w14:paraId="4FB0857E" w14:textId="7778FD61" w:rsidR="00D5670D" w:rsidRPr="00BF15F4" w:rsidRDefault="00D5670D" w:rsidP="00BF15F4">
      <w:pPr>
        <w:pStyle w:val="ListParagraph"/>
        <w:numPr>
          <w:ilvl w:val="0"/>
          <w:numId w:val="43"/>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Liquidity for Early Investors and Employees:</w:t>
      </w:r>
    </w:p>
    <w:p w14:paraId="41FE0EDC" w14:textId="69BC4748" w:rsidR="00D5670D" w:rsidRPr="00BF15F4" w:rsidRDefault="00D5670D" w:rsidP="00BF15F4">
      <w:pPr>
        <w:pStyle w:val="ListParagraph"/>
        <w:numPr>
          <w:ilvl w:val="0"/>
          <w:numId w:val="44"/>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Providing Exit Strategy:</w:t>
      </w:r>
      <w:r w:rsidRPr="00BF15F4">
        <w:rPr>
          <w:rFonts w:ascii="Times New Roman" w:eastAsia="Times New Roman" w:hAnsi="Times New Roman" w:cs="Times New Roman"/>
          <w:color w:val="1F1F1F"/>
          <w:kern w:val="0"/>
          <w:sz w:val="24"/>
          <w:szCs w:val="24"/>
          <w14:ligatures w14:val="none"/>
        </w:rPr>
        <w:t> </w:t>
      </w:r>
      <w:r w:rsidR="0002445F" w:rsidRPr="00BF15F4">
        <w:rPr>
          <w:rFonts w:ascii="Times New Roman" w:eastAsia="Times New Roman" w:hAnsi="Times New Roman" w:cs="Times New Roman"/>
          <w:color w:val="1F1F1F"/>
          <w:kern w:val="0"/>
          <w:sz w:val="24"/>
          <w:szCs w:val="24"/>
          <w14:ligatures w14:val="none"/>
        </w:rPr>
        <w:t>Employees and early investors who had stock options were able to escape the situation by participating in an initial public offering (IPO). Their choice to go public made it possible for them to sell shares, which may potentially result in considerable earnings for them</w:t>
      </w:r>
      <w:r w:rsidR="00526351" w:rsidRPr="00BF15F4">
        <w:rPr>
          <w:rFonts w:ascii="Times New Roman" w:eastAsia="Times New Roman" w:hAnsi="Times New Roman" w:cs="Times New Roman"/>
          <w:color w:val="1F1F1F"/>
          <w:kern w:val="0"/>
          <w:sz w:val="24"/>
          <w:szCs w:val="24"/>
          <w14:ligatures w14:val="none"/>
        </w:rPr>
        <w:t xml:space="preserve"> </w:t>
      </w:r>
      <w:r w:rsidR="00526351" w:rsidRPr="00BF15F4">
        <w:rPr>
          <w:rFonts w:ascii="Times New Roman" w:eastAsia="Times New Roman" w:hAnsi="Times New Roman" w:cs="Times New Roman"/>
          <w:color w:val="1F1F1F"/>
          <w:kern w:val="0"/>
          <w:sz w:val="24"/>
          <w:szCs w:val="24"/>
          <w14:ligatures w14:val="none"/>
        </w:rPr>
        <w:t>(Maxwell, 2019)</w:t>
      </w:r>
      <w:r w:rsidR="00526351" w:rsidRPr="00BF15F4">
        <w:rPr>
          <w:rFonts w:ascii="Times New Roman" w:eastAsia="Times New Roman" w:hAnsi="Times New Roman" w:cs="Times New Roman"/>
          <w:color w:val="1F1F1F"/>
          <w:kern w:val="0"/>
          <w:sz w:val="24"/>
          <w:szCs w:val="24"/>
          <w14:ligatures w14:val="none"/>
        </w:rPr>
        <w:t>.</w:t>
      </w:r>
    </w:p>
    <w:p w14:paraId="16A99535" w14:textId="77777777" w:rsidR="00BF15F4" w:rsidRPr="00BF15F4" w:rsidRDefault="00D5670D" w:rsidP="00BF15F4">
      <w:pPr>
        <w:pStyle w:val="ListParagraph"/>
        <w:numPr>
          <w:ilvl w:val="0"/>
          <w:numId w:val="43"/>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Market Conditions and Investor Sentiment:</w:t>
      </w:r>
    </w:p>
    <w:p w14:paraId="1BFFC5DE" w14:textId="3E4C7822" w:rsidR="00D5670D" w:rsidRPr="00BF15F4" w:rsidRDefault="00D5670D" w:rsidP="00BF15F4">
      <w:pPr>
        <w:pStyle w:val="ListParagraph"/>
        <w:numPr>
          <w:ilvl w:val="0"/>
          <w:numId w:val="44"/>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Capitalizing on Bull Market:</w:t>
      </w:r>
      <w:r w:rsidRPr="00BF15F4">
        <w:rPr>
          <w:rFonts w:ascii="Times New Roman" w:eastAsia="Times New Roman" w:hAnsi="Times New Roman" w:cs="Times New Roman"/>
          <w:color w:val="1F1F1F"/>
          <w:kern w:val="0"/>
          <w:sz w:val="24"/>
          <w:szCs w:val="24"/>
          <w14:ligatures w14:val="none"/>
        </w:rPr>
        <w:t> </w:t>
      </w:r>
      <w:r w:rsidR="0002445F" w:rsidRPr="00BF15F4">
        <w:rPr>
          <w:rFonts w:ascii="Times New Roman" w:eastAsia="Times New Roman" w:hAnsi="Times New Roman" w:cs="Times New Roman"/>
          <w:color w:val="1F1F1F"/>
          <w:kern w:val="0"/>
          <w:sz w:val="24"/>
          <w:szCs w:val="24"/>
          <w14:ligatures w14:val="none"/>
        </w:rPr>
        <w:t>During the same time period when the incident took place, the stock market in the United States was typically enjoying a bull market that had been going on for a long time. The possibility of a rise in the share price of Uber was opened up as a result of this</w:t>
      </w:r>
      <w:r w:rsidR="00526351" w:rsidRPr="00BF15F4">
        <w:rPr>
          <w:rFonts w:ascii="Times New Roman" w:eastAsia="Times New Roman" w:hAnsi="Times New Roman" w:cs="Times New Roman"/>
          <w:color w:val="1F1F1F"/>
          <w:kern w:val="0"/>
          <w:sz w:val="24"/>
          <w:szCs w:val="24"/>
          <w14:ligatures w14:val="none"/>
        </w:rPr>
        <w:t xml:space="preserve"> </w:t>
      </w:r>
      <w:r w:rsidR="00526351" w:rsidRPr="00BF15F4">
        <w:rPr>
          <w:rFonts w:ascii="Times New Roman" w:eastAsia="Times New Roman" w:hAnsi="Times New Roman" w:cs="Times New Roman"/>
          <w:color w:val="1F1F1F"/>
          <w:kern w:val="0"/>
          <w:sz w:val="24"/>
          <w:szCs w:val="24"/>
          <w14:ligatures w14:val="none"/>
        </w:rPr>
        <w:t>(Maxwell, 2019)</w:t>
      </w:r>
      <w:r w:rsidR="00526351" w:rsidRPr="00BF15F4">
        <w:rPr>
          <w:rFonts w:ascii="Times New Roman" w:eastAsia="Times New Roman" w:hAnsi="Times New Roman" w:cs="Times New Roman"/>
          <w:color w:val="1F1F1F"/>
          <w:kern w:val="0"/>
          <w:sz w:val="24"/>
          <w:szCs w:val="24"/>
          <w14:ligatures w14:val="none"/>
        </w:rPr>
        <w:t>.</w:t>
      </w:r>
    </w:p>
    <w:p w14:paraId="3E5688C0" w14:textId="22AD6AF9" w:rsidR="00D5670D" w:rsidRPr="00BF15F4" w:rsidRDefault="00D5670D" w:rsidP="00BF15F4">
      <w:pPr>
        <w:pStyle w:val="ListParagraph"/>
        <w:numPr>
          <w:ilvl w:val="0"/>
          <w:numId w:val="44"/>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Fear of Recession:</w:t>
      </w:r>
      <w:r w:rsidRPr="00BF15F4">
        <w:rPr>
          <w:rFonts w:ascii="Times New Roman" w:eastAsia="Times New Roman" w:hAnsi="Times New Roman" w:cs="Times New Roman"/>
          <w:color w:val="1F1F1F"/>
          <w:kern w:val="0"/>
          <w:sz w:val="24"/>
          <w:szCs w:val="24"/>
          <w14:ligatures w14:val="none"/>
        </w:rPr>
        <w:t> </w:t>
      </w:r>
      <w:r w:rsidR="00C81E82" w:rsidRPr="00BF15F4">
        <w:rPr>
          <w:rFonts w:ascii="Times New Roman" w:eastAsia="Times New Roman" w:hAnsi="Times New Roman" w:cs="Times New Roman"/>
          <w:color w:val="1F1F1F"/>
          <w:kern w:val="0"/>
          <w:sz w:val="24"/>
          <w:szCs w:val="24"/>
          <w14:ligatures w14:val="none"/>
        </w:rPr>
        <w:t>Both Uber and Lyft were reportedly intending to go public in the days leading up to a potential economic downturn, as stated by a number of specialists. When the economy is in a recession, it may become more difficult to collect finances via private means</w:t>
      </w:r>
      <w:r w:rsidR="00526351" w:rsidRPr="00BF15F4">
        <w:rPr>
          <w:rFonts w:ascii="Times New Roman" w:eastAsia="Times New Roman" w:hAnsi="Times New Roman" w:cs="Times New Roman"/>
          <w:color w:val="1F1F1F"/>
          <w:kern w:val="0"/>
          <w:sz w:val="24"/>
          <w:szCs w:val="24"/>
          <w14:ligatures w14:val="none"/>
        </w:rPr>
        <w:t xml:space="preserve"> </w:t>
      </w:r>
      <w:r w:rsidR="00526351" w:rsidRPr="00BF15F4">
        <w:rPr>
          <w:rFonts w:ascii="Times New Roman" w:eastAsia="Times New Roman" w:hAnsi="Times New Roman" w:cs="Times New Roman"/>
          <w:color w:val="1F1F1F"/>
          <w:kern w:val="0"/>
          <w:sz w:val="24"/>
          <w:szCs w:val="24"/>
          <w14:ligatures w14:val="none"/>
        </w:rPr>
        <w:t>(Maxwell, 2019)</w:t>
      </w:r>
      <w:r w:rsidR="00526351" w:rsidRPr="00BF15F4">
        <w:rPr>
          <w:rFonts w:ascii="Times New Roman" w:eastAsia="Times New Roman" w:hAnsi="Times New Roman" w:cs="Times New Roman"/>
          <w:color w:val="1F1F1F"/>
          <w:kern w:val="0"/>
          <w:sz w:val="24"/>
          <w:szCs w:val="24"/>
          <w14:ligatures w14:val="none"/>
        </w:rPr>
        <w:t>.</w:t>
      </w:r>
    </w:p>
    <w:p w14:paraId="135389FD" w14:textId="77777777" w:rsidR="00BF15F4" w:rsidRPr="00BF15F4" w:rsidRDefault="00D5670D" w:rsidP="00BF15F4">
      <w:pPr>
        <w:pStyle w:val="ListParagraph"/>
        <w:numPr>
          <w:ilvl w:val="0"/>
          <w:numId w:val="43"/>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Marketing and Image:</w:t>
      </w:r>
    </w:p>
    <w:p w14:paraId="7282C58B" w14:textId="561C3614" w:rsidR="00D5670D" w:rsidRPr="00BF15F4" w:rsidRDefault="00D5670D" w:rsidP="00BF15F4">
      <w:pPr>
        <w:pStyle w:val="ListParagraph"/>
        <w:numPr>
          <w:ilvl w:val="0"/>
          <w:numId w:val="44"/>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Signaling Maturity:</w:t>
      </w:r>
      <w:r w:rsidR="00C81E82" w:rsidRPr="00BF15F4">
        <w:rPr>
          <w:rFonts w:ascii="Times New Roman" w:eastAsia="Times New Roman" w:hAnsi="Times New Roman" w:cs="Times New Roman"/>
          <w:color w:val="1F1F1F"/>
          <w:kern w:val="0"/>
          <w:sz w:val="24"/>
          <w:szCs w:val="24"/>
          <w14:ligatures w14:val="none"/>
        </w:rPr>
        <w:t xml:space="preserve"> </w:t>
      </w:r>
      <w:r w:rsidR="00C81E82" w:rsidRPr="00BF15F4">
        <w:rPr>
          <w:rFonts w:ascii="Times New Roman" w:eastAsia="Times New Roman" w:hAnsi="Times New Roman" w:cs="Times New Roman"/>
          <w:color w:val="1F1F1F"/>
          <w:kern w:val="0"/>
          <w:sz w:val="24"/>
          <w:szCs w:val="24"/>
          <w14:ligatures w14:val="none"/>
        </w:rPr>
        <w:t>Taking a company public might be seen as a marketing strategy that indicates the company has reached a specific level of maturity and stability. It would be beneficial for Uber, which has been embroiled in controversy in the past, to project a more respectable image if it were to go through with an initial public offering (IPO)</w:t>
      </w:r>
      <w:r w:rsidR="00526351" w:rsidRPr="00BF15F4">
        <w:rPr>
          <w:rFonts w:ascii="Times New Roman" w:eastAsia="Times New Roman" w:hAnsi="Times New Roman" w:cs="Times New Roman"/>
          <w:color w:val="1F1F1F"/>
          <w:kern w:val="0"/>
          <w:sz w:val="24"/>
          <w:szCs w:val="24"/>
          <w14:ligatures w14:val="none"/>
        </w:rPr>
        <w:t xml:space="preserve"> </w:t>
      </w:r>
      <w:r w:rsidR="00526351" w:rsidRPr="00BF15F4">
        <w:rPr>
          <w:rFonts w:ascii="Times New Roman" w:eastAsia="Times New Roman" w:hAnsi="Times New Roman" w:cs="Times New Roman"/>
          <w:color w:val="1F1F1F"/>
          <w:kern w:val="0"/>
          <w:sz w:val="24"/>
          <w:szCs w:val="24"/>
          <w14:ligatures w14:val="none"/>
        </w:rPr>
        <w:t>(Maxwell, 2019)</w:t>
      </w:r>
      <w:r w:rsidR="00526351" w:rsidRPr="00BF15F4">
        <w:rPr>
          <w:rFonts w:ascii="Times New Roman" w:eastAsia="Times New Roman" w:hAnsi="Times New Roman" w:cs="Times New Roman"/>
          <w:color w:val="1F1F1F"/>
          <w:kern w:val="0"/>
          <w:sz w:val="24"/>
          <w:szCs w:val="24"/>
          <w14:ligatures w14:val="none"/>
        </w:rPr>
        <w:t>.</w:t>
      </w:r>
    </w:p>
    <w:p w14:paraId="2D857B75" w14:textId="56F9A8A2" w:rsidR="00C81E82" w:rsidRDefault="00C81E82" w:rsidP="00C81E82">
      <w:pPr>
        <w:jc w:val="both"/>
        <w:rPr>
          <w:rFonts w:ascii="Times New Roman" w:hAnsi="Times New Roman" w:cs="Times New Roman"/>
          <w:sz w:val="24"/>
          <w:szCs w:val="24"/>
        </w:rPr>
      </w:pPr>
      <w:r w:rsidRPr="00BF15F4">
        <w:rPr>
          <w:rFonts w:ascii="Times New Roman" w:hAnsi="Times New Roman" w:cs="Times New Roman"/>
          <w:sz w:val="24"/>
          <w:szCs w:val="24"/>
        </w:rPr>
        <w:t>Remember that there were significant problems with Uber's first public offering (IPO). Before the corporation made its debut to the public, there was a period of internal turmoil, and it was not profitable both times. On the other hand, the aforementioned factors illustrate the most significant strategic and market-driven reasons why Uber made the decision to bring the company public.</w:t>
      </w:r>
    </w:p>
    <w:p w14:paraId="5C5F1C21" w14:textId="77777777" w:rsidR="00AC161A" w:rsidRPr="00BF15F4" w:rsidRDefault="00AC161A" w:rsidP="00C81E82">
      <w:pPr>
        <w:jc w:val="both"/>
        <w:rPr>
          <w:rFonts w:ascii="Times New Roman" w:hAnsi="Times New Roman" w:cs="Times New Roman"/>
          <w:sz w:val="24"/>
          <w:szCs w:val="24"/>
        </w:rPr>
      </w:pPr>
    </w:p>
    <w:p w14:paraId="14C28A3A" w14:textId="0B98F4B5" w:rsidR="00D5670D" w:rsidRPr="00AC161A" w:rsidRDefault="00AC161A" w:rsidP="00AC161A">
      <w:pPr>
        <w:pStyle w:val="Heading2"/>
        <w:rPr>
          <w:rFonts w:asciiTheme="majorHAnsi" w:hAnsiTheme="majorHAnsi" w:cstheme="majorHAnsi"/>
          <w:sz w:val="32"/>
          <w:szCs w:val="32"/>
          <w:u w:val="single"/>
        </w:rPr>
      </w:pPr>
      <w:bookmarkStart w:id="4" w:name="_Toc164561296"/>
      <w:r w:rsidRPr="00AC161A">
        <w:rPr>
          <w:rFonts w:asciiTheme="majorHAnsi" w:hAnsiTheme="majorHAnsi" w:cstheme="majorHAnsi"/>
          <w:sz w:val="32"/>
          <w:szCs w:val="32"/>
          <w:u w:val="single"/>
        </w:rPr>
        <w:t>Key Risks</w:t>
      </w:r>
      <w:bookmarkEnd w:id="4"/>
    </w:p>
    <w:p w14:paraId="055E04BA" w14:textId="1A0484E3" w:rsidR="00C81E82" w:rsidRPr="00C81E82" w:rsidRDefault="00C81E82" w:rsidP="00C81E82">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C81E82">
        <w:rPr>
          <w:rFonts w:ascii="Times New Roman" w:eastAsia="Times New Roman" w:hAnsi="Times New Roman" w:cs="Times New Roman"/>
          <w:color w:val="1F1F1F"/>
          <w:kern w:val="0"/>
          <w:sz w:val="24"/>
          <w:szCs w:val="24"/>
          <w14:ligatures w14:val="none"/>
        </w:rPr>
        <w:t>Upon conducting an analysis of Uber's S-1 filing, we have discovered three significant issues that have the potential to influence the value of the company:</w:t>
      </w:r>
    </w:p>
    <w:p w14:paraId="4B63FC89" w14:textId="77777777" w:rsidR="00BF15F4" w:rsidRPr="00BF15F4" w:rsidRDefault="00D5670D" w:rsidP="00BF15F4">
      <w:pPr>
        <w:pStyle w:val="ListParagraph"/>
        <w:numPr>
          <w:ilvl w:val="0"/>
          <w:numId w:val="45"/>
        </w:numPr>
        <w:shd w:val="clear" w:color="auto" w:fill="FFFFFF"/>
        <w:spacing w:before="100" w:beforeAutospacing="1" w:after="100" w:afterAutospacing="1" w:line="240" w:lineRule="auto"/>
        <w:jc w:val="both"/>
        <w:rPr>
          <w:rFonts w:ascii="Arial" w:eastAsia="Times New Roman" w:hAnsi="Arial" w:cs="Arial"/>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Driver Classification and Labor Costs:</w:t>
      </w:r>
      <w:r w:rsidRPr="00BF15F4">
        <w:rPr>
          <w:rFonts w:ascii="Times New Roman" w:eastAsia="Times New Roman" w:hAnsi="Times New Roman" w:cs="Times New Roman"/>
          <w:color w:val="1F1F1F"/>
          <w:kern w:val="0"/>
          <w:sz w:val="24"/>
          <w:szCs w:val="24"/>
          <w14:ligatures w14:val="none"/>
        </w:rPr>
        <w:t xml:space="preserve"> </w:t>
      </w:r>
      <w:r w:rsidR="00C81E82" w:rsidRPr="00BF15F4">
        <w:rPr>
          <w:rFonts w:ascii="Times New Roman" w:eastAsia="Times New Roman" w:hAnsi="Times New Roman" w:cs="Times New Roman"/>
          <w:color w:val="1F1F1F"/>
          <w:kern w:val="0"/>
          <w:sz w:val="24"/>
          <w:szCs w:val="24"/>
          <w14:ligatures w14:val="none"/>
        </w:rPr>
        <w:t xml:space="preserve">In order to avoid getting into problems with the law and to save money, Uber classifies its drivers as independent contractors. This allows the </w:t>
      </w:r>
      <w:r w:rsidR="00C81E82" w:rsidRPr="00BF15F4">
        <w:rPr>
          <w:rFonts w:ascii="Times New Roman" w:eastAsia="Times New Roman" w:hAnsi="Times New Roman" w:cs="Times New Roman"/>
          <w:color w:val="1F1F1F"/>
          <w:kern w:val="0"/>
          <w:sz w:val="24"/>
          <w:szCs w:val="24"/>
          <w14:ligatures w14:val="none"/>
        </w:rPr>
        <w:lastRenderedPageBreak/>
        <w:t>company to provide them with benefits and taxes. Due of the regulatory difficulties that drivers must overcome, it is quite probable that they will be subject to legal challenges or reclassification as workers. There would be a significant decrease in Uber's profitability as a consequence of the massive increase in the cost of labor</w:t>
      </w:r>
      <w:r w:rsidR="00526351" w:rsidRPr="00BF15F4">
        <w:rPr>
          <w:rFonts w:ascii="Times New Roman" w:eastAsia="Times New Roman" w:hAnsi="Times New Roman" w:cs="Times New Roman"/>
          <w:color w:val="1F1F1F"/>
          <w:kern w:val="0"/>
          <w:sz w:val="24"/>
          <w:szCs w:val="24"/>
          <w14:ligatures w14:val="none"/>
        </w:rPr>
        <w:t xml:space="preserve"> </w:t>
      </w:r>
      <w:r w:rsidR="00526351" w:rsidRPr="00BF15F4">
        <w:rPr>
          <w:rFonts w:ascii="Times New Roman" w:eastAsia="Times New Roman" w:hAnsi="Times New Roman" w:cs="Times New Roman"/>
          <w:color w:val="1F1F1F"/>
          <w:kern w:val="0"/>
          <w:sz w:val="24"/>
          <w:szCs w:val="24"/>
          <w14:ligatures w14:val="none"/>
        </w:rPr>
        <w:t>(Branstetter and Taylor, 2021)</w:t>
      </w:r>
      <w:r w:rsidR="00526351" w:rsidRPr="00BF15F4">
        <w:rPr>
          <w:rFonts w:ascii="Times New Roman" w:eastAsia="Times New Roman" w:hAnsi="Times New Roman" w:cs="Times New Roman"/>
          <w:color w:val="1F1F1F"/>
          <w:kern w:val="0"/>
          <w:sz w:val="24"/>
          <w:szCs w:val="24"/>
          <w14:ligatures w14:val="none"/>
        </w:rPr>
        <w:t>.</w:t>
      </w:r>
    </w:p>
    <w:p w14:paraId="5738E299" w14:textId="556629F2" w:rsidR="00BF15F4" w:rsidRPr="00BF15F4" w:rsidRDefault="00C81E82" w:rsidP="00BF15F4">
      <w:pPr>
        <w:pStyle w:val="ListParagraph"/>
        <w:shd w:val="clear" w:color="auto" w:fill="FFFFFF"/>
        <w:spacing w:before="100" w:beforeAutospacing="1" w:after="100" w:afterAutospacing="1" w:line="240" w:lineRule="auto"/>
        <w:ind w:left="360"/>
        <w:jc w:val="both"/>
        <w:rPr>
          <w:rFonts w:ascii="Arial" w:eastAsia="Times New Roman" w:hAnsi="Arial" w:cs="Arial"/>
          <w:color w:val="1F1F1F"/>
          <w:kern w:val="0"/>
          <w:sz w:val="24"/>
          <w:szCs w:val="24"/>
          <w14:ligatures w14:val="none"/>
        </w:rPr>
      </w:pPr>
      <w:r w:rsidRPr="00BF15F4">
        <w:rPr>
          <w:rFonts w:ascii="Times New Roman" w:eastAsia="Times New Roman" w:hAnsi="Times New Roman" w:cs="Times New Roman"/>
          <w:color w:val="1F1F1F"/>
          <w:kern w:val="0"/>
          <w:sz w:val="24"/>
          <w:szCs w:val="24"/>
          <w14:ligatures w14:val="none"/>
        </w:rPr>
        <w:t xml:space="preserve">According to the findings of a study </w:t>
      </w:r>
      <w:r w:rsidR="00526351" w:rsidRPr="00BF15F4">
        <w:rPr>
          <w:rFonts w:ascii="Times New Roman" w:eastAsia="Times New Roman" w:hAnsi="Times New Roman" w:cs="Times New Roman"/>
          <w:color w:val="1F1F1F"/>
          <w:kern w:val="0"/>
          <w:sz w:val="24"/>
          <w:szCs w:val="24"/>
          <w14:ligatures w14:val="none"/>
        </w:rPr>
        <w:t xml:space="preserve">by </w:t>
      </w:r>
      <w:r w:rsidR="00526351" w:rsidRPr="00BF15F4">
        <w:rPr>
          <w:rFonts w:ascii="Times New Roman" w:eastAsia="Times New Roman" w:hAnsi="Times New Roman" w:cs="Times New Roman"/>
          <w:color w:val="1F1F1F"/>
          <w:kern w:val="0"/>
          <w:sz w:val="24"/>
          <w:szCs w:val="24"/>
          <w14:ligatures w14:val="none"/>
        </w:rPr>
        <w:t>Branstetter and Taylor (2021)</w:t>
      </w:r>
      <w:r w:rsidR="00526351" w:rsidRPr="00BF15F4">
        <w:rPr>
          <w:rFonts w:ascii="Times New Roman" w:eastAsia="Times New Roman" w:hAnsi="Times New Roman" w:cs="Times New Roman"/>
          <w:color w:val="1F1F1F"/>
          <w:kern w:val="0"/>
          <w:sz w:val="24"/>
          <w:szCs w:val="24"/>
          <w14:ligatures w14:val="none"/>
        </w:rPr>
        <w:t xml:space="preserve">, </w:t>
      </w:r>
      <w:r w:rsidRPr="00BF15F4">
        <w:rPr>
          <w:rFonts w:ascii="Times New Roman" w:eastAsia="Times New Roman" w:hAnsi="Times New Roman" w:cs="Times New Roman"/>
          <w:color w:val="1F1F1F"/>
          <w:kern w:val="0"/>
          <w:sz w:val="24"/>
          <w:szCs w:val="24"/>
          <w14:ligatures w14:val="none"/>
        </w:rPr>
        <w:t>if ride-hailing drivers were relocated to the status of workers, Uber's labor expenditures may potentially increase by between 32 and 48 percent. There is a possibility that Uber's value may decrease as a consequence of the influence that this significant cost rise may have on the bottom line of the firm</w:t>
      </w:r>
      <w:r w:rsidR="00D5670D" w:rsidRPr="00BF15F4">
        <w:rPr>
          <w:rFonts w:ascii="Times New Roman" w:eastAsia="Times New Roman" w:hAnsi="Times New Roman" w:cs="Times New Roman"/>
          <w:color w:val="1F1F1F"/>
          <w:kern w:val="0"/>
          <w:sz w:val="24"/>
          <w:szCs w:val="24"/>
          <w14:ligatures w14:val="none"/>
        </w:rPr>
        <w:t>.</w:t>
      </w:r>
    </w:p>
    <w:p w14:paraId="333658A6" w14:textId="77777777" w:rsidR="00BF15F4" w:rsidRDefault="00D5670D" w:rsidP="00BF15F4">
      <w:pPr>
        <w:pStyle w:val="ListParagraph"/>
        <w:numPr>
          <w:ilvl w:val="0"/>
          <w:numId w:val="45"/>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Competition:</w:t>
      </w:r>
      <w:r w:rsidRPr="00BF15F4">
        <w:rPr>
          <w:rFonts w:ascii="Times New Roman" w:eastAsia="Times New Roman" w:hAnsi="Times New Roman" w:cs="Times New Roman"/>
          <w:color w:val="1F1F1F"/>
          <w:kern w:val="0"/>
          <w:sz w:val="24"/>
          <w:szCs w:val="24"/>
          <w14:ligatures w14:val="none"/>
        </w:rPr>
        <w:t xml:space="preserve"> </w:t>
      </w:r>
      <w:r w:rsidR="00C81E82" w:rsidRPr="00BF15F4">
        <w:rPr>
          <w:rFonts w:ascii="Times New Roman" w:eastAsia="Times New Roman" w:hAnsi="Times New Roman" w:cs="Times New Roman"/>
          <w:color w:val="1F1F1F"/>
          <w:kern w:val="0"/>
          <w:sz w:val="24"/>
          <w:szCs w:val="24"/>
          <w14:ligatures w14:val="none"/>
        </w:rPr>
        <w:t xml:space="preserve">Companies like as Lyft are competing with one another for a share of the ridesharing market since there is a significant amount of money at stake in this industry. The ridesharing industry faces competition from both traditional taxis and public transportation of various kinds. There is a possibility that Uber's revenue and profitability would suffer as a consequence of the price wars that are produced by the intense competition </w:t>
      </w:r>
      <w:r w:rsidR="00526351" w:rsidRPr="00BF15F4">
        <w:rPr>
          <w:rFonts w:ascii="Times New Roman" w:eastAsia="Times New Roman" w:hAnsi="Times New Roman" w:cs="Times New Roman"/>
          <w:color w:val="1F1F1F"/>
          <w:kern w:val="0"/>
          <w:sz w:val="24"/>
          <w:szCs w:val="24"/>
          <w14:ligatures w14:val="none"/>
        </w:rPr>
        <w:t>(Branstetter and Taylor, 2021)</w:t>
      </w:r>
      <w:r w:rsidR="00526351" w:rsidRPr="00BF15F4">
        <w:rPr>
          <w:rFonts w:ascii="Times New Roman" w:eastAsia="Times New Roman" w:hAnsi="Times New Roman" w:cs="Times New Roman"/>
          <w:color w:val="1F1F1F"/>
          <w:kern w:val="0"/>
          <w:sz w:val="24"/>
          <w:szCs w:val="24"/>
          <w14:ligatures w14:val="none"/>
        </w:rPr>
        <w:t>.</w:t>
      </w:r>
    </w:p>
    <w:p w14:paraId="61359BC1" w14:textId="2EDEC4F3" w:rsidR="00D5670D" w:rsidRPr="00BF15F4" w:rsidRDefault="00C81E82" w:rsidP="00BF15F4">
      <w:pPr>
        <w:pStyle w:val="ListParagraph"/>
        <w:shd w:val="clear" w:color="auto" w:fill="FFFFFF"/>
        <w:spacing w:before="100" w:beforeAutospacing="1" w:after="0" w:line="240" w:lineRule="auto"/>
        <w:ind w:left="360"/>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color w:val="1F1F1F"/>
          <w:kern w:val="0"/>
          <w:sz w:val="24"/>
          <w:szCs w:val="24"/>
          <w14:ligatures w14:val="none"/>
        </w:rPr>
        <w:t>According to study that was published</w:t>
      </w:r>
      <w:r w:rsidR="00526351" w:rsidRPr="00BF15F4">
        <w:rPr>
          <w:rFonts w:ascii="Times New Roman" w:eastAsia="Times New Roman" w:hAnsi="Times New Roman" w:cs="Times New Roman"/>
          <w:color w:val="1F1F1F"/>
          <w:kern w:val="0"/>
          <w:sz w:val="24"/>
          <w:szCs w:val="24"/>
          <w14:ligatures w14:val="none"/>
        </w:rPr>
        <w:t xml:space="preserve"> by </w:t>
      </w:r>
      <w:r w:rsidR="00526351" w:rsidRPr="00BF15F4">
        <w:rPr>
          <w:rFonts w:ascii="Times New Roman" w:eastAsia="Times New Roman" w:hAnsi="Times New Roman" w:cs="Times New Roman"/>
          <w:color w:val="1F1F1F"/>
          <w:kern w:val="0"/>
          <w:sz w:val="24"/>
          <w:szCs w:val="24"/>
          <w14:ligatures w14:val="none"/>
        </w:rPr>
        <w:t>Lee (2017)</w:t>
      </w:r>
      <w:r w:rsidRPr="00BF15F4">
        <w:rPr>
          <w:rFonts w:ascii="Times New Roman" w:eastAsia="Times New Roman" w:hAnsi="Times New Roman" w:cs="Times New Roman"/>
          <w:color w:val="1F1F1F"/>
          <w:kern w:val="0"/>
          <w:sz w:val="24"/>
          <w:szCs w:val="24"/>
          <w14:ligatures w14:val="none"/>
        </w:rPr>
        <w:t>, the presence of competition in the ridesharing market may result in a large decrease in pricing, which in turn has an effect on the valuations of the firms involved. Uber under persistent pressure to maintain cheap prices due to the number of identical services given by other firms. This may make it more difficult for Uber to explain its high value, which is why Uber is under constant pressure to maintain low rates.</w:t>
      </w:r>
    </w:p>
    <w:p w14:paraId="203753A7" w14:textId="77777777" w:rsidR="00BF15F4" w:rsidRDefault="00D5670D" w:rsidP="00C81E82">
      <w:pPr>
        <w:pStyle w:val="ListParagraph"/>
        <w:numPr>
          <w:ilvl w:val="0"/>
          <w:numId w:val="45"/>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Technological Disruption:</w:t>
      </w:r>
      <w:r w:rsidRPr="00BF15F4">
        <w:rPr>
          <w:rFonts w:ascii="Times New Roman" w:eastAsia="Times New Roman" w:hAnsi="Times New Roman" w:cs="Times New Roman"/>
          <w:color w:val="1F1F1F"/>
          <w:kern w:val="0"/>
          <w:sz w:val="24"/>
          <w:szCs w:val="24"/>
          <w14:ligatures w14:val="none"/>
        </w:rPr>
        <w:t xml:space="preserve"> </w:t>
      </w:r>
      <w:r w:rsidR="00C81E82" w:rsidRPr="00BF15F4">
        <w:rPr>
          <w:rFonts w:ascii="Times New Roman" w:eastAsia="Times New Roman" w:hAnsi="Times New Roman" w:cs="Times New Roman"/>
          <w:color w:val="1F1F1F"/>
          <w:kern w:val="0"/>
          <w:sz w:val="24"/>
          <w:szCs w:val="24"/>
          <w14:ligatures w14:val="none"/>
        </w:rPr>
        <w:t xml:space="preserve">Automobiles that drive themselves and other modes of alternative transportation, such as electric scooters, are rapidly becoming the standard in the transportation sector. These technological advancements have the potential to shake up Uber's dependence on traditional ridesharing techniques, which may have an effect on the company's capacity to remain profitable in the long term </w:t>
      </w:r>
      <w:r w:rsidR="00526351" w:rsidRPr="00BF15F4">
        <w:rPr>
          <w:rFonts w:ascii="Times New Roman" w:eastAsia="Times New Roman" w:hAnsi="Times New Roman" w:cs="Times New Roman"/>
          <w:color w:val="1F1F1F"/>
          <w:kern w:val="0"/>
          <w:sz w:val="24"/>
          <w:szCs w:val="24"/>
          <w14:ligatures w14:val="none"/>
        </w:rPr>
        <w:t>(Branstetter and Taylor, 2021)</w:t>
      </w:r>
      <w:r w:rsidR="00526351" w:rsidRPr="00BF15F4">
        <w:rPr>
          <w:rFonts w:ascii="Times New Roman" w:eastAsia="Times New Roman" w:hAnsi="Times New Roman" w:cs="Times New Roman"/>
          <w:color w:val="1F1F1F"/>
          <w:kern w:val="0"/>
          <w:sz w:val="24"/>
          <w:szCs w:val="24"/>
          <w14:ligatures w14:val="none"/>
        </w:rPr>
        <w:t>.</w:t>
      </w:r>
    </w:p>
    <w:p w14:paraId="3B54E175" w14:textId="04AA9C35" w:rsidR="00D5670D" w:rsidRPr="00BF15F4" w:rsidRDefault="00BF15F4" w:rsidP="00BF15F4">
      <w:pPr>
        <w:pStyle w:val="ListParagraph"/>
        <w:shd w:val="clear" w:color="auto" w:fill="FFFFFF"/>
        <w:spacing w:before="100" w:beforeAutospacing="1" w:after="100" w:afterAutospacing="1" w:line="240" w:lineRule="auto"/>
        <w:ind w:left="360"/>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color w:val="1F1F1F"/>
          <w:kern w:val="0"/>
          <w:sz w:val="24"/>
          <w:szCs w:val="24"/>
          <w14:ligatures w14:val="none"/>
        </w:rPr>
        <w:t xml:space="preserve">Fagnant and </w:t>
      </w:r>
      <w:proofErr w:type="spellStart"/>
      <w:r w:rsidRPr="00BF15F4">
        <w:rPr>
          <w:rFonts w:ascii="Times New Roman" w:eastAsia="Times New Roman" w:hAnsi="Times New Roman" w:cs="Times New Roman"/>
          <w:color w:val="1F1F1F"/>
          <w:kern w:val="0"/>
          <w:sz w:val="24"/>
          <w:szCs w:val="24"/>
          <w14:ligatures w14:val="none"/>
        </w:rPr>
        <w:t>Kockelman</w:t>
      </w:r>
      <w:proofErr w:type="spellEnd"/>
      <w:r w:rsidRPr="00BF15F4">
        <w:rPr>
          <w:rFonts w:ascii="Times New Roman" w:eastAsia="Times New Roman" w:hAnsi="Times New Roman" w:cs="Times New Roman"/>
          <w:color w:val="1F1F1F"/>
          <w:kern w:val="0"/>
          <w:sz w:val="24"/>
          <w:szCs w:val="24"/>
          <w14:ligatures w14:val="none"/>
        </w:rPr>
        <w:t xml:space="preserve"> (2015)</w:t>
      </w:r>
      <w:r w:rsidRPr="00BF15F4">
        <w:rPr>
          <w:rFonts w:ascii="Times New Roman" w:eastAsia="Times New Roman" w:hAnsi="Times New Roman" w:cs="Times New Roman"/>
          <w:color w:val="1F1F1F"/>
          <w:kern w:val="0"/>
          <w:sz w:val="24"/>
          <w:szCs w:val="24"/>
          <w14:ligatures w14:val="none"/>
        </w:rPr>
        <w:t xml:space="preserve"> </w:t>
      </w:r>
      <w:r w:rsidR="00C81E82" w:rsidRPr="00BF15F4">
        <w:rPr>
          <w:rFonts w:ascii="Times New Roman" w:eastAsia="Times New Roman" w:hAnsi="Times New Roman" w:cs="Times New Roman"/>
          <w:color w:val="1F1F1F"/>
          <w:kern w:val="0"/>
          <w:sz w:val="24"/>
          <w:szCs w:val="24"/>
          <w14:ligatures w14:val="none"/>
        </w:rPr>
        <w:t>investigates the prospect that autonomous vehicles might cause traditional transportation models to undergo a significant transformation. The fast development of self-driving cars may pose a danger to the core business model that Uber relies on, which might result in a decrease in the price of Uber.</w:t>
      </w:r>
    </w:p>
    <w:p w14:paraId="425A074B" w14:textId="50E33A9E" w:rsidR="00D5670D" w:rsidRPr="00AC161A" w:rsidRDefault="00D5670D" w:rsidP="00AC161A">
      <w:pPr>
        <w:rPr>
          <w:rFonts w:ascii="Times New Roman" w:hAnsi="Times New Roman" w:cs="Times New Roman"/>
          <w:b/>
          <w:bCs/>
          <w:sz w:val="24"/>
          <w:szCs w:val="24"/>
        </w:rPr>
      </w:pPr>
      <w:r w:rsidRPr="00AC161A">
        <w:rPr>
          <w:rFonts w:ascii="Times New Roman" w:hAnsi="Times New Roman" w:cs="Times New Roman"/>
          <w:b/>
          <w:bCs/>
          <w:sz w:val="24"/>
          <w:szCs w:val="24"/>
        </w:rPr>
        <w:t>Valuation in Context of Risks</w:t>
      </w:r>
      <w:r w:rsidR="00AC161A">
        <w:rPr>
          <w:rFonts w:ascii="Times New Roman" w:hAnsi="Times New Roman" w:cs="Times New Roman"/>
          <w:b/>
          <w:bCs/>
          <w:sz w:val="24"/>
          <w:szCs w:val="24"/>
        </w:rPr>
        <w:t>:</w:t>
      </w:r>
    </w:p>
    <w:p w14:paraId="15275910" w14:textId="77777777" w:rsidR="00C81E82" w:rsidRPr="00C81E82" w:rsidRDefault="00C81E82" w:rsidP="00C81E82">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C81E82">
        <w:rPr>
          <w:rFonts w:ascii="Times New Roman" w:eastAsia="Times New Roman" w:hAnsi="Times New Roman" w:cs="Times New Roman"/>
          <w:color w:val="1F1F1F"/>
          <w:kern w:val="0"/>
          <w:sz w:val="24"/>
          <w:szCs w:val="24"/>
          <w14:ligatures w14:val="none"/>
        </w:rPr>
        <w:t>Given the significance of these issues, it is of the utmost importance to conduct a comprehensive analysis of Uber's potential valuation during its first public offering. It is quite probable that the category of drivers will result in an increase in labor expenditures, and the market is extremely competitive; both of these factors will have a significant influence on Uber's bottom line. In addition to the uncertainty that already exists over the company's long-term prospects, the threat of disruption brought about by future transportation technologies is also a substantial factor.</w:t>
      </w:r>
    </w:p>
    <w:p w14:paraId="21906B98" w14:textId="77777777" w:rsidR="00C81E82" w:rsidRPr="00C81E82" w:rsidRDefault="00C81E82" w:rsidP="00C81E82">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C81E82">
        <w:rPr>
          <w:rFonts w:ascii="Times New Roman" w:eastAsia="Times New Roman" w:hAnsi="Times New Roman" w:cs="Times New Roman"/>
          <w:color w:val="1F1F1F"/>
          <w:kern w:val="0"/>
          <w:sz w:val="24"/>
          <w:szCs w:val="24"/>
          <w14:ligatures w14:val="none"/>
        </w:rPr>
        <w:t>It is clear from all of these factors that you need to use extreme caution when attempting to assign a price to Uber. Before making any decisions on investments, potential investors should do a comprehensive analysis of the risks that are linked with Uber in relation to the growth opportunities that it provides.</w:t>
      </w:r>
    </w:p>
    <w:p w14:paraId="090C5876" w14:textId="77777777" w:rsidR="00C81E82" w:rsidRDefault="00C81E82" w:rsidP="00D5670D">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p>
    <w:p w14:paraId="0F2CF5B3" w14:textId="37D92D1F" w:rsidR="002B6777" w:rsidRPr="00AC161A" w:rsidRDefault="00AC161A" w:rsidP="002B6777">
      <w:pPr>
        <w:shd w:val="clear" w:color="auto" w:fill="FFFFFF"/>
        <w:spacing w:before="100" w:beforeAutospacing="1" w:after="0" w:line="240" w:lineRule="auto"/>
        <w:rPr>
          <w:rFonts w:eastAsia="Times New Roman" w:cstheme="minorHAnsi"/>
          <w:b/>
          <w:bCs/>
          <w:i/>
          <w:iCs/>
          <w:color w:val="1F1F1F"/>
          <w:kern w:val="0"/>
          <w:sz w:val="32"/>
          <w:szCs w:val="32"/>
          <w:u w:val="single"/>
          <w14:ligatures w14:val="none"/>
        </w:rPr>
      </w:pPr>
      <w:r w:rsidRPr="00AC161A">
        <w:rPr>
          <w:rFonts w:eastAsia="Times New Roman" w:cstheme="minorHAnsi"/>
          <w:b/>
          <w:bCs/>
          <w:i/>
          <w:iCs/>
          <w:color w:val="1F1F1F"/>
          <w:kern w:val="0"/>
          <w:sz w:val="32"/>
          <w:szCs w:val="32"/>
          <w:u w:val="single"/>
          <w14:ligatures w14:val="none"/>
        </w:rPr>
        <w:lastRenderedPageBreak/>
        <w:t>Part 2</w:t>
      </w:r>
    </w:p>
    <w:p w14:paraId="0724A575" w14:textId="643FE147" w:rsidR="00A00065" w:rsidRPr="00AC161A" w:rsidRDefault="00A00065" w:rsidP="00AC161A">
      <w:pPr>
        <w:pStyle w:val="Heading2"/>
        <w:rPr>
          <w:rFonts w:asciiTheme="majorHAnsi" w:hAnsiTheme="majorHAnsi" w:cstheme="majorHAnsi"/>
          <w:color w:val="1F1F1F"/>
          <w:sz w:val="32"/>
          <w:szCs w:val="32"/>
          <w:u w:val="single"/>
        </w:rPr>
      </w:pPr>
      <w:bookmarkStart w:id="5" w:name="_Toc164561297"/>
      <w:r w:rsidRPr="00AC161A">
        <w:rPr>
          <w:rFonts w:asciiTheme="majorHAnsi" w:hAnsiTheme="majorHAnsi" w:cstheme="majorHAnsi"/>
          <w:sz w:val="32"/>
          <w:szCs w:val="32"/>
          <w:u w:val="single"/>
        </w:rPr>
        <w:t>CAGR OF Uber</w:t>
      </w:r>
      <w:bookmarkEnd w:id="5"/>
    </w:p>
    <w:p w14:paraId="0C26CB57" w14:textId="77777777" w:rsidR="00D5670D" w:rsidRDefault="00D5670D" w:rsidP="00D5670D"/>
    <w:tbl>
      <w:tblPr>
        <w:tblStyle w:val="TableGrid"/>
        <w:tblW w:w="0" w:type="auto"/>
        <w:jc w:val="center"/>
        <w:tblLook w:val="04A0" w:firstRow="1" w:lastRow="0" w:firstColumn="1" w:lastColumn="0" w:noHBand="0" w:noVBand="1"/>
      </w:tblPr>
      <w:tblGrid>
        <w:gridCol w:w="1715"/>
        <w:gridCol w:w="1715"/>
        <w:gridCol w:w="1716"/>
        <w:gridCol w:w="1716"/>
      </w:tblGrid>
      <w:tr w:rsidR="002B6777" w14:paraId="17E0690C" w14:textId="77777777" w:rsidTr="00C81E82">
        <w:trPr>
          <w:trHeight w:val="310"/>
          <w:jc w:val="center"/>
        </w:trPr>
        <w:tc>
          <w:tcPr>
            <w:tcW w:w="1715" w:type="dxa"/>
          </w:tcPr>
          <w:p w14:paraId="6C566436" w14:textId="4FB70EB0" w:rsidR="002B6777" w:rsidRPr="00C81E82" w:rsidRDefault="002B6777" w:rsidP="00C81E82">
            <w:pPr>
              <w:rPr>
                <w:rFonts w:ascii="Times New Roman" w:hAnsi="Times New Roman" w:cs="Times New Roman"/>
                <w:b/>
                <w:bCs/>
              </w:rPr>
            </w:pPr>
            <w:r w:rsidRPr="00C81E82">
              <w:rPr>
                <w:rFonts w:ascii="Times New Roman" w:hAnsi="Times New Roman" w:cs="Times New Roman"/>
                <w:b/>
                <w:bCs/>
              </w:rPr>
              <w:t xml:space="preserve">Year </w:t>
            </w:r>
          </w:p>
        </w:tc>
        <w:tc>
          <w:tcPr>
            <w:tcW w:w="1715" w:type="dxa"/>
          </w:tcPr>
          <w:p w14:paraId="494F4F1F" w14:textId="0C860310" w:rsidR="002B6777" w:rsidRPr="00C81E82" w:rsidRDefault="002B6777" w:rsidP="00C81E82">
            <w:pPr>
              <w:jc w:val="center"/>
              <w:rPr>
                <w:rFonts w:ascii="Times New Roman" w:hAnsi="Times New Roman" w:cs="Times New Roman"/>
                <w:b/>
                <w:bCs/>
              </w:rPr>
            </w:pPr>
            <w:r w:rsidRPr="00C81E82">
              <w:rPr>
                <w:rFonts w:ascii="Times New Roman" w:hAnsi="Times New Roman" w:cs="Times New Roman"/>
                <w:b/>
                <w:bCs/>
              </w:rPr>
              <w:t>Open Value</w:t>
            </w:r>
          </w:p>
        </w:tc>
        <w:tc>
          <w:tcPr>
            <w:tcW w:w="1716" w:type="dxa"/>
          </w:tcPr>
          <w:p w14:paraId="029B3A7F" w14:textId="1E5F429F" w:rsidR="002B6777" w:rsidRPr="00C81E82" w:rsidRDefault="002B6777" w:rsidP="00C81E82">
            <w:pPr>
              <w:jc w:val="center"/>
              <w:rPr>
                <w:rFonts w:ascii="Times New Roman" w:hAnsi="Times New Roman" w:cs="Times New Roman"/>
                <w:b/>
                <w:bCs/>
              </w:rPr>
            </w:pPr>
            <w:r w:rsidRPr="00C81E82">
              <w:rPr>
                <w:rFonts w:ascii="Times New Roman" w:hAnsi="Times New Roman" w:cs="Times New Roman"/>
                <w:b/>
                <w:bCs/>
              </w:rPr>
              <w:t>Close Value</w:t>
            </w:r>
          </w:p>
        </w:tc>
        <w:tc>
          <w:tcPr>
            <w:tcW w:w="1716" w:type="dxa"/>
          </w:tcPr>
          <w:p w14:paraId="181FD2A3" w14:textId="1A746D60" w:rsidR="002B6777" w:rsidRPr="00C81E82" w:rsidRDefault="002B6777" w:rsidP="00C81E82">
            <w:pPr>
              <w:jc w:val="center"/>
              <w:rPr>
                <w:rFonts w:ascii="Times New Roman" w:hAnsi="Times New Roman" w:cs="Times New Roman"/>
                <w:b/>
                <w:bCs/>
              </w:rPr>
            </w:pPr>
            <w:r w:rsidRPr="00C81E82">
              <w:rPr>
                <w:rFonts w:ascii="Times New Roman" w:hAnsi="Times New Roman" w:cs="Times New Roman"/>
                <w:b/>
                <w:bCs/>
              </w:rPr>
              <w:t>CAGR</w:t>
            </w:r>
          </w:p>
        </w:tc>
      </w:tr>
      <w:tr w:rsidR="002B6777" w14:paraId="75DF3D34" w14:textId="77777777" w:rsidTr="00C81E82">
        <w:trPr>
          <w:trHeight w:val="292"/>
          <w:jc w:val="center"/>
        </w:trPr>
        <w:tc>
          <w:tcPr>
            <w:tcW w:w="1715" w:type="dxa"/>
          </w:tcPr>
          <w:p w14:paraId="172AB3D3" w14:textId="38293796" w:rsidR="002B6777" w:rsidRPr="00C81E82" w:rsidRDefault="002B6777" w:rsidP="00C81E82">
            <w:pPr>
              <w:rPr>
                <w:rFonts w:ascii="Times New Roman" w:hAnsi="Times New Roman" w:cs="Times New Roman"/>
              </w:rPr>
            </w:pPr>
            <w:r w:rsidRPr="00C81E82">
              <w:rPr>
                <w:rFonts w:ascii="Times New Roman" w:hAnsi="Times New Roman" w:cs="Times New Roman"/>
              </w:rPr>
              <w:t>2019</w:t>
            </w:r>
          </w:p>
        </w:tc>
        <w:tc>
          <w:tcPr>
            <w:tcW w:w="1715" w:type="dxa"/>
          </w:tcPr>
          <w:p w14:paraId="5C415D8C" w14:textId="4C9CD25F" w:rsidR="002B6777" w:rsidRPr="00C81E82" w:rsidRDefault="002B6777" w:rsidP="00C81E82">
            <w:pPr>
              <w:jc w:val="center"/>
              <w:rPr>
                <w:rFonts w:ascii="Times New Roman" w:hAnsi="Times New Roman" w:cs="Times New Roman"/>
                <w:color w:val="232A31"/>
              </w:rPr>
            </w:pPr>
            <w:r w:rsidRPr="00C81E82">
              <w:rPr>
                <w:rFonts w:ascii="Times New Roman" w:hAnsi="Times New Roman" w:cs="Times New Roman"/>
                <w:color w:val="232A31"/>
              </w:rPr>
              <w:t>29.32</w:t>
            </w:r>
          </w:p>
        </w:tc>
        <w:tc>
          <w:tcPr>
            <w:tcW w:w="1716" w:type="dxa"/>
          </w:tcPr>
          <w:p w14:paraId="52AEB107" w14:textId="74B7B319" w:rsidR="002B6777" w:rsidRPr="00C81E82" w:rsidRDefault="002B6777" w:rsidP="00C81E82">
            <w:pPr>
              <w:jc w:val="center"/>
              <w:rPr>
                <w:rFonts w:ascii="Times New Roman" w:hAnsi="Times New Roman" w:cs="Times New Roman"/>
              </w:rPr>
            </w:pPr>
            <w:r w:rsidRPr="00C81E82">
              <w:rPr>
                <w:rFonts w:ascii="Times New Roman" w:hAnsi="Times New Roman" w:cs="Times New Roman"/>
                <w:color w:val="232A31"/>
                <w:shd w:val="clear" w:color="auto" w:fill="FFFFFF"/>
              </w:rPr>
              <w:t>29.74</w:t>
            </w:r>
          </w:p>
        </w:tc>
        <w:tc>
          <w:tcPr>
            <w:tcW w:w="1716" w:type="dxa"/>
          </w:tcPr>
          <w:p w14:paraId="12CA4C56" w14:textId="37EE0C3A" w:rsidR="002B6777" w:rsidRPr="00C81E82" w:rsidRDefault="002B6777" w:rsidP="00C81E82">
            <w:pPr>
              <w:jc w:val="center"/>
              <w:rPr>
                <w:rFonts w:ascii="Times New Roman" w:hAnsi="Times New Roman" w:cs="Times New Roman"/>
              </w:rPr>
            </w:pPr>
            <w:r w:rsidRPr="00C81E82">
              <w:rPr>
                <w:rFonts w:ascii="Times New Roman" w:hAnsi="Times New Roman" w:cs="Times New Roman"/>
              </w:rPr>
              <w:t>0.28%</w:t>
            </w:r>
          </w:p>
        </w:tc>
      </w:tr>
      <w:tr w:rsidR="002B6777" w14:paraId="35D240A8" w14:textId="77777777" w:rsidTr="00C81E82">
        <w:trPr>
          <w:trHeight w:val="310"/>
          <w:jc w:val="center"/>
        </w:trPr>
        <w:tc>
          <w:tcPr>
            <w:tcW w:w="1715" w:type="dxa"/>
          </w:tcPr>
          <w:p w14:paraId="103BFC6A" w14:textId="71AD5BF2" w:rsidR="002B6777" w:rsidRPr="00C81E82" w:rsidRDefault="002B6777" w:rsidP="00C81E82">
            <w:pPr>
              <w:rPr>
                <w:rFonts w:ascii="Times New Roman" w:hAnsi="Times New Roman" w:cs="Times New Roman"/>
              </w:rPr>
            </w:pPr>
            <w:r w:rsidRPr="00C81E82">
              <w:rPr>
                <w:rFonts w:ascii="Times New Roman" w:hAnsi="Times New Roman" w:cs="Times New Roman"/>
              </w:rPr>
              <w:t>2020</w:t>
            </w:r>
          </w:p>
        </w:tc>
        <w:tc>
          <w:tcPr>
            <w:tcW w:w="1715" w:type="dxa"/>
          </w:tcPr>
          <w:p w14:paraId="684F202F" w14:textId="25F96E47" w:rsidR="002B6777" w:rsidRPr="00C81E82" w:rsidRDefault="002B6777" w:rsidP="00C81E82">
            <w:pPr>
              <w:jc w:val="center"/>
              <w:rPr>
                <w:rFonts w:ascii="Times New Roman" w:hAnsi="Times New Roman" w:cs="Times New Roman"/>
                <w:color w:val="232A31"/>
              </w:rPr>
            </w:pPr>
            <w:r w:rsidRPr="00C81E82">
              <w:rPr>
                <w:rFonts w:ascii="Times New Roman" w:hAnsi="Times New Roman" w:cs="Times New Roman"/>
                <w:color w:val="232A31"/>
              </w:rPr>
              <w:t>50.00</w:t>
            </w:r>
          </w:p>
        </w:tc>
        <w:tc>
          <w:tcPr>
            <w:tcW w:w="1716" w:type="dxa"/>
          </w:tcPr>
          <w:p w14:paraId="3E929553" w14:textId="1166E66A" w:rsidR="002B6777" w:rsidRPr="00C81E82" w:rsidRDefault="002B6777" w:rsidP="00C81E82">
            <w:pPr>
              <w:jc w:val="center"/>
              <w:rPr>
                <w:rFonts w:ascii="Times New Roman" w:hAnsi="Times New Roman" w:cs="Times New Roman"/>
                <w:color w:val="232A31"/>
              </w:rPr>
            </w:pPr>
            <w:r w:rsidRPr="00C81E82">
              <w:rPr>
                <w:rFonts w:ascii="Times New Roman" w:hAnsi="Times New Roman" w:cs="Times New Roman"/>
                <w:color w:val="232A31"/>
              </w:rPr>
              <w:t>51.00</w:t>
            </w:r>
          </w:p>
        </w:tc>
        <w:tc>
          <w:tcPr>
            <w:tcW w:w="1716" w:type="dxa"/>
          </w:tcPr>
          <w:p w14:paraId="18775A5C" w14:textId="3D53433F" w:rsidR="002B6777" w:rsidRPr="00C81E82" w:rsidRDefault="002B6777" w:rsidP="00C81E82">
            <w:pPr>
              <w:jc w:val="center"/>
              <w:rPr>
                <w:rFonts w:ascii="Times New Roman" w:hAnsi="Times New Roman" w:cs="Times New Roman"/>
              </w:rPr>
            </w:pPr>
            <w:r w:rsidRPr="00C81E82">
              <w:rPr>
                <w:rFonts w:ascii="Times New Roman" w:hAnsi="Times New Roman" w:cs="Times New Roman"/>
              </w:rPr>
              <w:t>0.40%</w:t>
            </w:r>
          </w:p>
        </w:tc>
      </w:tr>
      <w:tr w:rsidR="002B6777" w14:paraId="586238C2" w14:textId="77777777" w:rsidTr="00C81E82">
        <w:trPr>
          <w:trHeight w:val="292"/>
          <w:jc w:val="center"/>
        </w:trPr>
        <w:tc>
          <w:tcPr>
            <w:tcW w:w="1715" w:type="dxa"/>
          </w:tcPr>
          <w:p w14:paraId="5E074093" w14:textId="422A0E1C" w:rsidR="002B6777" w:rsidRPr="00C81E82" w:rsidRDefault="002B6777" w:rsidP="00C81E82">
            <w:pPr>
              <w:rPr>
                <w:rFonts w:ascii="Times New Roman" w:hAnsi="Times New Roman" w:cs="Times New Roman"/>
              </w:rPr>
            </w:pPr>
            <w:r w:rsidRPr="00C81E82">
              <w:rPr>
                <w:rFonts w:ascii="Times New Roman" w:hAnsi="Times New Roman" w:cs="Times New Roman"/>
              </w:rPr>
              <w:t>2021</w:t>
            </w:r>
          </w:p>
        </w:tc>
        <w:tc>
          <w:tcPr>
            <w:tcW w:w="1715" w:type="dxa"/>
          </w:tcPr>
          <w:p w14:paraId="5745358C" w14:textId="4BB9AEBC" w:rsidR="002B6777" w:rsidRPr="00C81E82" w:rsidRDefault="002B6777" w:rsidP="00C81E82">
            <w:pPr>
              <w:jc w:val="center"/>
              <w:rPr>
                <w:rFonts w:ascii="Times New Roman" w:hAnsi="Times New Roman" w:cs="Times New Roman"/>
                <w:color w:val="232A31"/>
              </w:rPr>
            </w:pPr>
            <w:r w:rsidRPr="00C81E82">
              <w:rPr>
                <w:rFonts w:ascii="Times New Roman" w:hAnsi="Times New Roman" w:cs="Times New Roman"/>
                <w:color w:val="232A31"/>
              </w:rPr>
              <w:t>39.45</w:t>
            </w:r>
          </w:p>
        </w:tc>
        <w:tc>
          <w:tcPr>
            <w:tcW w:w="1716" w:type="dxa"/>
          </w:tcPr>
          <w:p w14:paraId="15241627" w14:textId="6BD55CAA" w:rsidR="002B6777" w:rsidRPr="00C81E82" w:rsidRDefault="00C81E82" w:rsidP="00C81E82">
            <w:pPr>
              <w:jc w:val="center"/>
              <w:rPr>
                <w:rFonts w:ascii="Times New Roman" w:hAnsi="Times New Roman" w:cs="Times New Roman"/>
              </w:rPr>
            </w:pPr>
            <w:r w:rsidRPr="00C81E82">
              <w:rPr>
                <w:rFonts w:ascii="Times New Roman" w:hAnsi="Times New Roman" w:cs="Times New Roman"/>
              </w:rPr>
              <w:t>41.93</w:t>
            </w:r>
          </w:p>
        </w:tc>
        <w:tc>
          <w:tcPr>
            <w:tcW w:w="1716" w:type="dxa"/>
          </w:tcPr>
          <w:p w14:paraId="247284ED" w14:textId="2E40E49D" w:rsidR="002B6777" w:rsidRPr="00C81E82" w:rsidRDefault="002B6777" w:rsidP="00C81E82">
            <w:pPr>
              <w:jc w:val="center"/>
              <w:rPr>
                <w:rFonts w:ascii="Times New Roman" w:hAnsi="Times New Roman" w:cs="Times New Roman"/>
              </w:rPr>
            </w:pPr>
            <w:r w:rsidRPr="00C81E82">
              <w:rPr>
                <w:rFonts w:ascii="Times New Roman" w:hAnsi="Times New Roman" w:cs="Times New Roman"/>
              </w:rPr>
              <w:t>1.23%</w:t>
            </w:r>
          </w:p>
        </w:tc>
      </w:tr>
      <w:tr w:rsidR="002B6777" w14:paraId="7F763FA0" w14:textId="77777777" w:rsidTr="00C81E82">
        <w:trPr>
          <w:trHeight w:val="310"/>
          <w:jc w:val="center"/>
        </w:trPr>
        <w:tc>
          <w:tcPr>
            <w:tcW w:w="1715" w:type="dxa"/>
          </w:tcPr>
          <w:p w14:paraId="4B286150" w14:textId="000827E9" w:rsidR="002B6777" w:rsidRPr="00C81E82" w:rsidRDefault="002B6777" w:rsidP="00C81E82">
            <w:pPr>
              <w:rPr>
                <w:rFonts w:ascii="Times New Roman" w:hAnsi="Times New Roman" w:cs="Times New Roman"/>
              </w:rPr>
            </w:pPr>
            <w:r w:rsidRPr="00C81E82">
              <w:rPr>
                <w:rFonts w:ascii="Times New Roman" w:hAnsi="Times New Roman" w:cs="Times New Roman"/>
              </w:rPr>
              <w:t>2022</w:t>
            </w:r>
          </w:p>
        </w:tc>
        <w:tc>
          <w:tcPr>
            <w:tcW w:w="1715" w:type="dxa"/>
          </w:tcPr>
          <w:p w14:paraId="672A170C" w14:textId="7E6D963E" w:rsidR="002B6777" w:rsidRPr="00C81E82" w:rsidRDefault="002B6777" w:rsidP="00C81E82">
            <w:pPr>
              <w:jc w:val="center"/>
              <w:rPr>
                <w:rFonts w:ascii="Times New Roman" w:hAnsi="Times New Roman" w:cs="Times New Roman"/>
                <w:color w:val="232A31"/>
              </w:rPr>
            </w:pPr>
            <w:r w:rsidRPr="00C81E82">
              <w:rPr>
                <w:rFonts w:ascii="Times New Roman" w:hAnsi="Times New Roman" w:cs="Times New Roman"/>
                <w:color w:val="232A31"/>
              </w:rPr>
              <w:t>29.22</w:t>
            </w:r>
          </w:p>
        </w:tc>
        <w:tc>
          <w:tcPr>
            <w:tcW w:w="1716" w:type="dxa"/>
          </w:tcPr>
          <w:p w14:paraId="54C31128" w14:textId="4797348C" w:rsidR="002B6777" w:rsidRPr="00C81E82" w:rsidRDefault="002B6777" w:rsidP="00C81E82">
            <w:pPr>
              <w:jc w:val="center"/>
              <w:rPr>
                <w:rFonts w:ascii="Times New Roman" w:hAnsi="Times New Roman" w:cs="Times New Roman"/>
                <w:color w:val="232A31"/>
              </w:rPr>
            </w:pPr>
            <w:r w:rsidRPr="00C81E82">
              <w:rPr>
                <w:rFonts w:ascii="Times New Roman" w:hAnsi="Times New Roman" w:cs="Times New Roman"/>
                <w:color w:val="232A31"/>
              </w:rPr>
              <w:t>24.73</w:t>
            </w:r>
          </w:p>
        </w:tc>
        <w:tc>
          <w:tcPr>
            <w:tcW w:w="1716" w:type="dxa"/>
          </w:tcPr>
          <w:p w14:paraId="5A7617A7" w14:textId="10721DE3" w:rsidR="002B6777" w:rsidRPr="00C81E82" w:rsidRDefault="002B6777" w:rsidP="00C81E82">
            <w:pPr>
              <w:jc w:val="center"/>
              <w:rPr>
                <w:rFonts w:ascii="Times New Roman" w:hAnsi="Times New Roman" w:cs="Times New Roman"/>
              </w:rPr>
            </w:pPr>
            <w:r w:rsidRPr="00C81E82">
              <w:rPr>
                <w:rFonts w:ascii="Times New Roman" w:hAnsi="Times New Roman" w:cs="Times New Roman"/>
              </w:rPr>
              <w:t>-3.28%</w:t>
            </w:r>
          </w:p>
        </w:tc>
      </w:tr>
      <w:tr w:rsidR="002B6777" w14:paraId="77C4C9A4" w14:textId="77777777" w:rsidTr="00C81E82">
        <w:trPr>
          <w:trHeight w:val="292"/>
          <w:jc w:val="center"/>
        </w:trPr>
        <w:tc>
          <w:tcPr>
            <w:tcW w:w="1715" w:type="dxa"/>
          </w:tcPr>
          <w:p w14:paraId="1E6BE5D2" w14:textId="1085D767" w:rsidR="002B6777" w:rsidRPr="00C81E82" w:rsidRDefault="002B6777" w:rsidP="00C81E82">
            <w:pPr>
              <w:rPr>
                <w:rFonts w:ascii="Times New Roman" w:hAnsi="Times New Roman" w:cs="Times New Roman"/>
              </w:rPr>
            </w:pPr>
            <w:r w:rsidRPr="00C81E82">
              <w:rPr>
                <w:rFonts w:ascii="Times New Roman" w:hAnsi="Times New Roman" w:cs="Times New Roman"/>
              </w:rPr>
              <w:t>2023</w:t>
            </w:r>
          </w:p>
        </w:tc>
        <w:tc>
          <w:tcPr>
            <w:tcW w:w="1715" w:type="dxa"/>
          </w:tcPr>
          <w:p w14:paraId="2C5C799D" w14:textId="45983AC8" w:rsidR="00C81E82" w:rsidRPr="00C81E82" w:rsidRDefault="00C81E82" w:rsidP="00C81E82">
            <w:pPr>
              <w:jc w:val="center"/>
              <w:rPr>
                <w:rFonts w:ascii="Times New Roman" w:hAnsi="Times New Roman" w:cs="Times New Roman"/>
              </w:rPr>
            </w:pPr>
            <w:r w:rsidRPr="00C81E82">
              <w:rPr>
                <w:rFonts w:ascii="Times New Roman" w:hAnsi="Times New Roman" w:cs="Times New Roman"/>
              </w:rPr>
              <w:t>56.57</w:t>
            </w:r>
          </w:p>
        </w:tc>
        <w:tc>
          <w:tcPr>
            <w:tcW w:w="1716" w:type="dxa"/>
          </w:tcPr>
          <w:p w14:paraId="72B24B15" w14:textId="18963D95" w:rsidR="002B6777" w:rsidRPr="00C81E82" w:rsidRDefault="00C81E82" w:rsidP="00C81E82">
            <w:pPr>
              <w:jc w:val="center"/>
              <w:rPr>
                <w:rFonts w:ascii="Times New Roman" w:hAnsi="Times New Roman" w:cs="Times New Roman"/>
              </w:rPr>
            </w:pPr>
            <w:r w:rsidRPr="00C81E82">
              <w:rPr>
                <w:rFonts w:ascii="Times New Roman" w:hAnsi="Times New Roman" w:cs="Times New Roman"/>
              </w:rPr>
              <w:t>61.57</w:t>
            </w:r>
          </w:p>
        </w:tc>
        <w:tc>
          <w:tcPr>
            <w:tcW w:w="1716" w:type="dxa"/>
          </w:tcPr>
          <w:p w14:paraId="3CF756AC" w14:textId="5284208A" w:rsidR="002B6777" w:rsidRPr="00C81E82" w:rsidRDefault="002B6777" w:rsidP="00C81E82">
            <w:pPr>
              <w:jc w:val="center"/>
              <w:rPr>
                <w:rFonts w:ascii="Times New Roman" w:hAnsi="Times New Roman" w:cs="Times New Roman"/>
              </w:rPr>
            </w:pPr>
            <w:r w:rsidRPr="00C81E82">
              <w:rPr>
                <w:rFonts w:ascii="Times New Roman" w:hAnsi="Times New Roman" w:cs="Times New Roman"/>
              </w:rPr>
              <w:t>1.67%</w:t>
            </w:r>
          </w:p>
        </w:tc>
      </w:tr>
    </w:tbl>
    <w:p w14:paraId="279CE9A6" w14:textId="77777777" w:rsidR="00A00065" w:rsidRDefault="00A00065" w:rsidP="00D5670D"/>
    <w:p w14:paraId="0662E818" w14:textId="77777777" w:rsidR="00A00065" w:rsidRPr="00AC161A" w:rsidRDefault="00A00065" w:rsidP="00AC161A">
      <w:pPr>
        <w:rPr>
          <w:rFonts w:ascii="Times New Roman" w:hAnsi="Times New Roman" w:cs="Times New Roman"/>
          <w:b/>
          <w:bCs/>
          <w:sz w:val="24"/>
          <w:szCs w:val="24"/>
        </w:rPr>
      </w:pPr>
      <w:r w:rsidRPr="00AC161A">
        <w:rPr>
          <w:rFonts w:ascii="Times New Roman" w:hAnsi="Times New Roman" w:cs="Times New Roman"/>
          <w:b/>
          <w:bCs/>
          <w:sz w:val="24"/>
          <w:szCs w:val="24"/>
        </w:rPr>
        <w:t>Analysis of Uber's Stock Price Performance (2019-2023)</w:t>
      </w:r>
    </w:p>
    <w:p w14:paraId="4F4F8F73" w14:textId="75144229" w:rsidR="002779F0" w:rsidRPr="002779F0" w:rsidRDefault="002779F0" w:rsidP="002779F0">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2779F0">
        <w:rPr>
          <w:rFonts w:ascii="Times New Roman" w:eastAsia="Times New Roman" w:hAnsi="Times New Roman" w:cs="Times New Roman"/>
          <w:color w:val="1F1F1F"/>
          <w:kern w:val="0"/>
          <w:sz w:val="24"/>
          <w:szCs w:val="24"/>
          <w14:ligatures w14:val="none"/>
        </w:rPr>
        <w:t>In order to get insight into the performance of Uber's stock price from 2019 to 2023, you may make use of the data that have been provided. As displayed above, an overview of the patterns, along with the likely reasons of those trends, is as follows:</w:t>
      </w:r>
    </w:p>
    <w:p w14:paraId="7D1E097D" w14:textId="2ECED1B3" w:rsidR="00A00065" w:rsidRPr="00A00065" w:rsidRDefault="00A00065" w:rsidP="00A00065">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00065">
        <w:rPr>
          <w:rFonts w:ascii="Times New Roman" w:eastAsia="Times New Roman" w:hAnsi="Times New Roman" w:cs="Times New Roman"/>
          <w:b/>
          <w:bCs/>
          <w:color w:val="1F1F1F"/>
          <w:kern w:val="0"/>
          <w:sz w:val="24"/>
          <w:szCs w:val="24"/>
          <w14:ligatures w14:val="none"/>
        </w:rPr>
        <w:t>Early Fluctuation (2019-2020):</w:t>
      </w:r>
    </w:p>
    <w:p w14:paraId="045EE963" w14:textId="5BFEE9DC" w:rsidR="00A00065" w:rsidRPr="00BF15F4" w:rsidRDefault="00A00065" w:rsidP="00BF15F4">
      <w:pPr>
        <w:pStyle w:val="ListParagraph"/>
        <w:numPr>
          <w:ilvl w:val="0"/>
          <w:numId w:val="49"/>
        </w:numPr>
        <w:jc w:val="both"/>
        <w:rPr>
          <w:rFonts w:ascii="Times New Roman" w:hAnsi="Times New Roman" w:cs="Times New Roman"/>
          <w:sz w:val="24"/>
          <w:szCs w:val="24"/>
        </w:rPr>
      </w:pPr>
      <w:r w:rsidRPr="00BF15F4">
        <w:rPr>
          <w:rFonts w:ascii="Times New Roman" w:hAnsi="Times New Roman" w:cs="Times New Roman"/>
          <w:b/>
          <w:bCs/>
          <w:sz w:val="24"/>
          <w:szCs w:val="24"/>
        </w:rPr>
        <w:t>2019:</w:t>
      </w:r>
      <w:r w:rsidRPr="00BF15F4">
        <w:rPr>
          <w:rFonts w:ascii="Times New Roman" w:hAnsi="Times New Roman" w:cs="Times New Roman"/>
          <w:sz w:val="24"/>
          <w:szCs w:val="24"/>
        </w:rPr>
        <w:t> </w:t>
      </w:r>
      <w:r w:rsidR="002779F0" w:rsidRPr="00BF15F4">
        <w:rPr>
          <w:rFonts w:ascii="Times New Roman" w:hAnsi="Times New Roman" w:cs="Times New Roman"/>
          <w:sz w:val="24"/>
          <w:szCs w:val="24"/>
        </w:rPr>
        <w:t>A compound annual growth rate of 0.28% is seen in the first year after the initial public offering (IPO). There is a possibility that this may be explained by a mix of post-IPO developments and the natural market volatility of a startup.</w:t>
      </w:r>
    </w:p>
    <w:p w14:paraId="482C40DF" w14:textId="10424905" w:rsidR="00A00065" w:rsidRPr="00BF15F4" w:rsidRDefault="00A00065" w:rsidP="00BF15F4">
      <w:pPr>
        <w:pStyle w:val="ListParagraph"/>
        <w:numPr>
          <w:ilvl w:val="0"/>
          <w:numId w:val="49"/>
        </w:numPr>
        <w:jc w:val="both"/>
        <w:rPr>
          <w:rFonts w:ascii="Times New Roman" w:hAnsi="Times New Roman" w:cs="Times New Roman"/>
          <w:sz w:val="24"/>
          <w:szCs w:val="24"/>
        </w:rPr>
      </w:pPr>
      <w:r w:rsidRPr="00BF15F4">
        <w:rPr>
          <w:rFonts w:ascii="Times New Roman" w:hAnsi="Times New Roman" w:cs="Times New Roman"/>
          <w:b/>
          <w:bCs/>
          <w:sz w:val="24"/>
          <w:szCs w:val="24"/>
        </w:rPr>
        <w:t>2020:</w:t>
      </w:r>
      <w:r w:rsidRPr="00BF15F4">
        <w:rPr>
          <w:rFonts w:ascii="Times New Roman" w:hAnsi="Times New Roman" w:cs="Times New Roman"/>
          <w:sz w:val="24"/>
          <w:szCs w:val="24"/>
        </w:rPr>
        <w:t> </w:t>
      </w:r>
      <w:r w:rsidR="002779F0" w:rsidRPr="00BF15F4">
        <w:rPr>
          <w:rFonts w:ascii="Times New Roman" w:hAnsi="Times New Roman" w:cs="Times New Roman"/>
          <w:sz w:val="24"/>
          <w:szCs w:val="24"/>
        </w:rPr>
        <w:t>The compound annual growth rate (CAGR) of 0.40 percent implies that there has been some development in the upward direction. It is possible that the impacts of the COVID-19 pandemic on transportation and travel have acted as a potential barrier to significant growth.</w:t>
      </w:r>
    </w:p>
    <w:p w14:paraId="64C196E8" w14:textId="77777777" w:rsidR="00A00065" w:rsidRPr="00A00065" w:rsidRDefault="00A00065" w:rsidP="00A00065">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00065">
        <w:rPr>
          <w:rFonts w:ascii="Times New Roman" w:eastAsia="Times New Roman" w:hAnsi="Times New Roman" w:cs="Times New Roman"/>
          <w:b/>
          <w:bCs/>
          <w:color w:val="1F1F1F"/>
          <w:kern w:val="0"/>
          <w:sz w:val="24"/>
          <w:szCs w:val="24"/>
          <w14:ligatures w14:val="none"/>
        </w:rPr>
        <w:t>Volatile Recovery (2021-2022):</w:t>
      </w:r>
    </w:p>
    <w:p w14:paraId="71C731B2" w14:textId="60CAC3D5" w:rsidR="00A00065" w:rsidRPr="00BF15F4" w:rsidRDefault="00A00065" w:rsidP="00BF15F4">
      <w:pPr>
        <w:pStyle w:val="ListParagraph"/>
        <w:numPr>
          <w:ilvl w:val="0"/>
          <w:numId w:val="48"/>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2021:</w:t>
      </w:r>
      <w:r w:rsidRPr="00BF15F4">
        <w:rPr>
          <w:rFonts w:ascii="Times New Roman" w:eastAsia="Times New Roman" w:hAnsi="Times New Roman" w:cs="Times New Roman"/>
          <w:color w:val="1F1F1F"/>
          <w:kern w:val="0"/>
          <w:sz w:val="24"/>
          <w:szCs w:val="24"/>
          <w14:ligatures w14:val="none"/>
        </w:rPr>
        <w:t> </w:t>
      </w:r>
      <w:r w:rsidR="002779F0" w:rsidRPr="00BF15F4">
        <w:rPr>
          <w:rFonts w:ascii="Times New Roman" w:eastAsia="Times New Roman" w:hAnsi="Times New Roman" w:cs="Times New Roman"/>
          <w:color w:val="1F1F1F"/>
          <w:kern w:val="0"/>
          <w:sz w:val="24"/>
          <w:szCs w:val="24"/>
          <w14:ligatures w14:val="none"/>
        </w:rPr>
        <w:t>An increase of 1.23 percent is regarded to be moderate. It is possible that ride-hailing services saw a price recovery as a result of an increase in demand and the relaxation of restrictions imposed by the pandemic.</w:t>
      </w:r>
    </w:p>
    <w:p w14:paraId="5EEC11CF" w14:textId="77777777" w:rsidR="002779F0" w:rsidRPr="00BF15F4" w:rsidRDefault="00A00065" w:rsidP="00BF15F4">
      <w:pPr>
        <w:pStyle w:val="ListParagraph"/>
        <w:numPr>
          <w:ilvl w:val="0"/>
          <w:numId w:val="48"/>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2022:</w:t>
      </w:r>
      <w:r w:rsidRPr="00BF15F4">
        <w:rPr>
          <w:rFonts w:ascii="Times New Roman" w:eastAsia="Times New Roman" w:hAnsi="Times New Roman" w:cs="Times New Roman"/>
          <w:color w:val="1F1F1F"/>
          <w:kern w:val="0"/>
          <w:sz w:val="24"/>
          <w:szCs w:val="24"/>
          <w14:ligatures w14:val="none"/>
        </w:rPr>
        <w:t> </w:t>
      </w:r>
      <w:r w:rsidR="002779F0" w:rsidRPr="00BF15F4">
        <w:rPr>
          <w:rFonts w:ascii="Times New Roman" w:eastAsia="Times New Roman" w:hAnsi="Times New Roman" w:cs="Times New Roman"/>
          <w:color w:val="1F1F1F"/>
          <w:kern w:val="0"/>
          <w:sz w:val="24"/>
          <w:szCs w:val="24"/>
          <w14:ligatures w14:val="none"/>
        </w:rPr>
        <w:t>With a negative compound annual growth rate (CAGR), there will be a decline. Quite a few factors might be responsible for this, including the following:</w:t>
      </w:r>
    </w:p>
    <w:p w14:paraId="07504B5E" w14:textId="77777777" w:rsidR="002779F0" w:rsidRPr="00BF15F4" w:rsidRDefault="002779F0" w:rsidP="00BF15F4">
      <w:pPr>
        <w:pStyle w:val="ListParagraph"/>
        <w:numPr>
          <w:ilvl w:val="0"/>
          <w:numId w:val="50"/>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color w:val="1F1F1F"/>
          <w:kern w:val="0"/>
          <w:sz w:val="24"/>
          <w:szCs w:val="24"/>
          <w14:ligatures w14:val="none"/>
        </w:rPr>
        <w:t>There is little doubt that Lyft and other ride-hailing companies will continue to be considered significant competitors.</w:t>
      </w:r>
    </w:p>
    <w:p w14:paraId="194868FF" w14:textId="77777777" w:rsidR="002779F0" w:rsidRPr="00BF15F4" w:rsidRDefault="002779F0" w:rsidP="00BF15F4">
      <w:pPr>
        <w:pStyle w:val="ListParagraph"/>
        <w:numPr>
          <w:ilvl w:val="0"/>
          <w:numId w:val="50"/>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color w:val="1F1F1F"/>
          <w:kern w:val="0"/>
          <w:sz w:val="24"/>
          <w:szCs w:val="24"/>
          <w14:ligatures w14:val="none"/>
        </w:rPr>
        <w:t>The rise in the cost of fuel is having an impact on the expenses that are incurred because of operations.</w:t>
      </w:r>
    </w:p>
    <w:p w14:paraId="6D11F20F" w14:textId="71D3C7D7" w:rsidR="00A00065" w:rsidRPr="00AC161A" w:rsidRDefault="002779F0" w:rsidP="00AC161A">
      <w:pPr>
        <w:pStyle w:val="ListParagraph"/>
        <w:numPr>
          <w:ilvl w:val="0"/>
          <w:numId w:val="50"/>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color w:val="1F1F1F"/>
          <w:kern w:val="0"/>
          <w:sz w:val="24"/>
          <w:szCs w:val="24"/>
          <w14:ligatures w14:val="none"/>
        </w:rPr>
        <w:t>Concerns have been raised by investors over Uber's ability to generate profits in the years to come.</w:t>
      </w:r>
    </w:p>
    <w:p w14:paraId="64801F76" w14:textId="77777777" w:rsidR="00A00065" w:rsidRPr="00A00065" w:rsidRDefault="00A00065" w:rsidP="00A00065">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00065">
        <w:rPr>
          <w:rFonts w:ascii="Times New Roman" w:eastAsia="Times New Roman" w:hAnsi="Times New Roman" w:cs="Times New Roman"/>
          <w:b/>
          <w:bCs/>
          <w:color w:val="1F1F1F"/>
          <w:kern w:val="0"/>
          <w:sz w:val="24"/>
          <w:szCs w:val="24"/>
          <w14:ligatures w14:val="none"/>
        </w:rPr>
        <w:t>Recent Growth (2023):</w:t>
      </w:r>
    </w:p>
    <w:p w14:paraId="3510AC0F" w14:textId="64B68A34" w:rsidR="002779F0" w:rsidRPr="00BF15F4" w:rsidRDefault="00A00065" w:rsidP="00BF15F4">
      <w:pPr>
        <w:pStyle w:val="ListParagraph"/>
        <w:numPr>
          <w:ilvl w:val="0"/>
          <w:numId w:val="52"/>
        </w:numPr>
        <w:shd w:val="clear" w:color="auto" w:fill="FFFFFF"/>
        <w:spacing w:before="100" w:beforeAutospacing="1" w:after="0" w:line="240" w:lineRule="auto"/>
        <w:jc w:val="both"/>
        <w:rPr>
          <w:rFonts w:ascii="Times New Roman" w:hAnsi="Times New Roman" w:cs="Times New Roman"/>
          <w:sz w:val="24"/>
          <w:szCs w:val="24"/>
        </w:rPr>
      </w:pPr>
      <w:r w:rsidRPr="00BF15F4">
        <w:rPr>
          <w:rFonts w:ascii="Times New Roman" w:eastAsia="Times New Roman" w:hAnsi="Times New Roman" w:cs="Times New Roman"/>
          <w:b/>
          <w:bCs/>
          <w:color w:val="1F1F1F"/>
          <w:kern w:val="0"/>
          <w:sz w:val="24"/>
          <w:szCs w:val="24"/>
          <w14:ligatures w14:val="none"/>
        </w:rPr>
        <w:lastRenderedPageBreak/>
        <w:t>2023:</w:t>
      </w:r>
      <w:r w:rsidRPr="00BF15F4">
        <w:rPr>
          <w:rFonts w:ascii="Times New Roman" w:eastAsia="Times New Roman" w:hAnsi="Times New Roman" w:cs="Times New Roman"/>
          <w:color w:val="1F1F1F"/>
          <w:kern w:val="0"/>
          <w:sz w:val="24"/>
          <w:szCs w:val="24"/>
          <w14:ligatures w14:val="none"/>
        </w:rPr>
        <w:t> </w:t>
      </w:r>
      <w:r w:rsidR="002779F0" w:rsidRPr="00BF15F4">
        <w:rPr>
          <w:rFonts w:ascii="Times New Roman" w:hAnsi="Times New Roman" w:cs="Times New Roman"/>
          <w:sz w:val="24"/>
          <w:szCs w:val="24"/>
        </w:rPr>
        <w:t xml:space="preserve"> </w:t>
      </w:r>
      <w:r w:rsidR="002779F0" w:rsidRPr="00BF15F4">
        <w:rPr>
          <w:rFonts w:ascii="Times New Roman" w:hAnsi="Times New Roman" w:cs="Times New Roman"/>
          <w:sz w:val="24"/>
          <w:szCs w:val="24"/>
        </w:rPr>
        <w:t>Things are looking good with a compound annual growth rate of 1.67 percent. Could it be due to the following:</w:t>
      </w:r>
    </w:p>
    <w:p w14:paraId="5BA598F5" w14:textId="77777777" w:rsidR="002779F0" w:rsidRPr="00BF15F4" w:rsidRDefault="002779F0" w:rsidP="00BF15F4">
      <w:pPr>
        <w:pStyle w:val="ListParagraph"/>
        <w:numPr>
          <w:ilvl w:val="0"/>
          <w:numId w:val="53"/>
        </w:numPr>
        <w:shd w:val="clear" w:color="auto" w:fill="FFFFFF"/>
        <w:spacing w:before="100" w:beforeAutospacing="1" w:after="0" w:line="240" w:lineRule="auto"/>
        <w:jc w:val="both"/>
        <w:rPr>
          <w:rFonts w:ascii="Times New Roman" w:hAnsi="Times New Roman" w:cs="Times New Roman"/>
          <w:sz w:val="24"/>
          <w:szCs w:val="24"/>
        </w:rPr>
      </w:pPr>
      <w:r w:rsidRPr="00BF15F4">
        <w:rPr>
          <w:rFonts w:ascii="Times New Roman" w:hAnsi="Times New Roman" w:cs="Times New Roman"/>
          <w:sz w:val="24"/>
          <w:szCs w:val="24"/>
        </w:rPr>
        <w:t>improved economic conditions and an increasing demand for transportation services are also contributing factors.</w:t>
      </w:r>
    </w:p>
    <w:p w14:paraId="33948E56" w14:textId="575B1167" w:rsidR="002779F0" w:rsidRPr="00BF15F4" w:rsidRDefault="002779F0" w:rsidP="00BF15F4">
      <w:pPr>
        <w:pStyle w:val="ListParagraph"/>
        <w:numPr>
          <w:ilvl w:val="0"/>
          <w:numId w:val="53"/>
        </w:numPr>
        <w:shd w:val="clear" w:color="auto" w:fill="FFFFFF"/>
        <w:spacing w:before="100" w:beforeAutospacing="1" w:after="0" w:line="240" w:lineRule="auto"/>
        <w:jc w:val="both"/>
        <w:rPr>
          <w:rFonts w:ascii="Times New Roman" w:hAnsi="Times New Roman" w:cs="Times New Roman"/>
          <w:sz w:val="24"/>
          <w:szCs w:val="24"/>
        </w:rPr>
      </w:pPr>
      <w:r w:rsidRPr="00BF15F4">
        <w:rPr>
          <w:rFonts w:ascii="Times New Roman" w:hAnsi="Times New Roman" w:cs="Times New Roman"/>
          <w:sz w:val="24"/>
          <w:szCs w:val="24"/>
        </w:rPr>
        <w:t>t</w:t>
      </w:r>
      <w:r w:rsidRPr="00BF15F4">
        <w:rPr>
          <w:rFonts w:ascii="Times New Roman" w:hAnsi="Times New Roman" w:cs="Times New Roman"/>
          <w:sz w:val="24"/>
          <w:szCs w:val="24"/>
        </w:rPr>
        <w:t>he efforts that Uber is doing to enter unexplored service or market areas at this time.</w:t>
      </w:r>
    </w:p>
    <w:p w14:paraId="485D8FE3" w14:textId="56BF2E49" w:rsidR="00A00065" w:rsidRPr="002779F0" w:rsidRDefault="002779F0" w:rsidP="002779F0">
      <w:pPr>
        <w:pStyle w:val="NormalWeb"/>
        <w:shd w:val="clear" w:color="auto" w:fill="FFFFFF"/>
        <w:jc w:val="both"/>
        <w:rPr>
          <w:color w:val="1F1F1F"/>
        </w:rPr>
      </w:pPr>
      <w:r w:rsidRPr="002779F0">
        <w:rPr>
          <w:color w:val="1F1F1F"/>
        </w:rPr>
        <w:t>Over the course of the last several years, Uber's stock has been continuously increasing, albeit experiencing a few early declines. However, the fact that the compound annual growth rate (CAGR) will be negative in 2022 demonstrates how vulnerable the company is to the influence of market forces.</w:t>
      </w:r>
    </w:p>
    <w:p w14:paraId="193FF3D9" w14:textId="77777777" w:rsidR="00A00065" w:rsidRDefault="00A00065" w:rsidP="00D5670D"/>
    <w:p w14:paraId="75260D60" w14:textId="22F11BDE" w:rsidR="00A00065" w:rsidRPr="00AC161A" w:rsidRDefault="00A00065" w:rsidP="00AC161A">
      <w:pPr>
        <w:pStyle w:val="Heading3"/>
        <w:rPr>
          <w:sz w:val="24"/>
          <w:szCs w:val="24"/>
        </w:rPr>
      </w:pPr>
      <w:bookmarkStart w:id="6" w:name="_Toc164561298"/>
      <w:r w:rsidRPr="00AC161A">
        <w:rPr>
          <w:sz w:val="24"/>
          <w:szCs w:val="24"/>
        </w:rPr>
        <w:t xml:space="preserve">CAGR </w:t>
      </w:r>
      <w:r w:rsidRPr="00AC161A">
        <w:rPr>
          <w:sz w:val="24"/>
          <w:szCs w:val="24"/>
        </w:rPr>
        <w:t>of</w:t>
      </w:r>
      <w:r w:rsidRPr="00AC161A">
        <w:rPr>
          <w:sz w:val="24"/>
          <w:szCs w:val="24"/>
        </w:rPr>
        <w:t xml:space="preserve"> </w:t>
      </w:r>
      <w:r w:rsidRPr="00AC161A">
        <w:rPr>
          <w:sz w:val="24"/>
          <w:szCs w:val="24"/>
        </w:rPr>
        <w:t>Lyft</w:t>
      </w:r>
      <w:bookmarkEnd w:id="6"/>
    </w:p>
    <w:p w14:paraId="16B17F80" w14:textId="77777777" w:rsidR="00A00065" w:rsidRDefault="00A00065" w:rsidP="00A00065"/>
    <w:tbl>
      <w:tblPr>
        <w:tblStyle w:val="TableGrid"/>
        <w:tblW w:w="0" w:type="auto"/>
        <w:tblLook w:val="04A0" w:firstRow="1" w:lastRow="0" w:firstColumn="1" w:lastColumn="0" w:noHBand="0" w:noVBand="1"/>
      </w:tblPr>
      <w:tblGrid>
        <w:gridCol w:w="2337"/>
        <w:gridCol w:w="2337"/>
        <w:gridCol w:w="2338"/>
        <w:gridCol w:w="2338"/>
      </w:tblGrid>
      <w:tr w:rsidR="00A00065" w14:paraId="46EEBDBD" w14:textId="77777777" w:rsidTr="00A00065">
        <w:tc>
          <w:tcPr>
            <w:tcW w:w="2337" w:type="dxa"/>
          </w:tcPr>
          <w:p w14:paraId="13776DF2" w14:textId="2C5CB956" w:rsidR="00A00065" w:rsidRPr="002779F0" w:rsidRDefault="00A00065" w:rsidP="00A00065">
            <w:pPr>
              <w:rPr>
                <w:rFonts w:ascii="Times New Roman" w:hAnsi="Times New Roman" w:cs="Times New Roman"/>
                <w:b/>
                <w:bCs/>
              </w:rPr>
            </w:pPr>
            <w:r w:rsidRPr="002779F0">
              <w:rPr>
                <w:rFonts w:ascii="Times New Roman" w:hAnsi="Times New Roman" w:cs="Times New Roman"/>
                <w:b/>
                <w:bCs/>
              </w:rPr>
              <w:t>Year</w:t>
            </w:r>
          </w:p>
        </w:tc>
        <w:tc>
          <w:tcPr>
            <w:tcW w:w="2337" w:type="dxa"/>
          </w:tcPr>
          <w:p w14:paraId="67C18A8B" w14:textId="7789EA82" w:rsidR="00A00065" w:rsidRPr="002779F0" w:rsidRDefault="00A00065" w:rsidP="002779F0">
            <w:pPr>
              <w:jc w:val="center"/>
              <w:rPr>
                <w:rFonts w:ascii="Times New Roman" w:hAnsi="Times New Roman" w:cs="Times New Roman"/>
                <w:b/>
                <w:bCs/>
              </w:rPr>
            </w:pPr>
            <w:r w:rsidRPr="002779F0">
              <w:rPr>
                <w:rFonts w:ascii="Times New Roman" w:hAnsi="Times New Roman" w:cs="Times New Roman"/>
                <w:b/>
                <w:bCs/>
              </w:rPr>
              <w:t>Open Value</w:t>
            </w:r>
          </w:p>
        </w:tc>
        <w:tc>
          <w:tcPr>
            <w:tcW w:w="2338" w:type="dxa"/>
          </w:tcPr>
          <w:p w14:paraId="06ECE817" w14:textId="1F9129B1" w:rsidR="00A00065" w:rsidRPr="002779F0" w:rsidRDefault="00A00065" w:rsidP="002779F0">
            <w:pPr>
              <w:jc w:val="center"/>
              <w:rPr>
                <w:rFonts w:ascii="Times New Roman" w:hAnsi="Times New Roman" w:cs="Times New Roman"/>
                <w:b/>
                <w:bCs/>
              </w:rPr>
            </w:pPr>
            <w:r w:rsidRPr="002779F0">
              <w:rPr>
                <w:rFonts w:ascii="Times New Roman" w:hAnsi="Times New Roman" w:cs="Times New Roman"/>
                <w:b/>
                <w:bCs/>
              </w:rPr>
              <w:t>Close Value</w:t>
            </w:r>
          </w:p>
        </w:tc>
        <w:tc>
          <w:tcPr>
            <w:tcW w:w="2338" w:type="dxa"/>
          </w:tcPr>
          <w:p w14:paraId="49907BEB" w14:textId="670C4E63" w:rsidR="00A00065" w:rsidRPr="002779F0" w:rsidRDefault="00A00065" w:rsidP="002779F0">
            <w:pPr>
              <w:jc w:val="center"/>
              <w:rPr>
                <w:rFonts w:ascii="Times New Roman" w:hAnsi="Times New Roman" w:cs="Times New Roman"/>
                <w:b/>
                <w:bCs/>
              </w:rPr>
            </w:pPr>
            <w:r w:rsidRPr="002779F0">
              <w:rPr>
                <w:rFonts w:ascii="Times New Roman" w:hAnsi="Times New Roman" w:cs="Times New Roman"/>
                <w:b/>
                <w:bCs/>
              </w:rPr>
              <w:t>CAGR</w:t>
            </w:r>
          </w:p>
        </w:tc>
      </w:tr>
      <w:tr w:rsidR="00A00065" w14:paraId="6310EF15" w14:textId="77777777" w:rsidTr="00A00065">
        <w:tc>
          <w:tcPr>
            <w:tcW w:w="2337" w:type="dxa"/>
          </w:tcPr>
          <w:p w14:paraId="4FF1CD8E" w14:textId="04CDA10D" w:rsidR="00A00065" w:rsidRPr="002779F0" w:rsidRDefault="00A00065" w:rsidP="00A00065">
            <w:pPr>
              <w:rPr>
                <w:rFonts w:ascii="Times New Roman" w:hAnsi="Times New Roman" w:cs="Times New Roman"/>
              </w:rPr>
            </w:pPr>
            <w:r w:rsidRPr="002779F0">
              <w:rPr>
                <w:rFonts w:ascii="Times New Roman" w:hAnsi="Times New Roman" w:cs="Times New Roman"/>
              </w:rPr>
              <w:t>2019</w:t>
            </w:r>
          </w:p>
        </w:tc>
        <w:tc>
          <w:tcPr>
            <w:tcW w:w="2337" w:type="dxa"/>
          </w:tcPr>
          <w:p w14:paraId="0A67AEE2" w14:textId="4DDBAEBC" w:rsidR="00A00065" w:rsidRPr="002779F0" w:rsidRDefault="002779F0" w:rsidP="002779F0">
            <w:pPr>
              <w:jc w:val="center"/>
              <w:rPr>
                <w:rFonts w:ascii="Times New Roman" w:hAnsi="Times New Roman" w:cs="Times New Roman"/>
              </w:rPr>
            </w:pPr>
            <w:r w:rsidRPr="002779F0">
              <w:rPr>
                <w:rFonts w:ascii="Times New Roman" w:hAnsi="Times New Roman" w:cs="Times New Roman"/>
              </w:rPr>
              <w:t>49.08</w:t>
            </w:r>
          </w:p>
        </w:tc>
        <w:tc>
          <w:tcPr>
            <w:tcW w:w="2338" w:type="dxa"/>
          </w:tcPr>
          <w:p w14:paraId="46ACD5F7" w14:textId="3599B2A6" w:rsidR="00A00065" w:rsidRPr="002779F0" w:rsidRDefault="00A00065" w:rsidP="002779F0">
            <w:pPr>
              <w:jc w:val="center"/>
              <w:rPr>
                <w:rFonts w:ascii="Times New Roman" w:hAnsi="Times New Roman" w:cs="Times New Roman"/>
                <w:color w:val="232A31"/>
              </w:rPr>
            </w:pPr>
            <w:r w:rsidRPr="002779F0">
              <w:rPr>
                <w:rFonts w:ascii="Times New Roman" w:hAnsi="Times New Roman" w:cs="Times New Roman"/>
                <w:color w:val="232A31"/>
              </w:rPr>
              <w:t>43.02</w:t>
            </w:r>
          </w:p>
        </w:tc>
        <w:tc>
          <w:tcPr>
            <w:tcW w:w="2338" w:type="dxa"/>
          </w:tcPr>
          <w:p w14:paraId="6F99319B" w14:textId="69A57D36" w:rsidR="00A00065" w:rsidRPr="002779F0" w:rsidRDefault="00A00065" w:rsidP="002779F0">
            <w:pPr>
              <w:jc w:val="center"/>
              <w:rPr>
                <w:rFonts w:ascii="Times New Roman" w:hAnsi="Times New Roman" w:cs="Times New Roman"/>
              </w:rPr>
            </w:pPr>
            <w:r w:rsidRPr="002779F0">
              <w:rPr>
                <w:rFonts w:ascii="Times New Roman" w:hAnsi="Times New Roman" w:cs="Times New Roman"/>
              </w:rPr>
              <w:t>-2.60%</w:t>
            </w:r>
          </w:p>
        </w:tc>
      </w:tr>
      <w:tr w:rsidR="00A00065" w14:paraId="4818A106" w14:textId="77777777" w:rsidTr="00A00065">
        <w:tc>
          <w:tcPr>
            <w:tcW w:w="2337" w:type="dxa"/>
          </w:tcPr>
          <w:p w14:paraId="1BB0E880" w14:textId="27736063" w:rsidR="00A00065" w:rsidRPr="002779F0" w:rsidRDefault="00A00065" w:rsidP="00A00065">
            <w:pPr>
              <w:rPr>
                <w:rFonts w:ascii="Times New Roman" w:hAnsi="Times New Roman" w:cs="Times New Roman"/>
              </w:rPr>
            </w:pPr>
            <w:r w:rsidRPr="002779F0">
              <w:rPr>
                <w:rFonts w:ascii="Times New Roman" w:hAnsi="Times New Roman" w:cs="Times New Roman"/>
              </w:rPr>
              <w:t>2020</w:t>
            </w:r>
          </w:p>
        </w:tc>
        <w:tc>
          <w:tcPr>
            <w:tcW w:w="2337" w:type="dxa"/>
          </w:tcPr>
          <w:p w14:paraId="6CD4313E" w14:textId="6B20BF96" w:rsidR="00A00065" w:rsidRPr="002779F0" w:rsidRDefault="00A00065" w:rsidP="002779F0">
            <w:pPr>
              <w:jc w:val="center"/>
              <w:rPr>
                <w:rFonts w:ascii="Times New Roman" w:hAnsi="Times New Roman" w:cs="Times New Roman"/>
                <w:color w:val="232A31"/>
              </w:rPr>
            </w:pPr>
            <w:r w:rsidRPr="002779F0">
              <w:rPr>
                <w:rFonts w:ascii="Times New Roman" w:hAnsi="Times New Roman" w:cs="Times New Roman"/>
                <w:color w:val="232A31"/>
              </w:rPr>
              <w:t>39.08</w:t>
            </w:r>
          </w:p>
        </w:tc>
        <w:tc>
          <w:tcPr>
            <w:tcW w:w="2338" w:type="dxa"/>
          </w:tcPr>
          <w:p w14:paraId="237200F3" w14:textId="6CCF8057" w:rsidR="00A00065" w:rsidRPr="002779F0" w:rsidRDefault="00A00065" w:rsidP="002779F0">
            <w:pPr>
              <w:jc w:val="center"/>
              <w:rPr>
                <w:rFonts w:ascii="Times New Roman" w:hAnsi="Times New Roman" w:cs="Times New Roman"/>
                <w:color w:val="232A31"/>
              </w:rPr>
            </w:pPr>
            <w:r w:rsidRPr="002779F0">
              <w:rPr>
                <w:rFonts w:ascii="Times New Roman" w:hAnsi="Times New Roman" w:cs="Times New Roman"/>
                <w:color w:val="232A31"/>
              </w:rPr>
              <w:t>49.13</w:t>
            </w:r>
          </w:p>
        </w:tc>
        <w:tc>
          <w:tcPr>
            <w:tcW w:w="2338" w:type="dxa"/>
          </w:tcPr>
          <w:p w14:paraId="679B33A1" w14:textId="71B5F81E" w:rsidR="00A00065" w:rsidRPr="002779F0" w:rsidRDefault="00A00065" w:rsidP="002779F0">
            <w:pPr>
              <w:jc w:val="center"/>
              <w:rPr>
                <w:rFonts w:ascii="Times New Roman" w:hAnsi="Times New Roman" w:cs="Times New Roman"/>
              </w:rPr>
            </w:pPr>
            <w:r w:rsidRPr="002779F0">
              <w:rPr>
                <w:rFonts w:ascii="Times New Roman" w:hAnsi="Times New Roman" w:cs="Times New Roman"/>
              </w:rPr>
              <w:t>4.68%</w:t>
            </w:r>
          </w:p>
        </w:tc>
      </w:tr>
      <w:tr w:rsidR="00A00065" w14:paraId="7715ED31" w14:textId="77777777" w:rsidTr="00A00065">
        <w:tc>
          <w:tcPr>
            <w:tcW w:w="2337" w:type="dxa"/>
          </w:tcPr>
          <w:p w14:paraId="73E62E7B" w14:textId="3B683C31" w:rsidR="00A00065" w:rsidRPr="002779F0" w:rsidRDefault="00A00065" w:rsidP="00A00065">
            <w:pPr>
              <w:rPr>
                <w:rFonts w:ascii="Times New Roman" w:hAnsi="Times New Roman" w:cs="Times New Roman"/>
              </w:rPr>
            </w:pPr>
            <w:r w:rsidRPr="002779F0">
              <w:rPr>
                <w:rFonts w:ascii="Times New Roman" w:hAnsi="Times New Roman" w:cs="Times New Roman"/>
              </w:rPr>
              <w:t>2021</w:t>
            </w:r>
          </w:p>
        </w:tc>
        <w:tc>
          <w:tcPr>
            <w:tcW w:w="2337" w:type="dxa"/>
          </w:tcPr>
          <w:p w14:paraId="60921393" w14:textId="0AD2A9C8" w:rsidR="00A00065" w:rsidRPr="002779F0" w:rsidRDefault="00A00065" w:rsidP="002779F0">
            <w:pPr>
              <w:jc w:val="center"/>
              <w:rPr>
                <w:rFonts w:ascii="Times New Roman" w:hAnsi="Times New Roman" w:cs="Times New Roman"/>
                <w:color w:val="232A31"/>
              </w:rPr>
            </w:pPr>
            <w:r w:rsidRPr="002779F0">
              <w:rPr>
                <w:rFonts w:ascii="Times New Roman" w:hAnsi="Times New Roman" w:cs="Times New Roman"/>
                <w:color w:val="232A31"/>
              </w:rPr>
              <w:t>41.74</w:t>
            </w:r>
          </w:p>
        </w:tc>
        <w:tc>
          <w:tcPr>
            <w:tcW w:w="2338" w:type="dxa"/>
          </w:tcPr>
          <w:p w14:paraId="5F05E802" w14:textId="1D35D6BF" w:rsidR="00A00065" w:rsidRPr="002779F0" w:rsidRDefault="002779F0" w:rsidP="002779F0">
            <w:pPr>
              <w:jc w:val="center"/>
              <w:rPr>
                <w:rFonts w:ascii="Times New Roman" w:hAnsi="Times New Roman" w:cs="Times New Roman"/>
              </w:rPr>
            </w:pPr>
            <w:r w:rsidRPr="002779F0">
              <w:rPr>
                <w:rFonts w:ascii="Times New Roman" w:hAnsi="Times New Roman" w:cs="Times New Roman"/>
              </w:rPr>
              <w:t>42.73</w:t>
            </w:r>
          </w:p>
        </w:tc>
        <w:tc>
          <w:tcPr>
            <w:tcW w:w="2338" w:type="dxa"/>
          </w:tcPr>
          <w:p w14:paraId="00A28D5E" w14:textId="571D6B88" w:rsidR="00A00065" w:rsidRPr="002779F0" w:rsidRDefault="00A00065" w:rsidP="002779F0">
            <w:pPr>
              <w:jc w:val="center"/>
              <w:rPr>
                <w:rFonts w:ascii="Times New Roman" w:hAnsi="Times New Roman" w:cs="Times New Roman"/>
              </w:rPr>
            </w:pPr>
            <w:r w:rsidRPr="002779F0">
              <w:rPr>
                <w:rFonts w:ascii="Times New Roman" w:hAnsi="Times New Roman" w:cs="Times New Roman"/>
              </w:rPr>
              <w:t>0.47%</w:t>
            </w:r>
          </w:p>
        </w:tc>
      </w:tr>
      <w:tr w:rsidR="00A00065" w14:paraId="4913631D" w14:textId="77777777" w:rsidTr="00A00065">
        <w:tc>
          <w:tcPr>
            <w:tcW w:w="2337" w:type="dxa"/>
          </w:tcPr>
          <w:p w14:paraId="1F396ACA" w14:textId="66FFDBE9" w:rsidR="00A00065" w:rsidRPr="002779F0" w:rsidRDefault="00A00065" w:rsidP="00A00065">
            <w:pPr>
              <w:rPr>
                <w:rFonts w:ascii="Times New Roman" w:hAnsi="Times New Roman" w:cs="Times New Roman"/>
              </w:rPr>
            </w:pPr>
            <w:r w:rsidRPr="002779F0">
              <w:rPr>
                <w:rFonts w:ascii="Times New Roman" w:hAnsi="Times New Roman" w:cs="Times New Roman"/>
              </w:rPr>
              <w:t>2022</w:t>
            </w:r>
          </w:p>
        </w:tc>
        <w:tc>
          <w:tcPr>
            <w:tcW w:w="2337" w:type="dxa"/>
          </w:tcPr>
          <w:p w14:paraId="78C27B4E" w14:textId="1196B3BB" w:rsidR="00A00065" w:rsidRPr="002779F0" w:rsidRDefault="00A00065" w:rsidP="002779F0">
            <w:pPr>
              <w:jc w:val="center"/>
              <w:rPr>
                <w:rFonts w:ascii="Times New Roman" w:hAnsi="Times New Roman" w:cs="Times New Roman"/>
                <w:color w:val="232A31"/>
              </w:rPr>
            </w:pPr>
            <w:r w:rsidRPr="002779F0">
              <w:rPr>
                <w:rFonts w:ascii="Times New Roman" w:hAnsi="Times New Roman" w:cs="Times New Roman"/>
                <w:color w:val="232A31"/>
              </w:rPr>
              <w:t>11.27</w:t>
            </w:r>
          </w:p>
        </w:tc>
        <w:tc>
          <w:tcPr>
            <w:tcW w:w="2338" w:type="dxa"/>
          </w:tcPr>
          <w:p w14:paraId="58015AD1" w14:textId="24B467A2" w:rsidR="00A00065" w:rsidRPr="002779F0" w:rsidRDefault="002779F0" w:rsidP="002779F0">
            <w:pPr>
              <w:jc w:val="center"/>
              <w:rPr>
                <w:rFonts w:ascii="Times New Roman" w:hAnsi="Times New Roman" w:cs="Times New Roman"/>
              </w:rPr>
            </w:pPr>
            <w:r w:rsidRPr="002779F0">
              <w:rPr>
                <w:rFonts w:ascii="Times New Roman" w:hAnsi="Times New Roman" w:cs="Times New Roman"/>
              </w:rPr>
              <w:t>11.02</w:t>
            </w:r>
          </w:p>
        </w:tc>
        <w:tc>
          <w:tcPr>
            <w:tcW w:w="2338" w:type="dxa"/>
          </w:tcPr>
          <w:p w14:paraId="4705EAF4" w14:textId="7F55FD71" w:rsidR="00A00065" w:rsidRPr="002779F0" w:rsidRDefault="00A00065" w:rsidP="002779F0">
            <w:pPr>
              <w:jc w:val="center"/>
              <w:rPr>
                <w:rFonts w:ascii="Times New Roman" w:hAnsi="Times New Roman" w:cs="Times New Roman"/>
              </w:rPr>
            </w:pPr>
            <w:r w:rsidRPr="002779F0">
              <w:rPr>
                <w:rFonts w:ascii="Times New Roman" w:hAnsi="Times New Roman" w:cs="Times New Roman"/>
              </w:rPr>
              <w:t>-0.45%</w:t>
            </w:r>
          </w:p>
        </w:tc>
      </w:tr>
      <w:tr w:rsidR="00A00065" w14:paraId="64AD0B92" w14:textId="77777777" w:rsidTr="00A00065">
        <w:tc>
          <w:tcPr>
            <w:tcW w:w="2337" w:type="dxa"/>
          </w:tcPr>
          <w:p w14:paraId="07CE2C86" w14:textId="294113EF" w:rsidR="00A00065" w:rsidRPr="002779F0" w:rsidRDefault="00A00065" w:rsidP="00A00065">
            <w:pPr>
              <w:rPr>
                <w:rFonts w:ascii="Times New Roman" w:hAnsi="Times New Roman" w:cs="Times New Roman"/>
              </w:rPr>
            </w:pPr>
            <w:r w:rsidRPr="002779F0">
              <w:rPr>
                <w:rFonts w:ascii="Times New Roman" w:hAnsi="Times New Roman" w:cs="Times New Roman"/>
              </w:rPr>
              <w:t>2023</w:t>
            </w:r>
          </w:p>
        </w:tc>
        <w:tc>
          <w:tcPr>
            <w:tcW w:w="2337" w:type="dxa"/>
          </w:tcPr>
          <w:p w14:paraId="0B8ED41E" w14:textId="2DA02E3F" w:rsidR="00A00065" w:rsidRPr="002779F0" w:rsidRDefault="00A00065" w:rsidP="002779F0">
            <w:pPr>
              <w:jc w:val="center"/>
              <w:rPr>
                <w:rFonts w:ascii="Times New Roman" w:hAnsi="Times New Roman" w:cs="Times New Roman"/>
                <w:color w:val="232A31"/>
              </w:rPr>
            </w:pPr>
            <w:r w:rsidRPr="002779F0">
              <w:rPr>
                <w:rFonts w:ascii="Times New Roman" w:hAnsi="Times New Roman" w:cs="Times New Roman"/>
                <w:color w:val="232A31"/>
              </w:rPr>
              <w:t>11.76</w:t>
            </w:r>
          </w:p>
        </w:tc>
        <w:tc>
          <w:tcPr>
            <w:tcW w:w="2338" w:type="dxa"/>
          </w:tcPr>
          <w:p w14:paraId="016C48A9" w14:textId="0FBECBCC" w:rsidR="00A00065" w:rsidRPr="002779F0" w:rsidRDefault="00A00065" w:rsidP="002779F0">
            <w:pPr>
              <w:jc w:val="center"/>
              <w:rPr>
                <w:rFonts w:ascii="Times New Roman" w:hAnsi="Times New Roman" w:cs="Times New Roman"/>
                <w:color w:val="232A31"/>
              </w:rPr>
            </w:pPr>
            <w:r w:rsidRPr="002779F0">
              <w:rPr>
                <w:rFonts w:ascii="Times New Roman" w:hAnsi="Times New Roman" w:cs="Times New Roman"/>
                <w:color w:val="232A31"/>
              </w:rPr>
              <w:t>14.99</w:t>
            </w:r>
          </w:p>
        </w:tc>
        <w:tc>
          <w:tcPr>
            <w:tcW w:w="2338" w:type="dxa"/>
          </w:tcPr>
          <w:p w14:paraId="322C32FE" w14:textId="13B760D0" w:rsidR="00A00065" w:rsidRPr="002779F0" w:rsidRDefault="00A00065" w:rsidP="002779F0">
            <w:pPr>
              <w:jc w:val="center"/>
              <w:rPr>
                <w:rFonts w:ascii="Times New Roman" w:hAnsi="Times New Roman" w:cs="Times New Roman"/>
              </w:rPr>
            </w:pPr>
            <w:r w:rsidRPr="002779F0">
              <w:rPr>
                <w:rFonts w:ascii="Times New Roman" w:hAnsi="Times New Roman" w:cs="Times New Roman"/>
              </w:rPr>
              <w:t>4.97%</w:t>
            </w:r>
          </w:p>
        </w:tc>
      </w:tr>
    </w:tbl>
    <w:p w14:paraId="107B11AF" w14:textId="77777777" w:rsidR="00A00065" w:rsidRDefault="00A00065" w:rsidP="00A00065"/>
    <w:p w14:paraId="2AE5133A" w14:textId="5468E885" w:rsidR="00A00065" w:rsidRPr="00AC161A" w:rsidRDefault="00A00065" w:rsidP="00AC161A">
      <w:pPr>
        <w:pStyle w:val="Heading3"/>
        <w:rPr>
          <w:sz w:val="24"/>
          <w:szCs w:val="24"/>
        </w:rPr>
      </w:pPr>
      <w:bookmarkStart w:id="7" w:name="_Toc164561299"/>
      <w:r w:rsidRPr="00AC161A">
        <w:rPr>
          <w:sz w:val="24"/>
          <w:szCs w:val="24"/>
        </w:rPr>
        <w:t>C</w:t>
      </w:r>
      <w:r w:rsidRPr="00AC161A">
        <w:rPr>
          <w:sz w:val="24"/>
          <w:szCs w:val="24"/>
        </w:rPr>
        <w:t>omparison</w:t>
      </w:r>
      <w:r w:rsidRPr="00AC161A">
        <w:rPr>
          <w:sz w:val="24"/>
          <w:szCs w:val="24"/>
        </w:rPr>
        <w:t xml:space="preserve"> </w:t>
      </w:r>
      <w:r w:rsidRPr="00AC161A">
        <w:rPr>
          <w:sz w:val="24"/>
          <w:szCs w:val="24"/>
        </w:rPr>
        <w:t>of Uber and</w:t>
      </w:r>
      <w:r w:rsidRPr="00AC161A">
        <w:rPr>
          <w:sz w:val="24"/>
          <w:szCs w:val="24"/>
        </w:rPr>
        <w:t xml:space="preserve"> Lyft</w:t>
      </w:r>
      <w:bookmarkEnd w:id="7"/>
    </w:p>
    <w:p w14:paraId="276E7D84" w14:textId="30871C5A" w:rsidR="002C5E38" w:rsidRPr="002779F0" w:rsidRDefault="002779F0" w:rsidP="002779F0">
      <w:pPr>
        <w:jc w:val="both"/>
        <w:rPr>
          <w:rFonts w:ascii="Times New Roman" w:hAnsi="Times New Roman" w:cs="Times New Roman"/>
          <w:color w:val="1F1F1F"/>
          <w:sz w:val="24"/>
          <w:szCs w:val="24"/>
          <w:shd w:val="clear" w:color="auto" w:fill="FFFFFF"/>
        </w:rPr>
      </w:pPr>
      <w:r w:rsidRPr="002779F0">
        <w:rPr>
          <w:rFonts w:ascii="Times New Roman" w:hAnsi="Times New Roman" w:cs="Times New Roman"/>
          <w:color w:val="1F1F1F"/>
          <w:sz w:val="24"/>
          <w:szCs w:val="24"/>
          <w:shd w:val="clear" w:color="auto" w:fill="FFFFFF"/>
        </w:rPr>
        <w:t>With the information that has been provided, it is possible to conduct a fascinating comparison of the performance of the stock prices of Uber (UBER) and Lyft (LYFT) from the year 2019 to the year 2023. The following is a description of the key aspects as well as a breakdown of the compound annual growth rate (CAGR) for each company:</w:t>
      </w:r>
    </w:p>
    <w:tbl>
      <w:tblPr>
        <w:tblStyle w:val="TableGrid"/>
        <w:tblW w:w="0" w:type="auto"/>
        <w:jc w:val="center"/>
        <w:tblLook w:val="04A0" w:firstRow="1" w:lastRow="0" w:firstColumn="1" w:lastColumn="0" w:noHBand="0" w:noVBand="1"/>
      </w:tblPr>
      <w:tblGrid>
        <w:gridCol w:w="2337"/>
        <w:gridCol w:w="2338"/>
        <w:gridCol w:w="2338"/>
      </w:tblGrid>
      <w:tr w:rsidR="002C5E38" w:rsidRPr="002779F0" w14:paraId="71924B9C" w14:textId="77777777" w:rsidTr="002779F0">
        <w:trPr>
          <w:jc w:val="center"/>
        </w:trPr>
        <w:tc>
          <w:tcPr>
            <w:tcW w:w="2337" w:type="dxa"/>
          </w:tcPr>
          <w:p w14:paraId="35C53553" w14:textId="1E2149C4" w:rsidR="002C5E38" w:rsidRPr="002779F0" w:rsidRDefault="002C5E38" w:rsidP="00D67B32">
            <w:pPr>
              <w:rPr>
                <w:rFonts w:ascii="Times New Roman" w:hAnsi="Times New Roman" w:cs="Times New Roman"/>
                <w:b/>
                <w:bCs/>
              </w:rPr>
            </w:pPr>
            <w:r w:rsidRPr="002779F0">
              <w:rPr>
                <w:rFonts w:ascii="Times New Roman" w:hAnsi="Times New Roman" w:cs="Times New Roman"/>
                <w:b/>
                <w:bCs/>
              </w:rPr>
              <w:t xml:space="preserve">Year </w:t>
            </w:r>
          </w:p>
        </w:tc>
        <w:tc>
          <w:tcPr>
            <w:tcW w:w="2338" w:type="dxa"/>
          </w:tcPr>
          <w:p w14:paraId="699B8080" w14:textId="77777777" w:rsidR="002C5E38" w:rsidRPr="002779F0" w:rsidRDefault="002C5E38" w:rsidP="002779F0">
            <w:pPr>
              <w:jc w:val="center"/>
              <w:rPr>
                <w:rFonts w:ascii="Times New Roman" w:hAnsi="Times New Roman" w:cs="Times New Roman"/>
                <w:b/>
                <w:bCs/>
              </w:rPr>
            </w:pPr>
            <w:r w:rsidRPr="002779F0">
              <w:rPr>
                <w:rFonts w:ascii="Times New Roman" w:hAnsi="Times New Roman" w:cs="Times New Roman"/>
                <w:b/>
                <w:bCs/>
              </w:rPr>
              <w:t>CAGR of Uber</w:t>
            </w:r>
          </w:p>
        </w:tc>
        <w:tc>
          <w:tcPr>
            <w:tcW w:w="2338" w:type="dxa"/>
          </w:tcPr>
          <w:p w14:paraId="0D9D960E" w14:textId="77777777" w:rsidR="002C5E38" w:rsidRPr="002779F0" w:rsidRDefault="002C5E38" w:rsidP="002779F0">
            <w:pPr>
              <w:jc w:val="center"/>
              <w:rPr>
                <w:rFonts w:ascii="Times New Roman" w:hAnsi="Times New Roman" w:cs="Times New Roman"/>
                <w:b/>
                <w:bCs/>
              </w:rPr>
            </w:pPr>
            <w:r w:rsidRPr="002779F0">
              <w:rPr>
                <w:rFonts w:ascii="Times New Roman" w:hAnsi="Times New Roman" w:cs="Times New Roman"/>
                <w:b/>
                <w:bCs/>
              </w:rPr>
              <w:t>CAGR of Lyft</w:t>
            </w:r>
          </w:p>
        </w:tc>
      </w:tr>
      <w:tr w:rsidR="002C5E38" w:rsidRPr="002779F0" w14:paraId="2B8EE594" w14:textId="77777777" w:rsidTr="002779F0">
        <w:trPr>
          <w:jc w:val="center"/>
        </w:trPr>
        <w:tc>
          <w:tcPr>
            <w:tcW w:w="2337" w:type="dxa"/>
          </w:tcPr>
          <w:p w14:paraId="146B862D" w14:textId="77777777" w:rsidR="002C5E38" w:rsidRPr="002779F0" w:rsidRDefault="002C5E38" w:rsidP="00D67B32">
            <w:pPr>
              <w:rPr>
                <w:rFonts w:ascii="Times New Roman" w:hAnsi="Times New Roman" w:cs="Times New Roman"/>
              </w:rPr>
            </w:pPr>
            <w:r w:rsidRPr="002779F0">
              <w:rPr>
                <w:rFonts w:ascii="Times New Roman" w:hAnsi="Times New Roman" w:cs="Times New Roman"/>
              </w:rPr>
              <w:t>2019</w:t>
            </w:r>
          </w:p>
        </w:tc>
        <w:tc>
          <w:tcPr>
            <w:tcW w:w="2338" w:type="dxa"/>
          </w:tcPr>
          <w:p w14:paraId="7C073267" w14:textId="77777777" w:rsidR="002C5E38" w:rsidRPr="002779F0" w:rsidRDefault="002C5E38" w:rsidP="002779F0">
            <w:pPr>
              <w:jc w:val="center"/>
              <w:rPr>
                <w:rFonts w:ascii="Times New Roman" w:hAnsi="Times New Roman" w:cs="Times New Roman"/>
              </w:rPr>
            </w:pPr>
            <w:r w:rsidRPr="002779F0">
              <w:rPr>
                <w:rFonts w:ascii="Times New Roman" w:hAnsi="Times New Roman" w:cs="Times New Roman"/>
              </w:rPr>
              <w:t>0.28%</w:t>
            </w:r>
          </w:p>
        </w:tc>
        <w:tc>
          <w:tcPr>
            <w:tcW w:w="2338" w:type="dxa"/>
          </w:tcPr>
          <w:p w14:paraId="3B259341" w14:textId="77777777" w:rsidR="002C5E38" w:rsidRPr="002779F0" w:rsidRDefault="002C5E38" w:rsidP="002779F0">
            <w:pPr>
              <w:jc w:val="center"/>
              <w:rPr>
                <w:rFonts w:ascii="Times New Roman" w:hAnsi="Times New Roman" w:cs="Times New Roman"/>
              </w:rPr>
            </w:pPr>
            <w:r w:rsidRPr="002779F0">
              <w:rPr>
                <w:rFonts w:ascii="Times New Roman" w:hAnsi="Times New Roman" w:cs="Times New Roman"/>
              </w:rPr>
              <w:t>-2.60%</w:t>
            </w:r>
          </w:p>
        </w:tc>
      </w:tr>
      <w:tr w:rsidR="002C5E38" w:rsidRPr="002779F0" w14:paraId="085B68E6" w14:textId="77777777" w:rsidTr="002779F0">
        <w:trPr>
          <w:jc w:val="center"/>
        </w:trPr>
        <w:tc>
          <w:tcPr>
            <w:tcW w:w="2337" w:type="dxa"/>
          </w:tcPr>
          <w:p w14:paraId="240A24C0" w14:textId="77777777" w:rsidR="002C5E38" w:rsidRPr="002779F0" w:rsidRDefault="002C5E38" w:rsidP="00D67B32">
            <w:pPr>
              <w:rPr>
                <w:rFonts w:ascii="Times New Roman" w:hAnsi="Times New Roman" w:cs="Times New Roman"/>
              </w:rPr>
            </w:pPr>
            <w:r w:rsidRPr="002779F0">
              <w:rPr>
                <w:rFonts w:ascii="Times New Roman" w:hAnsi="Times New Roman" w:cs="Times New Roman"/>
              </w:rPr>
              <w:t>2020</w:t>
            </w:r>
          </w:p>
        </w:tc>
        <w:tc>
          <w:tcPr>
            <w:tcW w:w="2338" w:type="dxa"/>
          </w:tcPr>
          <w:p w14:paraId="3430A641" w14:textId="77777777" w:rsidR="002C5E38" w:rsidRPr="002779F0" w:rsidRDefault="002C5E38" w:rsidP="002779F0">
            <w:pPr>
              <w:jc w:val="center"/>
              <w:rPr>
                <w:rFonts w:ascii="Times New Roman" w:hAnsi="Times New Roman" w:cs="Times New Roman"/>
              </w:rPr>
            </w:pPr>
            <w:r w:rsidRPr="002779F0">
              <w:rPr>
                <w:rFonts w:ascii="Times New Roman" w:hAnsi="Times New Roman" w:cs="Times New Roman"/>
              </w:rPr>
              <w:t>0.40%</w:t>
            </w:r>
          </w:p>
        </w:tc>
        <w:tc>
          <w:tcPr>
            <w:tcW w:w="2338" w:type="dxa"/>
          </w:tcPr>
          <w:p w14:paraId="4966D08C" w14:textId="77777777" w:rsidR="002C5E38" w:rsidRPr="002779F0" w:rsidRDefault="002C5E38" w:rsidP="002779F0">
            <w:pPr>
              <w:jc w:val="center"/>
              <w:rPr>
                <w:rFonts w:ascii="Times New Roman" w:hAnsi="Times New Roman" w:cs="Times New Roman"/>
              </w:rPr>
            </w:pPr>
            <w:r w:rsidRPr="002779F0">
              <w:rPr>
                <w:rFonts w:ascii="Times New Roman" w:hAnsi="Times New Roman" w:cs="Times New Roman"/>
              </w:rPr>
              <w:t>4.68%</w:t>
            </w:r>
          </w:p>
        </w:tc>
      </w:tr>
      <w:tr w:rsidR="002C5E38" w:rsidRPr="002779F0" w14:paraId="6384A67F" w14:textId="77777777" w:rsidTr="002779F0">
        <w:trPr>
          <w:jc w:val="center"/>
        </w:trPr>
        <w:tc>
          <w:tcPr>
            <w:tcW w:w="2337" w:type="dxa"/>
          </w:tcPr>
          <w:p w14:paraId="35D3F175" w14:textId="77777777" w:rsidR="002C5E38" w:rsidRPr="002779F0" w:rsidRDefault="002C5E38" w:rsidP="00D67B32">
            <w:pPr>
              <w:rPr>
                <w:rFonts w:ascii="Times New Roman" w:hAnsi="Times New Roman" w:cs="Times New Roman"/>
              </w:rPr>
            </w:pPr>
            <w:r w:rsidRPr="002779F0">
              <w:rPr>
                <w:rFonts w:ascii="Times New Roman" w:hAnsi="Times New Roman" w:cs="Times New Roman"/>
              </w:rPr>
              <w:t>2021</w:t>
            </w:r>
          </w:p>
        </w:tc>
        <w:tc>
          <w:tcPr>
            <w:tcW w:w="2338" w:type="dxa"/>
          </w:tcPr>
          <w:p w14:paraId="1EE2EE4C" w14:textId="77777777" w:rsidR="002C5E38" w:rsidRPr="002779F0" w:rsidRDefault="002C5E38" w:rsidP="002779F0">
            <w:pPr>
              <w:jc w:val="center"/>
              <w:rPr>
                <w:rFonts w:ascii="Times New Roman" w:hAnsi="Times New Roman" w:cs="Times New Roman"/>
              </w:rPr>
            </w:pPr>
            <w:r w:rsidRPr="002779F0">
              <w:rPr>
                <w:rFonts w:ascii="Times New Roman" w:hAnsi="Times New Roman" w:cs="Times New Roman"/>
              </w:rPr>
              <w:t>1.23%</w:t>
            </w:r>
          </w:p>
        </w:tc>
        <w:tc>
          <w:tcPr>
            <w:tcW w:w="2338" w:type="dxa"/>
          </w:tcPr>
          <w:p w14:paraId="02DC9675" w14:textId="77777777" w:rsidR="002C5E38" w:rsidRPr="002779F0" w:rsidRDefault="002C5E38" w:rsidP="002779F0">
            <w:pPr>
              <w:jc w:val="center"/>
              <w:rPr>
                <w:rFonts w:ascii="Times New Roman" w:hAnsi="Times New Roman" w:cs="Times New Roman"/>
              </w:rPr>
            </w:pPr>
            <w:r w:rsidRPr="002779F0">
              <w:rPr>
                <w:rFonts w:ascii="Times New Roman" w:hAnsi="Times New Roman" w:cs="Times New Roman"/>
              </w:rPr>
              <w:t>0.47%</w:t>
            </w:r>
          </w:p>
        </w:tc>
      </w:tr>
      <w:tr w:rsidR="002C5E38" w:rsidRPr="002779F0" w14:paraId="0E7A621D" w14:textId="77777777" w:rsidTr="002779F0">
        <w:trPr>
          <w:jc w:val="center"/>
        </w:trPr>
        <w:tc>
          <w:tcPr>
            <w:tcW w:w="2337" w:type="dxa"/>
          </w:tcPr>
          <w:p w14:paraId="72F4457B" w14:textId="77777777" w:rsidR="002C5E38" w:rsidRPr="002779F0" w:rsidRDefault="002C5E38" w:rsidP="00D67B32">
            <w:pPr>
              <w:rPr>
                <w:rFonts w:ascii="Times New Roman" w:hAnsi="Times New Roman" w:cs="Times New Roman"/>
              </w:rPr>
            </w:pPr>
            <w:r w:rsidRPr="002779F0">
              <w:rPr>
                <w:rFonts w:ascii="Times New Roman" w:hAnsi="Times New Roman" w:cs="Times New Roman"/>
              </w:rPr>
              <w:t>2022</w:t>
            </w:r>
          </w:p>
        </w:tc>
        <w:tc>
          <w:tcPr>
            <w:tcW w:w="2338" w:type="dxa"/>
          </w:tcPr>
          <w:p w14:paraId="201A6D62" w14:textId="77777777" w:rsidR="002C5E38" w:rsidRPr="002779F0" w:rsidRDefault="002C5E38" w:rsidP="002779F0">
            <w:pPr>
              <w:jc w:val="center"/>
              <w:rPr>
                <w:rFonts w:ascii="Times New Roman" w:hAnsi="Times New Roman" w:cs="Times New Roman"/>
              </w:rPr>
            </w:pPr>
            <w:r w:rsidRPr="002779F0">
              <w:rPr>
                <w:rFonts w:ascii="Times New Roman" w:hAnsi="Times New Roman" w:cs="Times New Roman"/>
              </w:rPr>
              <w:t>-3.28%</w:t>
            </w:r>
          </w:p>
        </w:tc>
        <w:tc>
          <w:tcPr>
            <w:tcW w:w="2338" w:type="dxa"/>
          </w:tcPr>
          <w:p w14:paraId="30E2F915" w14:textId="77777777" w:rsidR="002C5E38" w:rsidRPr="002779F0" w:rsidRDefault="002C5E38" w:rsidP="002779F0">
            <w:pPr>
              <w:jc w:val="center"/>
              <w:rPr>
                <w:rFonts w:ascii="Times New Roman" w:hAnsi="Times New Roman" w:cs="Times New Roman"/>
              </w:rPr>
            </w:pPr>
            <w:r w:rsidRPr="002779F0">
              <w:rPr>
                <w:rFonts w:ascii="Times New Roman" w:hAnsi="Times New Roman" w:cs="Times New Roman"/>
              </w:rPr>
              <w:t>-0.45%</w:t>
            </w:r>
          </w:p>
        </w:tc>
      </w:tr>
      <w:tr w:rsidR="002C5E38" w:rsidRPr="002779F0" w14:paraId="6A3B8F43" w14:textId="77777777" w:rsidTr="002779F0">
        <w:trPr>
          <w:jc w:val="center"/>
        </w:trPr>
        <w:tc>
          <w:tcPr>
            <w:tcW w:w="2337" w:type="dxa"/>
          </w:tcPr>
          <w:p w14:paraId="0812B0F4" w14:textId="77777777" w:rsidR="002C5E38" w:rsidRPr="002779F0" w:rsidRDefault="002C5E38" w:rsidP="00D67B32">
            <w:pPr>
              <w:rPr>
                <w:rFonts w:ascii="Times New Roman" w:hAnsi="Times New Roman" w:cs="Times New Roman"/>
              </w:rPr>
            </w:pPr>
            <w:r w:rsidRPr="002779F0">
              <w:rPr>
                <w:rFonts w:ascii="Times New Roman" w:hAnsi="Times New Roman" w:cs="Times New Roman"/>
              </w:rPr>
              <w:t>2023</w:t>
            </w:r>
          </w:p>
        </w:tc>
        <w:tc>
          <w:tcPr>
            <w:tcW w:w="2338" w:type="dxa"/>
          </w:tcPr>
          <w:p w14:paraId="501B3FE1" w14:textId="77777777" w:rsidR="002C5E38" w:rsidRPr="002779F0" w:rsidRDefault="002C5E38" w:rsidP="002779F0">
            <w:pPr>
              <w:jc w:val="center"/>
              <w:rPr>
                <w:rFonts w:ascii="Times New Roman" w:hAnsi="Times New Roman" w:cs="Times New Roman"/>
              </w:rPr>
            </w:pPr>
            <w:r w:rsidRPr="002779F0">
              <w:rPr>
                <w:rFonts w:ascii="Times New Roman" w:hAnsi="Times New Roman" w:cs="Times New Roman"/>
              </w:rPr>
              <w:t>1.67%</w:t>
            </w:r>
          </w:p>
        </w:tc>
        <w:tc>
          <w:tcPr>
            <w:tcW w:w="2338" w:type="dxa"/>
          </w:tcPr>
          <w:p w14:paraId="406E8044" w14:textId="77777777" w:rsidR="002C5E38" w:rsidRPr="002779F0" w:rsidRDefault="002C5E38" w:rsidP="002779F0">
            <w:pPr>
              <w:jc w:val="center"/>
              <w:rPr>
                <w:rFonts w:ascii="Times New Roman" w:hAnsi="Times New Roman" w:cs="Times New Roman"/>
              </w:rPr>
            </w:pPr>
            <w:r w:rsidRPr="002779F0">
              <w:rPr>
                <w:rFonts w:ascii="Times New Roman" w:hAnsi="Times New Roman" w:cs="Times New Roman"/>
              </w:rPr>
              <w:t>4.97%</w:t>
            </w:r>
          </w:p>
        </w:tc>
      </w:tr>
    </w:tbl>
    <w:p w14:paraId="70277BCC" w14:textId="77777777" w:rsidR="002C5E38" w:rsidRDefault="002C5E38" w:rsidP="00A00065"/>
    <w:p w14:paraId="24698B5E" w14:textId="77777777" w:rsidR="002C5E38" w:rsidRPr="00AC161A" w:rsidRDefault="002C5E38" w:rsidP="00AC161A">
      <w:pPr>
        <w:rPr>
          <w:rFonts w:ascii="Times New Roman" w:hAnsi="Times New Roman" w:cs="Times New Roman"/>
          <w:b/>
          <w:bCs/>
          <w:sz w:val="24"/>
          <w:szCs w:val="24"/>
        </w:rPr>
      </w:pPr>
      <w:r w:rsidRPr="00AC161A">
        <w:rPr>
          <w:rFonts w:ascii="Times New Roman" w:hAnsi="Times New Roman" w:cs="Times New Roman"/>
          <w:b/>
          <w:bCs/>
          <w:sz w:val="24"/>
          <w:szCs w:val="24"/>
        </w:rPr>
        <w:t>Observations:</w:t>
      </w:r>
    </w:p>
    <w:p w14:paraId="59C469A8" w14:textId="77777777" w:rsidR="00BF15F4" w:rsidRDefault="002C5E38" w:rsidP="00BF15F4">
      <w:pPr>
        <w:pStyle w:val="ListParagraph"/>
        <w:numPr>
          <w:ilvl w:val="0"/>
          <w:numId w:val="14"/>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Early Years (2019-2020):</w:t>
      </w:r>
      <w:r w:rsidRPr="00BF15F4">
        <w:rPr>
          <w:rFonts w:ascii="Times New Roman" w:eastAsia="Times New Roman" w:hAnsi="Times New Roman" w:cs="Times New Roman"/>
          <w:color w:val="1F1F1F"/>
          <w:kern w:val="0"/>
          <w:sz w:val="24"/>
          <w:szCs w:val="24"/>
          <w14:ligatures w14:val="none"/>
        </w:rPr>
        <w:t> </w:t>
      </w:r>
      <w:r w:rsidR="002779F0" w:rsidRPr="00BF15F4">
        <w:rPr>
          <w:rFonts w:ascii="Times New Roman" w:eastAsia="Times New Roman" w:hAnsi="Times New Roman" w:cs="Times New Roman"/>
          <w:color w:val="1F1F1F"/>
          <w:kern w:val="0"/>
          <w:sz w:val="24"/>
          <w:szCs w:val="24"/>
          <w14:ligatures w14:val="none"/>
        </w:rPr>
        <w:t>Initially, Lyft was behind Uber in 2019 because to its negative compound annual growth rate. But in the year 2020, it was able to surpass Uber, either because investors had a different perspective on it or because it had a different strategy to the market.</w:t>
      </w:r>
    </w:p>
    <w:p w14:paraId="7A3E9A77" w14:textId="77C849CE" w:rsidR="002779F0" w:rsidRPr="00BF15F4" w:rsidRDefault="002C5E38" w:rsidP="00BF15F4">
      <w:pPr>
        <w:pStyle w:val="ListParagraph"/>
        <w:numPr>
          <w:ilvl w:val="0"/>
          <w:numId w:val="14"/>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lastRenderedPageBreak/>
        <w:t>Shifting Performance (2021-2022):</w:t>
      </w:r>
      <w:r w:rsidRPr="00BF15F4">
        <w:rPr>
          <w:rFonts w:ascii="Times New Roman" w:eastAsia="Times New Roman" w:hAnsi="Times New Roman" w:cs="Times New Roman"/>
          <w:color w:val="1F1F1F"/>
          <w:kern w:val="0"/>
          <w:sz w:val="24"/>
          <w:szCs w:val="24"/>
          <w14:ligatures w14:val="none"/>
        </w:rPr>
        <w:t> </w:t>
      </w:r>
      <w:r w:rsidR="002779F0" w:rsidRPr="00BF15F4">
        <w:rPr>
          <w:rFonts w:ascii="Times New Roman" w:eastAsia="Times New Roman" w:hAnsi="Times New Roman" w:cs="Times New Roman"/>
          <w:color w:val="1F1F1F"/>
          <w:kern w:val="0"/>
          <w:sz w:val="24"/>
          <w:szCs w:val="24"/>
          <w14:ligatures w14:val="none"/>
        </w:rPr>
        <w:t>Uber started outperforming Lyft in 2021 and continued to dominate the market in 2022, despite the fact that both Uber and Lyft had negative compound annual growth rates. One possible explanation for this is that:</w:t>
      </w:r>
    </w:p>
    <w:p w14:paraId="2209DC2C" w14:textId="77777777" w:rsidR="002779F0" w:rsidRPr="00BF15F4" w:rsidRDefault="002779F0" w:rsidP="00BF15F4">
      <w:pPr>
        <w:pStyle w:val="ListParagraph"/>
        <w:numPr>
          <w:ilvl w:val="0"/>
          <w:numId w:val="54"/>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color w:val="1F1F1F"/>
          <w:kern w:val="0"/>
          <w:sz w:val="24"/>
          <w:szCs w:val="24"/>
          <w14:ligatures w14:val="none"/>
        </w:rPr>
        <w:t>Uber's increased exposure and client base are two prominent factors.</w:t>
      </w:r>
    </w:p>
    <w:p w14:paraId="77E15044" w14:textId="7060A960" w:rsidR="002779F0" w:rsidRPr="00BF15F4" w:rsidRDefault="002779F0" w:rsidP="00BF15F4">
      <w:pPr>
        <w:pStyle w:val="ListParagraph"/>
        <w:numPr>
          <w:ilvl w:val="0"/>
          <w:numId w:val="54"/>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color w:val="1F1F1F"/>
          <w:kern w:val="0"/>
          <w:sz w:val="24"/>
          <w:szCs w:val="24"/>
          <w14:ligatures w14:val="none"/>
        </w:rPr>
        <w:t>It is an example of diversification because they are expanding their business strategy to include food delivery services (similar to Uber Eats).</w:t>
      </w:r>
    </w:p>
    <w:p w14:paraId="3E71EBFE" w14:textId="32BF6458" w:rsidR="002779F0" w:rsidRPr="00BF15F4" w:rsidRDefault="002C5E38" w:rsidP="00BF15F4">
      <w:pPr>
        <w:pStyle w:val="ListParagraph"/>
        <w:numPr>
          <w:ilvl w:val="0"/>
          <w:numId w:val="56"/>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Recent Trends (2023):</w:t>
      </w:r>
      <w:r w:rsidRPr="00BF15F4">
        <w:rPr>
          <w:rFonts w:ascii="Times New Roman" w:eastAsia="Times New Roman" w:hAnsi="Times New Roman" w:cs="Times New Roman"/>
          <w:color w:val="1F1F1F"/>
          <w:kern w:val="0"/>
          <w:sz w:val="24"/>
          <w:szCs w:val="24"/>
          <w14:ligatures w14:val="none"/>
        </w:rPr>
        <w:t> </w:t>
      </w:r>
      <w:r w:rsidR="002779F0" w:rsidRPr="00BF15F4">
        <w:rPr>
          <w:rFonts w:ascii="Times New Roman" w:eastAsia="Times New Roman" w:hAnsi="Times New Roman" w:cs="Times New Roman"/>
          <w:color w:val="1F1F1F"/>
          <w:kern w:val="0"/>
          <w:sz w:val="24"/>
          <w:szCs w:val="24"/>
          <w14:ligatures w14:val="none"/>
        </w:rPr>
        <w:t>Both companies had positive compound annual growth rates (CAGRs) in 2023, although Lyft's growth rate was much higher at 4.97% compared to 1.67% for Uber. This might be due to the following:</w:t>
      </w:r>
    </w:p>
    <w:p w14:paraId="2698AE19" w14:textId="33775361" w:rsidR="002779F0" w:rsidRPr="00BF15F4" w:rsidRDefault="002779F0" w:rsidP="00BF15F4">
      <w:pPr>
        <w:pStyle w:val="ListParagraph"/>
        <w:numPr>
          <w:ilvl w:val="0"/>
          <w:numId w:val="57"/>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color w:val="1F1F1F"/>
          <w:kern w:val="0"/>
          <w:sz w:val="24"/>
          <w:szCs w:val="24"/>
          <w14:ligatures w14:val="none"/>
        </w:rPr>
        <w:t>t</w:t>
      </w:r>
      <w:r w:rsidRPr="00BF15F4">
        <w:rPr>
          <w:rFonts w:ascii="Times New Roman" w:eastAsia="Times New Roman" w:hAnsi="Times New Roman" w:cs="Times New Roman"/>
          <w:color w:val="1F1F1F"/>
          <w:kern w:val="0"/>
          <w:sz w:val="24"/>
          <w:szCs w:val="24"/>
          <w14:ligatures w14:val="none"/>
        </w:rPr>
        <w:t>he fact that Lyft focuses on certain specific service niches or market groups.</w:t>
      </w:r>
    </w:p>
    <w:p w14:paraId="2F5C3644" w14:textId="4A5BC687" w:rsidR="002779F0" w:rsidRPr="00BF15F4" w:rsidRDefault="002779F0" w:rsidP="00BF15F4">
      <w:pPr>
        <w:pStyle w:val="ListParagraph"/>
        <w:numPr>
          <w:ilvl w:val="0"/>
          <w:numId w:val="57"/>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color w:val="1F1F1F"/>
          <w:kern w:val="0"/>
          <w:sz w:val="24"/>
          <w:szCs w:val="24"/>
          <w14:ligatures w14:val="none"/>
        </w:rPr>
        <w:t>t</w:t>
      </w:r>
      <w:r w:rsidRPr="00BF15F4">
        <w:rPr>
          <w:rFonts w:ascii="Times New Roman" w:eastAsia="Times New Roman" w:hAnsi="Times New Roman" w:cs="Times New Roman"/>
          <w:color w:val="1F1F1F"/>
          <w:kern w:val="0"/>
          <w:sz w:val="24"/>
          <w:szCs w:val="24"/>
          <w14:ligatures w14:val="none"/>
        </w:rPr>
        <w:t>he confidence that investors have in Lyft's ability to continue its growth in the future.</w:t>
      </w:r>
    </w:p>
    <w:p w14:paraId="68177586" w14:textId="23E7CB5C" w:rsidR="00AD38C1" w:rsidRPr="002C5E38" w:rsidRDefault="00AD38C1" w:rsidP="00AD38C1">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D38C1">
        <w:rPr>
          <w:rFonts w:ascii="Times New Roman" w:eastAsia="Times New Roman" w:hAnsi="Times New Roman" w:cs="Times New Roman"/>
          <w:color w:val="1F1F1F"/>
          <w:kern w:val="0"/>
          <w:sz w:val="24"/>
          <w:szCs w:val="24"/>
          <w14:ligatures w14:val="none"/>
        </w:rPr>
        <w:t>Additionally, despite the fact that Uber's market capitalization is larger, the stock prices of both companies have been highly volatile over the course of the last year. The perspective of investors may have evolved over the last several years due to the fact that Lyft seems to have outperformed Uber.</w:t>
      </w:r>
    </w:p>
    <w:p w14:paraId="7BE64C5D" w14:textId="201F0ECA" w:rsidR="00A45BAB" w:rsidRPr="002C5E38" w:rsidRDefault="00A45BAB" w:rsidP="002C5E38">
      <w:pPr>
        <w:shd w:val="clear" w:color="auto" w:fill="FFFFFF"/>
        <w:spacing w:before="100" w:beforeAutospacing="1" w:after="100" w:afterAutospacing="1" w:line="240" w:lineRule="auto"/>
        <w:rPr>
          <w:rFonts w:ascii="Times New Roman" w:eastAsia="Times New Roman" w:hAnsi="Times New Roman" w:cs="Times New Roman"/>
          <w:b/>
          <w:bCs/>
          <w:color w:val="1F1F1F"/>
          <w:kern w:val="0"/>
          <w:sz w:val="24"/>
          <w:szCs w:val="24"/>
          <w14:ligatures w14:val="none"/>
        </w:rPr>
      </w:pPr>
      <w:r w:rsidRPr="00AC161A">
        <w:rPr>
          <w:rFonts w:ascii="Times New Roman" w:eastAsia="Times New Roman" w:hAnsi="Times New Roman" w:cs="Times New Roman"/>
          <w:b/>
          <w:bCs/>
          <w:color w:val="1F1F1F"/>
          <w:kern w:val="0"/>
          <w:sz w:val="24"/>
          <w:szCs w:val="24"/>
          <w14:ligatures w14:val="none"/>
        </w:rPr>
        <w:t>Graphical representation</w:t>
      </w:r>
      <w:r w:rsidR="00AC161A">
        <w:rPr>
          <w:rFonts w:ascii="Times New Roman" w:eastAsia="Times New Roman" w:hAnsi="Times New Roman" w:cs="Times New Roman"/>
          <w:b/>
          <w:bCs/>
          <w:color w:val="1F1F1F"/>
          <w:kern w:val="0"/>
          <w:sz w:val="24"/>
          <w:szCs w:val="24"/>
          <w14:ligatures w14:val="none"/>
        </w:rPr>
        <w:t>:</w:t>
      </w:r>
    </w:p>
    <w:p w14:paraId="6BE6021F" w14:textId="430FDB3C" w:rsidR="002C5E38" w:rsidRDefault="00A45BAB" w:rsidP="00A45BAB">
      <w:pPr>
        <w:jc w:val="center"/>
      </w:pPr>
      <w:r>
        <w:rPr>
          <w:noProof/>
        </w:rPr>
        <w:drawing>
          <wp:inline distT="0" distB="0" distL="0" distR="0" wp14:anchorId="525A7565" wp14:editId="08166274">
            <wp:extent cx="4572000" cy="2743200"/>
            <wp:effectExtent l="0" t="0" r="0" b="0"/>
            <wp:docPr id="741606068" name="Chart 1">
              <a:extLst xmlns:a="http://schemas.openxmlformats.org/drawingml/2006/main">
                <a:ext uri="{FF2B5EF4-FFF2-40B4-BE49-F238E27FC236}">
                  <a16:creationId xmlns:a16="http://schemas.microsoft.com/office/drawing/2014/main" id="{2A537017-8F56-C072-88D3-37FB3EC80D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9973CCB" w14:textId="77777777" w:rsidR="00A45BAB" w:rsidRDefault="00A45BAB" w:rsidP="00A45BAB"/>
    <w:p w14:paraId="55F44476" w14:textId="351D60C5" w:rsidR="00AD38C1" w:rsidRPr="00AD38C1" w:rsidRDefault="00AD38C1" w:rsidP="00AD38C1">
      <w:pPr>
        <w:shd w:val="clear" w:color="auto" w:fill="FFFFFF"/>
        <w:spacing w:before="100" w:beforeAutospacing="1" w:after="100" w:afterAutospacing="1" w:line="240" w:lineRule="auto"/>
        <w:jc w:val="both"/>
        <w:rPr>
          <w:rFonts w:ascii="Times New Roman" w:hAnsi="Times New Roman" w:cs="Times New Roman"/>
          <w:color w:val="1F1F1F"/>
          <w:sz w:val="24"/>
          <w:szCs w:val="24"/>
          <w:shd w:val="clear" w:color="auto" w:fill="FFFFFF"/>
        </w:rPr>
      </w:pPr>
      <w:r w:rsidRPr="00AD38C1">
        <w:rPr>
          <w:rFonts w:ascii="Times New Roman" w:hAnsi="Times New Roman" w:cs="Times New Roman"/>
          <w:color w:val="1F1F1F"/>
          <w:sz w:val="24"/>
          <w:szCs w:val="24"/>
          <w:shd w:val="clear" w:color="auto" w:fill="FFFFFF"/>
        </w:rPr>
        <w:t xml:space="preserve">This graph illustrates the Compound Annual Growth Rate (CAGR) of Lyft and Uber from 2019 through 2023 for the </w:t>
      </w:r>
      <w:r w:rsidRPr="00AD38C1">
        <w:rPr>
          <w:rFonts w:ascii="Times New Roman" w:hAnsi="Times New Roman" w:cs="Times New Roman"/>
          <w:color w:val="1F1F1F"/>
          <w:sz w:val="24"/>
          <w:szCs w:val="24"/>
          <w:shd w:val="clear" w:color="auto" w:fill="FFFFFF"/>
        </w:rPr>
        <w:t>whole-time</w:t>
      </w:r>
      <w:r w:rsidRPr="00AD38C1">
        <w:rPr>
          <w:rFonts w:ascii="Times New Roman" w:hAnsi="Times New Roman" w:cs="Times New Roman"/>
          <w:color w:val="1F1F1F"/>
          <w:sz w:val="24"/>
          <w:szCs w:val="24"/>
          <w:shd w:val="clear" w:color="auto" w:fill="FFFFFF"/>
        </w:rPr>
        <w:t xml:space="preserve"> span. There are a few different ways in which the data that is shown in the graph may be understood:</w:t>
      </w:r>
    </w:p>
    <w:p w14:paraId="63ABB0F8" w14:textId="1A3A4680" w:rsidR="00AD38C1" w:rsidRPr="00AD38C1" w:rsidRDefault="00AD38C1" w:rsidP="00AD38C1">
      <w:pPr>
        <w:shd w:val="clear" w:color="auto" w:fill="FFFFFF"/>
        <w:spacing w:before="100" w:beforeAutospacing="1" w:after="100" w:afterAutospacing="1" w:line="240" w:lineRule="auto"/>
        <w:jc w:val="both"/>
        <w:rPr>
          <w:rFonts w:ascii="Times New Roman" w:hAnsi="Times New Roman" w:cs="Times New Roman"/>
          <w:b/>
          <w:bCs/>
          <w:color w:val="1F1F1F"/>
          <w:sz w:val="24"/>
          <w:szCs w:val="24"/>
          <w:shd w:val="clear" w:color="auto" w:fill="FFFFFF"/>
        </w:rPr>
      </w:pPr>
      <w:r w:rsidRPr="00AD38C1">
        <w:rPr>
          <w:rFonts w:ascii="Times New Roman" w:hAnsi="Times New Roman" w:cs="Times New Roman"/>
          <w:b/>
          <w:bCs/>
          <w:color w:val="1F1F1F"/>
          <w:sz w:val="24"/>
          <w:szCs w:val="24"/>
          <w:shd w:val="clear" w:color="auto" w:fill="FFFFFF"/>
        </w:rPr>
        <w:t>Observations</w:t>
      </w:r>
      <w:r w:rsidRPr="00AD38C1">
        <w:rPr>
          <w:rFonts w:ascii="Times New Roman" w:hAnsi="Times New Roman" w:cs="Times New Roman"/>
          <w:b/>
          <w:bCs/>
          <w:color w:val="1F1F1F"/>
          <w:sz w:val="24"/>
          <w:szCs w:val="24"/>
          <w:shd w:val="clear" w:color="auto" w:fill="FFFFFF"/>
        </w:rPr>
        <w:t>:</w:t>
      </w:r>
    </w:p>
    <w:p w14:paraId="3E176C24" w14:textId="2A256C74" w:rsidR="00AD38C1" w:rsidRPr="00BF15F4" w:rsidRDefault="00AD38C1" w:rsidP="00BF15F4">
      <w:pPr>
        <w:pStyle w:val="ListParagraph"/>
        <w:numPr>
          <w:ilvl w:val="0"/>
          <w:numId w:val="59"/>
        </w:numPr>
        <w:shd w:val="clear" w:color="auto" w:fill="FFFFFF"/>
        <w:spacing w:before="100" w:beforeAutospacing="1" w:after="100" w:afterAutospacing="1" w:line="240" w:lineRule="auto"/>
        <w:jc w:val="both"/>
        <w:rPr>
          <w:rFonts w:ascii="Times New Roman" w:hAnsi="Times New Roman" w:cs="Times New Roman"/>
          <w:color w:val="1F1F1F"/>
          <w:sz w:val="24"/>
          <w:szCs w:val="24"/>
          <w:shd w:val="clear" w:color="auto" w:fill="FFFFFF"/>
        </w:rPr>
      </w:pPr>
      <w:r w:rsidRPr="00BF15F4">
        <w:rPr>
          <w:rFonts w:ascii="Times New Roman" w:hAnsi="Times New Roman" w:cs="Times New Roman"/>
          <w:color w:val="1F1F1F"/>
          <w:sz w:val="24"/>
          <w:szCs w:val="24"/>
          <w:shd w:val="clear" w:color="auto" w:fill="FFFFFF"/>
        </w:rPr>
        <w:t xml:space="preserve">CAGR of Uber: </w:t>
      </w:r>
      <w:r w:rsidRPr="00BF15F4">
        <w:rPr>
          <w:rFonts w:ascii="Times New Roman" w:hAnsi="Times New Roman" w:cs="Times New Roman"/>
          <w:color w:val="1F1F1F"/>
          <w:sz w:val="24"/>
          <w:szCs w:val="24"/>
          <w:shd w:val="clear" w:color="auto" w:fill="FFFFFF"/>
        </w:rPr>
        <w:t xml:space="preserve">The compound annual growth rate (CAGR) of Uber has fluctuated throughout the course of time. Having started at a low of 0.28% in 2019, it had a little increase to 0.40% in 2020, and then it skyrocketed to 1.23% in 2021. Having stated that, it </w:t>
      </w:r>
      <w:r w:rsidRPr="00BF15F4">
        <w:rPr>
          <w:rFonts w:ascii="Times New Roman" w:hAnsi="Times New Roman" w:cs="Times New Roman"/>
          <w:color w:val="1F1F1F"/>
          <w:sz w:val="24"/>
          <w:szCs w:val="24"/>
          <w:shd w:val="clear" w:color="auto" w:fill="FFFFFF"/>
        </w:rPr>
        <w:lastRenderedPageBreak/>
        <w:t>first entered the negative region in 2022 (-3.28%), and then it made a little rebound in 2023 (1.67%).</w:t>
      </w:r>
    </w:p>
    <w:p w14:paraId="239C6BB5" w14:textId="659B6C3D" w:rsidR="00AD38C1" w:rsidRPr="00BF15F4" w:rsidRDefault="00AD38C1" w:rsidP="00BF15F4">
      <w:pPr>
        <w:pStyle w:val="ListParagraph"/>
        <w:numPr>
          <w:ilvl w:val="0"/>
          <w:numId w:val="59"/>
        </w:numPr>
        <w:shd w:val="clear" w:color="auto" w:fill="FFFFFF"/>
        <w:spacing w:before="100" w:beforeAutospacing="1" w:after="100" w:afterAutospacing="1" w:line="240" w:lineRule="auto"/>
        <w:jc w:val="both"/>
        <w:rPr>
          <w:rFonts w:ascii="Times New Roman" w:hAnsi="Times New Roman" w:cs="Times New Roman"/>
          <w:color w:val="1F1F1F"/>
          <w:sz w:val="24"/>
          <w:szCs w:val="24"/>
          <w:shd w:val="clear" w:color="auto" w:fill="FFFFFF"/>
        </w:rPr>
      </w:pPr>
      <w:r w:rsidRPr="00BF15F4">
        <w:rPr>
          <w:rFonts w:ascii="Times New Roman" w:hAnsi="Times New Roman" w:cs="Times New Roman"/>
          <w:color w:val="1F1F1F"/>
          <w:sz w:val="24"/>
          <w:szCs w:val="24"/>
          <w:shd w:val="clear" w:color="auto" w:fill="FFFFFF"/>
        </w:rPr>
        <w:t xml:space="preserve">CAGR of Lyft: </w:t>
      </w:r>
      <w:r w:rsidRPr="00BF15F4">
        <w:rPr>
          <w:rFonts w:ascii="Times New Roman" w:hAnsi="Times New Roman" w:cs="Times New Roman"/>
          <w:color w:val="1F1F1F"/>
          <w:sz w:val="24"/>
          <w:szCs w:val="24"/>
          <w:shd w:val="clear" w:color="auto" w:fill="FFFFFF"/>
        </w:rPr>
        <w:t xml:space="preserve">Alterations were also made to Lyft's compound annual growth rate (CAGR). In the next year, 2020, it became positive, after having been negative in 2019 (-2.60% throughout the year). However, after a precipitous drop of 0.47 percent in 2021 and 0.45 percent in 2022, it saw a significant increase of 5.97 percent in 2023. </w:t>
      </w:r>
    </w:p>
    <w:p w14:paraId="5C68298D" w14:textId="6955086B" w:rsidR="00AD38C1" w:rsidRPr="007E1E1E" w:rsidRDefault="00AD38C1" w:rsidP="00A45BAB">
      <w:pPr>
        <w:pStyle w:val="ListParagraph"/>
        <w:numPr>
          <w:ilvl w:val="0"/>
          <w:numId w:val="59"/>
        </w:numPr>
        <w:shd w:val="clear" w:color="auto" w:fill="FFFFFF"/>
        <w:spacing w:before="100" w:beforeAutospacing="1" w:after="100" w:afterAutospacing="1" w:line="240" w:lineRule="auto"/>
        <w:jc w:val="both"/>
        <w:rPr>
          <w:rFonts w:ascii="Times New Roman" w:hAnsi="Times New Roman" w:cs="Times New Roman"/>
          <w:color w:val="1F1F1F"/>
          <w:sz w:val="24"/>
          <w:szCs w:val="24"/>
          <w:shd w:val="clear" w:color="auto" w:fill="FFFFFF"/>
        </w:rPr>
      </w:pPr>
      <w:r w:rsidRPr="00BF15F4">
        <w:rPr>
          <w:rFonts w:ascii="Times New Roman" w:hAnsi="Times New Roman" w:cs="Times New Roman"/>
          <w:color w:val="1F1F1F"/>
          <w:sz w:val="24"/>
          <w:szCs w:val="24"/>
          <w:shd w:val="clear" w:color="auto" w:fill="FFFFFF"/>
        </w:rPr>
        <w:t xml:space="preserve">Comparison: </w:t>
      </w:r>
      <w:r w:rsidRPr="00BF15F4">
        <w:rPr>
          <w:rFonts w:ascii="Times New Roman" w:hAnsi="Times New Roman" w:cs="Times New Roman"/>
          <w:color w:val="1F1F1F"/>
          <w:sz w:val="24"/>
          <w:szCs w:val="24"/>
          <w:shd w:val="clear" w:color="auto" w:fill="FFFFFF"/>
        </w:rPr>
        <w:t>When compared to Lyft, Uber seems to have a lower compound annual growth rate (CAGR) throughout the most of the period, with the exception of the year 2021.</w:t>
      </w:r>
    </w:p>
    <w:p w14:paraId="079D5C5D" w14:textId="4CA476A3" w:rsidR="00A45BAB" w:rsidRPr="00A45BAB" w:rsidRDefault="00A45BAB" w:rsidP="00A45BAB">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45BAB">
        <w:rPr>
          <w:rFonts w:ascii="Times New Roman" w:eastAsia="Times New Roman" w:hAnsi="Times New Roman" w:cs="Times New Roman"/>
          <w:b/>
          <w:bCs/>
          <w:color w:val="1F1F1F"/>
          <w:kern w:val="0"/>
          <w:sz w:val="24"/>
          <w:szCs w:val="24"/>
          <w14:ligatures w14:val="none"/>
        </w:rPr>
        <w:t>Possible Reasons for Fluctuations:</w:t>
      </w:r>
    </w:p>
    <w:p w14:paraId="629600E3" w14:textId="77777777" w:rsidR="00AD38C1" w:rsidRPr="00BF15F4" w:rsidRDefault="00AD38C1" w:rsidP="00BF15F4">
      <w:pPr>
        <w:pStyle w:val="ListParagraph"/>
        <w:numPr>
          <w:ilvl w:val="0"/>
          <w:numId w:val="60"/>
        </w:numPr>
        <w:jc w:val="both"/>
        <w:rPr>
          <w:rFonts w:ascii="Times New Roman" w:hAnsi="Times New Roman" w:cs="Times New Roman"/>
          <w:sz w:val="24"/>
          <w:szCs w:val="24"/>
        </w:rPr>
      </w:pPr>
      <w:r w:rsidRPr="00BF15F4">
        <w:rPr>
          <w:rFonts w:ascii="Times New Roman" w:hAnsi="Times New Roman" w:cs="Times New Roman"/>
          <w:sz w:val="24"/>
          <w:szCs w:val="24"/>
        </w:rPr>
        <w:t>There are a number of external variables that have the potential to significantly impact the stock values of both companies. Two of these factors are the overall stock market and the attitude of investors towards the ridesharing industry.</w:t>
      </w:r>
    </w:p>
    <w:p w14:paraId="2FACE054" w14:textId="77777777" w:rsidR="00AD38C1" w:rsidRPr="00BF15F4" w:rsidRDefault="00AD38C1" w:rsidP="00BF15F4">
      <w:pPr>
        <w:pStyle w:val="ListParagraph"/>
        <w:numPr>
          <w:ilvl w:val="0"/>
          <w:numId w:val="60"/>
        </w:numPr>
        <w:jc w:val="both"/>
        <w:rPr>
          <w:rFonts w:ascii="Times New Roman" w:hAnsi="Times New Roman" w:cs="Times New Roman"/>
          <w:sz w:val="24"/>
          <w:szCs w:val="24"/>
        </w:rPr>
      </w:pPr>
      <w:r w:rsidRPr="00BF15F4">
        <w:rPr>
          <w:rFonts w:ascii="Times New Roman" w:hAnsi="Times New Roman" w:cs="Times New Roman"/>
          <w:sz w:val="24"/>
          <w:szCs w:val="24"/>
        </w:rPr>
        <w:t>There is a possibility that investor decisions and stock prices will be influenced by the company's financial performance, which may include a rise in sales and profitability as well as future possibilities. In this regard, both Uber and Lyft are correct.</w:t>
      </w:r>
    </w:p>
    <w:p w14:paraId="1626C485" w14:textId="77777777" w:rsidR="00AD38C1" w:rsidRPr="00BF15F4" w:rsidRDefault="00AD38C1" w:rsidP="00BF15F4">
      <w:pPr>
        <w:pStyle w:val="ListParagraph"/>
        <w:numPr>
          <w:ilvl w:val="0"/>
          <w:numId w:val="60"/>
        </w:numPr>
        <w:jc w:val="both"/>
        <w:rPr>
          <w:rFonts w:ascii="Times New Roman" w:hAnsi="Times New Roman" w:cs="Times New Roman"/>
          <w:sz w:val="24"/>
          <w:szCs w:val="24"/>
        </w:rPr>
      </w:pPr>
      <w:r w:rsidRPr="00BF15F4">
        <w:rPr>
          <w:rFonts w:ascii="Times New Roman" w:hAnsi="Times New Roman" w:cs="Times New Roman"/>
          <w:sz w:val="24"/>
          <w:szCs w:val="24"/>
        </w:rPr>
        <w:t>The market share and stock prices of Uber and Lyft are sensitive to external variables such as competition from other ride-hailing firms and alternative options for public transportation.</w:t>
      </w:r>
    </w:p>
    <w:p w14:paraId="4C2B9652" w14:textId="77777777" w:rsidR="00A45BAB" w:rsidRPr="00AD38C1" w:rsidRDefault="00A45BAB" w:rsidP="00A45BAB"/>
    <w:p w14:paraId="04FD4204" w14:textId="77E0F4AC" w:rsidR="001B376E" w:rsidRPr="007E1E1E" w:rsidRDefault="007E1E1E" w:rsidP="007E1E1E">
      <w:pPr>
        <w:pStyle w:val="Heading2"/>
        <w:rPr>
          <w:rFonts w:asciiTheme="majorHAnsi" w:hAnsiTheme="majorHAnsi" w:cstheme="majorHAnsi"/>
          <w:sz w:val="32"/>
          <w:szCs w:val="32"/>
          <w:u w:val="single"/>
        </w:rPr>
      </w:pPr>
      <w:bookmarkStart w:id="8" w:name="_Toc164561300"/>
      <w:r w:rsidRPr="007E1E1E">
        <w:rPr>
          <w:rFonts w:asciiTheme="majorHAnsi" w:hAnsiTheme="majorHAnsi" w:cstheme="majorHAnsi"/>
          <w:sz w:val="32"/>
          <w:szCs w:val="32"/>
          <w:u w:val="single"/>
        </w:rPr>
        <w:t>Sharpe and Treynor Ratios</w:t>
      </w:r>
      <w:bookmarkEnd w:id="8"/>
    </w:p>
    <w:p w14:paraId="5A9911F9" w14:textId="1A525BE5" w:rsidR="00143305" w:rsidRPr="007E1E1E" w:rsidRDefault="00143305" w:rsidP="007E1E1E">
      <w:pPr>
        <w:pStyle w:val="Heading3"/>
        <w:rPr>
          <w:sz w:val="24"/>
          <w:szCs w:val="24"/>
        </w:rPr>
      </w:pPr>
      <w:bookmarkStart w:id="9" w:name="_Toc164561301"/>
      <w:r w:rsidRPr="007E1E1E">
        <w:rPr>
          <w:sz w:val="24"/>
          <w:szCs w:val="24"/>
        </w:rPr>
        <w:t>Sharpe Ratio</w:t>
      </w:r>
      <w:r w:rsidR="007E1E1E">
        <w:rPr>
          <w:sz w:val="24"/>
          <w:szCs w:val="24"/>
        </w:rPr>
        <w:t>:</w:t>
      </w:r>
      <w:bookmarkEnd w:id="9"/>
    </w:p>
    <w:tbl>
      <w:tblPr>
        <w:tblW w:w="5297" w:type="dxa"/>
        <w:jc w:val="center"/>
        <w:tblLook w:val="04A0" w:firstRow="1" w:lastRow="0" w:firstColumn="1" w:lastColumn="0" w:noHBand="0" w:noVBand="1"/>
      </w:tblPr>
      <w:tblGrid>
        <w:gridCol w:w="1885"/>
        <w:gridCol w:w="1463"/>
        <w:gridCol w:w="1164"/>
        <w:gridCol w:w="1053"/>
      </w:tblGrid>
      <w:tr w:rsidR="007E1E1E" w:rsidRPr="00143305" w14:paraId="5477E28B" w14:textId="77777777" w:rsidTr="00D67B32">
        <w:trPr>
          <w:trHeight w:val="300"/>
          <w:jc w:val="center"/>
        </w:trPr>
        <w:tc>
          <w:tcPr>
            <w:tcW w:w="1885" w:type="dxa"/>
            <w:tcBorders>
              <w:top w:val="single" w:sz="4" w:space="0" w:color="A5A5A5"/>
              <w:left w:val="single" w:sz="4" w:space="0" w:color="A5A5A5"/>
              <w:bottom w:val="single" w:sz="8" w:space="0" w:color="A5A5A5"/>
              <w:right w:val="single" w:sz="4" w:space="0" w:color="A5A5A5"/>
            </w:tcBorders>
            <w:shd w:val="clear" w:color="auto" w:fill="auto"/>
            <w:noWrap/>
            <w:vAlign w:val="bottom"/>
            <w:hideMark/>
          </w:tcPr>
          <w:p w14:paraId="653C048A" w14:textId="77777777" w:rsidR="007E1E1E" w:rsidRPr="00143305" w:rsidRDefault="007E1E1E" w:rsidP="00D67B32">
            <w:pPr>
              <w:spacing w:after="0" w:line="240" w:lineRule="auto"/>
              <w:rPr>
                <w:rFonts w:ascii="Times New Roman" w:eastAsia="Times New Roman" w:hAnsi="Times New Roman" w:cs="Times New Roman"/>
                <w:b/>
                <w:bCs/>
                <w:color w:val="000000"/>
                <w:kern w:val="0"/>
                <w14:ligatures w14:val="none"/>
              </w:rPr>
            </w:pPr>
            <w:r w:rsidRPr="00143305">
              <w:rPr>
                <w:rFonts w:ascii="Times New Roman" w:eastAsia="Times New Roman" w:hAnsi="Times New Roman" w:cs="Times New Roman"/>
                <w:b/>
                <w:bCs/>
                <w:color w:val="000000"/>
                <w:kern w:val="0"/>
                <w14:ligatures w14:val="none"/>
              </w:rPr>
              <w:t>Variable</w:t>
            </w:r>
          </w:p>
        </w:tc>
        <w:tc>
          <w:tcPr>
            <w:tcW w:w="1195" w:type="dxa"/>
            <w:tcBorders>
              <w:top w:val="single" w:sz="4" w:space="0" w:color="A5A5A5"/>
              <w:left w:val="single" w:sz="4" w:space="0" w:color="A5A5A5"/>
              <w:bottom w:val="single" w:sz="8" w:space="0" w:color="A5A5A5"/>
              <w:right w:val="single" w:sz="4" w:space="0" w:color="A5A5A5"/>
            </w:tcBorders>
            <w:shd w:val="clear" w:color="auto" w:fill="auto"/>
            <w:noWrap/>
            <w:vAlign w:val="bottom"/>
            <w:hideMark/>
          </w:tcPr>
          <w:p w14:paraId="4A8708EF" w14:textId="77777777" w:rsidR="007E1E1E" w:rsidRPr="00143305" w:rsidRDefault="007E1E1E" w:rsidP="00D67B32">
            <w:pPr>
              <w:spacing w:after="0" w:line="240" w:lineRule="auto"/>
              <w:rPr>
                <w:rFonts w:ascii="Times New Roman" w:eastAsia="Times New Roman" w:hAnsi="Times New Roman" w:cs="Times New Roman"/>
                <w:b/>
                <w:bCs/>
                <w:color w:val="000000"/>
                <w:kern w:val="0"/>
                <w14:ligatures w14:val="none"/>
              </w:rPr>
            </w:pPr>
            <w:r w:rsidRPr="00143305">
              <w:rPr>
                <w:rFonts w:ascii="Times New Roman" w:eastAsia="Times New Roman" w:hAnsi="Times New Roman" w:cs="Times New Roman"/>
                <w:b/>
                <w:bCs/>
                <w:color w:val="000000"/>
                <w:kern w:val="0"/>
                <w14:ligatures w14:val="none"/>
              </w:rPr>
              <w:t>Abbreviation</w:t>
            </w:r>
          </w:p>
        </w:tc>
        <w:tc>
          <w:tcPr>
            <w:tcW w:w="1164" w:type="dxa"/>
            <w:tcBorders>
              <w:top w:val="single" w:sz="4" w:space="0" w:color="A5A5A5"/>
              <w:left w:val="single" w:sz="4" w:space="0" w:color="A5A5A5"/>
              <w:bottom w:val="single" w:sz="8" w:space="0" w:color="A5A5A5"/>
              <w:right w:val="single" w:sz="4" w:space="0" w:color="A5A5A5"/>
            </w:tcBorders>
            <w:shd w:val="clear" w:color="auto" w:fill="auto"/>
            <w:noWrap/>
            <w:vAlign w:val="bottom"/>
            <w:hideMark/>
          </w:tcPr>
          <w:p w14:paraId="396E9AC2" w14:textId="77777777" w:rsidR="007E1E1E" w:rsidRPr="00143305" w:rsidRDefault="007E1E1E" w:rsidP="00D67B32">
            <w:pPr>
              <w:spacing w:after="0" w:line="240" w:lineRule="auto"/>
              <w:rPr>
                <w:rFonts w:ascii="Times New Roman" w:eastAsia="Times New Roman" w:hAnsi="Times New Roman" w:cs="Times New Roman"/>
                <w:b/>
                <w:bCs/>
                <w:color w:val="000000"/>
                <w:kern w:val="0"/>
                <w14:ligatures w14:val="none"/>
              </w:rPr>
            </w:pPr>
            <w:r w:rsidRPr="00143305">
              <w:rPr>
                <w:rFonts w:ascii="Times New Roman" w:eastAsia="Times New Roman" w:hAnsi="Times New Roman" w:cs="Times New Roman"/>
                <w:b/>
                <w:bCs/>
                <w:color w:val="000000"/>
                <w:kern w:val="0"/>
                <w14:ligatures w14:val="none"/>
              </w:rPr>
              <w:t>Lyft</w:t>
            </w:r>
          </w:p>
        </w:tc>
        <w:tc>
          <w:tcPr>
            <w:tcW w:w="1053" w:type="dxa"/>
            <w:tcBorders>
              <w:top w:val="single" w:sz="4" w:space="0" w:color="A5A5A5"/>
              <w:left w:val="single" w:sz="4" w:space="0" w:color="A5A5A5"/>
              <w:bottom w:val="single" w:sz="8" w:space="0" w:color="A5A5A5"/>
              <w:right w:val="single" w:sz="4" w:space="0" w:color="A5A5A5"/>
            </w:tcBorders>
            <w:shd w:val="clear" w:color="auto" w:fill="auto"/>
            <w:noWrap/>
            <w:vAlign w:val="bottom"/>
            <w:hideMark/>
          </w:tcPr>
          <w:p w14:paraId="6333C776" w14:textId="77777777" w:rsidR="007E1E1E" w:rsidRPr="00143305" w:rsidRDefault="007E1E1E" w:rsidP="00D67B32">
            <w:pPr>
              <w:spacing w:after="0" w:line="240" w:lineRule="auto"/>
              <w:rPr>
                <w:rFonts w:ascii="Times New Roman" w:eastAsia="Times New Roman" w:hAnsi="Times New Roman" w:cs="Times New Roman"/>
                <w:b/>
                <w:bCs/>
                <w:color w:val="000000"/>
                <w:kern w:val="0"/>
                <w14:ligatures w14:val="none"/>
              </w:rPr>
            </w:pPr>
            <w:r w:rsidRPr="00143305">
              <w:rPr>
                <w:rFonts w:ascii="Times New Roman" w:eastAsia="Times New Roman" w:hAnsi="Times New Roman" w:cs="Times New Roman"/>
                <w:b/>
                <w:bCs/>
                <w:color w:val="000000"/>
                <w:kern w:val="0"/>
                <w14:ligatures w14:val="none"/>
              </w:rPr>
              <w:t>Uber</w:t>
            </w:r>
          </w:p>
        </w:tc>
      </w:tr>
      <w:tr w:rsidR="007E1E1E" w:rsidRPr="00143305" w14:paraId="68E19F0B" w14:textId="77777777" w:rsidTr="00D67B32">
        <w:trPr>
          <w:trHeight w:val="300"/>
          <w:jc w:val="center"/>
        </w:trPr>
        <w:tc>
          <w:tcPr>
            <w:tcW w:w="1885"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163ABED2" w14:textId="77777777" w:rsidR="007E1E1E" w:rsidRPr="00143305" w:rsidRDefault="007E1E1E" w:rsidP="00D67B32">
            <w:pPr>
              <w:spacing w:after="0" w:line="240" w:lineRule="auto"/>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Risk Free Rate</w:t>
            </w:r>
          </w:p>
        </w:tc>
        <w:tc>
          <w:tcPr>
            <w:tcW w:w="1195"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66B74D56"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Rf</w:t>
            </w:r>
          </w:p>
        </w:tc>
        <w:tc>
          <w:tcPr>
            <w:tcW w:w="1164"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211ECE49"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1.50%</w:t>
            </w:r>
          </w:p>
        </w:tc>
        <w:tc>
          <w:tcPr>
            <w:tcW w:w="1053"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35DC8B88"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1.50%</w:t>
            </w:r>
          </w:p>
        </w:tc>
      </w:tr>
      <w:tr w:rsidR="007E1E1E" w:rsidRPr="00143305" w14:paraId="27ECC64B" w14:textId="77777777" w:rsidTr="00D67B32">
        <w:trPr>
          <w:trHeight w:val="300"/>
          <w:jc w:val="center"/>
        </w:trPr>
        <w:tc>
          <w:tcPr>
            <w:tcW w:w="1885"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329F6381" w14:textId="77777777" w:rsidR="007E1E1E" w:rsidRPr="00143305" w:rsidRDefault="007E1E1E" w:rsidP="00D67B32">
            <w:pPr>
              <w:spacing w:after="0" w:line="240" w:lineRule="auto"/>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Annual Rate</w:t>
            </w:r>
          </w:p>
        </w:tc>
        <w:tc>
          <w:tcPr>
            <w:tcW w:w="1195"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27B92508"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Rp</w:t>
            </w:r>
          </w:p>
        </w:tc>
        <w:tc>
          <w:tcPr>
            <w:tcW w:w="1164"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04CE5D3B"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56%</w:t>
            </w:r>
          </w:p>
        </w:tc>
        <w:tc>
          <w:tcPr>
            <w:tcW w:w="1053"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7BDB522F"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55%</w:t>
            </w:r>
          </w:p>
        </w:tc>
      </w:tr>
      <w:tr w:rsidR="007E1E1E" w:rsidRPr="00143305" w14:paraId="343C1DD1" w14:textId="77777777" w:rsidTr="00D67B32">
        <w:trPr>
          <w:trHeight w:val="300"/>
          <w:jc w:val="center"/>
        </w:trPr>
        <w:tc>
          <w:tcPr>
            <w:tcW w:w="1885"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417FF068" w14:textId="77777777" w:rsidR="007E1E1E" w:rsidRPr="00143305" w:rsidRDefault="007E1E1E" w:rsidP="00D67B32">
            <w:pPr>
              <w:spacing w:after="0" w:line="240" w:lineRule="auto"/>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Annual St. Dev.</w:t>
            </w:r>
          </w:p>
        </w:tc>
        <w:tc>
          <w:tcPr>
            <w:tcW w:w="1195"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6436925B"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σ</w:t>
            </w:r>
          </w:p>
        </w:tc>
        <w:tc>
          <w:tcPr>
            <w:tcW w:w="1164"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1C999F54"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3.11</w:t>
            </w:r>
          </w:p>
        </w:tc>
        <w:tc>
          <w:tcPr>
            <w:tcW w:w="1053"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4C820D11"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1.97</w:t>
            </w:r>
          </w:p>
        </w:tc>
      </w:tr>
      <w:tr w:rsidR="007E1E1E" w:rsidRPr="00143305" w14:paraId="73D8A963" w14:textId="77777777" w:rsidTr="00D67B32">
        <w:trPr>
          <w:trHeight w:val="300"/>
          <w:jc w:val="center"/>
        </w:trPr>
        <w:tc>
          <w:tcPr>
            <w:tcW w:w="1885"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0150B033" w14:textId="77777777" w:rsidR="007E1E1E" w:rsidRPr="00143305" w:rsidRDefault="007E1E1E" w:rsidP="00D67B32">
            <w:pPr>
              <w:spacing w:after="0" w:line="240" w:lineRule="auto"/>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Sharpe Ratio</w:t>
            </w:r>
          </w:p>
        </w:tc>
        <w:tc>
          <w:tcPr>
            <w:tcW w:w="1195"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0F843CC4"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(Rp-Rf)/σ</w:t>
            </w:r>
          </w:p>
        </w:tc>
        <w:tc>
          <w:tcPr>
            <w:tcW w:w="1164"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5F1BF36F"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0.17</w:t>
            </w:r>
          </w:p>
        </w:tc>
        <w:tc>
          <w:tcPr>
            <w:tcW w:w="1053"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4E56D28F"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0.27</w:t>
            </w:r>
          </w:p>
        </w:tc>
      </w:tr>
      <w:tr w:rsidR="007E1E1E" w:rsidRPr="00143305" w14:paraId="2257E8D2" w14:textId="77777777" w:rsidTr="00D67B32">
        <w:trPr>
          <w:trHeight w:val="300"/>
          <w:jc w:val="center"/>
        </w:trPr>
        <w:tc>
          <w:tcPr>
            <w:tcW w:w="1885"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59E73B51" w14:textId="77777777" w:rsidR="007E1E1E" w:rsidRPr="00143305" w:rsidRDefault="007E1E1E" w:rsidP="00D67B32">
            <w:pPr>
              <w:spacing w:after="0" w:line="240" w:lineRule="auto"/>
              <w:jc w:val="right"/>
              <w:rPr>
                <w:rFonts w:ascii="Times New Roman" w:eastAsia="Times New Roman" w:hAnsi="Times New Roman" w:cs="Times New Roman"/>
                <w:color w:val="000000"/>
                <w:kern w:val="0"/>
                <w14:ligatures w14:val="none"/>
              </w:rPr>
            </w:pPr>
          </w:p>
        </w:tc>
        <w:tc>
          <w:tcPr>
            <w:tcW w:w="1195"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16DB721D" w14:textId="77777777" w:rsidR="007E1E1E" w:rsidRPr="00143305" w:rsidRDefault="007E1E1E" w:rsidP="00D67B32">
            <w:pPr>
              <w:spacing w:after="0" w:line="240" w:lineRule="auto"/>
              <w:jc w:val="center"/>
              <w:rPr>
                <w:rFonts w:ascii="Times New Roman" w:eastAsia="Times New Roman" w:hAnsi="Times New Roman" w:cs="Times New Roman"/>
                <w:kern w:val="0"/>
                <w:sz w:val="20"/>
                <w:szCs w:val="20"/>
                <w14:ligatures w14:val="none"/>
              </w:rPr>
            </w:pPr>
          </w:p>
        </w:tc>
        <w:tc>
          <w:tcPr>
            <w:tcW w:w="1164"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7BB57449" w14:textId="77777777" w:rsidR="007E1E1E" w:rsidRPr="00143305" w:rsidRDefault="007E1E1E" w:rsidP="00D67B32">
            <w:pPr>
              <w:spacing w:after="0" w:line="240" w:lineRule="auto"/>
              <w:jc w:val="center"/>
              <w:rPr>
                <w:rFonts w:ascii="Times New Roman" w:eastAsia="Times New Roman" w:hAnsi="Times New Roman" w:cs="Times New Roman"/>
                <w:kern w:val="0"/>
                <w:sz w:val="20"/>
                <w:szCs w:val="20"/>
                <w14:ligatures w14:val="none"/>
              </w:rPr>
            </w:pPr>
          </w:p>
        </w:tc>
        <w:tc>
          <w:tcPr>
            <w:tcW w:w="1053"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7B3B05BC" w14:textId="77777777" w:rsidR="007E1E1E" w:rsidRPr="00143305" w:rsidRDefault="007E1E1E" w:rsidP="00D67B32">
            <w:pPr>
              <w:spacing w:after="0" w:line="240" w:lineRule="auto"/>
              <w:jc w:val="center"/>
              <w:rPr>
                <w:rFonts w:ascii="Times New Roman" w:eastAsia="Times New Roman" w:hAnsi="Times New Roman" w:cs="Times New Roman"/>
                <w:kern w:val="0"/>
                <w:sz w:val="20"/>
                <w:szCs w:val="20"/>
                <w14:ligatures w14:val="none"/>
              </w:rPr>
            </w:pPr>
          </w:p>
        </w:tc>
      </w:tr>
      <w:tr w:rsidR="007E1E1E" w:rsidRPr="00143305" w14:paraId="0C5C70B4" w14:textId="77777777" w:rsidTr="00D67B32">
        <w:trPr>
          <w:trHeight w:val="300"/>
          <w:jc w:val="center"/>
        </w:trPr>
        <w:tc>
          <w:tcPr>
            <w:tcW w:w="1885"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218B8CF1" w14:textId="77777777" w:rsidR="007E1E1E" w:rsidRPr="00143305" w:rsidRDefault="007E1E1E" w:rsidP="00D67B32">
            <w:pPr>
              <w:spacing w:after="0" w:line="240" w:lineRule="auto"/>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Beta</w:t>
            </w:r>
          </w:p>
        </w:tc>
        <w:tc>
          <w:tcPr>
            <w:tcW w:w="1195"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01AACC6D"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Bp</w:t>
            </w:r>
          </w:p>
        </w:tc>
        <w:tc>
          <w:tcPr>
            <w:tcW w:w="1164"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10712108"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1.1426553</w:t>
            </w:r>
          </w:p>
        </w:tc>
        <w:tc>
          <w:tcPr>
            <w:tcW w:w="1053"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5F0CE28F"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0.456993</w:t>
            </w:r>
          </w:p>
        </w:tc>
      </w:tr>
      <w:tr w:rsidR="007E1E1E" w:rsidRPr="00143305" w14:paraId="2F7CD765" w14:textId="77777777" w:rsidTr="00D67B32">
        <w:trPr>
          <w:trHeight w:val="300"/>
          <w:jc w:val="center"/>
        </w:trPr>
        <w:tc>
          <w:tcPr>
            <w:tcW w:w="1885"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515C5A51" w14:textId="77777777" w:rsidR="007E1E1E" w:rsidRPr="00143305" w:rsidRDefault="007E1E1E" w:rsidP="00D67B32">
            <w:pPr>
              <w:spacing w:after="0" w:line="240" w:lineRule="auto"/>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Treynor Ratio</w:t>
            </w:r>
          </w:p>
        </w:tc>
        <w:tc>
          <w:tcPr>
            <w:tcW w:w="1195"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5F01C6B7"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(Rp-Rf)/Bp</w:t>
            </w:r>
          </w:p>
        </w:tc>
        <w:tc>
          <w:tcPr>
            <w:tcW w:w="1164"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62314CE5"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0.48</w:t>
            </w:r>
          </w:p>
        </w:tc>
        <w:tc>
          <w:tcPr>
            <w:tcW w:w="1053"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185FD50B" w14:textId="77777777" w:rsidR="007E1E1E" w:rsidRPr="00143305" w:rsidRDefault="007E1E1E" w:rsidP="00D67B32">
            <w:pPr>
              <w:spacing w:after="0" w:line="240" w:lineRule="auto"/>
              <w:jc w:val="center"/>
              <w:rPr>
                <w:rFonts w:ascii="Times New Roman" w:eastAsia="Times New Roman" w:hAnsi="Times New Roman" w:cs="Times New Roman"/>
                <w:color w:val="000000"/>
                <w:kern w:val="0"/>
                <w14:ligatures w14:val="none"/>
              </w:rPr>
            </w:pPr>
            <w:r w:rsidRPr="00143305">
              <w:rPr>
                <w:rFonts w:ascii="Times New Roman" w:eastAsia="Times New Roman" w:hAnsi="Times New Roman" w:cs="Times New Roman"/>
                <w:color w:val="000000"/>
                <w:kern w:val="0"/>
                <w14:ligatures w14:val="none"/>
              </w:rPr>
              <w:t>1.17</w:t>
            </w:r>
          </w:p>
        </w:tc>
      </w:tr>
    </w:tbl>
    <w:p w14:paraId="0386CB90" w14:textId="77777777" w:rsidR="007E1E1E" w:rsidRPr="00AD38C1" w:rsidRDefault="007E1E1E" w:rsidP="00AD38C1">
      <w:pPr>
        <w:jc w:val="both"/>
        <w:rPr>
          <w:rFonts w:ascii="Times New Roman" w:hAnsi="Times New Roman" w:cs="Times New Roman"/>
          <w:b/>
          <w:bCs/>
          <w:sz w:val="28"/>
          <w:szCs w:val="28"/>
        </w:rPr>
      </w:pPr>
    </w:p>
    <w:p w14:paraId="0E70F70F" w14:textId="77777777" w:rsidR="00AD38C1" w:rsidRPr="00AD38C1" w:rsidRDefault="00AD38C1" w:rsidP="00AD38C1">
      <w:pPr>
        <w:jc w:val="both"/>
        <w:rPr>
          <w:rFonts w:ascii="Times New Roman" w:hAnsi="Times New Roman" w:cs="Times New Roman"/>
          <w:sz w:val="24"/>
          <w:szCs w:val="24"/>
        </w:rPr>
      </w:pPr>
      <w:r w:rsidRPr="00AD38C1">
        <w:rPr>
          <w:rFonts w:ascii="Times New Roman" w:hAnsi="Times New Roman" w:cs="Times New Roman"/>
          <w:sz w:val="24"/>
          <w:szCs w:val="24"/>
        </w:rPr>
        <w:t>The Sharpe Ratio for Uber's stock is 0.27, which indicates that the risk-adjusted return on the company is rather low. In the event that the Sharpe Ratio is less than 1, as it is in the case of Uber (0.27), it is possible that the returns on investments did not surpass the risk-free rate even after taking into account the risk. Just to put it another way, it is probable that investors in Uber shares were not adequately paid for the risk that they accepted.</w:t>
      </w:r>
    </w:p>
    <w:p w14:paraId="1EC2B5B8" w14:textId="77777777" w:rsidR="00AD38C1" w:rsidRPr="00AD38C1" w:rsidRDefault="00AD38C1" w:rsidP="00AD38C1">
      <w:pPr>
        <w:jc w:val="both"/>
        <w:rPr>
          <w:rFonts w:ascii="Times New Roman" w:hAnsi="Times New Roman" w:cs="Times New Roman"/>
          <w:sz w:val="24"/>
          <w:szCs w:val="24"/>
        </w:rPr>
      </w:pPr>
      <w:r w:rsidRPr="00AD38C1">
        <w:rPr>
          <w:rFonts w:ascii="Times New Roman" w:hAnsi="Times New Roman" w:cs="Times New Roman"/>
          <w:sz w:val="24"/>
          <w:szCs w:val="24"/>
        </w:rPr>
        <w:lastRenderedPageBreak/>
        <w:t>The very fluctuating stock price of Uber might be one of the reasons why the firm has such a low Sharpe Ratio. It would seem that investors went through a time of significant market volatility, which may have resulted in a reduction in the potential earnings they may have made. The possibility exists that the stock price of Uber did not increase at a pace that was greater than the risk-free rate throughout the time period that is being considered.</w:t>
      </w:r>
    </w:p>
    <w:p w14:paraId="45E35B42" w14:textId="49642A1B" w:rsidR="00143305" w:rsidRPr="007E1E1E" w:rsidRDefault="00AD38C1" w:rsidP="007E1E1E">
      <w:pPr>
        <w:jc w:val="both"/>
        <w:rPr>
          <w:rFonts w:ascii="Times New Roman" w:hAnsi="Times New Roman" w:cs="Times New Roman"/>
          <w:sz w:val="24"/>
          <w:szCs w:val="24"/>
        </w:rPr>
      </w:pPr>
      <w:r w:rsidRPr="00AD38C1">
        <w:rPr>
          <w:rFonts w:ascii="Times New Roman" w:hAnsi="Times New Roman" w:cs="Times New Roman"/>
          <w:sz w:val="24"/>
          <w:szCs w:val="24"/>
        </w:rPr>
        <w:t>The Sharpe Ratio for Uber is 0.27, which indicates that the company has historically maintained a low risk-adjusted performance. Despite the fact that Uber may still be an excellent investment, this demonstrates how essential it is to take a step back and examine the bigger picture before investing money in a firm.</w:t>
      </w:r>
    </w:p>
    <w:p w14:paraId="2543CD93" w14:textId="22B02E8B" w:rsidR="00143305" w:rsidRPr="007E1E1E" w:rsidRDefault="00143305" w:rsidP="007E1E1E">
      <w:pPr>
        <w:pStyle w:val="Heading3"/>
        <w:rPr>
          <w:sz w:val="24"/>
          <w:szCs w:val="24"/>
        </w:rPr>
      </w:pPr>
      <w:bookmarkStart w:id="10" w:name="_Toc164561302"/>
      <w:r w:rsidRPr="007E1E1E">
        <w:rPr>
          <w:sz w:val="24"/>
          <w:szCs w:val="24"/>
        </w:rPr>
        <w:t>Treynor Ratio</w:t>
      </w:r>
      <w:r w:rsidR="007E1E1E">
        <w:rPr>
          <w:sz w:val="24"/>
          <w:szCs w:val="24"/>
        </w:rPr>
        <w:t>:</w:t>
      </w:r>
      <w:bookmarkEnd w:id="10"/>
    </w:p>
    <w:p w14:paraId="58D503A2" w14:textId="77777777" w:rsidR="00AD38C1" w:rsidRPr="00AD38C1" w:rsidRDefault="00AD38C1" w:rsidP="00AD38C1">
      <w:pPr>
        <w:jc w:val="both"/>
        <w:rPr>
          <w:rFonts w:ascii="Times New Roman" w:hAnsi="Times New Roman" w:cs="Times New Roman"/>
          <w:color w:val="1F1F1F"/>
          <w:sz w:val="24"/>
          <w:szCs w:val="24"/>
          <w:shd w:val="clear" w:color="auto" w:fill="FFFFFF"/>
        </w:rPr>
      </w:pPr>
      <w:r w:rsidRPr="00AD38C1">
        <w:rPr>
          <w:rFonts w:ascii="Times New Roman" w:hAnsi="Times New Roman" w:cs="Times New Roman"/>
          <w:color w:val="1F1F1F"/>
          <w:sz w:val="24"/>
          <w:szCs w:val="24"/>
          <w:shd w:val="clear" w:color="auto" w:fill="FFFFFF"/>
        </w:rPr>
        <w:t xml:space="preserve">Treynor Ratio of 1.17 indicates that Uber is doing very well in terms of providing excess return in comparison to market risk. This is a very encouraging sign. A Treynor Ratio of 1.17 implies that Uber's stock returned 1.17 times greater than the risk-free rate for every unit of market risk. This is in comparison to the whole market, which returned 1.17 times the risk-free rate overall. </w:t>
      </w:r>
    </w:p>
    <w:p w14:paraId="7EF931FE" w14:textId="2A4165F5" w:rsidR="00AD38C1" w:rsidRPr="00AD38C1" w:rsidRDefault="00AD38C1" w:rsidP="00AD38C1">
      <w:pPr>
        <w:jc w:val="both"/>
        <w:rPr>
          <w:rFonts w:ascii="Times New Roman" w:hAnsi="Times New Roman" w:cs="Times New Roman"/>
          <w:color w:val="1F1F1F"/>
          <w:sz w:val="24"/>
          <w:szCs w:val="24"/>
          <w:shd w:val="clear" w:color="auto" w:fill="FFFFFF"/>
        </w:rPr>
      </w:pPr>
      <w:r w:rsidRPr="00AD38C1">
        <w:rPr>
          <w:rFonts w:ascii="Times New Roman" w:hAnsi="Times New Roman" w:cs="Times New Roman"/>
          <w:color w:val="1F1F1F"/>
          <w:sz w:val="24"/>
          <w:szCs w:val="24"/>
          <w:shd w:val="clear" w:color="auto" w:fill="FFFFFF"/>
        </w:rPr>
        <w:t xml:space="preserve">Uber might potentially profit from a ratio of 1.17, given that Treynor Ratios have been lower in the past. Having a Treynor Ratio that is much higher than that of comparable </w:t>
      </w:r>
      <w:r w:rsidRPr="00AD38C1">
        <w:rPr>
          <w:rFonts w:ascii="Times New Roman" w:hAnsi="Times New Roman" w:cs="Times New Roman"/>
          <w:color w:val="1F1F1F"/>
          <w:sz w:val="24"/>
          <w:szCs w:val="24"/>
          <w:shd w:val="clear" w:color="auto" w:fill="FFFFFF"/>
        </w:rPr>
        <w:t>organizations</w:t>
      </w:r>
      <w:r w:rsidRPr="00AD38C1">
        <w:rPr>
          <w:rFonts w:ascii="Times New Roman" w:hAnsi="Times New Roman" w:cs="Times New Roman"/>
          <w:color w:val="1F1F1F"/>
          <w:sz w:val="24"/>
          <w:szCs w:val="24"/>
          <w:shd w:val="clear" w:color="auto" w:fill="FFFFFF"/>
        </w:rPr>
        <w:t xml:space="preserve"> might make it seem less impressive.</w:t>
      </w:r>
    </w:p>
    <w:p w14:paraId="30A6657C" w14:textId="77777777" w:rsidR="00830DE2" w:rsidRDefault="00830DE2" w:rsidP="00143305">
      <w:pPr>
        <w:rPr>
          <w:rFonts w:ascii="Arial" w:hAnsi="Arial" w:cs="Arial"/>
          <w:color w:val="1F1F1F"/>
          <w:shd w:val="clear" w:color="auto" w:fill="FFFFFF"/>
        </w:rPr>
      </w:pPr>
    </w:p>
    <w:p w14:paraId="13914A27" w14:textId="430D75E4" w:rsidR="007E1E1E" w:rsidRPr="007E1E1E" w:rsidRDefault="007E1E1E" w:rsidP="00143305">
      <w:pPr>
        <w:rPr>
          <w:rFonts w:cstheme="minorHAnsi"/>
          <w:b/>
          <w:bCs/>
          <w:i/>
          <w:iCs/>
          <w:color w:val="1F1F1F"/>
          <w:sz w:val="32"/>
          <w:szCs w:val="32"/>
          <w:u w:val="single"/>
          <w:shd w:val="clear" w:color="auto" w:fill="FFFFFF"/>
        </w:rPr>
      </w:pPr>
      <w:r w:rsidRPr="007E1E1E">
        <w:rPr>
          <w:rFonts w:cstheme="minorHAnsi"/>
          <w:b/>
          <w:bCs/>
          <w:i/>
          <w:iCs/>
          <w:color w:val="1F1F1F"/>
          <w:sz w:val="32"/>
          <w:szCs w:val="32"/>
          <w:u w:val="single"/>
          <w:shd w:val="clear" w:color="auto" w:fill="FFFFFF"/>
        </w:rPr>
        <w:t>Part 3</w:t>
      </w:r>
    </w:p>
    <w:p w14:paraId="2AA529D9" w14:textId="25B93660" w:rsidR="00830DE2" w:rsidRPr="007E1E1E" w:rsidRDefault="0084762E" w:rsidP="007E1E1E">
      <w:pPr>
        <w:pStyle w:val="Heading2"/>
        <w:rPr>
          <w:rFonts w:asciiTheme="majorHAnsi" w:hAnsiTheme="majorHAnsi" w:cstheme="majorHAnsi"/>
          <w:sz w:val="32"/>
          <w:szCs w:val="32"/>
          <w:u w:val="single"/>
        </w:rPr>
      </w:pPr>
      <w:bookmarkStart w:id="11" w:name="_Toc164561303"/>
      <w:r w:rsidRPr="007E1E1E">
        <w:rPr>
          <w:rFonts w:asciiTheme="majorHAnsi" w:hAnsiTheme="majorHAnsi" w:cstheme="majorHAnsi"/>
          <w:sz w:val="32"/>
          <w:szCs w:val="32"/>
          <w:u w:val="single"/>
        </w:rPr>
        <w:t>M</w:t>
      </w:r>
      <w:r w:rsidRPr="007E1E1E">
        <w:rPr>
          <w:rFonts w:asciiTheme="majorHAnsi" w:hAnsiTheme="majorHAnsi" w:cstheme="majorHAnsi"/>
          <w:sz w:val="32"/>
          <w:szCs w:val="32"/>
          <w:u w:val="single"/>
        </w:rPr>
        <w:t>oney call option</w:t>
      </w:r>
      <w:bookmarkEnd w:id="11"/>
    </w:p>
    <w:p w14:paraId="239D7766" w14:textId="177AD842" w:rsidR="0084762E" w:rsidRDefault="0084762E" w:rsidP="0084762E">
      <w:pPr>
        <w:jc w:val="center"/>
      </w:pPr>
      <w:r>
        <w:rPr>
          <w:noProof/>
        </w:rPr>
        <w:drawing>
          <wp:inline distT="0" distB="0" distL="0" distR="0" wp14:anchorId="5EC70BC7" wp14:editId="342DD607">
            <wp:extent cx="4572000" cy="2743200"/>
            <wp:effectExtent l="0" t="0" r="0" b="0"/>
            <wp:docPr id="1393116959" name="Chart 1">
              <a:extLst xmlns:a="http://schemas.openxmlformats.org/drawingml/2006/main">
                <a:ext uri="{FF2B5EF4-FFF2-40B4-BE49-F238E27FC236}">
                  <a16:creationId xmlns:a16="http://schemas.microsoft.com/office/drawing/2014/main" id="{A4921A47-9375-C512-298B-E728A32CDB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EA7E48B" w14:textId="5C315DE5" w:rsidR="00AD38C1" w:rsidRPr="00AD38C1" w:rsidRDefault="00AD38C1" w:rsidP="00AD38C1">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AD38C1">
        <w:rPr>
          <w:rFonts w:ascii="Times New Roman" w:eastAsia="Times New Roman" w:hAnsi="Times New Roman" w:cs="Times New Roman"/>
          <w:color w:val="1F1F1F"/>
          <w:kern w:val="0"/>
          <w:sz w:val="24"/>
          <w:szCs w:val="24"/>
          <w14:ligatures w14:val="none"/>
        </w:rPr>
        <w:lastRenderedPageBreak/>
        <w:t>Profitable When Above Strike Price: The graph demonstrates that in order for the call option to generate a profit, the price of the underlying asset (in this example, the stock price of Lyft) must rise to a level that is higher than the strike price ($50.00) at the time of expiration. When the stock price goes over fifty dollars, the profit increases exponentially, and it may even continue to grow indefinitely.</w:t>
      </w:r>
    </w:p>
    <w:p w14:paraId="1949B0A4" w14:textId="0678B1B9" w:rsidR="00AD38C1" w:rsidRPr="00AD38C1" w:rsidRDefault="00AD38C1" w:rsidP="00AD38C1">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proofErr w:type="spellStart"/>
      <w:r w:rsidRPr="00AD38C1">
        <w:rPr>
          <w:rFonts w:ascii="Times New Roman" w:eastAsia="Times New Roman" w:hAnsi="Times New Roman" w:cs="Times New Roman"/>
          <w:color w:val="1F1F1F"/>
          <w:kern w:val="0"/>
          <w:sz w:val="24"/>
          <w:szCs w:val="24"/>
          <w14:ligatures w14:val="none"/>
        </w:rPr>
        <w:t>Max</w:t>
      </w:r>
      <w:r>
        <w:rPr>
          <w:rFonts w:ascii="Times New Roman" w:eastAsia="Times New Roman" w:hAnsi="Times New Roman" w:cs="Times New Roman"/>
          <w:color w:val="1F1F1F"/>
          <w:kern w:val="0"/>
          <w:sz w:val="24"/>
          <w:szCs w:val="24"/>
          <w14:ligatures w14:val="none"/>
        </w:rPr>
        <w:t>ium</w:t>
      </w:r>
      <w:proofErr w:type="spellEnd"/>
      <w:r w:rsidRPr="00AD38C1">
        <w:rPr>
          <w:rFonts w:ascii="Times New Roman" w:eastAsia="Times New Roman" w:hAnsi="Times New Roman" w:cs="Times New Roman"/>
          <w:color w:val="1F1F1F"/>
          <w:kern w:val="0"/>
          <w:sz w:val="24"/>
          <w:szCs w:val="24"/>
          <w14:ligatures w14:val="none"/>
        </w:rPr>
        <w:t xml:space="preserve"> Loss Limited to Premium:  The option premium is represented by the horizontal line that is located below the X-axis. This line also </w:t>
      </w:r>
      <w:r w:rsidRPr="00AD38C1">
        <w:rPr>
          <w:rFonts w:ascii="Times New Roman" w:eastAsia="Times New Roman" w:hAnsi="Times New Roman" w:cs="Times New Roman"/>
          <w:color w:val="1F1F1F"/>
          <w:kern w:val="0"/>
          <w:sz w:val="24"/>
          <w:szCs w:val="24"/>
          <w14:ligatures w14:val="none"/>
        </w:rPr>
        <w:t>symbolizes</w:t>
      </w:r>
      <w:r w:rsidRPr="00AD38C1">
        <w:rPr>
          <w:rFonts w:ascii="Times New Roman" w:eastAsia="Times New Roman" w:hAnsi="Times New Roman" w:cs="Times New Roman"/>
          <w:color w:val="1F1F1F"/>
          <w:kern w:val="0"/>
          <w:sz w:val="24"/>
          <w:szCs w:val="24"/>
          <w14:ligatures w14:val="none"/>
        </w:rPr>
        <w:t xml:space="preserve"> the maximum loss that are possible to experience.</w:t>
      </w:r>
    </w:p>
    <w:p w14:paraId="0B60DAB4" w14:textId="6F2C79F0" w:rsidR="0084762E" w:rsidRPr="0084762E" w:rsidRDefault="00AD38C1" w:rsidP="00AD38C1">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AD38C1">
        <w:rPr>
          <w:rFonts w:ascii="Times New Roman" w:eastAsia="Times New Roman" w:hAnsi="Times New Roman" w:cs="Times New Roman"/>
          <w:color w:val="1F1F1F"/>
          <w:kern w:val="0"/>
          <w:sz w:val="24"/>
          <w:szCs w:val="24"/>
          <w14:ligatures w14:val="none"/>
        </w:rPr>
        <w:t>When we hit the breakeven point, which is when our profit is equal to zero, we have reached the $50.00 strike price. You will get a refund of your premium, but any profit (excluding dividends) will be forfeited in the event that the stock price of Lyft reaches exactly $50.00 at the time of expiration</w:t>
      </w:r>
      <w:r>
        <w:rPr>
          <w:rFonts w:ascii="Times New Roman" w:eastAsia="Times New Roman" w:hAnsi="Times New Roman" w:cs="Times New Roman"/>
          <w:color w:val="1F1F1F"/>
          <w:kern w:val="0"/>
          <w:sz w:val="24"/>
          <w:szCs w:val="24"/>
          <w14:ligatures w14:val="none"/>
        </w:rPr>
        <w:t>.</w:t>
      </w:r>
    </w:p>
    <w:p w14:paraId="015DC5DB" w14:textId="67CF715D" w:rsidR="0084762E" w:rsidRPr="00AD38C1" w:rsidRDefault="00AD38C1" w:rsidP="00AD38C1">
      <w:pPr>
        <w:jc w:val="both"/>
        <w:rPr>
          <w:rFonts w:ascii="Times New Roman" w:hAnsi="Times New Roman" w:cs="Times New Roman"/>
          <w:sz w:val="24"/>
          <w:szCs w:val="24"/>
        </w:rPr>
      </w:pPr>
      <w:r w:rsidRPr="00AD38C1">
        <w:rPr>
          <w:rFonts w:ascii="Times New Roman" w:hAnsi="Times New Roman" w:cs="Times New Roman"/>
          <w:sz w:val="24"/>
          <w:szCs w:val="24"/>
        </w:rPr>
        <w:t>Based on the graph, a long call option on Lyft might be a successful strategy for investors who believe that the stock price of Lyft will increase by a greater amount than the strike price before the option expires.</w:t>
      </w:r>
    </w:p>
    <w:p w14:paraId="70187C91" w14:textId="33F37A7E" w:rsidR="0084762E" w:rsidRPr="007E1E1E" w:rsidRDefault="0084762E" w:rsidP="007E1E1E">
      <w:pPr>
        <w:pStyle w:val="Heading2"/>
        <w:rPr>
          <w:rFonts w:asciiTheme="majorHAnsi" w:hAnsiTheme="majorHAnsi" w:cstheme="majorHAnsi"/>
          <w:sz w:val="28"/>
          <w:szCs w:val="28"/>
          <w:u w:val="single"/>
        </w:rPr>
      </w:pPr>
      <w:bookmarkStart w:id="12" w:name="_Toc164561304"/>
      <w:r w:rsidRPr="007E1E1E">
        <w:rPr>
          <w:rFonts w:asciiTheme="majorHAnsi" w:hAnsiTheme="majorHAnsi" w:cstheme="majorHAnsi"/>
          <w:sz w:val="32"/>
          <w:szCs w:val="32"/>
          <w:u w:val="single"/>
        </w:rPr>
        <w:t xml:space="preserve">Money </w:t>
      </w:r>
      <w:r w:rsidRPr="007E1E1E">
        <w:rPr>
          <w:rFonts w:asciiTheme="majorHAnsi" w:hAnsiTheme="majorHAnsi" w:cstheme="majorHAnsi"/>
          <w:sz w:val="32"/>
          <w:szCs w:val="32"/>
          <w:u w:val="single"/>
        </w:rPr>
        <w:t>put</w:t>
      </w:r>
      <w:r w:rsidRPr="007E1E1E">
        <w:rPr>
          <w:rFonts w:asciiTheme="majorHAnsi" w:hAnsiTheme="majorHAnsi" w:cstheme="majorHAnsi"/>
          <w:sz w:val="32"/>
          <w:szCs w:val="32"/>
          <w:u w:val="single"/>
        </w:rPr>
        <w:t xml:space="preserve"> option</w:t>
      </w:r>
      <w:bookmarkEnd w:id="12"/>
    </w:p>
    <w:p w14:paraId="04B6B3B3" w14:textId="1C8CB95D" w:rsidR="0084762E" w:rsidRDefault="0084762E" w:rsidP="0084762E">
      <w:pPr>
        <w:jc w:val="center"/>
      </w:pPr>
      <w:r>
        <w:rPr>
          <w:noProof/>
        </w:rPr>
        <w:drawing>
          <wp:inline distT="0" distB="0" distL="0" distR="0" wp14:anchorId="5DAFE43F" wp14:editId="5D789ACA">
            <wp:extent cx="4572000" cy="2743200"/>
            <wp:effectExtent l="0" t="0" r="0" b="0"/>
            <wp:docPr id="1549827781" name="Chart 1">
              <a:extLst xmlns:a="http://schemas.openxmlformats.org/drawingml/2006/main">
                <a:ext uri="{FF2B5EF4-FFF2-40B4-BE49-F238E27FC236}">
                  <a16:creationId xmlns:a16="http://schemas.microsoft.com/office/drawing/2014/main" id="{616A82C1-F4E2-333B-6CB6-ED967C4947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9F62D68" w14:textId="77777777" w:rsidR="0084762E" w:rsidRDefault="0084762E" w:rsidP="0084762E"/>
    <w:p w14:paraId="391D15E5" w14:textId="2F0DC66D" w:rsidR="00AC4E15" w:rsidRPr="00AC4E15" w:rsidRDefault="00AC4E15" w:rsidP="00AC4E15">
      <w:pPr>
        <w:jc w:val="both"/>
        <w:rPr>
          <w:rFonts w:ascii="Times New Roman" w:hAnsi="Times New Roman" w:cs="Times New Roman"/>
          <w:sz w:val="24"/>
          <w:szCs w:val="24"/>
        </w:rPr>
      </w:pPr>
      <w:r w:rsidRPr="00AC4E15">
        <w:rPr>
          <w:rFonts w:ascii="Times New Roman" w:hAnsi="Times New Roman" w:cs="Times New Roman"/>
          <w:sz w:val="24"/>
          <w:szCs w:val="24"/>
        </w:rPr>
        <w:t xml:space="preserve">As can be seen in the graph, the </w:t>
      </w:r>
      <w:r w:rsidRPr="00AC4E15">
        <w:rPr>
          <w:rFonts w:ascii="Times New Roman" w:hAnsi="Times New Roman" w:cs="Times New Roman"/>
          <w:sz w:val="24"/>
          <w:szCs w:val="24"/>
        </w:rPr>
        <w:t>long-put</w:t>
      </w:r>
      <w:r w:rsidRPr="00AC4E15">
        <w:rPr>
          <w:rFonts w:ascii="Times New Roman" w:hAnsi="Times New Roman" w:cs="Times New Roman"/>
          <w:sz w:val="24"/>
          <w:szCs w:val="24"/>
        </w:rPr>
        <w:t xml:space="preserve"> option only generates a profit when the price of the underlying asset (in this case, shares of Lyft) falls below the strike price. The more the stock price falls below the strike, the greater the likelihood that gains will occur.</w:t>
      </w:r>
    </w:p>
    <w:p w14:paraId="72B1AD02" w14:textId="2D22F594" w:rsidR="00AC4E15" w:rsidRPr="00AC4E15" w:rsidRDefault="00AC4E15" w:rsidP="00AC4E15">
      <w:pPr>
        <w:jc w:val="both"/>
        <w:rPr>
          <w:rFonts w:ascii="Times New Roman" w:hAnsi="Times New Roman" w:cs="Times New Roman"/>
          <w:sz w:val="24"/>
          <w:szCs w:val="24"/>
        </w:rPr>
      </w:pPr>
      <w:r w:rsidRPr="00AC4E15">
        <w:rPr>
          <w:rFonts w:ascii="Times New Roman" w:hAnsi="Times New Roman" w:cs="Times New Roman"/>
          <w:sz w:val="24"/>
          <w:szCs w:val="24"/>
        </w:rPr>
        <w:t xml:space="preserve">When the stock price is at zero, you will have acquired the maximum amount of profit that is achievable from your </w:t>
      </w:r>
      <w:r w:rsidRPr="00AC4E15">
        <w:rPr>
          <w:rFonts w:ascii="Times New Roman" w:hAnsi="Times New Roman" w:cs="Times New Roman"/>
          <w:sz w:val="24"/>
          <w:szCs w:val="24"/>
        </w:rPr>
        <w:t>long-put</w:t>
      </w:r>
      <w:r w:rsidRPr="00AC4E15">
        <w:rPr>
          <w:rFonts w:ascii="Times New Roman" w:hAnsi="Times New Roman" w:cs="Times New Roman"/>
          <w:sz w:val="24"/>
          <w:szCs w:val="24"/>
        </w:rPr>
        <w:t xml:space="preserve"> option. Following the fact that the value of the stock has fallen below the strike price of the option, the holder of the put option has the ability to sell the shares and retain the premium. Put options that are long have a limited possibility for profit, in contrast </w:t>
      </w:r>
      <w:r w:rsidRPr="00AC4E15">
        <w:rPr>
          <w:rFonts w:ascii="Times New Roman" w:hAnsi="Times New Roman" w:cs="Times New Roman"/>
          <w:sz w:val="24"/>
          <w:szCs w:val="24"/>
        </w:rPr>
        <w:lastRenderedPageBreak/>
        <w:t>to call options, which have the ability to produce a limitless amount of earnings. The difference between the premium and the strike price is the maximum amount of profit that may be made from the transaction.</w:t>
      </w:r>
    </w:p>
    <w:p w14:paraId="31651CCD" w14:textId="4A2517B6" w:rsidR="00AC4E15" w:rsidRPr="00AC4E15" w:rsidRDefault="00AC4E15" w:rsidP="00AC4E15">
      <w:pPr>
        <w:jc w:val="both"/>
        <w:rPr>
          <w:rFonts w:ascii="Times New Roman" w:hAnsi="Times New Roman" w:cs="Times New Roman"/>
          <w:sz w:val="24"/>
          <w:szCs w:val="24"/>
        </w:rPr>
      </w:pPr>
      <w:r w:rsidRPr="00AC4E15">
        <w:rPr>
          <w:rFonts w:ascii="Times New Roman" w:hAnsi="Times New Roman" w:cs="Times New Roman"/>
          <w:sz w:val="24"/>
          <w:szCs w:val="24"/>
        </w:rPr>
        <w:t xml:space="preserve">The breakeven point is the point at which there is no profit at all, which is the strike price. In the event that Lyft's stock price continues at or above the strike price until the option's expiration date, the purchaser of the </w:t>
      </w:r>
      <w:r w:rsidRPr="00AC4E15">
        <w:rPr>
          <w:rFonts w:ascii="Times New Roman" w:hAnsi="Times New Roman" w:cs="Times New Roman"/>
          <w:sz w:val="24"/>
          <w:szCs w:val="24"/>
        </w:rPr>
        <w:t>long-put</w:t>
      </w:r>
      <w:r w:rsidRPr="00AC4E15">
        <w:rPr>
          <w:rFonts w:ascii="Times New Roman" w:hAnsi="Times New Roman" w:cs="Times New Roman"/>
          <w:sz w:val="24"/>
          <w:szCs w:val="24"/>
        </w:rPr>
        <w:t xml:space="preserve"> option will see the premium that they paid go to waste.</w:t>
      </w:r>
    </w:p>
    <w:p w14:paraId="1AE65D74" w14:textId="3083C06B" w:rsidR="00DC2413" w:rsidRPr="00AC4E15" w:rsidRDefault="00AC4E15" w:rsidP="00AC4E15">
      <w:pPr>
        <w:jc w:val="both"/>
        <w:rPr>
          <w:rFonts w:ascii="Times New Roman" w:hAnsi="Times New Roman" w:cs="Times New Roman"/>
          <w:sz w:val="24"/>
          <w:szCs w:val="24"/>
        </w:rPr>
      </w:pPr>
      <w:r w:rsidRPr="00AC4E15">
        <w:rPr>
          <w:rFonts w:ascii="Times New Roman" w:hAnsi="Times New Roman" w:cs="Times New Roman"/>
          <w:sz w:val="24"/>
          <w:szCs w:val="24"/>
        </w:rPr>
        <w:t>When taken together, the information shown in this graph makes a compelling argument that purchasing long put options on Lyft might be profitable if you believe that the stock price will drop below the strike price of the option before it finally expires.</w:t>
      </w:r>
    </w:p>
    <w:p w14:paraId="04755A02" w14:textId="77777777" w:rsidR="00DC2413" w:rsidRDefault="00DC2413" w:rsidP="0084762E">
      <w:pPr>
        <w:rPr>
          <w:sz w:val="24"/>
          <w:szCs w:val="24"/>
        </w:rPr>
      </w:pPr>
    </w:p>
    <w:p w14:paraId="27A25836" w14:textId="107C5AB1" w:rsidR="00DC2413" w:rsidRPr="007E1E1E" w:rsidRDefault="00DC2413" w:rsidP="007E1E1E">
      <w:pPr>
        <w:pStyle w:val="Heading2"/>
        <w:rPr>
          <w:rFonts w:asciiTheme="majorHAnsi" w:hAnsiTheme="majorHAnsi" w:cstheme="majorHAnsi"/>
          <w:sz w:val="32"/>
          <w:szCs w:val="32"/>
          <w:u w:val="single"/>
        </w:rPr>
      </w:pPr>
      <w:bookmarkStart w:id="13" w:name="_Toc164561305"/>
      <w:r w:rsidRPr="007E1E1E">
        <w:rPr>
          <w:rFonts w:asciiTheme="majorHAnsi" w:hAnsiTheme="majorHAnsi" w:cstheme="majorHAnsi"/>
          <w:sz w:val="32"/>
          <w:szCs w:val="32"/>
          <w:u w:val="single"/>
        </w:rPr>
        <w:t>Strangle or Straddle</w:t>
      </w:r>
      <w:bookmarkEnd w:id="13"/>
    </w:p>
    <w:p w14:paraId="13DADC14" w14:textId="77777777" w:rsidR="00D74ED2" w:rsidRPr="00D74ED2" w:rsidRDefault="00D74ED2" w:rsidP="00AC4E15">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D74ED2">
        <w:rPr>
          <w:rFonts w:ascii="Times New Roman" w:eastAsia="Times New Roman" w:hAnsi="Times New Roman" w:cs="Times New Roman"/>
          <w:b/>
          <w:bCs/>
          <w:color w:val="1F1F1F"/>
          <w:kern w:val="0"/>
          <w:sz w:val="24"/>
          <w:szCs w:val="24"/>
          <w14:ligatures w14:val="none"/>
        </w:rPr>
        <w:t>Straddle:</w:t>
      </w:r>
    </w:p>
    <w:p w14:paraId="056D2EE8" w14:textId="77777777" w:rsidR="00AC4E15" w:rsidRPr="00BF15F4" w:rsidRDefault="00D74ED2" w:rsidP="00BF15F4">
      <w:pPr>
        <w:pStyle w:val="ListParagraph"/>
        <w:numPr>
          <w:ilvl w:val="0"/>
          <w:numId w:val="62"/>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Select a Strike Price:</w:t>
      </w:r>
      <w:r w:rsidRPr="00BF15F4">
        <w:rPr>
          <w:rFonts w:ascii="Times New Roman" w:eastAsia="Times New Roman" w:hAnsi="Times New Roman" w:cs="Times New Roman"/>
          <w:color w:val="1F1F1F"/>
          <w:kern w:val="0"/>
          <w:sz w:val="24"/>
          <w:szCs w:val="24"/>
          <w14:ligatures w14:val="none"/>
        </w:rPr>
        <w:t> </w:t>
      </w:r>
      <w:r w:rsidR="00AC4E15" w:rsidRPr="00BF15F4">
        <w:rPr>
          <w:rFonts w:ascii="Times New Roman" w:eastAsia="Times New Roman" w:hAnsi="Times New Roman" w:cs="Times New Roman"/>
          <w:color w:val="1F1F1F"/>
          <w:kern w:val="0"/>
          <w:sz w:val="24"/>
          <w:szCs w:val="24"/>
          <w14:ligatures w14:val="none"/>
        </w:rPr>
        <w:t>Pick a strike price that, in your opinion, is around Lyft stock's current market value, which is about $16.00.</w:t>
      </w:r>
    </w:p>
    <w:p w14:paraId="139FCFCB" w14:textId="1659931B" w:rsidR="00D74ED2" w:rsidRPr="00BF15F4" w:rsidRDefault="00D74ED2" w:rsidP="00BF15F4">
      <w:pPr>
        <w:pStyle w:val="ListParagraph"/>
        <w:numPr>
          <w:ilvl w:val="0"/>
          <w:numId w:val="62"/>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Buy Call and Put Options:</w:t>
      </w:r>
      <w:r w:rsidR="00AC4E15" w:rsidRPr="00BF15F4">
        <w:rPr>
          <w:rFonts w:ascii="Times New Roman" w:eastAsia="Times New Roman" w:hAnsi="Times New Roman" w:cs="Times New Roman"/>
          <w:color w:val="1F1F1F"/>
          <w:kern w:val="0"/>
          <w:sz w:val="24"/>
          <w:szCs w:val="24"/>
          <w14:ligatures w14:val="none"/>
        </w:rPr>
        <w:t xml:space="preserve"> </w:t>
      </w:r>
      <w:r w:rsidR="00AC4E15" w:rsidRPr="00BF15F4">
        <w:rPr>
          <w:rFonts w:ascii="Times New Roman" w:eastAsia="Times New Roman" w:hAnsi="Times New Roman" w:cs="Times New Roman"/>
          <w:color w:val="1F1F1F"/>
          <w:kern w:val="0"/>
          <w:sz w:val="24"/>
          <w:szCs w:val="24"/>
          <w14:ligatures w14:val="none"/>
        </w:rPr>
        <w:t>For example, if you want to speculate on Lyft stock at $16 per share, you can get a call option as well as a put option with the same strike price.</w:t>
      </w:r>
    </w:p>
    <w:p w14:paraId="74F35B49" w14:textId="77777777" w:rsidR="00D74ED2" w:rsidRPr="00D74ED2" w:rsidRDefault="00D74ED2" w:rsidP="00AC4E15">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D74ED2">
        <w:rPr>
          <w:rFonts w:ascii="Times New Roman" w:eastAsia="Times New Roman" w:hAnsi="Times New Roman" w:cs="Times New Roman"/>
          <w:b/>
          <w:bCs/>
          <w:color w:val="1F1F1F"/>
          <w:kern w:val="0"/>
          <w:sz w:val="24"/>
          <w:szCs w:val="24"/>
          <w14:ligatures w14:val="none"/>
        </w:rPr>
        <w:t>Rationale:</w:t>
      </w:r>
    </w:p>
    <w:p w14:paraId="50C74B5E" w14:textId="18DD550D" w:rsidR="00AC4E15" w:rsidRPr="00AC4E15" w:rsidRDefault="00AC4E15" w:rsidP="00AC4E15">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C4E15">
        <w:rPr>
          <w:rFonts w:ascii="Times New Roman" w:eastAsia="Times New Roman" w:hAnsi="Times New Roman" w:cs="Times New Roman"/>
          <w:color w:val="1F1F1F"/>
          <w:kern w:val="0"/>
          <w:sz w:val="24"/>
          <w:szCs w:val="24"/>
          <w14:ligatures w14:val="none"/>
        </w:rPr>
        <w:t>In the event that there is a significant shift in the price of Lyft's stock before to the expiration of the options, the straddle will be lucrative. In situations when there is a high probability that the stock price will see significant volatility, this strategy will be profitable.</w:t>
      </w:r>
    </w:p>
    <w:p w14:paraId="61633D79" w14:textId="309B4C35" w:rsidR="00D74ED2" w:rsidRPr="00D74ED2" w:rsidRDefault="00D74ED2" w:rsidP="00AC4E15">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D74ED2">
        <w:rPr>
          <w:rFonts w:ascii="Times New Roman" w:eastAsia="Times New Roman" w:hAnsi="Times New Roman" w:cs="Times New Roman"/>
          <w:b/>
          <w:bCs/>
          <w:color w:val="1F1F1F"/>
          <w:kern w:val="0"/>
          <w:sz w:val="24"/>
          <w:szCs w:val="24"/>
          <w14:ligatures w14:val="none"/>
        </w:rPr>
        <w:t>Example:</w:t>
      </w:r>
    </w:p>
    <w:p w14:paraId="45F793FB" w14:textId="793A6702" w:rsidR="00AC4E15" w:rsidRPr="00AC4E15" w:rsidRDefault="00AC4E15" w:rsidP="00AC4E15">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AC4E15">
        <w:rPr>
          <w:rFonts w:ascii="Times New Roman" w:eastAsia="Times New Roman" w:hAnsi="Times New Roman" w:cs="Times New Roman"/>
          <w:color w:val="1F1F1F"/>
          <w:kern w:val="0"/>
          <w:sz w:val="24"/>
          <w:szCs w:val="24"/>
          <w14:ligatures w14:val="none"/>
        </w:rPr>
        <w:t>Imagine for a moment that there is a significant piece of news on the horizon that has the potential to play a significant role in determining the price of Lyft stock, which is now trading at $16.00.</w:t>
      </w:r>
      <w:r w:rsidRPr="00AC4E15">
        <w:rPr>
          <w:rFonts w:ascii="Times New Roman" w:eastAsia="Times New Roman" w:hAnsi="Times New Roman" w:cs="Times New Roman"/>
          <w:color w:val="1F1F1F"/>
          <w:kern w:val="0"/>
          <w:sz w:val="24"/>
          <w:szCs w:val="24"/>
          <w14:ligatures w14:val="none"/>
        </w:rPr>
        <w:t xml:space="preserve"> </w:t>
      </w:r>
      <w:r w:rsidRPr="00AC4E15">
        <w:rPr>
          <w:rFonts w:ascii="Times New Roman" w:eastAsia="Times New Roman" w:hAnsi="Times New Roman" w:cs="Times New Roman"/>
          <w:color w:val="1F1F1F"/>
          <w:kern w:val="0"/>
          <w:sz w:val="24"/>
          <w:szCs w:val="24"/>
          <w14:ligatures w14:val="none"/>
        </w:rPr>
        <w:t>For a $</w:t>
      </w:r>
      <w:r>
        <w:rPr>
          <w:rFonts w:ascii="Times New Roman" w:eastAsia="Times New Roman" w:hAnsi="Times New Roman" w:cs="Times New Roman"/>
          <w:color w:val="1F1F1F"/>
          <w:kern w:val="0"/>
          <w:sz w:val="24"/>
          <w:szCs w:val="24"/>
          <w14:ligatures w14:val="none"/>
        </w:rPr>
        <w:t>16</w:t>
      </w:r>
      <w:r w:rsidRPr="00AC4E15">
        <w:rPr>
          <w:rFonts w:ascii="Times New Roman" w:eastAsia="Times New Roman" w:hAnsi="Times New Roman" w:cs="Times New Roman"/>
          <w:color w:val="1F1F1F"/>
          <w:kern w:val="0"/>
          <w:sz w:val="24"/>
          <w:szCs w:val="24"/>
          <w14:ligatures w14:val="none"/>
        </w:rPr>
        <w:t>.00 premium, you purchase a $16 call option and a $16 put option on Lyft.</w:t>
      </w:r>
    </w:p>
    <w:p w14:paraId="6A60DFA7" w14:textId="77777777" w:rsidR="00D74ED2" w:rsidRPr="00D74ED2" w:rsidRDefault="00D74ED2" w:rsidP="00AC4E15">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D74ED2">
        <w:rPr>
          <w:rFonts w:ascii="Times New Roman" w:eastAsia="Times New Roman" w:hAnsi="Times New Roman" w:cs="Times New Roman"/>
          <w:b/>
          <w:bCs/>
          <w:color w:val="1F1F1F"/>
          <w:kern w:val="0"/>
          <w:sz w:val="24"/>
          <w:szCs w:val="24"/>
          <w14:ligatures w14:val="none"/>
        </w:rPr>
        <w:t>Profit Scenario 1 (Stock Price Increases):</w:t>
      </w:r>
    </w:p>
    <w:p w14:paraId="64E900CC" w14:textId="4BEB2533" w:rsidR="00AC4E15" w:rsidRPr="00AC4E15" w:rsidRDefault="00AC4E15" w:rsidP="00AC4E15">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C4E15">
        <w:rPr>
          <w:rFonts w:ascii="Times New Roman" w:eastAsia="Times New Roman" w:hAnsi="Times New Roman" w:cs="Times New Roman"/>
          <w:color w:val="1F1F1F"/>
          <w:kern w:val="0"/>
          <w:sz w:val="24"/>
          <w:szCs w:val="24"/>
          <w14:ligatures w14:val="none"/>
        </w:rPr>
        <w:t>If Lyft's stock price hits $</w:t>
      </w:r>
      <w:r>
        <w:rPr>
          <w:rFonts w:ascii="Times New Roman" w:eastAsia="Times New Roman" w:hAnsi="Times New Roman" w:cs="Times New Roman"/>
          <w:color w:val="1F1F1F"/>
          <w:kern w:val="0"/>
          <w:sz w:val="24"/>
          <w:szCs w:val="24"/>
          <w14:ligatures w14:val="none"/>
        </w:rPr>
        <w:t>20</w:t>
      </w:r>
      <w:r w:rsidRPr="00AC4E15">
        <w:rPr>
          <w:rFonts w:ascii="Times New Roman" w:eastAsia="Times New Roman" w:hAnsi="Times New Roman" w:cs="Times New Roman"/>
          <w:color w:val="1F1F1F"/>
          <w:kern w:val="0"/>
          <w:sz w:val="24"/>
          <w:szCs w:val="24"/>
          <w14:ligatures w14:val="none"/>
        </w:rPr>
        <w:t>.00 by the time your put option expires, you will be able to profit from your call option, which may compensate for the loss you experienced from your put option.</w:t>
      </w:r>
    </w:p>
    <w:p w14:paraId="089481B0" w14:textId="6ECDB6C1" w:rsidR="00D74ED2" w:rsidRPr="00D74ED2" w:rsidRDefault="00D74ED2" w:rsidP="00AC4E15">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D74ED2">
        <w:rPr>
          <w:rFonts w:ascii="Times New Roman" w:eastAsia="Times New Roman" w:hAnsi="Times New Roman" w:cs="Times New Roman"/>
          <w:b/>
          <w:bCs/>
          <w:color w:val="1F1F1F"/>
          <w:kern w:val="0"/>
          <w:sz w:val="24"/>
          <w:szCs w:val="24"/>
          <w14:ligatures w14:val="none"/>
        </w:rPr>
        <w:t>Profit Scenario 2 (Stock Price Decreases):</w:t>
      </w:r>
    </w:p>
    <w:p w14:paraId="5A8194D3" w14:textId="417AD94E" w:rsidR="00DC2413" w:rsidRDefault="00AC4E15" w:rsidP="00AC4E15">
      <w:pPr>
        <w:jc w:val="both"/>
        <w:rPr>
          <w:rFonts w:ascii="Times New Roman" w:hAnsi="Times New Roman" w:cs="Times New Roman"/>
          <w:sz w:val="24"/>
          <w:szCs w:val="24"/>
        </w:rPr>
      </w:pPr>
      <w:r w:rsidRPr="00AC4E15">
        <w:rPr>
          <w:rFonts w:ascii="Times New Roman" w:hAnsi="Times New Roman" w:cs="Times New Roman"/>
          <w:sz w:val="24"/>
          <w:szCs w:val="24"/>
        </w:rPr>
        <w:t>In the event that Lyft's stock price falls below $</w:t>
      </w:r>
      <w:r>
        <w:rPr>
          <w:rFonts w:ascii="Times New Roman" w:hAnsi="Times New Roman" w:cs="Times New Roman"/>
          <w:sz w:val="24"/>
          <w:szCs w:val="24"/>
        </w:rPr>
        <w:t>12</w:t>
      </w:r>
      <w:r w:rsidRPr="00AC4E15">
        <w:rPr>
          <w:rFonts w:ascii="Times New Roman" w:hAnsi="Times New Roman" w:cs="Times New Roman"/>
          <w:sz w:val="24"/>
          <w:szCs w:val="24"/>
        </w:rPr>
        <w:t>.00 by the time your put option expires, you stand to earn from it, which might potentially compensate for the loss you incurred from your call option.</w:t>
      </w:r>
    </w:p>
    <w:p w14:paraId="3189BF31" w14:textId="77777777" w:rsidR="007E1E1E" w:rsidRPr="00AC4E15" w:rsidRDefault="007E1E1E" w:rsidP="00AC4E15">
      <w:pPr>
        <w:jc w:val="both"/>
        <w:rPr>
          <w:rFonts w:ascii="Times New Roman" w:hAnsi="Times New Roman" w:cs="Times New Roman"/>
          <w:sz w:val="24"/>
          <w:szCs w:val="24"/>
        </w:rPr>
      </w:pPr>
    </w:p>
    <w:p w14:paraId="1BD5FB4F" w14:textId="64CD0CB7" w:rsidR="00D74ED2" w:rsidRPr="007E1E1E" w:rsidRDefault="007E1E1E" w:rsidP="00DC2413">
      <w:pPr>
        <w:rPr>
          <w:rFonts w:cstheme="minorHAnsi"/>
          <w:b/>
          <w:bCs/>
          <w:i/>
          <w:iCs/>
          <w:sz w:val="36"/>
          <w:szCs w:val="36"/>
          <w:u w:val="single"/>
        </w:rPr>
      </w:pPr>
      <w:r w:rsidRPr="007E1E1E">
        <w:rPr>
          <w:rFonts w:cstheme="minorHAnsi"/>
          <w:b/>
          <w:bCs/>
          <w:i/>
          <w:iCs/>
          <w:sz w:val="36"/>
          <w:szCs w:val="36"/>
          <w:u w:val="single"/>
        </w:rPr>
        <w:t>Part 4</w:t>
      </w:r>
    </w:p>
    <w:p w14:paraId="423F90C4" w14:textId="77F256A3" w:rsidR="00D74ED2" w:rsidRPr="007E1E1E" w:rsidRDefault="00D75FA4" w:rsidP="007E1E1E">
      <w:pPr>
        <w:pStyle w:val="Heading2"/>
        <w:rPr>
          <w:rFonts w:asciiTheme="majorHAnsi" w:hAnsiTheme="majorHAnsi" w:cstheme="majorHAnsi"/>
          <w:sz w:val="28"/>
          <w:szCs w:val="28"/>
          <w:u w:val="single"/>
        </w:rPr>
      </w:pPr>
      <w:bookmarkStart w:id="14" w:name="_Toc164561306"/>
      <w:r w:rsidRPr="007E1E1E">
        <w:rPr>
          <w:rFonts w:asciiTheme="majorHAnsi" w:hAnsiTheme="majorHAnsi" w:cstheme="majorHAnsi"/>
          <w:sz w:val="32"/>
          <w:szCs w:val="32"/>
          <w:u w:val="single"/>
        </w:rPr>
        <w:t>Performance of 10Y note</w:t>
      </w:r>
      <w:bookmarkEnd w:id="14"/>
    </w:p>
    <w:p w14:paraId="72EECFBE" w14:textId="4F3991AE" w:rsidR="00733C7D" w:rsidRPr="00091CBC" w:rsidRDefault="00091CBC" w:rsidP="00091CBC">
      <w:pPr>
        <w:jc w:val="both"/>
        <w:rPr>
          <w:rFonts w:ascii="Times New Roman" w:eastAsia="Times New Roman" w:hAnsi="Times New Roman" w:cs="Times New Roman"/>
          <w:color w:val="1F1F1F"/>
          <w:kern w:val="0"/>
          <w:sz w:val="24"/>
          <w:szCs w:val="24"/>
          <w14:ligatures w14:val="none"/>
        </w:rPr>
      </w:pPr>
      <w:r w:rsidRPr="00091CBC">
        <w:rPr>
          <w:rFonts w:ascii="Times New Roman" w:eastAsia="Times New Roman" w:hAnsi="Times New Roman" w:cs="Times New Roman"/>
          <w:color w:val="1F1F1F"/>
          <w:kern w:val="0"/>
          <w:sz w:val="24"/>
          <w:szCs w:val="24"/>
          <w14:ligatures w14:val="none"/>
        </w:rPr>
        <w:t>Considering that Uber is a ride-hailing company, the company does not issue bonds. It is common practice for governments and corporations to issue 10-year notes as a kind of debt security in order to facilitate the process of borrowing money. Companies like Uber get finance via the purchase of stocks rather than bonds.</w:t>
      </w:r>
    </w:p>
    <w:p w14:paraId="1DBAE6E4" w14:textId="77777777" w:rsidR="00733C7D" w:rsidRDefault="00733C7D" w:rsidP="00DC2413"/>
    <w:p w14:paraId="74FDAA47" w14:textId="4D060B3E" w:rsidR="00D75FA4" w:rsidRPr="007E1E1E" w:rsidRDefault="007E1E1E" w:rsidP="007E1E1E">
      <w:pPr>
        <w:pStyle w:val="Heading2"/>
        <w:rPr>
          <w:rFonts w:asciiTheme="majorHAnsi" w:hAnsiTheme="majorHAnsi" w:cstheme="majorHAnsi"/>
          <w:sz w:val="28"/>
          <w:szCs w:val="28"/>
          <w:u w:val="single"/>
        </w:rPr>
      </w:pPr>
      <w:bookmarkStart w:id="15" w:name="_Toc164561307"/>
      <w:r w:rsidRPr="007E1E1E">
        <w:rPr>
          <w:rFonts w:asciiTheme="majorHAnsi" w:hAnsiTheme="majorHAnsi" w:cstheme="majorHAnsi"/>
          <w:sz w:val="32"/>
          <w:szCs w:val="32"/>
          <w:u w:val="single"/>
        </w:rPr>
        <w:t>I</w:t>
      </w:r>
      <w:r w:rsidR="00733C7D" w:rsidRPr="007E1E1E">
        <w:rPr>
          <w:rFonts w:asciiTheme="majorHAnsi" w:hAnsiTheme="majorHAnsi" w:cstheme="majorHAnsi"/>
          <w:sz w:val="32"/>
          <w:szCs w:val="32"/>
          <w:u w:val="single"/>
        </w:rPr>
        <w:t>mpact of changes in the yield upon consumer debt</w:t>
      </w:r>
      <w:bookmarkEnd w:id="15"/>
    </w:p>
    <w:p w14:paraId="1A016172" w14:textId="7CBEC9DC" w:rsidR="00091CBC" w:rsidRPr="00091CBC" w:rsidRDefault="00091CBC" w:rsidP="00091CBC">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091CBC">
        <w:rPr>
          <w:rFonts w:ascii="Times New Roman" w:eastAsia="Times New Roman" w:hAnsi="Times New Roman" w:cs="Times New Roman"/>
          <w:color w:val="1F1F1F"/>
          <w:kern w:val="0"/>
          <w:sz w:val="24"/>
          <w:szCs w:val="24"/>
          <w14:ligatures w14:val="none"/>
        </w:rPr>
        <w:t>The 10-year Treasury note is the name given to the bonds that are issued by the Treasury Department of the United States of America. Due to the fact that it reflects the risk-free rate of return in its yield, it has an effect on borrowing rates throughout the country. Consumer debt may be affected in the following ways if there is a change in the yield on the 10-year note:</w:t>
      </w:r>
    </w:p>
    <w:p w14:paraId="1D2EEDCA" w14:textId="6DAFDAFA" w:rsidR="00733C7D" w:rsidRPr="00733C7D" w:rsidRDefault="007E1E1E" w:rsidP="00733C7D">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Pr>
          <w:rFonts w:ascii="Times New Roman" w:eastAsia="Times New Roman" w:hAnsi="Times New Roman" w:cs="Times New Roman"/>
          <w:b/>
          <w:bCs/>
          <w:color w:val="1F1F1F"/>
          <w:kern w:val="0"/>
          <w:sz w:val="24"/>
          <w:szCs w:val="24"/>
          <w14:ligatures w14:val="none"/>
        </w:rPr>
        <w:t xml:space="preserve">Rising </w:t>
      </w:r>
      <w:proofErr w:type="spellStart"/>
      <w:r>
        <w:rPr>
          <w:rFonts w:ascii="Times New Roman" w:eastAsia="Times New Roman" w:hAnsi="Times New Roman" w:cs="Times New Roman"/>
          <w:b/>
          <w:bCs/>
          <w:color w:val="1F1F1F"/>
          <w:kern w:val="0"/>
          <w:sz w:val="24"/>
          <w:szCs w:val="24"/>
          <w14:ligatures w14:val="none"/>
        </w:rPr>
        <w:t>yeilds</w:t>
      </w:r>
      <w:proofErr w:type="spellEnd"/>
      <w:r>
        <w:rPr>
          <w:rFonts w:ascii="Times New Roman" w:eastAsia="Times New Roman" w:hAnsi="Times New Roman" w:cs="Times New Roman"/>
          <w:b/>
          <w:bCs/>
          <w:color w:val="1F1F1F"/>
          <w:kern w:val="0"/>
          <w:sz w:val="24"/>
          <w:szCs w:val="24"/>
          <w14:ligatures w14:val="none"/>
        </w:rPr>
        <w:t>:</w:t>
      </w:r>
    </w:p>
    <w:p w14:paraId="2C650F16" w14:textId="5CBD63C4" w:rsidR="00733C7D" w:rsidRPr="00BF15F4" w:rsidRDefault="00733C7D" w:rsidP="00BF15F4">
      <w:pPr>
        <w:pStyle w:val="ListParagraph"/>
        <w:numPr>
          <w:ilvl w:val="0"/>
          <w:numId w:val="63"/>
        </w:numPr>
        <w:shd w:val="clear" w:color="auto" w:fill="FFFFFF"/>
        <w:spacing w:before="100" w:beforeAutospacing="1" w:after="100" w:afterAutospacing="1" w:line="240" w:lineRule="auto"/>
        <w:jc w:val="both"/>
        <w:rPr>
          <w:rFonts w:ascii="Arial" w:eastAsia="Times New Roman" w:hAnsi="Arial" w:cs="Arial"/>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Higher Interest Rates:</w:t>
      </w:r>
      <w:r w:rsidRPr="00BF15F4">
        <w:rPr>
          <w:rFonts w:ascii="Times New Roman" w:eastAsia="Times New Roman" w:hAnsi="Times New Roman" w:cs="Times New Roman"/>
          <w:color w:val="1F1F1F"/>
          <w:kern w:val="0"/>
          <w:sz w:val="24"/>
          <w:szCs w:val="24"/>
          <w14:ligatures w14:val="none"/>
        </w:rPr>
        <w:t xml:space="preserve"> </w:t>
      </w:r>
      <w:r w:rsidR="00091CBC" w:rsidRPr="00BF15F4">
        <w:rPr>
          <w:rFonts w:ascii="Times New Roman" w:eastAsia="Times New Roman" w:hAnsi="Times New Roman" w:cs="Times New Roman"/>
          <w:color w:val="1F1F1F"/>
          <w:kern w:val="0"/>
          <w:sz w:val="24"/>
          <w:szCs w:val="24"/>
          <w14:ligatures w14:val="none"/>
        </w:rPr>
        <w:t>A rise in the yield on the 10-year note is often seen as a signal representing the expectation of future economic growth and inflation. If the Federal Reserve makes the decision to raise interest rates, it will be easier to keep inflation under control. As interest rates continue to climb, expenses associated with consumer indebtedness, such as mortgages, auto loans, and credit card balances, become more expensive</w:t>
      </w:r>
      <w:r w:rsidR="00BF15F4" w:rsidRPr="00BF15F4">
        <w:rPr>
          <w:rFonts w:ascii="Times New Roman" w:eastAsia="Times New Roman" w:hAnsi="Times New Roman" w:cs="Times New Roman"/>
          <w:color w:val="1F1F1F"/>
          <w:kern w:val="0"/>
          <w:sz w:val="24"/>
          <w:szCs w:val="24"/>
          <w14:ligatures w14:val="none"/>
        </w:rPr>
        <w:t xml:space="preserve"> </w:t>
      </w:r>
      <w:r w:rsidR="00BF15F4" w:rsidRPr="00BF15F4">
        <w:rPr>
          <w:rFonts w:ascii="Times New Roman" w:eastAsia="Times New Roman" w:hAnsi="Times New Roman" w:cs="Times New Roman"/>
          <w:color w:val="1F1F1F"/>
          <w:kern w:val="0"/>
          <w:sz w:val="24"/>
          <w:szCs w:val="24"/>
          <w14:ligatures w14:val="none"/>
        </w:rPr>
        <w:t>(The Federal Reserve System, n.d.)</w:t>
      </w:r>
      <w:r w:rsidRPr="00BF15F4">
        <w:rPr>
          <w:rFonts w:ascii="Arial" w:eastAsia="Times New Roman" w:hAnsi="Arial" w:cs="Arial"/>
          <w:color w:val="1F1F1F"/>
          <w:kern w:val="0"/>
          <w:sz w:val="24"/>
          <w:szCs w:val="24"/>
          <w14:ligatures w14:val="none"/>
        </w:rPr>
        <w:t xml:space="preserve">. </w:t>
      </w:r>
      <w:r w:rsidR="00091CBC" w:rsidRPr="00BF15F4">
        <w:rPr>
          <w:rFonts w:ascii="Times New Roman" w:eastAsia="Times New Roman" w:hAnsi="Times New Roman" w:cs="Times New Roman"/>
          <w:color w:val="1F1F1F"/>
          <w:kern w:val="0"/>
          <w:sz w:val="24"/>
          <w:szCs w:val="24"/>
          <w14:ligatures w14:val="none"/>
        </w:rPr>
        <w:t>Because of this, there is a decreased likelihood that individuals would get loans or refinance their existing loans, which may lead to a reduction in consumer expenditure.</w:t>
      </w:r>
    </w:p>
    <w:p w14:paraId="3C009B61" w14:textId="7407B7F7" w:rsidR="00733C7D" w:rsidRPr="00BF15F4" w:rsidRDefault="00733C7D" w:rsidP="00BF15F4">
      <w:pPr>
        <w:pStyle w:val="ListParagraph"/>
        <w:numPr>
          <w:ilvl w:val="0"/>
          <w:numId w:val="63"/>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Shifting Investment Preferences:</w:t>
      </w:r>
      <w:r w:rsidRPr="00BF15F4">
        <w:rPr>
          <w:rFonts w:ascii="Times New Roman" w:eastAsia="Times New Roman" w:hAnsi="Times New Roman" w:cs="Times New Roman"/>
          <w:color w:val="1F1F1F"/>
          <w:kern w:val="0"/>
          <w:sz w:val="24"/>
          <w:szCs w:val="24"/>
          <w14:ligatures w14:val="none"/>
        </w:rPr>
        <w:t xml:space="preserve"> </w:t>
      </w:r>
      <w:r w:rsidR="00091CBC" w:rsidRPr="00BF15F4">
        <w:rPr>
          <w:rFonts w:ascii="Times New Roman" w:eastAsia="Times New Roman" w:hAnsi="Times New Roman" w:cs="Times New Roman"/>
          <w:color w:val="1F1F1F"/>
          <w:kern w:val="0"/>
          <w:sz w:val="24"/>
          <w:szCs w:val="24"/>
          <w14:ligatures w14:val="none"/>
        </w:rPr>
        <w:t xml:space="preserve">It is possible that investors may move away from riskier assets such as high-yield corporate bonds in </w:t>
      </w:r>
      <w:r w:rsidR="00091CBC" w:rsidRPr="00BF15F4">
        <w:rPr>
          <w:rFonts w:ascii="Times New Roman" w:eastAsia="Times New Roman" w:hAnsi="Times New Roman" w:cs="Times New Roman"/>
          <w:color w:val="1F1F1F"/>
          <w:kern w:val="0"/>
          <w:sz w:val="24"/>
          <w:szCs w:val="24"/>
          <w14:ligatures w14:val="none"/>
        </w:rPr>
        <w:t>favor</w:t>
      </w:r>
      <w:r w:rsidR="00091CBC" w:rsidRPr="00BF15F4">
        <w:rPr>
          <w:rFonts w:ascii="Times New Roman" w:eastAsia="Times New Roman" w:hAnsi="Times New Roman" w:cs="Times New Roman"/>
          <w:color w:val="1F1F1F"/>
          <w:kern w:val="0"/>
          <w:sz w:val="24"/>
          <w:szCs w:val="24"/>
          <w14:ligatures w14:val="none"/>
        </w:rPr>
        <w:t xml:space="preserve"> of the </w:t>
      </w:r>
      <w:r w:rsidR="00091CBC" w:rsidRPr="00BF15F4">
        <w:rPr>
          <w:rFonts w:ascii="Times New Roman" w:eastAsia="Times New Roman" w:hAnsi="Times New Roman" w:cs="Times New Roman"/>
          <w:color w:val="1F1F1F"/>
          <w:kern w:val="0"/>
          <w:sz w:val="24"/>
          <w:szCs w:val="24"/>
          <w14:ligatures w14:val="none"/>
        </w:rPr>
        <w:t>safer</w:t>
      </w:r>
      <w:r w:rsidR="00091CBC" w:rsidRPr="00BF15F4">
        <w:rPr>
          <w:rFonts w:ascii="Times New Roman" w:eastAsia="Times New Roman" w:hAnsi="Times New Roman" w:cs="Times New Roman"/>
          <w:color w:val="1F1F1F"/>
          <w:kern w:val="0"/>
          <w:sz w:val="24"/>
          <w:szCs w:val="24"/>
          <w14:ligatures w14:val="none"/>
        </w:rPr>
        <w:t xml:space="preserve"> investments offered by the United States government bonds if the yield on the 10-year note were to increase. As a consequence of this reduction in the amount of credit that is accessible, lenders can become more selective or even hike the interest rates that they charge on consumer loans</w:t>
      </w:r>
      <w:r w:rsidR="00BF15F4" w:rsidRPr="00BF15F4">
        <w:rPr>
          <w:rFonts w:ascii="Times New Roman" w:eastAsia="Times New Roman" w:hAnsi="Times New Roman" w:cs="Times New Roman"/>
          <w:color w:val="1F1F1F"/>
          <w:kern w:val="0"/>
          <w:sz w:val="24"/>
          <w:szCs w:val="24"/>
          <w14:ligatures w14:val="none"/>
        </w:rPr>
        <w:t xml:space="preserve"> </w:t>
      </w:r>
      <w:r w:rsidR="00BF15F4" w:rsidRPr="00BF15F4">
        <w:rPr>
          <w:rFonts w:ascii="Times New Roman" w:eastAsia="Times New Roman" w:hAnsi="Times New Roman" w:cs="Times New Roman"/>
          <w:color w:val="1F1F1F"/>
          <w:kern w:val="0"/>
          <w:sz w:val="24"/>
          <w:szCs w:val="24"/>
          <w14:ligatures w14:val="none"/>
        </w:rPr>
        <w:t>(Mishkin, 2007)</w:t>
      </w:r>
      <w:r w:rsidR="00BF15F4" w:rsidRPr="00BF15F4">
        <w:rPr>
          <w:rFonts w:ascii="Times New Roman" w:eastAsia="Times New Roman" w:hAnsi="Times New Roman" w:cs="Times New Roman"/>
          <w:color w:val="1F1F1F"/>
          <w:kern w:val="0"/>
          <w:sz w:val="24"/>
          <w:szCs w:val="24"/>
          <w14:ligatures w14:val="none"/>
        </w:rPr>
        <w:t>.</w:t>
      </w:r>
    </w:p>
    <w:p w14:paraId="7E55B0A6" w14:textId="043BAB33" w:rsidR="00733C7D" w:rsidRPr="00733C7D" w:rsidRDefault="007E1E1E" w:rsidP="00733C7D">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7E1E1E">
        <w:rPr>
          <w:rFonts w:ascii="Times New Roman" w:eastAsia="Times New Roman" w:hAnsi="Times New Roman" w:cs="Times New Roman"/>
          <w:b/>
          <w:bCs/>
          <w:color w:val="1F1F1F"/>
          <w:kern w:val="0"/>
          <w:sz w:val="24"/>
          <w:szCs w:val="24"/>
          <w14:ligatures w14:val="none"/>
        </w:rPr>
        <w:t>Falling yields:</w:t>
      </w:r>
    </w:p>
    <w:p w14:paraId="3866DD65" w14:textId="54811596" w:rsidR="00733C7D" w:rsidRPr="00BF15F4" w:rsidRDefault="00733C7D" w:rsidP="00BF15F4">
      <w:pPr>
        <w:pStyle w:val="ListParagraph"/>
        <w:numPr>
          <w:ilvl w:val="0"/>
          <w:numId w:val="64"/>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t>Lower Interest Rates:</w:t>
      </w:r>
      <w:r w:rsidRPr="00BF15F4">
        <w:rPr>
          <w:rFonts w:ascii="Times New Roman" w:eastAsia="Times New Roman" w:hAnsi="Times New Roman" w:cs="Times New Roman"/>
          <w:color w:val="1F1F1F"/>
          <w:kern w:val="0"/>
          <w:sz w:val="24"/>
          <w:szCs w:val="24"/>
          <w14:ligatures w14:val="none"/>
        </w:rPr>
        <w:t xml:space="preserve"> </w:t>
      </w:r>
      <w:r w:rsidR="00091CBC" w:rsidRPr="00BF15F4">
        <w:rPr>
          <w:rFonts w:ascii="Times New Roman" w:eastAsia="Times New Roman" w:hAnsi="Times New Roman" w:cs="Times New Roman"/>
          <w:color w:val="1F1F1F"/>
          <w:kern w:val="0"/>
          <w:sz w:val="24"/>
          <w:szCs w:val="24"/>
          <w14:ligatures w14:val="none"/>
        </w:rPr>
        <w:t>Fears of a recession or a slowdown in economic activity might be indicated by a decrease in the yield on the 10-year Treasury note. There is a possibility that the Federal Reserve may opt to lower interest rates in order to stimulate further lending and investment. As a consequence of this, consumers will have the opportunity to borrow money at interest rates that are more reasonable, which may result in an increase in the amount of debt they carry.</w:t>
      </w:r>
    </w:p>
    <w:p w14:paraId="5289DFCC" w14:textId="362E1C24" w:rsidR="00091CBC" w:rsidRPr="00BF15F4" w:rsidRDefault="00733C7D" w:rsidP="00BF15F4">
      <w:pPr>
        <w:pStyle w:val="ListParagraph"/>
        <w:numPr>
          <w:ilvl w:val="0"/>
          <w:numId w:val="64"/>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BF15F4">
        <w:rPr>
          <w:rFonts w:ascii="Times New Roman" w:eastAsia="Times New Roman" w:hAnsi="Times New Roman" w:cs="Times New Roman"/>
          <w:b/>
          <w:bCs/>
          <w:color w:val="1F1F1F"/>
          <w:kern w:val="0"/>
          <w:sz w:val="24"/>
          <w:szCs w:val="24"/>
          <w14:ligatures w14:val="none"/>
        </w:rPr>
        <w:lastRenderedPageBreak/>
        <w:t>Increased Risk Appetite:</w:t>
      </w:r>
      <w:r w:rsidRPr="00BF15F4">
        <w:rPr>
          <w:rFonts w:ascii="Times New Roman" w:eastAsia="Times New Roman" w:hAnsi="Times New Roman" w:cs="Times New Roman"/>
          <w:color w:val="1F1F1F"/>
          <w:kern w:val="0"/>
          <w:sz w:val="24"/>
          <w:szCs w:val="24"/>
          <w14:ligatures w14:val="none"/>
        </w:rPr>
        <w:t xml:space="preserve"> </w:t>
      </w:r>
      <w:r w:rsidR="00091CBC" w:rsidRPr="00BF15F4">
        <w:rPr>
          <w:rFonts w:ascii="Times New Roman" w:eastAsia="Times New Roman" w:hAnsi="Times New Roman" w:cs="Times New Roman"/>
          <w:color w:val="1F1F1F"/>
          <w:kern w:val="0"/>
          <w:sz w:val="24"/>
          <w:szCs w:val="24"/>
          <w14:ligatures w14:val="none"/>
        </w:rPr>
        <w:t>If the 10-year note loses its appeal, investors may choose to seek out higher rates elsewhere, which might result in an increase in the amount of credit available to consumer lenders. It is possible that the outcome will be a loosening of lending standards or a fall in the interest rates on consumer loans, both of which would provide an additional incentive to borrow money.</w:t>
      </w:r>
    </w:p>
    <w:p w14:paraId="3968F64B" w14:textId="38D845BE" w:rsidR="00091CBC" w:rsidRPr="00091CBC" w:rsidRDefault="00091CBC" w:rsidP="00091CBC">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091CBC">
        <w:rPr>
          <w:rFonts w:ascii="Times New Roman" w:eastAsia="Times New Roman" w:hAnsi="Times New Roman" w:cs="Times New Roman"/>
          <w:color w:val="1F1F1F"/>
          <w:kern w:val="0"/>
          <w:sz w:val="24"/>
          <w:szCs w:val="24"/>
          <w14:ligatures w14:val="none"/>
        </w:rPr>
        <w:t>There are a number of factors that affect the effect on consumer debt, including levels of income, levels of consumer confidence, and the availability of credit. This is not always a simple task. Alterations in the 10-year rate have the potential to have an impact on the consumer debt market, namely on the demand for refinancing obligations.</w:t>
      </w:r>
    </w:p>
    <w:p w14:paraId="53AA21AC" w14:textId="4C5C0430" w:rsidR="00091CBC" w:rsidRPr="00091CBC" w:rsidRDefault="00091CBC" w:rsidP="00091CBC">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091CBC">
        <w:rPr>
          <w:rFonts w:ascii="Times New Roman" w:eastAsia="Times New Roman" w:hAnsi="Times New Roman" w:cs="Times New Roman"/>
          <w:color w:val="1F1F1F"/>
          <w:kern w:val="0"/>
          <w:sz w:val="24"/>
          <w:szCs w:val="24"/>
          <w14:ligatures w14:val="none"/>
        </w:rPr>
        <w:t xml:space="preserve">To </w:t>
      </w:r>
      <w:r w:rsidRPr="00091CBC">
        <w:rPr>
          <w:rFonts w:ascii="Times New Roman" w:eastAsia="Times New Roman" w:hAnsi="Times New Roman" w:cs="Times New Roman"/>
          <w:color w:val="1F1F1F"/>
          <w:kern w:val="0"/>
          <w:sz w:val="24"/>
          <w:szCs w:val="24"/>
          <w14:ligatures w14:val="none"/>
        </w:rPr>
        <w:t>summarize</w:t>
      </w:r>
      <w:r w:rsidRPr="00091CBC">
        <w:rPr>
          <w:rFonts w:ascii="Times New Roman" w:eastAsia="Times New Roman" w:hAnsi="Times New Roman" w:cs="Times New Roman"/>
          <w:color w:val="1F1F1F"/>
          <w:kern w:val="0"/>
          <w:sz w:val="24"/>
          <w:szCs w:val="24"/>
          <w14:ligatures w14:val="none"/>
        </w:rPr>
        <w:t>, the yield on the 10-year Treasury note is a significant component that plays a leading role in defining the present situation of consumer debt. If interest rates were to fall, it is possible that consumer debt would increase; nevertheless, if they were to rise, the cost of borrowing money would increase. However, there are a great deal of economic factors that influence the link, and the situation is rather convoluted.</w:t>
      </w:r>
    </w:p>
    <w:p w14:paraId="69F2F8A0" w14:textId="614581EA" w:rsidR="00D75FA4" w:rsidRDefault="002536E3" w:rsidP="002536E3">
      <w:pPr>
        <w:pStyle w:val="Heading1"/>
        <w:spacing w:line="360" w:lineRule="auto"/>
        <w:rPr>
          <w:b/>
          <w:bCs/>
          <w:color w:val="auto"/>
          <w:sz w:val="36"/>
          <w:szCs w:val="36"/>
        </w:rPr>
      </w:pPr>
      <w:bookmarkStart w:id="16" w:name="_Toc164561308"/>
      <w:r w:rsidRPr="002536E3">
        <w:rPr>
          <w:b/>
          <w:bCs/>
          <w:color w:val="auto"/>
          <w:sz w:val="36"/>
          <w:szCs w:val="36"/>
        </w:rPr>
        <w:t>Conclusions</w:t>
      </w:r>
      <w:r>
        <w:rPr>
          <w:b/>
          <w:bCs/>
          <w:color w:val="auto"/>
          <w:sz w:val="36"/>
          <w:szCs w:val="36"/>
        </w:rPr>
        <w:t>:</w:t>
      </w:r>
      <w:bookmarkEnd w:id="16"/>
    </w:p>
    <w:p w14:paraId="08DB4D97" w14:textId="2796C781" w:rsidR="002536E3" w:rsidRPr="002536E3" w:rsidRDefault="002536E3" w:rsidP="002536E3">
      <w:pPr>
        <w:jc w:val="both"/>
        <w:rPr>
          <w:rFonts w:ascii="Times New Roman" w:hAnsi="Times New Roman" w:cs="Times New Roman"/>
          <w:sz w:val="24"/>
          <w:szCs w:val="24"/>
        </w:rPr>
      </w:pPr>
      <w:r w:rsidRPr="002536E3">
        <w:rPr>
          <w:rFonts w:ascii="Times New Roman" w:hAnsi="Times New Roman" w:cs="Times New Roman"/>
          <w:sz w:val="24"/>
          <w:szCs w:val="24"/>
        </w:rPr>
        <w:t>The conclusion is that Uber, the market leader in ridesharing, is confronted with a variety of challenges, despite the fact that it has cutting-edge technology and a dedicated customer base. Uber went public for a number of reasons, the most important of which were to fund its development, to reward early investors and personnel with cash, and to capitalize on an advantageous market. Nevertheless, Uber's future is in grave danger due to the presence of competition, the classification of drivers, and the disruption of technology advancements. There have been fluctuations in the stock price of the corporation, with the most recent gain being in the year 2023. Throughout the bulk of the time period that was investigated, the Compound Annual Growth Rate (CAGR) of Uber has been lower than that of Lyft. The Sharpe Ratio indicates that Uber has a low risk-adjusted return, but the Treynor Ratio indicates that Uber has an excess return in comparison to market risk. However, borrowing rates may have an indirect influence on consumer debt and Uber ridership. Since Uber does not issue bonds, the yield on 10-year Treasury notes is not directly relevant to the firm. However, ridership and consumer debt may be affected by borrowing rates.</w:t>
      </w:r>
    </w:p>
    <w:p w14:paraId="08D283B8" w14:textId="77777777" w:rsidR="002536E3" w:rsidRDefault="002536E3" w:rsidP="00DC2413"/>
    <w:p w14:paraId="6A61BCE0" w14:textId="77777777" w:rsidR="002536E3" w:rsidRDefault="002536E3" w:rsidP="00DC2413"/>
    <w:p w14:paraId="5627F36E" w14:textId="77777777" w:rsidR="002536E3" w:rsidRDefault="002536E3" w:rsidP="00DC2413"/>
    <w:p w14:paraId="40E58E42" w14:textId="77777777" w:rsidR="002536E3" w:rsidRDefault="002536E3" w:rsidP="00DC2413"/>
    <w:p w14:paraId="2F508FF9" w14:textId="77777777" w:rsidR="002536E3" w:rsidRDefault="002536E3" w:rsidP="00DC2413"/>
    <w:p w14:paraId="3F919C15" w14:textId="77777777" w:rsidR="002536E3" w:rsidRDefault="002536E3" w:rsidP="00DC2413"/>
    <w:p w14:paraId="1E368189" w14:textId="77777777" w:rsidR="002536E3" w:rsidRDefault="002536E3" w:rsidP="00DC2413"/>
    <w:p w14:paraId="5E5E56DE" w14:textId="77777777" w:rsidR="002536E3" w:rsidRDefault="002536E3" w:rsidP="00DC2413"/>
    <w:p w14:paraId="3AD599BB" w14:textId="52985A1D" w:rsidR="002536E3" w:rsidRPr="002536E3" w:rsidRDefault="002536E3" w:rsidP="002536E3">
      <w:pPr>
        <w:pStyle w:val="Heading1"/>
        <w:spacing w:line="360" w:lineRule="auto"/>
        <w:rPr>
          <w:b/>
          <w:bCs/>
          <w:color w:val="auto"/>
          <w:sz w:val="36"/>
          <w:szCs w:val="36"/>
        </w:rPr>
      </w:pPr>
      <w:bookmarkStart w:id="17" w:name="_Toc164561309"/>
      <w:r w:rsidRPr="002536E3">
        <w:rPr>
          <w:b/>
          <w:bCs/>
          <w:color w:val="auto"/>
          <w:sz w:val="36"/>
          <w:szCs w:val="36"/>
        </w:rPr>
        <w:lastRenderedPageBreak/>
        <w:t>References</w:t>
      </w:r>
      <w:r>
        <w:rPr>
          <w:b/>
          <w:bCs/>
          <w:color w:val="auto"/>
          <w:sz w:val="36"/>
          <w:szCs w:val="36"/>
        </w:rPr>
        <w:t>:</w:t>
      </w:r>
      <w:bookmarkEnd w:id="17"/>
    </w:p>
    <w:p w14:paraId="31919D97" w14:textId="77777777" w:rsidR="002536E3" w:rsidRDefault="002536E3" w:rsidP="002536E3">
      <w:pPr>
        <w:pStyle w:val="NormalWeb"/>
        <w:spacing w:before="0" w:beforeAutospacing="0" w:after="240" w:afterAutospacing="0" w:line="360" w:lineRule="auto"/>
      </w:pPr>
      <w:r>
        <w:t xml:space="preserve">Branstetter, L. and Taylor, L. (2021). </w:t>
      </w:r>
      <w:r>
        <w:rPr>
          <w:i/>
          <w:iCs/>
        </w:rPr>
        <w:t xml:space="preserve">The Impact of </w:t>
      </w:r>
      <w:proofErr w:type="spellStart"/>
      <w:r>
        <w:rPr>
          <w:i/>
          <w:iCs/>
        </w:rPr>
        <w:t>Ridehailing</w:t>
      </w:r>
      <w:proofErr w:type="spellEnd"/>
      <w:r>
        <w:rPr>
          <w:i/>
          <w:iCs/>
        </w:rPr>
        <w:t xml:space="preserve"> on Income and Employment</w:t>
      </w:r>
      <w:r>
        <w:t>. [online] Available at: https://ppms.cit.cmu.edu/media/project_files/Final_Report_-_283.pdf [Accessed 20 Apr. 2024].</w:t>
      </w:r>
    </w:p>
    <w:p w14:paraId="3A5777A2" w14:textId="77777777" w:rsidR="002536E3" w:rsidRDefault="002536E3" w:rsidP="002536E3">
      <w:pPr>
        <w:pStyle w:val="NormalWeb"/>
        <w:spacing w:before="0" w:beforeAutospacing="0" w:after="240" w:afterAutospacing="0" w:line="360" w:lineRule="auto"/>
      </w:pPr>
      <w:r>
        <w:t xml:space="preserve">Divine, J. (2017). </w:t>
      </w:r>
      <w:r>
        <w:rPr>
          <w:i/>
          <w:iCs/>
        </w:rPr>
        <w:t>Why the Uber IPO Just Got Much More Attractive</w:t>
      </w:r>
      <w:r>
        <w:t>. [online] Available at: https://money.usnews.com/investing/articles/2017-06-23/uber-ipo.</w:t>
      </w:r>
    </w:p>
    <w:p w14:paraId="48954A28" w14:textId="77777777" w:rsidR="002536E3" w:rsidRDefault="002536E3" w:rsidP="002536E3">
      <w:pPr>
        <w:pStyle w:val="NormalWeb"/>
        <w:spacing w:before="0" w:beforeAutospacing="0" w:after="240" w:afterAutospacing="0" w:line="360" w:lineRule="auto"/>
      </w:pPr>
      <w:r>
        <w:t xml:space="preserve">Fagnant, D. and </w:t>
      </w:r>
      <w:proofErr w:type="spellStart"/>
      <w:r>
        <w:t>Kockelman</w:t>
      </w:r>
      <w:proofErr w:type="spellEnd"/>
      <w:r>
        <w:t xml:space="preserve">, K. (2015). </w:t>
      </w:r>
      <w:r>
        <w:rPr>
          <w:i/>
          <w:iCs/>
        </w:rPr>
        <w:t>(PDF) Preparing a nation for autonomous vehicles: Opportunities, barriers and policy recommendations</w:t>
      </w:r>
      <w:r>
        <w:t>. [online] ResearchGate. Available at: https://www.researchgate.net/publication/277025982_Preparing_a_nation_for_autonomous_vehicles_Opportunities_barriers_and_policy_recommendations.</w:t>
      </w:r>
    </w:p>
    <w:p w14:paraId="224AC53D" w14:textId="77777777" w:rsidR="002536E3" w:rsidRDefault="002536E3" w:rsidP="002536E3">
      <w:pPr>
        <w:pStyle w:val="NormalWeb"/>
        <w:spacing w:before="0" w:beforeAutospacing="0" w:after="240" w:afterAutospacing="0" w:line="360" w:lineRule="auto"/>
      </w:pPr>
      <w:proofErr w:type="spellStart"/>
      <w:r>
        <w:t>Jillani</w:t>
      </w:r>
      <w:proofErr w:type="spellEnd"/>
      <w:r>
        <w:t xml:space="preserve">, H., Zahid, H. and Rasool, N. (2021). </w:t>
      </w:r>
      <w:r>
        <w:rPr>
          <w:i/>
          <w:iCs/>
        </w:rPr>
        <w:t>Emergence of Application Based Transportation and its Impacts on Travelling Trends: A Case Study of Lahore</w:t>
      </w:r>
      <w:r>
        <w:t>. [online] Available at: https://www.researchgate.net/publication/350735599_Emergence_of_Application_Based_Transportation_and_its_Impacts_on_Travelling_Trends_A_Case_Study_of_Lahore.</w:t>
      </w:r>
    </w:p>
    <w:p w14:paraId="297D6D6F" w14:textId="77777777" w:rsidR="002536E3" w:rsidRDefault="002536E3" w:rsidP="002536E3">
      <w:pPr>
        <w:pStyle w:val="NormalWeb"/>
        <w:spacing w:before="0" w:beforeAutospacing="0" w:after="240" w:afterAutospacing="0" w:line="360" w:lineRule="auto"/>
      </w:pPr>
      <w:r>
        <w:t xml:space="preserve">Lahoti, N. (2019). </w:t>
      </w:r>
      <w:r>
        <w:rPr>
          <w:i/>
          <w:iCs/>
        </w:rPr>
        <w:t xml:space="preserve">Uber Business Model Explained: From Start to </w:t>
      </w:r>
      <w:proofErr w:type="gramStart"/>
      <w:r>
        <w:rPr>
          <w:i/>
          <w:iCs/>
        </w:rPr>
        <w:t xml:space="preserve">Finish </w:t>
      </w:r>
      <w:r>
        <w:t>.</w:t>
      </w:r>
      <w:proofErr w:type="gramEnd"/>
      <w:r>
        <w:t xml:space="preserve"> [online] </w:t>
      </w:r>
      <w:proofErr w:type="spellStart"/>
      <w:r>
        <w:t>Mobisoft</w:t>
      </w:r>
      <w:proofErr w:type="spellEnd"/>
      <w:r>
        <w:t xml:space="preserve"> Infotech. Available at: https://mobisoftinfotech.com/resources/blog/uber-business-model-explained/.</w:t>
      </w:r>
    </w:p>
    <w:p w14:paraId="4BDBFE9C" w14:textId="77777777" w:rsidR="002536E3" w:rsidRDefault="002536E3" w:rsidP="002536E3">
      <w:pPr>
        <w:pStyle w:val="NormalWeb"/>
        <w:spacing w:before="0" w:beforeAutospacing="0" w:after="240" w:afterAutospacing="0" w:line="360" w:lineRule="auto"/>
      </w:pPr>
      <w:r>
        <w:t xml:space="preserve">Lee, C. (2017). </w:t>
      </w:r>
      <w:r>
        <w:rPr>
          <w:i/>
          <w:iCs/>
        </w:rPr>
        <w:t>Dynamics of Ride Sharing Competition</w:t>
      </w:r>
      <w:r>
        <w:t>. [online] Available at: https://www.researchgate.net/publication/318393095_Dynamics_of_Ride_Sharing_Competition.</w:t>
      </w:r>
    </w:p>
    <w:p w14:paraId="51C384DB" w14:textId="77777777" w:rsidR="002536E3" w:rsidRDefault="002536E3" w:rsidP="002536E3">
      <w:pPr>
        <w:pStyle w:val="NormalWeb"/>
        <w:spacing w:before="0" w:beforeAutospacing="0" w:after="240" w:afterAutospacing="0" w:line="360" w:lineRule="auto"/>
      </w:pPr>
      <w:r>
        <w:t xml:space="preserve">Maxwell, T. (2019). </w:t>
      </w:r>
      <w:r>
        <w:rPr>
          <w:i/>
          <w:iCs/>
        </w:rPr>
        <w:t>Lyft and Uber’s plans to go public, explained</w:t>
      </w:r>
      <w:r>
        <w:t>. [online] PBS NewsHour. Available at: https://www.pbs.org/newshour/economy/making-sense/lyft-and-ubers-plans-to-go-public-explained.</w:t>
      </w:r>
    </w:p>
    <w:p w14:paraId="54CCABC3" w14:textId="77777777" w:rsidR="002536E3" w:rsidRDefault="002536E3" w:rsidP="002536E3">
      <w:pPr>
        <w:pStyle w:val="NormalWeb"/>
        <w:spacing w:before="0" w:beforeAutospacing="0" w:after="240" w:afterAutospacing="0" w:line="360" w:lineRule="auto"/>
      </w:pPr>
      <w:r>
        <w:t xml:space="preserve">Mishkin, F.S. (2007). </w:t>
      </w:r>
      <w:r>
        <w:rPr>
          <w:i/>
          <w:iCs/>
        </w:rPr>
        <w:t>The Economics of Money, Banking, and Financial Markets</w:t>
      </w:r>
      <w:r>
        <w:t>. Pearson Education.</w:t>
      </w:r>
    </w:p>
    <w:p w14:paraId="4AE62863" w14:textId="77777777" w:rsidR="002536E3" w:rsidRDefault="002536E3" w:rsidP="002536E3">
      <w:pPr>
        <w:pStyle w:val="NormalWeb"/>
        <w:spacing w:before="0" w:beforeAutospacing="0" w:after="240" w:afterAutospacing="0" w:line="360" w:lineRule="auto"/>
      </w:pPr>
      <w:r>
        <w:t xml:space="preserve">The Federal Reserve System (n.d.). </w:t>
      </w:r>
      <w:r>
        <w:rPr>
          <w:i/>
          <w:iCs/>
        </w:rPr>
        <w:t>Purpose Overview of the Federal Reserve System</w:t>
      </w:r>
      <w:r>
        <w:t>. [online] Available at: https://www.federalreserve.gov/aboutthefed/files/pf_1.pdf.</w:t>
      </w:r>
    </w:p>
    <w:p w14:paraId="7AA841EA" w14:textId="77777777" w:rsidR="002536E3" w:rsidRDefault="002536E3" w:rsidP="002536E3">
      <w:pPr>
        <w:pStyle w:val="NormalWeb"/>
        <w:spacing w:before="0" w:beforeAutospacing="0" w:after="240" w:afterAutospacing="0" w:line="360" w:lineRule="auto"/>
      </w:pPr>
      <w:r>
        <w:lastRenderedPageBreak/>
        <w:t xml:space="preserve">Zhang, Y. and Zhang, Y. (2018). Exploring the Relationship between Ridesharing and Public Transit Use in the United States. </w:t>
      </w:r>
      <w:r>
        <w:rPr>
          <w:i/>
          <w:iCs/>
        </w:rPr>
        <w:t>International Journal of Environmental Research and Public Health</w:t>
      </w:r>
      <w:r>
        <w:t xml:space="preserve">, 15(8), p.1763. </w:t>
      </w:r>
      <w:proofErr w:type="spellStart"/>
      <w:proofErr w:type="gramStart"/>
      <w:r>
        <w:t>doi:https</w:t>
      </w:r>
      <w:proofErr w:type="spellEnd"/>
      <w:r>
        <w:t>://doi.org/10.3390/ijerph15081763</w:t>
      </w:r>
      <w:proofErr w:type="gramEnd"/>
      <w:r>
        <w:t>.</w:t>
      </w:r>
    </w:p>
    <w:p w14:paraId="48E01F03" w14:textId="77777777" w:rsidR="002536E3" w:rsidRPr="00DC2413" w:rsidRDefault="002536E3" w:rsidP="00DC2413"/>
    <w:sectPr w:rsidR="002536E3" w:rsidRPr="00DC2413">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26E179" w14:textId="77777777" w:rsidR="00F80E3D" w:rsidRDefault="00F80E3D" w:rsidP="007E1E1E">
      <w:pPr>
        <w:spacing w:after="0" w:line="240" w:lineRule="auto"/>
      </w:pPr>
      <w:r>
        <w:separator/>
      </w:r>
    </w:p>
  </w:endnote>
  <w:endnote w:type="continuationSeparator" w:id="0">
    <w:p w14:paraId="5C9FACC7" w14:textId="77777777" w:rsidR="00F80E3D" w:rsidRDefault="00F80E3D" w:rsidP="007E1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93121" w14:textId="77777777" w:rsidR="00F80E3D" w:rsidRDefault="00F80E3D" w:rsidP="007E1E1E">
      <w:pPr>
        <w:spacing w:after="0" w:line="240" w:lineRule="auto"/>
      </w:pPr>
      <w:r>
        <w:separator/>
      </w:r>
    </w:p>
  </w:footnote>
  <w:footnote w:type="continuationSeparator" w:id="0">
    <w:p w14:paraId="69D3C87A" w14:textId="77777777" w:rsidR="00F80E3D" w:rsidRDefault="00F80E3D" w:rsidP="007E1E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954571"/>
      <w:docPartObj>
        <w:docPartGallery w:val="Page Numbers (Top of Page)"/>
        <w:docPartUnique/>
      </w:docPartObj>
    </w:sdtPr>
    <w:sdtEndPr>
      <w:rPr>
        <w:noProof/>
      </w:rPr>
    </w:sdtEndPr>
    <w:sdtContent>
      <w:p w14:paraId="5D3EB346" w14:textId="5F99006E" w:rsidR="007E1E1E" w:rsidRDefault="007E1E1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A62260" w14:textId="77777777" w:rsidR="007E1E1E" w:rsidRDefault="007E1E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15CB"/>
    <w:multiLevelType w:val="hybridMultilevel"/>
    <w:tmpl w:val="925A33A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600D9C"/>
    <w:multiLevelType w:val="multilevel"/>
    <w:tmpl w:val="9BBC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7E086B"/>
    <w:multiLevelType w:val="multilevel"/>
    <w:tmpl w:val="22B2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98264B"/>
    <w:multiLevelType w:val="multilevel"/>
    <w:tmpl w:val="935CC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C13608"/>
    <w:multiLevelType w:val="multilevel"/>
    <w:tmpl w:val="F8B62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A02EC2"/>
    <w:multiLevelType w:val="hybridMultilevel"/>
    <w:tmpl w:val="FDC04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D842E1"/>
    <w:multiLevelType w:val="multilevel"/>
    <w:tmpl w:val="00C86C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01092C"/>
    <w:multiLevelType w:val="multilevel"/>
    <w:tmpl w:val="30C8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2C6CEA"/>
    <w:multiLevelType w:val="multilevel"/>
    <w:tmpl w:val="4FFA9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7D2410"/>
    <w:multiLevelType w:val="multilevel"/>
    <w:tmpl w:val="D8EC6234"/>
    <w:lvl w:ilvl="0">
      <w:start w:val="1"/>
      <w:numFmt w:val="bullet"/>
      <w:lvlText w:val=""/>
      <w:lvlJc w:val="left"/>
      <w:pPr>
        <w:tabs>
          <w:tab w:val="num" w:pos="1080"/>
        </w:tabs>
        <w:ind w:left="1080" w:hanging="360"/>
      </w:pPr>
      <w:rPr>
        <w:rFonts w:ascii="Symbol" w:hAnsi="Symbol" w:hint="default"/>
        <w:color w:val="auto"/>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0" w15:restartNumberingAfterBreak="0">
    <w:nsid w:val="1CAC1E78"/>
    <w:multiLevelType w:val="multilevel"/>
    <w:tmpl w:val="34CCE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EA5091"/>
    <w:multiLevelType w:val="multilevel"/>
    <w:tmpl w:val="0E92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3F661A"/>
    <w:multiLevelType w:val="multilevel"/>
    <w:tmpl w:val="D8EC6234"/>
    <w:lvl w:ilvl="0">
      <w:start w:val="1"/>
      <w:numFmt w:val="bullet"/>
      <w:lvlText w:val=""/>
      <w:lvlJc w:val="left"/>
      <w:pPr>
        <w:tabs>
          <w:tab w:val="num" w:pos="360"/>
        </w:tabs>
        <w:ind w:left="360" w:hanging="360"/>
      </w:pPr>
      <w:rPr>
        <w:rFonts w:ascii="Symbol" w:hAnsi="Symbol" w:hint="default"/>
        <w:color w:val="auto"/>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207A1450"/>
    <w:multiLevelType w:val="multilevel"/>
    <w:tmpl w:val="DFE60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421145"/>
    <w:multiLevelType w:val="hybridMultilevel"/>
    <w:tmpl w:val="534AC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4092E15"/>
    <w:multiLevelType w:val="hybridMultilevel"/>
    <w:tmpl w:val="40B828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C130574"/>
    <w:multiLevelType w:val="multilevel"/>
    <w:tmpl w:val="D4EE2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6254F8"/>
    <w:multiLevelType w:val="hybridMultilevel"/>
    <w:tmpl w:val="6DBE9CA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F697C78"/>
    <w:multiLevelType w:val="multilevel"/>
    <w:tmpl w:val="CF70A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4F45E9"/>
    <w:multiLevelType w:val="hybridMultilevel"/>
    <w:tmpl w:val="5DF61D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35B5FC7"/>
    <w:multiLevelType w:val="hybridMultilevel"/>
    <w:tmpl w:val="664260B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6E062CF"/>
    <w:multiLevelType w:val="multilevel"/>
    <w:tmpl w:val="C70004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DC779D"/>
    <w:multiLevelType w:val="hybridMultilevel"/>
    <w:tmpl w:val="36EAFD7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3A064393"/>
    <w:multiLevelType w:val="hybridMultilevel"/>
    <w:tmpl w:val="4FCCCFF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3B5B4379"/>
    <w:multiLevelType w:val="hybridMultilevel"/>
    <w:tmpl w:val="02D4C6EE"/>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5" w15:restartNumberingAfterBreak="0">
    <w:nsid w:val="3C2D56C6"/>
    <w:multiLevelType w:val="hybridMultilevel"/>
    <w:tmpl w:val="6676325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3F06186B"/>
    <w:multiLevelType w:val="multilevel"/>
    <w:tmpl w:val="F0E63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0A5904"/>
    <w:multiLevelType w:val="hybridMultilevel"/>
    <w:tmpl w:val="0F220E4C"/>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8" w15:restartNumberingAfterBreak="0">
    <w:nsid w:val="43375783"/>
    <w:multiLevelType w:val="multilevel"/>
    <w:tmpl w:val="22A22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E33BA2"/>
    <w:multiLevelType w:val="hybridMultilevel"/>
    <w:tmpl w:val="F9665B54"/>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0" w15:restartNumberingAfterBreak="0">
    <w:nsid w:val="4EAF61D9"/>
    <w:multiLevelType w:val="multilevel"/>
    <w:tmpl w:val="0D223E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EC807C8"/>
    <w:multiLevelType w:val="hybridMultilevel"/>
    <w:tmpl w:val="45A8B09A"/>
    <w:lvl w:ilvl="0" w:tplc="0409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03E0E62"/>
    <w:multiLevelType w:val="hybridMultilevel"/>
    <w:tmpl w:val="DF961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05769C8"/>
    <w:multiLevelType w:val="hybridMultilevel"/>
    <w:tmpl w:val="DADCCF9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0EA7408"/>
    <w:multiLevelType w:val="multilevel"/>
    <w:tmpl w:val="3DDA6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1253CC1"/>
    <w:multiLevelType w:val="hybridMultilevel"/>
    <w:tmpl w:val="17101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20E31AC"/>
    <w:multiLevelType w:val="multilevel"/>
    <w:tmpl w:val="A7F04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2E019D3"/>
    <w:multiLevelType w:val="hybridMultilevel"/>
    <w:tmpl w:val="D0725EB2"/>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8" w15:restartNumberingAfterBreak="0">
    <w:nsid w:val="53FF37F7"/>
    <w:multiLevelType w:val="multilevel"/>
    <w:tmpl w:val="8C9C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5026B83"/>
    <w:multiLevelType w:val="hybridMultilevel"/>
    <w:tmpl w:val="BD6A2E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56FA011B"/>
    <w:multiLevelType w:val="multilevel"/>
    <w:tmpl w:val="36E44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75E02B8"/>
    <w:multiLevelType w:val="hybridMultilevel"/>
    <w:tmpl w:val="F3689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8062F7D"/>
    <w:multiLevelType w:val="multilevel"/>
    <w:tmpl w:val="32229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ADA30D2"/>
    <w:multiLevelType w:val="hybridMultilevel"/>
    <w:tmpl w:val="32D21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5C252E8E"/>
    <w:multiLevelType w:val="multilevel"/>
    <w:tmpl w:val="5E0450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E9A02AE"/>
    <w:multiLevelType w:val="multilevel"/>
    <w:tmpl w:val="E4A06F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224418C"/>
    <w:multiLevelType w:val="hybridMultilevel"/>
    <w:tmpl w:val="C172DE1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7" w15:restartNumberingAfterBreak="0">
    <w:nsid w:val="62A0673A"/>
    <w:multiLevelType w:val="multilevel"/>
    <w:tmpl w:val="EFFE9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2FC37B8"/>
    <w:multiLevelType w:val="multilevel"/>
    <w:tmpl w:val="8C028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449099E"/>
    <w:multiLevelType w:val="hybridMultilevel"/>
    <w:tmpl w:val="3808F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66307E9F"/>
    <w:multiLevelType w:val="hybridMultilevel"/>
    <w:tmpl w:val="D2A0BF2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1" w15:restartNumberingAfterBreak="0">
    <w:nsid w:val="693869A2"/>
    <w:multiLevelType w:val="multilevel"/>
    <w:tmpl w:val="755CB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D91326A"/>
    <w:multiLevelType w:val="multilevel"/>
    <w:tmpl w:val="B2026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02A4660"/>
    <w:multiLevelType w:val="hybridMultilevel"/>
    <w:tmpl w:val="2CF2A23E"/>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4" w15:restartNumberingAfterBreak="0">
    <w:nsid w:val="7068159C"/>
    <w:multiLevelType w:val="multilevel"/>
    <w:tmpl w:val="55DA2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1616EC0"/>
    <w:multiLevelType w:val="hybridMultilevel"/>
    <w:tmpl w:val="17EE47E8"/>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6" w15:restartNumberingAfterBreak="0">
    <w:nsid w:val="745A7C8C"/>
    <w:multiLevelType w:val="multilevel"/>
    <w:tmpl w:val="9512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4C21410"/>
    <w:multiLevelType w:val="multilevel"/>
    <w:tmpl w:val="1CEAB7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72D536B"/>
    <w:multiLevelType w:val="multilevel"/>
    <w:tmpl w:val="F20C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8744B94"/>
    <w:multiLevelType w:val="multilevel"/>
    <w:tmpl w:val="791C8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93420E7"/>
    <w:multiLevelType w:val="hybridMultilevel"/>
    <w:tmpl w:val="0C289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15:restartNumberingAfterBreak="0">
    <w:nsid w:val="7A0F5151"/>
    <w:multiLevelType w:val="multilevel"/>
    <w:tmpl w:val="8FFE9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C661A49"/>
    <w:multiLevelType w:val="hybridMultilevel"/>
    <w:tmpl w:val="E6AACB12"/>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3" w15:restartNumberingAfterBreak="0">
    <w:nsid w:val="7F95502D"/>
    <w:multiLevelType w:val="hybridMultilevel"/>
    <w:tmpl w:val="2FEA6D0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2017413801">
    <w:abstractNumId w:val="28"/>
  </w:num>
  <w:num w:numId="2" w16cid:durableId="763039543">
    <w:abstractNumId w:val="34"/>
  </w:num>
  <w:num w:numId="3" w16cid:durableId="58792483">
    <w:abstractNumId w:val="42"/>
  </w:num>
  <w:num w:numId="4" w16cid:durableId="573786141">
    <w:abstractNumId w:val="47"/>
  </w:num>
  <w:num w:numId="5" w16cid:durableId="1058285134">
    <w:abstractNumId w:val="40"/>
  </w:num>
  <w:num w:numId="6" w16cid:durableId="2106613020">
    <w:abstractNumId w:val="4"/>
  </w:num>
  <w:num w:numId="7" w16cid:durableId="1481850920">
    <w:abstractNumId w:val="26"/>
  </w:num>
  <w:num w:numId="8" w16cid:durableId="815102750">
    <w:abstractNumId w:val="59"/>
  </w:num>
  <w:num w:numId="9" w16cid:durableId="913248572">
    <w:abstractNumId w:val="61"/>
  </w:num>
  <w:num w:numId="10" w16cid:durableId="864711009">
    <w:abstractNumId w:val="48"/>
  </w:num>
  <w:num w:numId="11" w16cid:durableId="436947374">
    <w:abstractNumId w:val="45"/>
  </w:num>
  <w:num w:numId="12" w16cid:durableId="607589560">
    <w:abstractNumId w:val="44"/>
  </w:num>
  <w:num w:numId="13" w16cid:durableId="1070930501">
    <w:abstractNumId w:val="7"/>
  </w:num>
  <w:num w:numId="14" w16cid:durableId="1489665078">
    <w:abstractNumId w:val="21"/>
  </w:num>
  <w:num w:numId="15" w16cid:durableId="497036972">
    <w:abstractNumId w:val="18"/>
  </w:num>
  <w:num w:numId="16" w16cid:durableId="1297104661">
    <w:abstractNumId w:val="16"/>
  </w:num>
  <w:num w:numId="17" w16cid:durableId="128403945">
    <w:abstractNumId w:val="38"/>
  </w:num>
  <w:num w:numId="18" w16cid:durableId="1781562503">
    <w:abstractNumId w:val="10"/>
  </w:num>
  <w:num w:numId="19" w16cid:durableId="252663950">
    <w:abstractNumId w:val="13"/>
  </w:num>
  <w:num w:numId="20" w16cid:durableId="1998999056">
    <w:abstractNumId w:val="58"/>
  </w:num>
  <w:num w:numId="21" w16cid:durableId="1050615538">
    <w:abstractNumId w:val="8"/>
  </w:num>
  <w:num w:numId="22" w16cid:durableId="972322372">
    <w:abstractNumId w:val="30"/>
  </w:num>
  <w:num w:numId="23" w16cid:durableId="531847060">
    <w:abstractNumId w:val="52"/>
  </w:num>
  <w:num w:numId="24" w16cid:durableId="2079204733">
    <w:abstractNumId w:val="2"/>
  </w:num>
  <w:num w:numId="25" w16cid:durableId="2046172706">
    <w:abstractNumId w:val="56"/>
  </w:num>
  <w:num w:numId="26" w16cid:durableId="494806214">
    <w:abstractNumId w:val="54"/>
  </w:num>
  <w:num w:numId="27" w16cid:durableId="6711156">
    <w:abstractNumId w:val="6"/>
  </w:num>
  <w:num w:numId="28" w16cid:durableId="1322657689">
    <w:abstractNumId w:val="3"/>
  </w:num>
  <w:num w:numId="29" w16cid:durableId="2034265265">
    <w:abstractNumId w:val="1"/>
  </w:num>
  <w:num w:numId="30" w16cid:durableId="238902883">
    <w:abstractNumId w:val="11"/>
  </w:num>
  <w:num w:numId="31" w16cid:durableId="107818045">
    <w:abstractNumId w:val="36"/>
  </w:num>
  <w:num w:numId="32" w16cid:durableId="671031753">
    <w:abstractNumId w:val="51"/>
  </w:num>
  <w:num w:numId="33" w16cid:durableId="69470515">
    <w:abstractNumId w:val="14"/>
  </w:num>
  <w:num w:numId="34" w16cid:durableId="1074352845">
    <w:abstractNumId w:val="33"/>
  </w:num>
  <w:num w:numId="35" w16cid:durableId="1359820294">
    <w:abstractNumId w:val="23"/>
  </w:num>
  <w:num w:numId="36" w16cid:durableId="1473408363">
    <w:abstractNumId w:val="63"/>
  </w:num>
  <w:num w:numId="37" w16cid:durableId="384572816">
    <w:abstractNumId w:val="46"/>
  </w:num>
  <w:num w:numId="38" w16cid:durableId="434060700">
    <w:abstractNumId w:val="43"/>
  </w:num>
  <w:num w:numId="39" w16cid:durableId="463037422">
    <w:abstractNumId w:val="60"/>
  </w:num>
  <w:num w:numId="40" w16cid:durableId="1437209715">
    <w:abstractNumId w:val="19"/>
  </w:num>
  <w:num w:numId="41" w16cid:durableId="1204175084">
    <w:abstractNumId w:val="32"/>
  </w:num>
  <w:num w:numId="42" w16cid:durableId="1992052662">
    <w:abstractNumId w:val="35"/>
  </w:num>
  <w:num w:numId="43" w16cid:durableId="992298524">
    <w:abstractNumId w:val="50"/>
  </w:num>
  <w:num w:numId="44" w16cid:durableId="358626367">
    <w:abstractNumId w:val="9"/>
  </w:num>
  <w:num w:numId="45" w16cid:durableId="2019775199">
    <w:abstractNumId w:val="62"/>
  </w:num>
  <w:num w:numId="46" w16cid:durableId="1498619309">
    <w:abstractNumId w:val="12"/>
  </w:num>
  <w:num w:numId="47" w16cid:durableId="1458720095">
    <w:abstractNumId w:val="55"/>
  </w:num>
  <w:num w:numId="48" w16cid:durableId="1116752647">
    <w:abstractNumId w:val="27"/>
  </w:num>
  <w:num w:numId="49" w16cid:durableId="1379933986">
    <w:abstractNumId w:val="15"/>
  </w:num>
  <w:num w:numId="50" w16cid:durableId="590361247">
    <w:abstractNumId w:val="25"/>
  </w:num>
  <w:num w:numId="51" w16cid:durableId="1479803675">
    <w:abstractNumId w:val="37"/>
  </w:num>
  <w:num w:numId="52" w16cid:durableId="745079016">
    <w:abstractNumId w:val="24"/>
  </w:num>
  <w:num w:numId="53" w16cid:durableId="828405732">
    <w:abstractNumId w:val="22"/>
  </w:num>
  <w:num w:numId="54" w16cid:durableId="1241448472">
    <w:abstractNumId w:val="29"/>
  </w:num>
  <w:num w:numId="55" w16cid:durableId="1257909214">
    <w:abstractNumId w:val="57"/>
  </w:num>
  <w:num w:numId="56" w16cid:durableId="1419979326">
    <w:abstractNumId w:val="39"/>
  </w:num>
  <w:num w:numId="57" w16cid:durableId="1135221063">
    <w:abstractNumId w:val="53"/>
  </w:num>
  <w:num w:numId="58" w16cid:durableId="678656836">
    <w:abstractNumId w:val="20"/>
  </w:num>
  <w:num w:numId="59" w16cid:durableId="15204592">
    <w:abstractNumId w:val="17"/>
  </w:num>
  <w:num w:numId="60" w16cid:durableId="2031029257">
    <w:abstractNumId w:val="41"/>
  </w:num>
  <w:num w:numId="61" w16cid:durableId="788012883">
    <w:abstractNumId w:val="31"/>
  </w:num>
  <w:num w:numId="62" w16cid:durableId="1951626727">
    <w:abstractNumId w:val="0"/>
  </w:num>
  <w:num w:numId="63" w16cid:durableId="107815474">
    <w:abstractNumId w:val="5"/>
  </w:num>
  <w:num w:numId="64" w16cid:durableId="297149217">
    <w:abstractNumId w:val="4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70D"/>
    <w:rsid w:val="0002445F"/>
    <w:rsid w:val="00091CBC"/>
    <w:rsid w:val="000F4492"/>
    <w:rsid w:val="00143305"/>
    <w:rsid w:val="001B376E"/>
    <w:rsid w:val="002536E3"/>
    <w:rsid w:val="002779F0"/>
    <w:rsid w:val="002B6777"/>
    <w:rsid w:val="002C5E38"/>
    <w:rsid w:val="003F3AF2"/>
    <w:rsid w:val="004D3C3A"/>
    <w:rsid w:val="00526351"/>
    <w:rsid w:val="00733C7D"/>
    <w:rsid w:val="007B7569"/>
    <w:rsid w:val="007E1E1E"/>
    <w:rsid w:val="00830DE2"/>
    <w:rsid w:val="0084762E"/>
    <w:rsid w:val="009F2E00"/>
    <w:rsid w:val="00A00065"/>
    <w:rsid w:val="00A27074"/>
    <w:rsid w:val="00A45BAB"/>
    <w:rsid w:val="00AC161A"/>
    <w:rsid w:val="00AC4E15"/>
    <w:rsid w:val="00AD38C1"/>
    <w:rsid w:val="00BF15F4"/>
    <w:rsid w:val="00C81E82"/>
    <w:rsid w:val="00D5670D"/>
    <w:rsid w:val="00D636D2"/>
    <w:rsid w:val="00D73C6C"/>
    <w:rsid w:val="00D74ED2"/>
    <w:rsid w:val="00D75FA4"/>
    <w:rsid w:val="00DC2413"/>
    <w:rsid w:val="00F80E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71903"/>
  <w15:chartTrackingRefBased/>
  <w15:docId w15:val="{FC3B3908-011C-4413-977C-48E364F40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6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5670D"/>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D5670D"/>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5670D"/>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D5670D"/>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D5670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D5670D"/>
    <w:rPr>
      <w:b/>
      <w:bCs/>
    </w:rPr>
  </w:style>
  <w:style w:type="character" w:styleId="Hyperlink">
    <w:name w:val="Hyperlink"/>
    <w:basedOn w:val="DefaultParagraphFont"/>
    <w:uiPriority w:val="99"/>
    <w:unhideWhenUsed/>
    <w:rsid w:val="00D5670D"/>
    <w:rPr>
      <w:color w:val="0000FF"/>
      <w:u w:val="single"/>
    </w:rPr>
  </w:style>
  <w:style w:type="table" w:styleId="TableGrid">
    <w:name w:val="Table Grid"/>
    <w:basedOn w:val="TableNormal"/>
    <w:uiPriority w:val="39"/>
    <w:rsid w:val="002B67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445F"/>
    <w:pPr>
      <w:ind w:left="720"/>
      <w:contextualSpacing/>
    </w:pPr>
  </w:style>
  <w:style w:type="character" w:customStyle="1" w:styleId="Heading1Char">
    <w:name w:val="Heading 1 Char"/>
    <w:basedOn w:val="DefaultParagraphFont"/>
    <w:link w:val="Heading1"/>
    <w:uiPriority w:val="9"/>
    <w:rsid w:val="00AC161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E1E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1E1E"/>
  </w:style>
  <w:style w:type="paragraph" w:styleId="Footer">
    <w:name w:val="footer"/>
    <w:basedOn w:val="Normal"/>
    <w:link w:val="FooterChar"/>
    <w:uiPriority w:val="99"/>
    <w:unhideWhenUsed/>
    <w:rsid w:val="007E1E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1E1E"/>
  </w:style>
  <w:style w:type="paragraph" w:styleId="TOCHeading">
    <w:name w:val="TOC Heading"/>
    <w:basedOn w:val="Heading1"/>
    <w:next w:val="Normal"/>
    <w:uiPriority w:val="39"/>
    <w:unhideWhenUsed/>
    <w:qFormat/>
    <w:rsid w:val="007E1E1E"/>
    <w:pPr>
      <w:outlineLvl w:val="9"/>
    </w:pPr>
    <w:rPr>
      <w:kern w:val="0"/>
      <w14:ligatures w14:val="none"/>
    </w:rPr>
  </w:style>
  <w:style w:type="paragraph" w:styleId="TOC1">
    <w:name w:val="toc 1"/>
    <w:basedOn w:val="Normal"/>
    <w:next w:val="Normal"/>
    <w:autoRedefine/>
    <w:uiPriority w:val="39"/>
    <w:unhideWhenUsed/>
    <w:rsid w:val="007E1E1E"/>
    <w:pPr>
      <w:spacing w:after="100"/>
    </w:pPr>
  </w:style>
  <w:style w:type="paragraph" w:styleId="TOC2">
    <w:name w:val="toc 2"/>
    <w:basedOn w:val="Normal"/>
    <w:next w:val="Normal"/>
    <w:autoRedefine/>
    <w:uiPriority w:val="39"/>
    <w:unhideWhenUsed/>
    <w:rsid w:val="007E1E1E"/>
    <w:pPr>
      <w:spacing w:after="100"/>
      <w:ind w:left="220"/>
    </w:pPr>
  </w:style>
  <w:style w:type="paragraph" w:styleId="TOC3">
    <w:name w:val="toc 3"/>
    <w:basedOn w:val="Normal"/>
    <w:next w:val="Normal"/>
    <w:autoRedefine/>
    <w:uiPriority w:val="39"/>
    <w:unhideWhenUsed/>
    <w:rsid w:val="007E1E1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9599">
      <w:bodyDiv w:val="1"/>
      <w:marLeft w:val="0"/>
      <w:marRight w:val="0"/>
      <w:marTop w:val="0"/>
      <w:marBottom w:val="0"/>
      <w:divBdr>
        <w:top w:val="none" w:sz="0" w:space="0" w:color="auto"/>
        <w:left w:val="none" w:sz="0" w:space="0" w:color="auto"/>
        <w:bottom w:val="none" w:sz="0" w:space="0" w:color="auto"/>
        <w:right w:val="none" w:sz="0" w:space="0" w:color="auto"/>
      </w:divBdr>
    </w:div>
    <w:div w:id="36702531">
      <w:bodyDiv w:val="1"/>
      <w:marLeft w:val="0"/>
      <w:marRight w:val="0"/>
      <w:marTop w:val="0"/>
      <w:marBottom w:val="0"/>
      <w:divBdr>
        <w:top w:val="none" w:sz="0" w:space="0" w:color="auto"/>
        <w:left w:val="none" w:sz="0" w:space="0" w:color="auto"/>
        <w:bottom w:val="none" w:sz="0" w:space="0" w:color="auto"/>
        <w:right w:val="none" w:sz="0" w:space="0" w:color="auto"/>
      </w:divBdr>
    </w:div>
    <w:div w:id="41633956">
      <w:bodyDiv w:val="1"/>
      <w:marLeft w:val="0"/>
      <w:marRight w:val="0"/>
      <w:marTop w:val="0"/>
      <w:marBottom w:val="0"/>
      <w:divBdr>
        <w:top w:val="none" w:sz="0" w:space="0" w:color="auto"/>
        <w:left w:val="none" w:sz="0" w:space="0" w:color="auto"/>
        <w:bottom w:val="none" w:sz="0" w:space="0" w:color="auto"/>
        <w:right w:val="none" w:sz="0" w:space="0" w:color="auto"/>
      </w:divBdr>
    </w:div>
    <w:div w:id="90586514">
      <w:bodyDiv w:val="1"/>
      <w:marLeft w:val="0"/>
      <w:marRight w:val="0"/>
      <w:marTop w:val="0"/>
      <w:marBottom w:val="0"/>
      <w:divBdr>
        <w:top w:val="none" w:sz="0" w:space="0" w:color="auto"/>
        <w:left w:val="none" w:sz="0" w:space="0" w:color="auto"/>
        <w:bottom w:val="none" w:sz="0" w:space="0" w:color="auto"/>
        <w:right w:val="none" w:sz="0" w:space="0" w:color="auto"/>
      </w:divBdr>
    </w:div>
    <w:div w:id="113597926">
      <w:bodyDiv w:val="1"/>
      <w:marLeft w:val="0"/>
      <w:marRight w:val="0"/>
      <w:marTop w:val="0"/>
      <w:marBottom w:val="0"/>
      <w:divBdr>
        <w:top w:val="none" w:sz="0" w:space="0" w:color="auto"/>
        <w:left w:val="none" w:sz="0" w:space="0" w:color="auto"/>
        <w:bottom w:val="none" w:sz="0" w:space="0" w:color="auto"/>
        <w:right w:val="none" w:sz="0" w:space="0" w:color="auto"/>
      </w:divBdr>
    </w:div>
    <w:div w:id="119105571">
      <w:bodyDiv w:val="1"/>
      <w:marLeft w:val="0"/>
      <w:marRight w:val="0"/>
      <w:marTop w:val="0"/>
      <w:marBottom w:val="0"/>
      <w:divBdr>
        <w:top w:val="none" w:sz="0" w:space="0" w:color="auto"/>
        <w:left w:val="none" w:sz="0" w:space="0" w:color="auto"/>
        <w:bottom w:val="none" w:sz="0" w:space="0" w:color="auto"/>
        <w:right w:val="none" w:sz="0" w:space="0" w:color="auto"/>
      </w:divBdr>
    </w:div>
    <w:div w:id="134220118">
      <w:bodyDiv w:val="1"/>
      <w:marLeft w:val="0"/>
      <w:marRight w:val="0"/>
      <w:marTop w:val="0"/>
      <w:marBottom w:val="0"/>
      <w:divBdr>
        <w:top w:val="none" w:sz="0" w:space="0" w:color="auto"/>
        <w:left w:val="none" w:sz="0" w:space="0" w:color="auto"/>
        <w:bottom w:val="none" w:sz="0" w:space="0" w:color="auto"/>
        <w:right w:val="none" w:sz="0" w:space="0" w:color="auto"/>
      </w:divBdr>
    </w:div>
    <w:div w:id="138573136">
      <w:bodyDiv w:val="1"/>
      <w:marLeft w:val="0"/>
      <w:marRight w:val="0"/>
      <w:marTop w:val="0"/>
      <w:marBottom w:val="0"/>
      <w:divBdr>
        <w:top w:val="none" w:sz="0" w:space="0" w:color="auto"/>
        <w:left w:val="none" w:sz="0" w:space="0" w:color="auto"/>
        <w:bottom w:val="none" w:sz="0" w:space="0" w:color="auto"/>
        <w:right w:val="none" w:sz="0" w:space="0" w:color="auto"/>
      </w:divBdr>
    </w:div>
    <w:div w:id="145753746">
      <w:bodyDiv w:val="1"/>
      <w:marLeft w:val="0"/>
      <w:marRight w:val="0"/>
      <w:marTop w:val="0"/>
      <w:marBottom w:val="0"/>
      <w:divBdr>
        <w:top w:val="none" w:sz="0" w:space="0" w:color="auto"/>
        <w:left w:val="none" w:sz="0" w:space="0" w:color="auto"/>
        <w:bottom w:val="none" w:sz="0" w:space="0" w:color="auto"/>
        <w:right w:val="none" w:sz="0" w:space="0" w:color="auto"/>
      </w:divBdr>
    </w:div>
    <w:div w:id="172309256">
      <w:bodyDiv w:val="1"/>
      <w:marLeft w:val="0"/>
      <w:marRight w:val="0"/>
      <w:marTop w:val="0"/>
      <w:marBottom w:val="0"/>
      <w:divBdr>
        <w:top w:val="none" w:sz="0" w:space="0" w:color="auto"/>
        <w:left w:val="none" w:sz="0" w:space="0" w:color="auto"/>
        <w:bottom w:val="none" w:sz="0" w:space="0" w:color="auto"/>
        <w:right w:val="none" w:sz="0" w:space="0" w:color="auto"/>
      </w:divBdr>
    </w:div>
    <w:div w:id="189415291">
      <w:bodyDiv w:val="1"/>
      <w:marLeft w:val="0"/>
      <w:marRight w:val="0"/>
      <w:marTop w:val="0"/>
      <w:marBottom w:val="0"/>
      <w:divBdr>
        <w:top w:val="none" w:sz="0" w:space="0" w:color="auto"/>
        <w:left w:val="none" w:sz="0" w:space="0" w:color="auto"/>
        <w:bottom w:val="none" w:sz="0" w:space="0" w:color="auto"/>
        <w:right w:val="none" w:sz="0" w:space="0" w:color="auto"/>
      </w:divBdr>
    </w:div>
    <w:div w:id="190070260">
      <w:bodyDiv w:val="1"/>
      <w:marLeft w:val="0"/>
      <w:marRight w:val="0"/>
      <w:marTop w:val="0"/>
      <w:marBottom w:val="0"/>
      <w:divBdr>
        <w:top w:val="none" w:sz="0" w:space="0" w:color="auto"/>
        <w:left w:val="none" w:sz="0" w:space="0" w:color="auto"/>
        <w:bottom w:val="none" w:sz="0" w:space="0" w:color="auto"/>
        <w:right w:val="none" w:sz="0" w:space="0" w:color="auto"/>
      </w:divBdr>
    </w:div>
    <w:div w:id="197591913">
      <w:bodyDiv w:val="1"/>
      <w:marLeft w:val="0"/>
      <w:marRight w:val="0"/>
      <w:marTop w:val="0"/>
      <w:marBottom w:val="0"/>
      <w:divBdr>
        <w:top w:val="none" w:sz="0" w:space="0" w:color="auto"/>
        <w:left w:val="none" w:sz="0" w:space="0" w:color="auto"/>
        <w:bottom w:val="none" w:sz="0" w:space="0" w:color="auto"/>
        <w:right w:val="none" w:sz="0" w:space="0" w:color="auto"/>
      </w:divBdr>
    </w:div>
    <w:div w:id="209150388">
      <w:bodyDiv w:val="1"/>
      <w:marLeft w:val="0"/>
      <w:marRight w:val="0"/>
      <w:marTop w:val="0"/>
      <w:marBottom w:val="0"/>
      <w:divBdr>
        <w:top w:val="none" w:sz="0" w:space="0" w:color="auto"/>
        <w:left w:val="none" w:sz="0" w:space="0" w:color="auto"/>
        <w:bottom w:val="none" w:sz="0" w:space="0" w:color="auto"/>
        <w:right w:val="none" w:sz="0" w:space="0" w:color="auto"/>
      </w:divBdr>
    </w:div>
    <w:div w:id="214897700">
      <w:bodyDiv w:val="1"/>
      <w:marLeft w:val="0"/>
      <w:marRight w:val="0"/>
      <w:marTop w:val="0"/>
      <w:marBottom w:val="0"/>
      <w:divBdr>
        <w:top w:val="none" w:sz="0" w:space="0" w:color="auto"/>
        <w:left w:val="none" w:sz="0" w:space="0" w:color="auto"/>
        <w:bottom w:val="none" w:sz="0" w:space="0" w:color="auto"/>
        <w:right w:val="none" w:sz="0" w:space="0" w:color="auto"/>
      </w:divBdr>
    </w:div>
    <w:div w:id="217131647">
      <w:bodyDiv w:val="1"/>
      <w:marLeft w:val="0"/>
      <w:marRight w:val="0"/>
      <w:marTop w:val="0"/>
      <w:marBottom w:val="0"/>
      <w:divBdr>
        <w:top w:val="none" w:sz="0" w:space="0" w:color="auto"/>
        <w:left w:val="none" w:sz="0" w:space="0" w:color="auto"/>
        <w:bottom w:val="none" w:sz="0" w:space="0" w:color="auto"/>
        <w:right w:val="none" w:sz="0" w:space="0" w:color="auto"/>
      </w:divBdr>
    </w:div>
    <w:div w:id="219634916">
      <w:bodyDiv w:val="1"/>
      <w:marLeft w:val="0"/>
      <w:marRight w:val="0"/>
      <w:marTop w:val="0"/>
      <w:marBottom w:val="0"/>
      <w:divBdr>
        <w:top w:val="none" w:sz="0" w:space="0" w:color="auto"/>
        <w:left w:val="none" w:sz="0" w:space="0" w:color="auto"/>
        <w:bottom w:val="none" w:sz="0" w:space="0" w:color="auto"/>
        <w:right w:val="none" w:sz="0" w:space="0" w:color="auto"/>
      </w:divBdr>
    </w:div>
    <w:div w:id="233392998">
      <w:bodyDiv w:val="1"/>
      <w:marLeft w:val="0"/>
      <w:marRight w:val="0"/>
      <w:marTop w:val="0"/>
      <w:marBottom w:val="0"/>
      <w:divBdr>
        <w:top w:val="none" w:sz="0" w:space="0" w:color="auto"/>
        <w:left w:val="none" w:sz="0" w:space="0" w:color="auto"/>
        <w:bottom w:val="none" w:sz="0" w:space="0" w:color="auto"/>
        <w:right w:val="none" w:sz="0" w:space="0" w:color="auto"/>
      </w:divBdr>
    </w:div>
    <w:div w:id="249507011">
      <w:bodyDiv w:val="1"/>
      <w:marLeft w:val="0"/>
      <w:marRight w:val="0"/>
      <w:marTop w:val="0"/>
      <w:marBottom w:val="0"/>
      <w:divBdr>
        <w:top w:val="none" w:sz="0" w:space="0" w:color="auto"/>
        <w:left w:val="none" w:sz="0" w:space="0" w:color="auto"/>
        <w:bottom w:val="none" w:sz="0" w:space="0" w:color="auto"/>
        <w:right w:val="none" w:sz="0" w:space="0" w:color="auto"/>
      </w:divBdr>
    </w:div>
    <w:div w:id="260191125">
      <w:bodyDiv w:val="1"/>
      <w:marLeft w:val="0"/>
      <w:marRight w:val="0"/>
      <w:marTop w:val="0"/>
      <w:marBottom w:val="0"/>
      <w:divBdr>
        <w:top w:val="none" w:sz="0" w:space="0" w:color="auto"/>
        <w:left w:val="none" w:sz="0" w:space="0" w:color="auto"/>
        <w:bottom w:val="none" w:sz="0" w:space="0" w:color="auto"/>
        <w:right w:val="none" w:sz="0" w:space="0" w:color="auto"/>
      </w:divBdr>
    </w:div>
    <w:div w:id="264461050">
      <w:bodyDiv w:val="1"/>
      <w:marLeft w:val="0"/>
      <w:marRight w:val="0"/>
      <w:marTop w:val="0"/>
      <w:marBottom w:val="0"/>
      <w:divBdr>
        <w:top w:val="none" w:sz="0" w:space="0" w:color="auto"/>
        <w:left w:val="none" w:sz="0" w:space="0" w:color="auto"/>
        <w:bottom w:val="none" w:sz="0" w:space="0" w:color="auto"/>
        <w:right w:val="none" w:sz="0" w:space="0" w:color="auto"/>
      </w:divBdr>
    </w:div>
    <w:div w:id="264657816">
      <w:bodyDiv w:val="1"/>
      <w:marLeft w:val="0"/>
      <w:marRight w:val="0"/>
      <w:marTop w:val="0"/>
      <w:marBottom w:val="0"/>
      <w:divBdr>
        <w:top w:val="none" w:sz="0" w:space="0" w:color="auto"/>
        <w:left w:val="none" w:sz="0" w:space="0" w:color="auto"/>
        <w:bottom w:val="none" w:sz="0" w:space="0" w:color="auto"/>
        <w:right w:val="none" w:sz="0" w:space="0" w:color="auto"/>
      </w:divBdr>
    </w:div>
    <w:div w:id="279457935">
      <w:bodyDiv w:val="1"/>
      <w:marLeft w:val="0"/>
      <w:marRight w:val="0"/>
      <w:marTop w:val="0"/>
      <w:marBottom w:val="0"/>
      <w:divBdr>
        <w:top w:val="none" w:sz="0" w:space="0" w:color="auto"/>
        <w:left w:val="none" w:sz="0" w:space="0" w:color="auto"/>
        <w:bottom w:val="none" w:sz="0" w:space="0" w:color="auto"/>
        <w:right w:val="none" w:sz="0" w:space="0" w:color="auto"/>
      </w:divBdr>
    </w:div>
    <w:div w:id="293340259">
      <w:bodyDiv w:val="1"/>
      <w:marLeft w:val="0"/>
      <w:marRight w:val="0"/>
      <w:marTop w:val="0"/>
      <w:marBottom w:val="0"/>
      <w:divBdr>
        <w:top w:val="none" w:sz="0" w:space="0" w:color="auto"/>
        <w:left w:val="none" w:sz="0" w:space="0" w:color="auto"/>
        <w:bottom w:val="none" w:sz="0" w:space="0" w:color="auto"/>
        <w:right w:val="none" w:sz="0" w:space="0" w:color="auto"/>
      </w:divBdr>
    </w:div>
    <w:div w:id="336074901">
      <w:bodyDiv w:val="1"/>
      <w:marLeft w:val="0"/>
      <w:marRight w:val="0"/>
      <w:marTop w:val="0"/>
      <w:marBottom w:val="0"/>
      <w:divBdr>
        <w:top w:val="none" w:sz="0" w:space="0" w:color="auto"/>
        <w:left w:val="none" w:sz="0" w:space="0" w:color="auto"/>
        <w:bottom w:val="none" w:sz="0" w:space="0" w:color="auto"/>
        <w:right w:val="none" w:sz="0" w:space="0" w:color="auto"/>
      </w:divBdr>
    </w:div>
    <w:div w:id="348023206">
      <w:bodyDiv w:val="1"/>
      <w:marLeft w:val="0"/>
      <w:marRight w:val="0"/>
      <w:marTop w:val="0"/>
      <w:marBottom w:val="0"/>
      <w:divBdr>
        <w:top w:val="none" w:sz="0" w:space="0" w:color="auto"/>
        <w:left w:val="none" w:sz="0" w:space="0" w:color="auto"/>
        <w:bottom w:val="none" w:sz="0" w:space="0" w:color="auto"/>
        <w:right w:val="none" w:sz="0" w:space="0" w:color="auto"/>
      </w:divBdr>
    </w:div>
    <w:div w:id="350255676">
      <w:bodyDiv w:val="1"/>
      <w:marLeft w:val="0"/>
      <w:marRight w:val="0"/>
      <w:marTop w:val="0"/>
      <w:marBottom w:val="0"/>
      <w:divBdr>
        <w:top w:val="none" w:sz="0" w:space="0" w:color="auto"/>
        <w:left w:val="none" w:sz="0" w:space="0" w:color="auto"/>
        <w:bottom w:val="none" w:sz="0" w:space="0" w:color="auto"/>
        <w:right w:val="none" w:sz="0" w:space="0" w:color="auto"/>
      </w:divBdr>
    </w:div>
    <w:div w:id="362946606">
      <w:bodyDiv w:val="1"/>
      <w:marLeft w:val="0"/>
      <w:marRight w:val="0"/>
      <w:marTop w:val="0"/>
      <w:marBottom w:val="0"/>
      <w:divBdr>
        <w:top w:val="none" w:sz="0" w:space="0" w:color="auto"/>
        <w:left w:val="none" w:sz="0" w:space="0" w:color="auto"/>
        <w:bottom w:val="none" w:sz="0" w:space="0" w:color="auto"/>
        <w:right w:val="none" w:sz="0" w:space="0" w:color="auto"/>
      </w:divBdr>
    </w:div>
    <w:div w:id="366104416">
      <w:bodyDiv w:val="1"/>
      <w:marLeft w:val="0"/>
      <w:marRight w:val="0"/>
      <w:marTop w:val="0"/>
      <w:marBottom w:val="0"/>
      <w:divBdr>
        <w:top w:val="none" w:sz="0" w:space="0" w:color="auto"/>
        <w:left w:val="none" w:sz="0" w:space="0" w:color="auto"/>
        <w:bottom w:val="none" w:sz="0" w:space="0" w:color="auto"/>
        <w:right w:val="none" w:sz="0" w:space="0" w:color="auto"/>
      </w:divBdr>
    </w:div>
    <w:div w:id="366566794">
      <w:bodyDiv w:val="1"/>
      <w:marLeft w:val="0"/>
      <w:marRight w:val="0"/>
      <w:marTop w:val="0"/>
      <w:marBottom w:val="0"/>
      <w:divBdr>
        <w:top w:val="none" w:sz="0" w:space="0" w:color="auto"/>
        <w:left w:val="none" w:sz="0" w:space="0" w:color="auto"/>
        <w:bottom w:val="none" w:sz="0" w:space="0" w:color="auto"/>
        <w:right w:val="none" w:sz="0" w:space="0" w:color="auto"/>
      </w:divBdr>
    </w:div>
    <w:div w:id="392698445">
      <w:bodyDiv w:val="1"/>
      <w:marLeft w:val="0"/>
      <w:marRight w:val="0"/>
      <w:marTop w:val="0"/>
      <w:marBottom w:val="0"/>
      <w:divBdr>
        <w:top w:val="none" w:sz="0" w:space="0" w:color="auto"/>
        <w:left w:val="none" w:sz="0" w:space="0" w:color="auto"/>
        <w:bottom w:val="none" w:sz="0" w:space="0" w:color="auto"/>
        <w:right w:val="none" w:sz="0" w:space="0" w:color="auto"/>
      </w:divBdr>
    </w:div>
    <w:div w:id="491071300">
      <w:bodyDiv w:val="1"/>
      <w:marLeft w:val="0"/>
      <w:marRight w:val="0"/>
      <w:marTop w:val="0"/>
      <w:marBottom w:val="0"/>
      <w:divBdr>
        <w:top w:val="none" w:sz="0" w:space="0" w:color="auto"/>
        <w:left w:val="none" w:sz="0" w:space="0" w:color="auto"/>
        <w:bottom w:val="none" w:sz="0" w:space="0" w:color="auto"/>
        <w:right w:val="none" w:sz="0" w:space="0" w:color="auto"/>
      </w:divBdr>
    </w:div>
    <w:div w:id="529221597">
      <w:bodyDiv w:val="1"/>
      <w:marLeft w:val="0"/>
      <w:marRight w:val="0"/>
      <w:marTop w:val="0"/>
      <w:marBottom w:val="0"/>
      <w:divBdr>
        <w:top w:val="none" w:sz="0" w:space="0" w:color="auto"/>
        <w:left w:val="none" w:sz="0" w:space="0" w:color="auto"/>
        <w:bottom w:val="none" w:sz="0" w:space="0" w:color="auto"/>
        <w:right w:val="none" w:sz="0" w:space="0" w:color="auto"/>
      </w:divBdr>
    </w:div>
    <w:div w:id="539166306">
      <w:bodyDiv w:val="1"/>
      <w:marLeft w:val="0"/>
      <w:marRight w:val="0"/>
      <w:marTop w:val="0"/>
      <w:marBottom w:val="0"/>
      <w:divBdr>
        <w:top w:val="none" w:sz="0" w:space="0" w:color="auto"/>
        <w:left w:val="none" w:sz="0" w:space="0" w:color="auto"/>
        <w:bottom w:val="none" w:sz="0" w:space="0" w:color="auto"/>
        <w:right w:val="none" w:sz="0" w:space="0" w:color="auto"/>
      </w:divBdr>
    </w:div>
    <w:div w:id="557984215">
      <w:bodyDiv w:val="1"/>
      <w:marLeft w:val="0"/>
      <w:marRight w:val="0"/>
      <w:marTop w:val="0"/>
      <w:marBottom w:val="0"/>
      <w:divBdr>
        <w:top w:val="none" w:sz="0" w:space="0" w:color="auto"/>
        <w:left w:val="none" w:sz="0" w:space="0" w:color="auto"/>
        <w:bottom w:val="none" w:sz="0" w:space="0" w:color="auto"/>
        <w:right w:val="none" w:sz="0" w:space="0" w:color="auto"/>
      </w:divBdr>
    </w:div>
    <w:div w:id="602955980">
      <w:bodyDiv w:val="1"/>
      <w:marLeft w:val="0"/>
      <w:marRight w:val="0"/>
      <w:marTop w:val="0"/>
      <w:marBottom w:val="0"/>
      <w:divBdr>
        <w:top w:val="none" w:sz="0" w:space="0" w:color="auto"/>
        <w:left w:val="none" w:sz="0" w:space="0" w:color="auto"/>
        <w:bottom w:val="none" w:sz="0" w:space="0" w:color="auto"/>
        <w:right w:val="none" w:sz="0" w:space="0" w:color="auto"/>
      </w:divBdr>
    </w:div>
    <w:div w:id="630791091">
      <w:bodyDiv w:val="1"/>
      <w:marLeft w:val="0"/>
      <w:marRight w:val="0"/>
      <w:marTop w:val="0"/>
      <w:marBottom w:val="0"/>
      <w:divBdr>
        <w:top w:val="none" w:sz="0" w:space="0" w:color="auto"/>
        <w:left w:val="none" w:sz="0" w:space="0" w:color="auto"/>
        <w:bottom w:val="none" w:sz="0" w:space="0" w:color="auto"/>
        <w:right w:val="none" w:sz="0" w:space="0" w:color="auto"/>
      </w:divBdr>
    </w:div>
    <w:div w:id="639921286">
      <w:bodyDiv w:val="1"/>
      <w:marLeft w:val="0"/>
      <w:marRight w:val="0"/>
      <w:marTop w:val="0"/>
      <w:marBottom w:val="0"/>
      <w:divBdr>
        <w:top w:val="none" w:sz="0" w:space="0" w:color="auto"/>
        <w:left w:val="none" w:sz="0" w:space="0" w:color="auto"/>
        <w:bottom w:val="none" w:sz="0" w:space="0" w:color="auto"/>
        <w:right w:val="none" w:sz="0" w:space="0" w:color="auto"/>
      </w:divBdr>
    </w:div>
    <w:div w:id="647052802">
      <w:bodyDiv w:val="1"/>
      <w:marLeft w:val="0"/>
      <w:marRight w:val="0"/>
      <w:marTop w:val="0"/>
      <w:marBottom w:val="0"/>
      <w:divBdr>
        <w:top w:val="none" w:sz="0" w:space="0" w:color="auto"/>
        <w:left w:val="none" w:sz="0" w:space="0" w:color="auto"/>
        <w:bottom w:val="none" w:sz="0" w:space="0" w:color="auto"/>
        <w:right w:val="none" w:sz="0" w:space="0" w:color="auto"/>
      </w:divBdr>
    </w:div>
    <w:div w:id="649552890">
      <w:bodyDiv w:val="1"/>
      <w:marLeft w:val="0"/>
      <w:marRight w:val="0"/>
      <w:marTop w:val="0"/>
      <w:marBottom w:val="0"/>
      <w:divBdr>
        <w:top w:val="none" w:sz="0" w:space="0" w:color="auto"/>
        <w:left w:val="none" w:sz="0" w:space="0" w:color="auto"/>
        <w:bottom w:val="none" w:sz="0" w:space="0" w:color="auto"/>
        <w:right w:val="none" w:sz="0" w:space="0" w:color="auto"/>
      </w:divBdr>
    </w:div>
    <w:div w:id="658459010">
      <w:bodyDiv w:val="1"/>
      <w:marLeft w:val="0"/>
      <w:marRight w:val="0"/>
      <w:marTop w:val="0"/>
      <w:marBottom w:val="0"/>
      <w:divBdr>
        <w:top w:val="none" w:sz="0" w:space="0" w:color="auto"/>
        <w:left w:val="none" w:sz="0" w:space="0" w:color="auto"/>
        <w:bottom w:val="none" w:sz="0" w:space="0" w:color="auto"/>
        <w:right w:val="none" w:sz="0" w:space="0" w:color="auto"/>
      </w:divBdr>
    </w:div>
    <w:div w:id="698623205">
      <w:bodyDiv w:val="1"/>
      <w:marLeft w:val="0"/>
      <w:marRight w:val="0"/>
      <w:marTop w:val="0"/>
      <w:marBottom w:val="0"/>
      <w:divBdr>
        <w:top w:val="none" w:sz="0" w:space="0" w:color="auto"/>
        <w:left w:val="none" w:sz="0" w:space="0" w:color="auto"/>
        <w:bottom w:val="none" w:sz="0" w:space="0" w:color="auto"/>
        <w:right w:val="none" w:sz="0" w:space="0" w:color="auto"/>
      </w:divBdr>
    </w:div>
    <w:div w:id="717972724">
      <w:bodyDiv w:val="1"/>
      <w:marLeft w:val="0"/>
      <w:marRight w:val="0"/>
      <w:marTop w:val="0"/>
      <w:marBottom w:val="0"/>
      <w:divBdr>
        <w:top w:val="none" w:sz="0" w:space="0" w:color="auto"/>
        <w:left w:val="none" w:sz="0" w:space="0" w:color="auto"/>
        <w:bottom w:val="none" w:sz="0" w:space="0" w:color="auto"/>
        <w:right w:val="none" w:sz="0" w:space="0" w:color="auto"/>
      </w:divBdr>
    </w:div>
    <w:div w:id="753163287">
      <w:bodyDiv w:val="1"/>
      <w:marLeft w:val="0"/>
      <w:marRight w:val="0"/>
      <w:marTop w:val="0"/>
      <w:marBottom w:val="0"/>
      <w:divBdr>
        <w:top w:val="none" w:sz="0" w:space="0" w:color="auto"/>
        <w:left w:val="none" w:sz="0" w:space="0" w:color="auto"/>
        <w:bottom w:val="none" w:sz="0" w:space="0" w:color="auto"/>
        <w:right w:val="none" w:sz="0" w:space="0" w:color="auto"/>
      </w:divBdr>
    </w:div>
    <w:div w:id="765880099">
      <w:bodyDiv w:val="1"/>
      <w:marLeft w:val="0"/>
      <w:marRight w:val="0"/>
      <w:marTop w:val="0"/>
      <w:marBottom w:val="0"/>
      <w:divBdr>
        <w:top w:val="none" w:sz="0" w:space="0" w:color="auto"/>
        <w:left w:val="none" w:sz="0" w:space="0" w:color="auto"/>
        <w:bottom w:val="none" w:sz="0" w:space="0" w:color="auto"/>
        <w:right w:val="none" w:sz="0" w:space="0" w:color="auto"/>
      </w:divBdr>
    </w:div>
    <w:div w:id="797182059">
      <w:bodyDiv w:val="1"/>
      <w:marLeft w:val="0"/>
      <w:marRight w:val="0"/>
      <w:marTop w:val="0"/>
      <w:marBottom w:val="0"/>
      <w:divBdr>
        <w:top w:val="none" w:sz="0" w:space="0" w:color="auto"/>
        <w:left w:val="none" w:sz="0" w:space="0" w:color="auto"/>
        <w:bottom w:val="none" w:sz="0" w:space="0" w:color="auto"/>
        <w:right w:val="none" w:sz="0" w:space="0" w:color="auto"/>
      </w:divBdr>
    </w:div>
    <w:div w:id="800656147">
      <w:bodyDiv w:val="1"/>
      <w:marLeft w:val="0"/>
      <w:marRight w:val="0"/>
      <w:marTop w:val="0"/>
      <w:marBottom w:val="0"/>
      <w:divBdr>
        <w:top w:val="none" w:sz="0" w:space="0" w:color="auto"/>
        <w:left w:val="none" w:sz="0" w:space="0" w:color="auto"/>
        <w:bottom w:val="none" w:sz="0" w:space="0" w:color="auto"/>
        <w:right w:val="none" w:sz="0" w:space="0" w:color="auto"/>
      </w:divBdr>
    </w:div>
    <w:div w:id="847253402">
      <w:bodyDiv w:val="1"/>
      <w:marLeft w:val="0"/>
      <w:marRight w:val="0"/>
      <w:marTop w:val="0"/>
      <w:marBottom w:val="0"/>
      <w:divBdr>
        <w:top w:val="none" w:sz="0" w:space="0" w:color="auto"/>
        <w:left w:val="none" w:sz="0" w:space="0" w:color="auto"/>
        <w:bottom w:val="none" w:sz="0" w:space="0" w:color="auto"/>
        <w:right w:val="none" w:sz="0" w:space="0" w:color="auto"/>
      </w:divBdr>
    </w:div>
    <w:div w:id="861938424">
      <w:bodyDiv w:val="1"/>
      <w:marLeft w:val="0"/>
      <w:marRight w:val="0"/>
      <w:marTop w:val="0"/>
      <w:marBottom w:val="0"/>
      <w:divBdr>
        <w:top w:val="none" w:sz="0" w:space="0" w:color="auto"/>
        <w:left w:val="none" w:sz="0" w:space="0" w:color="auto"/>
        <w:bottom w:val="none" w:sz="0" w:space="0" w:color="auto"/>
        <w:right w:val="none" w:sz="0" w:space="0" w:color="auto"/>
      </w:divBdr>
    </w:div>
    <w:div w:id="894241210">
      <w:bodyDiv w:val="1"/>
      <w:marLeft w:val="0"/>
      <w:marRight w:val="0"/>
      <w:marTop w:val="0"/>
      <w:marBottom w:val="0"/>
      <w:divBdr>
        <w:top w:val="none" w:sz="0" w:space="0" w:color="auto"/>
        <w:left w:val="none" w:sz="0" w:space="0" w:color="auto"/>
        <w:bottom w:val="none" w:sz="0" w:space="0" w:color="auto"/>
        <w:right w:val="none" w:sz="0" w:space="0" w:color="auto"/>
      </w:divBdr>
    </w:div>
    <w:div w:id="894320433">
      <w:bodyDiv w:val="1"/>
      <w:marLeft w:val="0"/>
      <w:marRight w:val="0"/>
      <w:marTop w:val="0"/>
      <w:marBottom w:val="0"/>
      <w:divBdr>
        <w:top w:val="none" w:sz="0" w:space="0" w:color="auto"/>
        <w:left w:val="none" w:sz="0" w:space="0" w:color="auto"/>
        <w:bottom w:val="none" w:sz="0" w:space="0" w:color="auto"/>
        <w:right w:val="none" w:sz="0" w:space="0" w:color="auto"/>
      </w:divBdr>
    </w:div>
    <w:div w:id="898631715">
      <w:bodyDiv w:val="1"/>
      <w:marLeft w:val="0"/>
      <w:marRight w:val="0"/>
      <w:marTop w:val="0"/>
      <w:marBottom w:val="0"/>
      <w:divBdr>
        <w:top w:val="none" w:sz="0" w:space="0" w:color="auto"/>
        <w:left w:val="none" w:sz="0" w:space="0" w:color="auto"/>
        <w:bottom w:val="none" w:sz="0" w:space="0" w:color="auto"/>
        <w:right w:val="none" w:sz="0" w:space="0" w:color="auto"/>
      </w:divBdr>
      <w:divsChild>
        <w:div w:id="472911874">
          <w:marLeft w:val="0"/>
          <w:marRight w:val="0"/>
          <w:marTop w:val="0"/>
          <w:marBottom w:val="0"/>
          <w:divBdr>
            <w:top w:val="none" w:sz="0" w:space="0" w:color="auto"/>
            <w:left w:val="none" w:sz="0" w:space="0" w:color="auto"/>
            <w:bottom w:val="none" w:sz="0" w:space="0" w:color="auto"/>
            <w:right w:val="none" w:sz="0" w:space="0" w:color="auto"/>
          </w:divBdr>
        </w:div>
      </w:divsChild>
    </w:div>
    <w:div w:id="919220613">
      <w:bodyDiv w:val="1"/>
      <w:marLeft w:val="0"/>
      <w:marRight w:val="0"/>
      <w:marTop w:val="0"/>
      <w:marBottom w:val="0"/>
      <w:divBdr>
        <w:top w:val="none" w:sz="0" w:space="0" w:color="auto"/>
        <w:left w:val="none" w:sz="0" w:space="0" w:color="auto"/>
        <w:bottom w:val="none" w:sz="0" w:space="0" w:color="auto"/>
        <w:right w:val="none" w:sz="0" w:space="0" w:color="auto"/>
      </w:divBdr>
    </w:div>
    <w:div w:id="939946809">
      <w:bodyDiv w:val="1"/>
      <w:marLeft w:val="0"/>
      <w:marRight w:val="0"/>
      <w:marTop w:val="0"/>
      <w:marBottom w:val="0"/>
      <w:divBdr>
        <w:top w:val="none" w:sz="0" w:space="0" w:color="auto"/>
        <w:left w:val="none" w:sz="0" w:space="0" w:color="auto"/>
        <w:bottom w:val="none" w:sz="0" w:space="0" w:color="auto"/>
        <w:right w:val="none" w:sz="0" w:space="0" w:color="auto"/>
      </w:divBdr>
    </w:div>
    <w:div w:id="949168770">
      <w:bodyDiv w:val="1"/>
      <w:marLeft w:val="0"/>
      <w:marRight w:val="0"/>
      <w:marTop w:val="0"/>
      <w:marBottom w:val="0"/>
      <w:divBdr>
        <w:top w:val="none" w:sz="0" w:space="0" w:color="auto"/>
        <w:left w:val="none" w:sz="0" w:space="0" w:color="auto"/>
        <w:bottom w:val="none" w:sz="0" w:space="0" w:color="auto"/>
        <w:right w:val="none" w:sz="0" w:space="0" w:color="auto"/>
      </w:divBdr>
    </w:div>
    <w:div w:id="962929235">
      <w:bodyDiv w:val="1"/>
      <w:marLeft w:val="0"/>
      <w:marRight w:val="0"/>
      <w:marTop w:val="0"/>
      <w:marBottom w:val="0"/>
      <w:divBdr>
        <w:top w:val="none" w:sz="0" w:space="0" w:color="auto"/>
        <w:left w:val="none" w:sz="0" w:space="0" w:color="auto"/>
        <w:bottom w:val="none" w:sz="0" w:space="0" w:color="auto"/>
        <w:right w:val="none" w:sz="0" w:space="0" w:color="auto"/>
      </w:divBdr>
    </w:div>
    <w:div w:id="964963398">
      <w:bodyDiv w:val="1"/>
      <w:marLeft w:val="0"/>
      <w:marRight w:val="0"/>
      <w:marTop w:val="0"/>
      <w:marBottom w:val="0"/>
      <w:divBdr>
        <w:top w:val="none" w:sz="0" w:space="0" w:color="auto"/>
        <w:left w:val="none" w:sz="0" w:space="0" w:color="auto"/>
        <w:bottom w:val="none" w:sz="0" w:space="0" w:color="auto"/>
        <w:right w:val="none" w:sz="0" w:space="0" w:color="auto"/>
      </w:divBdr>
    </w:div>
    <w:div w:id="979112635">
      <w:bodyDiv w:val="1"/>
      <w:marLeft w:val="0"/>
      <w:marRight w:val="0"/>
      <w:marTop w:val="0"/>
      <w:marBottom w:val="0"/>
      <w:divBdr>
        <w:top w:val="none" w:sz="0" w:space="0" w:color="auto"/>
        <w:left w:val="none" w:sz="0" w:space="0" w:color="auto"/>
        <w:bottom w:val="none" w:sz="0" w:space="0" w:color="auto"/>
        <w:right w:val="none" w:sz="0" w:space="0" w:color="auto"/>
      </w:divBdr>
    </w:div>
    <w:div w:id="979774894">
      <w:bodyDiv w:val="1"/>
      <w:marLeft w:val="0"/>
      <w:marRight w:val="0"/>
      <w:marTop w:val="0"/>
      <w:marBottom w:val="0"/>
      <w:divBdr>
        <w:top w:val="none" w:sz="0" w:space="0" w:color="auto"/>
        <w:left w:val="none" w:sz="0" w:space="0" w:color="auto"/>
        <w:bottom w:val="none" w:sz="0" w:space="0" w:color="auto"/>
        <w:right w:val="none" w:sz="0" w:space="0" w:color="auto"/>
      </w:divBdr>
    </w:div>
    <w:div w:id="989096198">
      <w:bodyDiv w:val="1"/>
      <w:marLeft w:val="0"/>
      <w:marRight w:val="0"/>
      <w:marTop w:val="0"/>
      <w:marBottom w:val="0"/>
      <w:divBdr>
        <w:top w:val="none" w:sz="0" w:space="0" w:color="auto"/>
        <w:left w:val="none" w:sz="0" w:space="0" w:color="auto"/>
        <w:bottom w:val="none" w:sz="0" w:space="0" w:color="auto"/>
        <w:right w:val="none" w:sz="0" w:space="0" w:color="auto"/>
      </w:divBdr>
    </w:div>
    <w:div w:id="994837350">
      <w:bodyDiv w:val="1"/>
      <w:marLeft w:val="0"/>
      <w:marRight w:val="0"/>
      <w:marTop w:val="0"/>
      <w:marBottom w:val="0"/>
      <w:divBdr>
        <w:top w:val="none" w:sz="0" w:space="0" w:color="auto"/>
        <w:left w:val="none" w:sz="0" w:space="0" w:color="auto"/>
        <w:bottom w:val="none" w:sz="0" w:space="0" w:color="auto"/>
        <w:right w:val="none" w:sz="0" w:space="0" w:color="auto"/>
      </w:divBdr>
    </w:div>
    <w:div w:id="1014771198">
      <w:bodyDiv w:val="1"/>
      <w:marLeft w:val="0"/>
      <w:marRight w:val="0"/>
      <w:marTop w:val="0"/>
      <w:marBottom w:val="0"/>
      <w:divBdr>
        <w:top w:val="none" w:sz="0" w:space="0" w:color="auto"/>
        <w:left w:val="none" w:sz="0" w:space="0" w:color="auto"/>
        <w:bottom w:val="none" w:sz="0" w:space="0" w:color="auto"/>
        <w:right w:val="none" w:sz="0" w:space="0" w:color="auto"/>
      </w:divBdr>
    </w:div>
    <w:div w:id="1037435463">
      <w:bodyDiv w:val="1"/>
      <w:marLeft w:val="0"/>
      <w:marRight w:val="0"/>
      <w:marTop w:val="0"/>
      <w:marBottom w:val="0"/>
      <w:divBdr>
        <w:top w:val="none" w:sz="0" w:space="0" w:color="auto"/>
        <w:left w:val="none" w:sz="0" w:space="0" w:color="auto"/>
        <w:bottom w:val="none" w:sz="0" w:space="0" w:color="auto"/>
        <w:right w:val="none" w:sz="0" w:space="0" w:color="auto"/>
      </w:divBdr>
    </w:div>
    <w:div w:id="1134131801">
      <w:bodyDiv w:val="1"/>
      <w:marLeft w:val="0"/>
      <w:marRight w:val="0"/>
      <w:marTop w:val="0"/>
      <w:marBottom w:val="0"/>
      <w:divBdr>
        <w:top w:val="none" w:sz="0" w:space="0" w:color="auto"/>
        <w:left w:val="none" w:sz="0" w:space="0" w:color="auto"/>
        <w:bottom w:val="none" w:sz="0" w:space="0" w:color="auto"/>
        <w:right w:val="none" w:sz="0" w:space="0" w:color="auto"/>
      </w:divBdr>
    </w:div>
    <w:div w:id="1150094309">
      <w:bodyDiv w:val="1"/>
      <w:marLeft w:val="0"/>
      <w:marRight w:val="0"/>
      <w:marTop w:val="0"/>
      <w:marBottom w:val="0"/>
      <w:divBdr>
        <w:top w:val="none" w:sz="0" w:space="0" w:color="auto"/>
        <w:left w:val="none" w:sz="0" w:space="0" w:color="auto"/>
        <w:bottom w:val="none" w:sz="0" w:space="0" w:color="auto"/>
        <w:right w:val="none" w:sz="0" w:space="0" w:color="auto"/>
      </w:divBdr>
    </w:div>
    <w:div w:id="1150318701">
      <w:bodyDiv w:val="1"/>
      <w:marLeft w:val="0"/>
      <w:marRight w:val="0"/>
      <w:marTop w:val="0"/>
      <w:marBottom w:val="0"/>
      <w:divBdr>
        <w:top w:val="none" w:sz="0" w:space="0" w:color="auto"/>
        <w:left w:val="none" w:sz="0" w:space="0" w:color="auto"/>
        <w:bottom w:val="none" w:sz="0" w:space="0" w:color="auto"/>
        <w:right w:val="none" w:sz="0" w:space="0" w:color="auto"/>
      </w:divBdr>
    </w:div>
    <w:div w:id="1168599435">
      <w:bodyDiv w:val="1"/>
      <w:marLeft w:val="0"/>
      <w:marRight w:val="0"/>
      <w:marTop w:val="0"/>
      <w:marBottom w:val="0"/>
      <w:divBdr>
        <w:top w:val="none" w:sz="0" w:space="0" w:color="auto"/>
        <w:left w:val="none" w:sz="0" w:space="0" w:color="auto"/>
        <w:bottom w:val="none" w:sz="0" w:space="0" w:color="auto"/>
        <w:right w:val="none" w:sz="0" w:space="0" w:color="auto"/>
      </w:divBdr>
    </w:div>
    <w:div w:id="1200166955">
      <w:bodyDiv w:val="1"/>
      <w:marLeft w:val="0"/>
      <w:marRight w:val="0"/>
      <w:marTop w:val="0"/>
      <w:marBottom w:val="0"/>
      <w:divBdr>
        <w:top w:val="none" w:sz="0" w:space="0" w:color="auto"/>
        <w:left w:val="none" w:sz="0" w:space="0" w:color="auto"/>
        <w:bottom w:val="none" w:sz="0" w:space="0" w:color="auto"/>
        <w:right w:val="none" w:sz="0" w:space="0" w:color="auto"/>
      </w:divBdr>
    </w:div>
    <w:div w:id="1209149189">
      <w:bodyDiv w:val="1"/>
      <w:marLeft w:val="0"/>
      <w:marRight w:val="0"/>
      <w:marTop w:val="0"/>
      <w:marBottom w:val="0"/>
      <w:divBdr>
        <w:top w:val="none" w:sz="0" w:space="0" w:color="auto"/>
        <w:left w:val="none" w:sz="0" w:space="0" w:color="auto"/>
        <w:bottom w:val="none" w:sz="0" w:space="0" w:color="auto"/>
        <w:right w:val="none" w:sz="0" w:space="0" w:color="auto"/>
      </w:divBdr>
    </w:div>
    <w:div w:id="1215581337">
      <w:bodyDiv w:val="1"/>
      <w:marLeft w:val="0"/>
      <w:marRight w:val="0"/>
      <w:marTop w:val="0"/>
      <w:marBottom w:val="0"/>
      <w:divBdr>
        <w:top w:val="none" w:sz="0" w:space="0" w:color="auto"/>
        <w:left w:val="none" w:sz="0" w:space="0" w:color="auto"/>
        <w:bottom w:val="none" w:sz="0" w:space="0" w:color="auto"/>
        <w:right w:val="none" w:sz="0" w:space="0" w:color="auto"/>
      </w:divBdr>
    </w:div>
    <w:div w:id="1250430471">
      <w:bodyDiv w:val="1"/>
      <w:marLeft w:val="0"/>
      <w:marRight w:val="0"/>
      <w:marTop w:val="0"/>
      <w:marBottom w:val="0"/>
      <w:divBdr>
        <w:top w:val="none" w:sz="0" w:space="0" w:color="auto"/>
        <w:left w:val="none" w:sz="0" w:space="0" w:color="auto"/>
        <w:bottom w:val="none" w:sz="0" w:space="0" w:color="auto"/>
        <w:right w:val="none" w:sz="0" w:space="0" w:color="auto"/>
      </w:divBdr>
    </w:div>
    <w:div w:id="1263610257">
      <w:bodyDiv w:val="1"/>
      <w:marLeft w:val="0"/>
      <w:marRight w:val="0"/>
      <w:marTop w:val="0"/>
      <w:marBottom w:val="0"/>
      <w:divBdr>
        <w:top w:val="none" w:sz="0" w:space="0" w:color="auto"/>
        <w:left w:val="none" w:sz="0" w:space="0" w:color="auto"/>
        <w:bottom w:val="none" w:sz="0" w:space="0" w:color="auto"/>
        <w:right w:val="none" w:sz="0" w:space="0" w:color="auto"/>
      </w:divBdr>
    </w:div>
    <w:div w:id="1288849131">
      <w:bodyDiv w:val="1"/>
      <w:marLeft w:val="0"/>
      <w:marRight w:val="0"/>
      <w:marTop w:val="0"/>
      <w:marBottom w:val="0"/>
      <w:divBdr>
        <w:top w:val="none" w:sz="0" w:space="0" w:color="auto"/>
        <w:left w:val="none" w:sz="0" w:space="0" w:color="auto"/>
        <w:bottom w:val="none" w:sz="0" w:space="0" w:color="auto"/>
        <w:right w:val="none" w:sz="0" w:space="0" w:color="auto"/>
      </w:divBdr>
    </w:div>
    <w:div w:id="1299603781">
      <w:bodyDiv w:val="1"/>
      <w:marLeft w:val="0"/>
      <w:marRight w:val="0"/>
      <w:marTop w:val="0"/>
      <w:marBottom w:val="0"/>
      <w:divBdr>
        <w:top w:val="none" w:sz="0" w:space="0" w:color="auto"/>
        <w:left w:val="none" w:sz="0" w:space="0" w:color="auto"/>
        <w:bottom w:val="none" w:sz="0" w:space="0" w:color="auto"/>
        <w:right w:val="none" w:sz="0" w:space="0" w:color="auto"/>
      </w:divBdr>
    </w:div>
    <w:div w:id="1303660548">
      <w:bodyDiv w:val="1"/>
      <w:marLeft w:val="0"/>
      <w:marRight w:val="0"/>
      <w:marTop w:val="0"/>
      <w:marBottom w:val="0"/>
      <w:divBdr>
        <w:top w:val="none" w:sz="0" w:space="0" w:color="auto"/>
        <w:left w:val="none" w:sz="0" w:space="0" w:color="auto"/>
        <w:bottom w:val="none" w:sz="0" w:space="0" w:color="auto"/>
        <w:right w:val="none" w:sz="0" w:space="0" w:color="auto"/>
      </w:divBdr>
    </w:div>
    <w:div w:id="1318337456">
      <w:bodyDiv w:val="1"/>
      <w:marLeft w:val="0"/>
      <w:marRight w:val="0"/>
      <w:marTop w:val="0"/>
      <w:marBottom w:val="0"/>
      <w:divBdr>
        <w:top w:val="none" w:sz="0" w:space="0" w:color="auto"/>
        <w:left w:val="none" w:sz="0" w:space="0" w:color="auto"/>
        <w:bottom w:val="none" w:sz="0" w:space="0" w:color="auto"/>
        <w:right w:val="none" w:sz="0" w:space="0" w:color="auto"/>
      </w:divBdr>
    </w:div>
    <w:div w:id="1357078679">
      <w:bodyDiv w:val="1"/>
      <w:marLeft w:val="0"/>
      <w:marRight w:val="0"/>
      <w:marTop w:val="0"/>
      <w:marBottom w:val="0"/>
      <w:divBdr>
        <w:top w:val="none" w:sz="0" w:space="0" w:color="auto"/>
        <w:left w:val="none" w:sz="0" w:space="0" w:color="auto"/>
        <w:bottom w:val="none" w:sz="0" w:space="0" w:color="auto"/>
        <w:right w:val="none" w:sz="0" w:space="0" w:color="auto"/>
      </w:divBdr>
    </w:div>
    <w:div w:id="1358771913">
      <w:bodyDiv w:val="1"/>
      <w:marLeft w:val="0"/>
      <w:marRight w:val="0"/>
      <w:marTop w:val="0"/>
      <w:marBottom w:val="0"/>
      <w:divBdr>
        <w:top w:val="none" w:sz="0" w:space="0" w:color="auto"/>
        <w:left w:val="none" w:sz="0" w:space="0" w:color="auto"/>
        <w:bottom w:val="none" w:sz="0" w:space="0" w:color="auto"/>
        <w:right w:val="none" w:sz="0" w:space="0" w:color="auto"/>
      </w:divBdr>
    </w:div>
    <w:div w:id="1365981414">
      <w:bodyDiv w:val="1"/>
      <w:marLeft w:val="0"/>
      <w:marRight w:val="0"/>
      <w:marTop w:val="0"/>
      <w:marBottom w:val="0"/>
      <w:divBdr>
        <w:top w:val="none" w:sz="0" w:space="0" w:color="auto"/>
        <w:left w:val="none" w:sz="0" w:space="0" w:color="auto"/>
        <w:bottom w:val="none" w:sz="0" w:space="0" w:color="auto"/>
        <w:right w:val="none" w:sz="0" w:space="0" w:color="auto"/>
      </w:divBdr>
    </w:div>
    <w:div w:id="1373113058">
      <w:bodyDiv w:val="1"/>
      <w:marLeft w:val="0"/>
      <w:marRight w:val="0"/>
      <w:marTop w:val="0"/>
      <w:marBottom w:val="0"/>
      <w:divBdr>
        <w:top w:val="none" w:sz="0" w:space="0" w:color="auto"/>
        <w:left w:val="none" w:sz="0" w:space="0" w:color="auto"/>
        <w:bottom w:val="none" w:sz="0" w:space="0" w:color="auto"/>
        <w:right w:val="none" w:sz="0" w:space="0" w:color="auto"/>
      </w:divBdr>
    </w:div>
    <w:div w:id="1401364482">
      <w:bodyDiv w:val="1"/>
      <w:marLeft w:val="0"/>
      <w:marRight w:val="0"/>
      <w:marTop w:val="0"/>
      <w:marBottom w:val="0"/>
      <w:divBdr>
        <w:top w:val="none" w:sz="0" w:space="0" w:color="auto"/>
        <w:left w:val="none" w:sz="0" w:space="0" w:color="auto"/>
        <w:bottom w:val="none" w:sz="0" w:space="0" w:color="auto"/>
        <w:right w:val="none" w:sz="0" w:space="0" w:color="auto"/>
      </w:divBdr>
    </w:div>
    <w:div w:id="1402631670">
      <w:bodyDiv w:val="1"/>
      <w:marLeft w:val="0"/>
      <w:marRight w:val="0"/>
      <w:marTop w:val="0"/>
      <w:marBottom w:val="0"/>
      <w:divBdr>
        <w:top w:val="none" w:sz="0" w:space="0" w:color="auto"/>
        <w:left w:val="none" w:sz="0" w:space="0" w:color="auto"/>
        <w:bottom w:val="none" w:sz="0" w:space="0" w:color="auto"/>
        <w:right w:val="none" w:sz="0" w:space="0" w:color="auto"/>
      </w:divBdr>
    </w:div>
    <w:div w:id="1442149164">
      <w:bodyDiv w:val="1"/>
      <w:marLeft w:val="0"/>
      <w:marRight w:val="0"/>
      <w:marTop w:val="0"/>
      <w:marBottom w:val="0"/>
      <w:divBdr>
        <w:top w:val="none" w:sz="0" w:space="0" w:color="auto"/>
        <w:left w:val="none" w:sz="0" w:space="0" w:color="auto"/>
        <w:bottom w:val="none" w:sz="0" w:space="0" w:color="auto"/>
        <w:right w:val="none" w:sz="0" w:space="0" w:color="auto"/>
      </w:divBdr>
    </w:div>
    <w:div w:id="1448425229">
      <w:bodyDiv w:val="1"/>
      <w:marLeft w:val="0"/>
      <w:marRight w:val="0"/>
      <w:marTop w:val="0"/>
      <w:marBottom w:val="0"/>
      <w:divBdr>
        <w:top w:val="none" w:sz="0" w:space="0" w:color="auto"/>
        <w:left w:val="none" w:sz="0" w:space="0" w:color="auto"/>
        <w:bottom w:val="none" w:sz="0" w:space="0" w:color="auto"/>
        <w:right w:val="none" w:sz="0" w:space="0" w:color="auto"/>
      </w:divBdr>
    </w:div>
    <w:div w:id="1450662410">
      <w:bodyDiv w:val="1"/>
      <w:marLeft w:val="0"/>
      <w:marRight w:val="0"/>
      <w:marTop w:val="0"/>
      <w:marBottom w:val="0"/>
      <w:divBdr>
        <w:top w:val="none" w:sz="0" w:space="0" w:color="auto"/>
        <w:left w:val="none" w:sz="0" w:space="0" w:color="auto"/>
        <w:bottom w:val="none" w:sz="0" w:space="0" w:color="auto"/>
        <w:right w:val="none" w:sz="0" w:space="0" w:color="auto"/>
      </w:divBdr>
    </w:div>
    <w:div w:id="1451978086">
      <w:bodyDiv w:val="1"/>
      <w:marLeft w:val="0"/>
      <w:marRight w:val="0"/>
      <w:marTop w:val="0"/>
      <w:marBottom w:val="0"/>
      <w:divBdr>
        <w:top w:val="none" w:sz="0" w:space="0" w:color="auto"/>
        <w:left w:val="none" w:sz="0" w:space="0" w:color="auto"/>
        <w:bottom w:val="none" w:sz="0" w:space="0" w:color="auto"/>
        <w:right w:val="none" w:sz="0" w:space="0" w:color="auto"/>
      </w:divBdr>
    </w:div>
    <w:div w:id="1463574060">
      <w:bodyDiv w:val="1"/>
      <w:marLeft w:val="0"/>
      <w:marRight w:val="0"/>
      <w:marTop w:val="0"/>
      <w:marBottom w:val="0"/>
      <w:divBdr>
        <w:top w:val="none" w:sz="0" w:space="0" w:color="auto"/>
        <w:left w:val="none" w:sz="0" w:space="0" w:color="auto"/>
        <w:bottom w:val="none" w:sz="0" w:space="0" w:color="auto"/>
        <w:right w:val="none" w:sz="0" w:space="0" w:color="auto"/>
      </w:divBdr>
    </w:div>
    <w:div w:id="1467896795">
      <w:bodyDiv w:val="1"/>
      <w:marLeft w:val="0"/>
      <w:marRight w:val="0"/>
      <w:marTop w:val="0"/>
      <w:marBottom w:val="0"/>
      <w:divBdr>
        <w:top w:val="none" w:sz="0" w:space="0" w:color="auto"/>
        <w:left w:val="none" w:sz="0" w:space="0" w:color="auto"/>
        <w:bottom w:val="none" w:sz="0" w:space="0" w:color="auto"/>
        <w:right w:val="none" w:sz="0" w:space="0" w:color="auto"/>
      </w:divBdr>
    </w:div>
    <w:div w:id="1486623076">
      <w:bodyDiv w:val="1"/>
      <w:marLeft w:val="0"/>
      <w:marRight w:val="0"/>
      <w:marTop w:val="0"/>
      <w:marBottom w:val="0"/>
      <w:divBdr>
        <w:top w:val="none" w:sz="0" w:space="0" w:color="auto"/>
        <w:left w:val="none" w:sz="0" w:space="0" w:color="auto"/>
        <w:bottom w:val="none" w:sz="0" w:space="0" w:color="auto"/>
        <w:right w:val="none" w:sz="0" w:space="0" w:color="auto"/>
      </w:divBdr>
    </w:div>
    <w:div w:id="1492595928">
      <w:bodyDiv w:val="1"/>
      <w:marLeft w:val="0"/>
      <w:marRight w:val="0"/>
      <w:marTop w:val="0"/>
      <w:marBottom w:val="0"/>
      <w:divBdr>
        <w:top w:val="none" w:sz="0" w:space="0" w:color="auto"/>
        <w:left w:val="none" w:sz="0" w:space="0" w:color="auto"/>
        <w:bottom w:val="none" w:sz="0" w:space="0" w:color="auto"/>
        <w:right w:val="none" w:sz="0" w:space="0" w:color="auto"/>
      </w:divBdr>
    </w:div>
    <w:div w:id="1506246595">
      <w:bodyDiv w:val="1"/>
      <w:marLeft w:val="0"/>
      <w:marRight w:val="0"/>
      <w:marTop w:val="0"/>
      <w:marBottom w:val="0"/>
      <w:divBdr>
        <w:top w:val="none" w:sz="0" w:space="0" w:color="auto"/>
        <w:left w:val="none" w:sz="0" w:space="0" w:color="auto"/>
        <w:bottom w:val="none" w:sz="0" w:space="0" w:color="auto"/>
        <w:right w:val="none" w:sz="0" w:space="0" w:color="auto"/>
      </w:divBdr>
    </w:div>
    <w:div w:id="1560441430">
      <w:bodyDiv w:val="1"/>
      <w:marLeft w:val="0"/>
      <w:marRight w:val="0"/>
      <w:marTop w:val="0"/>
      <w:marBottom w:val="0"/>
      <w:divBdr>
        <w:top w:val="none" w:sz="0" w:space="0" w:color="auto"/>
        <w:left w:val="none" w:sz="0" w:space="0" w:color="auto"/>
        <w:bottom w:val="none" w:sz="0" w:space="0" w:color="auto"/>
        <w:right w:val="none" w:sz="0" w:space="0" w:color="auto"/>
      </w:divBdr>
    </w:div>
    <w:div w:id="1581063772">
      <w:bodyDiv w:val="1"/>
      <w:marLeft w:val="0"/>
      <w:marRight w:val="0"/>
      <w:marTop w:val="0"/>
      <w:marBottom w:val="0"/>
      <w:divBdr>
        <w:top w:val="none" w:sz="0" w:space="0" w:color="auto"/>
        <w:left w:val="none" w:sz="0" w:space="0" w:color="auto"/>
        <w:bottom w:val="none" w:sz="0" w:space="0" w:color="auto"/>
        <w:right w:val="none" w:sz="0" w:space="0" w:color="auto"/>
      </w:divBdr>
    </w:div>
    <w:div w:id="1602950674">
      <w:bodyDiv w:val="1"/>
      <w:marLeft w:val="0"/>
      <w:marRight w:val="0"/>
      <w:marTop w:val="0"/>
      <w:marBottom w:val="0"/>
      <w:divBdr>
        <w:top w:val="none" w:sz="0" w:space="0" w:color="auto"/>
        <w:left w:val="none" w:sz="0" w:space="0" w:color="auto"/>
        <w:bottom w:val="none" w:sz="0" w:space="0" w:color="auto"/>
        <w:right w:val="none" w:sz="0" w:space="0" w:color="auto"/>
      </w:divBdr>
    </w:div>
    <w:div w:id="1637685250">
      <w:bodyDiv w:val="1"/>
      <w:marLeft w:val="0"/>
      <w:marRight w:val="0"/>
      <w:marTop w:val="0"/>
      <w:marBottom w:val="0"/>
      <w:divBdr>
        <w:top w:val="none" w:sz="0" w:space="0" w:color="auto"/>
        <w:left w:val="none" w:sz="0" w:space="0" w:color="auto"/>
        <w:bottom w:val="none" w:sz="0" w:space="0" w:color="auto"/>
        <w:right w:val="none" w:sz="0" w:space="0" w:color="auto"/>
      </w:divBdr>
    </w:div>
    <w:div w:id="1651473935">
      <w:bodyDiv w:val="1"/>
      <w:marLeft w:val="0"/>
      <w:marRight w:val="0"/>
      <w:marTop w:val="0"/>
      <w:marBottom w:val="0"/>
      <w:divBdr>
        <w:top w:val="none" w:sz="0" w:space="0" w:color="auto"/>
        <w:left w:val="none" w:sz="0" w:space="0" w:color="auto"/>
        <w:bottom w:val="none" w:sz="0" w:space="0" w:color="auto"/>
        <w:right w:val="none" w:sz="0" w:space="0" w:color="auto"/>
      </w:divBdr>
    </w:div>
    <w:div w:id="1678078522">
      <w:bodyDiv w:val="1"/>
      <w:marLeft w:val="0"/>
      <w:marRight w:val="0"/>
      <w:marTop w:val="0"/>
      <w:marBottom w:val="0"/>
      <w:divBdr>
        <w:top w:val="none" w:sz="0" w:space="0" w:color="auto"/>
        <w:left w:val="none" w:sz="0" w:space="0" w:color="auto"/>
        <w:bottom w:val="none" w:sz="0" w:space="0" w:color="auto"/>
        <w:right w:val="none" w:sz="0" w:space="0" w:color="auto"/>
      </w:divBdr>
    </w:div>
    <w:div w:id="1685475300">
      <w:bodyDiv w:val="1"/>
      <w:marLeft w:val="0"/>
      <w:marRight w:val="0"/>
      <w:marTop w:val="0"/>
      <w:marBottom w:val="0"/>
      <w:divBdr>
        <w:top w:val="none" w:sz="0" w:space="0" w:color="auto"/>
        <w:left w:val="none" w:sz="0" w:space="0" w:color="auto"/>
        <w:bottom w:val="none" w:sz="0" w:space="0" w:color="auto"/>
        <w:right w:val="none" w:sz="0" w:space="0" w:color="auto"/>
      </w:divBdr>
    </w:div>
    <w:div w:id="1686443647">
      <w:bodyDiv w:val="1"/>
      <w:marLeft w:val="0"/>
      <w:marRight w:val="0"/>
      <w:marTop w:val="0"/>
      <w:marBottom w:val="0"/>
      <w:divBdr>
        <w:top w:val="none" w:sz="0" w:space="0" w:color="auto"/>
        <w:left w:val="none" w:sz="0" w:space="0" w:color="auto"/>
        <w:bottom w:val="none" w:sz="0" w:space="0" w:color="auto"/>
        <w:right w:val="none" w:sz="0" w:space="0" w:color="auto"/>
      </w:divBdr>
    </w:div>
    <w:div w:id="1699622467">
      <w:bodyDiv w:val="1"/>
      <w:marLeft w:val="0"/>
      <w:marRight w:val="0"/>
      <w:marTop w:val="0"/>
      <w:marBottom w:val="0"/>
      <w:divBdr>
        <w:top w:val="none" w:sz="0" w:space="0" w:color="auto"/>
        <w:left w:val="none" w:sz="0" w:space="0" w:color="auto"/>
        <w:bottom w:val="none" w:sz="0" w:space="0" w:color="auto"/>
        <w:right w:val="none" w:sz="0" w:space="0" w:color="auto"/>
      </w:divBdr>
    </w:div>
    <w:div w:id="1754426712">
      <w:bodyDiv w:val="1"/>
      <w:marLeft w:val="0"/>
      <w:marRight w:val="0"/>
      <w:marTop w:val="0"/>
      <w:marBottom w:val="0"/>
      <w:divBdr>
        <w:top w:val="none" w:sz="0" w:space="0" w:color="auto"/>
        <w:left w:val="none" w:sz="0" w:space="0" w:color="auto"/>
        <w:bottom w:val="none" w:sz="0" w:space="0" w:color="auto"/>
        <w:right w:val="none" w:sz="0" w:space="0" w:color="auto"/>
      </w:divBdr>
    </w:div>
    <w:div w:id="1763255548">
      <w:bodyDiv w:val="1"/>
      <w:marLeft w:val="0"/>
      <w:marRight w:val="0"/>
      <w:marTop w:val="0"/>
      <w:marBottom w:val="0"/>
      <w:divBdr>
        <w:top w:val="none" w:sz="0" w:space="0" w:color="auto"/>
        <w:left w:val="none" w:sz="0" w:space="0" w:color="auto"/>
        <w:bottom w:val="none" w:sz="0" w:space="0" w:color="auto"/>
        <w:right w:val="none" w:sz="0" w:space="0" w:color="auto"/>
      </w:divBdr>
    </w:div>
    <w:div w:id="1764297154">
      <w:bodyDiv w:val="1"/>
      <w:marLeft w:val="0"/>
      <w:marRight w:val="0"/>
      <w:marTop w:val="0"/>
      <w:marBottom w:val="0"/>
      <w:divBdr>
        <w:top w:val="none" w:sz="0" w:space="0" w:color="auto"/>
        <w:left w:val="none" w:sz="0" w:space="0" w:color="auto"/>
        <w:bottom w:val="none" w:sz="0" w:space="0" w:color="auto"/>
        <w:right w:val="none" w:sz="0" w:space="0" w:color="auto"/>
      </w:divBdr>
    </w:div>
    <w:div w:id="1783500704">
      <w:bodyDiv w:val="1"/>
      <w:marLeft w:val="0"/>
      <w:marRight w:val="0"/>
      <w:marTop w:val="0"/>
      <w:marBottom w:val="0"/>
      <w:divBdr>
        <w:top w:val="none" w:sz="0" w:space="0" w:color="auto"/>
        <w:left w:val="none" w:sz="0" w:space="0" w:color="auto"/>
        <w:bottom w:val="none" w:sz="0" w:space="0" w:color="auto"/>
        <w:right w:val="none" w:sz="0" w:space="0" w:color="auto"/>
      </w:divBdr>
    </w:div>
    <w:div w:id="1796097187">
      <w:bodyDiv w:val="1"/>
      <w:marLeft w:val="0"/>
      <w:marRight w:val="0"/>
      <w:marTop w:val="0"/>
      <w:marBottom w:val="0"/>
      <w:divBdr>
        <w:top w:val="none" w:sz="0" w:space="0" w:color="auto"/>
        <w:left w:val="none" w:sz="0" w:space="0" w:color="auto"/>
        <w:bottom w:val="none" w:sz="0" w:space="0" w:color="auto"/>
        <w:right w:val="none" w:sz="0" w:space="0" w:color="auto"/>
      </w:divBdr>
    </w:div>
    <w:div w:id="1823080586">
      <w:bodyDiv w:val="1"/>
      <w:marLeft w:val="0"/>
      <w:marRight w:val="0"/>
      <w:marTop w:val="0"/>
      <w:marBottom w:val="0"/>
      <w:divBdr>
        <w:top w:val="none" w:sz="0" w:space="0" w:color="auto"/>
        <w:left w:val="none" w:sz="0" w:space="0" w:color="auto"/>
        <w:bottom w:val="none" w:sz="0" w:space="0" w:color="auto"/>
        <w:right w:val="none" w:sz="0" w:space="0" w:color="auto"/>
      </w:divBdr>
    </w:div>
    <w:div w:id="1848248742">
      <w:bodyDiv w:val="1"/>
      <w:marLeft w:val="0"/>
      <w:marRight w:val="0"/>
      <w:marTop w:val="0"/>
      <w:marBottom w:val="0"/>
      <w:divBdr>
        <w:top w:val="none" w:sz="0" w:space="0" w:color="auto"/>
        <w:left w:val="none" w:sz="0" w:space="0" w:color="auto"/>
        <w:bottom w:val="none" w:sz="0" w:space="0" w:color="auto"/>
        <w:right w:val="none" w:sz="0" w:space="0" w:color="auto"/>
      </w:divBdr>
    </w:div>
    <w:div w:id="1849715524">
      <w:bodyDiv w:val="1"/>
      <w:marLeft w:val="0"/>
      <w:marRight w:val="0"/>
      <w:marTop w:val="0"/>
      <w:marBottom w:val="0"/>
      <w:divBdr>
        <w:top w:val="none" w:sz="0" w:space="0" w:color="auto"/>
        <w:left w:val="none" w:sz="0" w:space="0" w:color="auto"/>
        <w:bottom w:val="none" w:sz="0" w:space="0" w:color="auto"/>
        <w:right w:val="none" w:sz="0" w:space="0" w:color="auto"/>
      </w:divBdr>
    </w:div>
    <w:div w:id="1866748719">
      <w:bodyDiv w:val="1"/>
      <w:marLeft w:val="0"/>
      <w:marRight w:val="0"/>
      <w:marTop w:val="0"/>
      <w:marBottom w:val="0"/>
      <w:divBdr>
        <w:top w:val="none" w:sz="0" w:space="0" w:color="auto"/>
        <w:left w:val="none" w:sz="0" w:space="0" w:color="auto"/>
        <w:bottom w:val="none" w:sz="0" w:space="0" w:color="auto"/>
        <w:right w:val="none" w:sz="0" w:space="0" w:color="auto"/>
      </w:divBdr>
    </w:div>
    <w:div w:id="1867869821">
      <w:bodyDiv w:val="1"/>
      <w:marLeft w:val="0"/>
      <w:marRight w:val="0"/>
      <w:marTop w:val="0"/>
      <w:marBottom w:val="0"/>
      <w:divBdr>
        <w:top w:val="none" w:sz="0" w:space="0" w:color="auto"/>
        <w:left w:val="none" w:sz="0" w:space="0" w:color="auto"/>
        <w:bottom w:val="none" w:sz="0" w:space="0" w:color="auto"/>
        <w:right w:val="none" w:sz="0" w:space="0" w:color="auto"/>
      </w:divBdr>
    </w:div>
    <w:div w:id="1885754192">
      <w:bodyDiv w:val="1"/>
      <w:marLeft w:val="0"/>
      <w:marRight w:val="0"/>
      <w:marTop w:val="0"/>
      <w:marBottom w:val="0"/>
      <w:divBdr>
        <w:top w:val="none" w:sz="0" w:space="0" w:color="auto"/>
        <w:left w:val="none" w:sz="0" w:space="0" w:color="auto"/>
        <w:bottom w:val="none" w:sz="0" w:space="0" w:color="auto"/>
        <w:right w:val="none" w:sz="0" w:space="0" w:color="auto"/>
      </w:divBdr>
    </w:div>
    <w:div w:id="1933470480">
      <w:bodyDiv w:val="1"/>
      <w:marLeft w:val="0"/>
      <w:marRight w:val="0"/>
      <w:marTop w:val="0"/>
      <w:marBottom w:val="0"/>
      <w:divBdr>
        <w:top w:val="none" w:sz="0" w:space="0" w:color="auto"/>
        <w:left w:val="none" w:sz="0" w:space="0" w:color="auto"/>
        <w:bottom w:val="none" w:sz="0" w:space="0" w:color="auto"/>
        <w:right w:val="none" w:sz="0" w:space="0" w:color="auto"/>
      </w:divBdr>
    </w:div>
    <w:div w:id="1945306895">
      <w:bodyDiv w:val="1"/>
      <w:marLeft w:val="0"/>
      <w:marRight w:val="0"/>
      <w:marTop w:val="0"/>
      <w:marBottom w:val="0"/>
      <w:divBdr>
        <w:top w:val="none" w:sz="0" w:space="0" w:color="auto"/>
        <w:left w:val="none" w:sz="0" w:space="0" w:color="auto"/>
        <w:bottom w:val="none" w:sz="0" w:space="0" w:color="auto"/>
        <w:right w:val="none" w:sz="0" w:space="0" w:color="auto"/>
      </w:divBdr>
    </w:div>
    <w:div w:id="1975985037">
      <w:bodyDiv w:val="1"/>
      <w:marLeft w:val="0"/>
      <w:marRight w:val="0"/>
      <w:marTop w:val="0"/>
      <w:marBottom w:val="0"/>
      <w:divBdr>
        <w:top w:val="none" w:sz="0" w:space="0" w:color="auto"/>
        <w:left w:val="none" w:sz="0" w:space="0" w:color="auto"/>
        <w:bottom w:val="none" w:sz="0" w:space="0" w:color="auto"/>
        <w:right w:val="none" w:sz="0" w:space="0" w:color="auto"/>
      </w:divBdr>
    </w:div>
    <w:div w:id="2079786947">
      <w:bodyDiv w:val="1"/>
      <w:marLeft w:val="0"/>
      <w:marRight w:val="0"/>
      <w:marTop w:val="0"/>
      <w:marBottom w:val="0"/>
      <w:divBdr>
        <w:top w:val="none" w:sz="0" w:space="0" w:color="auto"/>
        <w:left w:val="none" w:sz="0" w:space="0" w:color="auto"/>
        <w:bottom w:val="none" w:sz="0" w:space="0" w:color="auto"/>
        <w:right w:val="none" w:sz="0" w:space="0" w:color="auto"/>
      </w:divBdr>
    </w:div>
    <w:div w:id="2090148770">
      <w:bodyDiv w:val="1"/>
      <w:marLeft w:val="0"/>
      <w:marRight w:val="0"/>
      <w:marTop w:val="0"/>
      <w:marBottom w:val="0"/>
      <w:divBdr>
        <w:top w:val="none" w:sz="0" w:space="0" w:color="auto"/>
        <w:left w:val="none" w:sz="0" w:space="0" w:color="auto"/>
        <w:bottom w:val="none" w:sz="0" w:space="0" w:color="auto"/>
        <w:right w:val="none" w:sz="0" w:space="0" w:color="auto"/>
      </w:divBdr>
    </w:div>
    <w:div w:id="2099673448">
      <w:bodyDiv w:val="1"/>
      <w:marLeft w:val="0"/>
      <w:marRight w:val="0"/>
      <w:marTop w:val="0"/>
      <w:marBottom w:val="0"/>
      <w:divBdr>
        <w:top w:val="none" w:sz="0" w:space="0" w:color="auto"/>
        <w:left w:val="none" w:sz="0" w:space="0" w:color="auto"/>
        <w:bottom w:val="none" w:sz="0" w:space="0" w:color="auto"/>
        <w:right w:val="none" w:sz="0" w:space="0" w:color="auto"/>
      </w:divBdr>
    </w:div>
    <w:div w:id="2106918704">
      <w:bodyDiv w:val="1"/>
      <w:marLeft w:val="0"/>
      <w:marRight w:val="0"/>
      <w:marTop w:val="0"/>
      <w:marBottom w:val="0"/>
      <w:divBdr>
        <w:top w:val="none" w:sz="0" w:space="0" w:color="auto"/>
        <w:left w:val="none" w:sz="0" w:space="0" w:color="auto"/>
        <w:bottom w:val="none" w:sz="0" w:space="0" w:color="auto"/>
        <w:right w:val="none" w:sz="0" w:space="0" w:color="auto"/>
      </w:divBdr>
    </w:div>
    <w:div w:id="2144610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AppData\Roaming\Microsoft\Excel\rutvi%20exc%20(version%202).xlsb"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p\AppData\Roaming\Microsoft\Excel\rutvi%20exc%20(version%202).xlsb"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CAGR</a:t>
            </a:r>
            <a:r>
              <a:rPr lang="en-US" baseline="0"/>
              <a:t> of Uber and Lyft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CAGR of Uber</c:v>
                </c:pt>
              </c:strCache>
            </c:strRef>
          </c:tx>
          <c:spPr>
            <a:ln w="28575" cap="rnd">
              <a:solidFill>
                <a:schemeClr val="accent1"/>
              </a:solidFill>
              <a:round/>
            </a:ln>
            <a:effectLst/>
          </c:spPr>
          <c:marker>
            <c:symbol val="none"/>
          </c:marker>
          <c:cat>
            <c:numRef>
              <c:f>Sheet1!$A$2:$A$6</c:f>
              <c:numCache>
                <c:formatCode>General</c:formatCode>
                <c:ptCount val="5"/>
                <c:pt idx="0">
                  <c:v>2019</c:v>
                </c:pt>
                <c:pt idx="1">
                  <c:v>2020</c:v>
                </c:pt>
                <c:pt idx="2">
                  <c:v>2021</c:v>
                </c:pt>
                <c:pt idx="3">
                  <c:v>2022</c:v>
                </c:pt>
                <c:pt idx="4">
                  <c:v>2023</c:v>
                </c:pt>
              </c:numCache>
            </c:numRef>
          </c:cat>
          <c:val>
            <c:numRef>
              <c:f>Sheet1!$B$2:$B$6</c:f>
              <c:numCache>
                <c:formatCode>0.00%</c:formatCode>
                <c:ptCount val="5"/>
                <c:pt idx="0">
                  <c:v>2.8E-3</c:v>
                </c:pt>
                <c:pt idx="1">
                  <c:v>4.0000000000000001E-3</c:v>
                </c:pt>
                <c:pt idx="2">
                  <c:v>1.23E-2</c:v>
                </c:pt>
                <c:pt idx="3">
                  <c:v>-3.2800000000000003E-2</c:v>
                </c:pt>
                <c:pt idx="4">
                  <c:v>1.67E-2</c:v>
                </c:pt>
              </c:numCache>
            </c:numRef>
          </c:val>
          <c:smooth val="0"/>
          <c:extLst>
            <c:ext xmlns:c16="http://schemas.microsoft.com/office/drawing/2014/chart" uri="{C3380CC4-5D6E-409C-BE32-E72D297353CC}">
              <c16:uniqueId val="{00000000-D73D-4457-818D-24125D19A75D}"/>
            </c:ext>
          </c:extLst>
        </c:ser>
        <c:ser>
          <c:idx val="1"/>
          <c:order val="1"/>
          <c:tx>
            <c:strRef>
              <c:f>Sheet1!$C$1</c:f>
              <c:strCache>
                <c:ptCount val="1"/>
                <c:pt idx="0">
                  <c:v>CAGR of Lyft</c:v>
                </c:pt>
              </c:strCache>
            </c:strRef>
          </c:tx>
          <c:spPr>
            <a:ln w="28575" cap="rnd">
              <a:solidFill>
                <a:schemeClr val="accent2"/>
              </a:solidFill>
              <a:round/>
            </a:ln>
            <a:effectLst/>
          </c:spPr>
          <c:marker>
            <c:symbol val="none"/>
          </c:marker>
          <c:cat>
            <c:numRef>
              <c:f>Sheet1!$A$2:$A$6</c:f>
              <c:numCache>
                <c:formatCode>General</c:formatCode>
                <c:ptCount val="5"/>
                <c:pt idx="0">
                  <c:v>2019</c:v>
                </c:pt>
                <c:pt idx="1">
                  <c:v>2020</c:v>
                </c:pt>
                <c:pt idx="2">
                  <c:v>2021</c:v>
                </c:pt>
                <c:pt idx="3">
                  <c:v>2022</c:v>
                </c:pt>
                <c:pt idx="4">
                  <c:v>2023</c:v>
                </c:pt>
              </c:numCache>
            </c:numRef>
          </c:cat>
          <c:val>
            <c:numRef>
              <c:f>Sheet1!$C$2:$C$6</c:f>
              <c:numCache>
                <c:formatCode>0.00%</c:formatCode>
                <c:ptCount val="5"/>
                <c:pt idx="0">
                  <c:v>-2.5999999999999999E-2</c:v>
                </c:pt>
                <c:pt idx="1">
                  <c:v>4.6800000000000001E-2</c:v>
                </c:pt>
                <c:pt idx="2">
                  <c:v>4.7000000000000002E-3</c:v>
                </c:pt>
                <c:pt idx="3">
                  <c:v>-4.4999999999999997E-3</c:v>
                </c:pt>
                <c:pt idx="4">
                  <c:v>4.9700000000000001E-2</c:v>
                </c:pt>
              </c:numCache>
            </c:numRef>
          </c:val>
          <c:smooth val="0"/>
          <c:extLst>
            <c:ext xmlns:c16="http://schemas.microsoft.com/office/drawing/2014/chart" uri="{C3380CC4-5D6E-409C-BE32-E72D297353CC}">
              <c16:uniqueId val="{00000001-D73D-4457-818D-24125D19A75D}"/>
            </c:ext>
          </c:extLst>
        </c:ser>
        <c:dLbls>
          <c:showLegendKey val="0"/>
          <c:showVal val="0"/>
          <c:showCatName val="0"/>
          <c:showSerName val="0"/>
          <c:showPercent val="0"/>
          <c:showBubbleSize val="0"/>
        </c:dLbls>
        <c:smooth val="0"/>
        <c:axId val="360710560"/>
        <c:axId val="360718120"/>
      </c:lineChart>
      <c:catAx>
        <c:axId val="360710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718120"/>
        <c:crosses val="autoZero"/>
        <c:auto val="1"/>
        <c:lblAlgn val="ctr"/>
        <c:lblOffset val="100"/>
        <c:noMultiLvlLbl val="0"/>
      </c:catAx>
      <c:valAx>
        <c:axId val="36071812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710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Call Option Payoff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'Call Option Payoff'!$G$1</c:f>
              <c:strCache>
                <c:ptCount val="1"/>
                <c:pt idx="0">
                  <c:v>Long call Profit = C - Premium</c:v>
                </c:pt>
              </c:strCache>
            </c:strRef>
          </c:tx>
          <c:spPr>
            <a:ln w="28575" cap="rnd">
              <a:solidFill>
                <a:schemeClr val="accent1"/>
              </a:solidFill>
              <a:round/>
            </a:ln>
            <a:effectLst/>
          </c:spPr>
          <c:marker>
            <c:symbol val="none"/>
          </c:marker>
          <c:cat>
            <c:numRef>
              <c:f>'Call Option Payoff'!$F$2:$F$17</c:f>
              <c:numCache>
                <c:formatCode>General</c:formatCode>
                <c:ptCount val="16"/>
                <c:pt idx="0">
                  <c:v>0</c:v>
                </c:pt>
                <c:pt idx="1">
                  <c:v>16</c:v>
                </c:pt>
                <c:pt idx="2">
                  <c:v>26</c:v>
                </c:pt>
                <c:pt idx="3">
                  <c:v>36</c:v>
                </c:pt>
                <c:pt idx="4">
                  <c:v>46</c:v>
                </c:pt>
                <c:pt idx="5">
                  <c:v>56</c:v>
                </c:pt>
                <c:pt idx="6">
                  <c:v>66</c:v>
                </c:pt>
                <c:pt idx="7">
                  <c:v>76</c:v>
                </c:pt>
                <c:pt idx="8">
                  <c:v>86</c:v>
                </c:pt>
                <c:pt idx="9">
                  <c:v>96</c:v>
                </c:pt>
                <c:pt idx="10">
                  <c:v>106</c:v>
                </c:pt>
                <c:pt idx="11">
                  <c:v>116</c:v>
                </c:pt>
                <c:pt idx="12">
                  <c:v>126</c:v>
                </c:pt>
                <c:pt idx="13">
                  <c:v>136</c:v>
                </c:pt>
                <c:pt idx="14">
                  <c:v>146</c:v>
                </c:pt>
                <c:pt idx="15">
                  <c:v>156</c:v>
                </c:pt>
              </c:numCache>
            </c:numRef>
          </c:cat>
          <c:val>
            <c:numRef>
              <c:f>'Call Option Payoff'!$G$2:$G$17</c:f>
              <c:numCache>
                <c:formatCode>"$"#,##0_);[Red]\("$"#,##0\)</c:formatCode>
                <c:ptCount val="16"/>
                <c:pt idx="0">
                  <c:v>-16</c:v>
                </c:pt>
                <c:pt idx="1">
                  <c:v>-16</c:v>
                </c:pt>
                <c:pt idx="2">
                  <c:v>-16</c:v>
                </c:pt>
                <c:pt idx="3">
                  <c:v>-16</c:v>
                </c:pt>
                <c:pt idx="4">
                  <c:v>-16</c:v>
                </c:pt>
                <c:pt idx="5">
                  <c:v>-16</c:v>
                </c:pt>
                <c:pt idx="6">
                  <c:v>-16</c:v>
                </c:pt>
                <c:pt idx="7">
                  <c:v>-16</c:v>
                </c:pt>
                <c:pt idx="8">
                  <c:v>-16</c:v>
                </c:pt>
                <c:pt idx="9">
                  <c:v>-16</c:v>
                </c:pt>
                <c:pt idx="10">
                  <c:v>-10</c:v>
                </c:pt>
                <c:pt idx="11">
                  <c:v>0</c:v>
                </c:pt>
                <c:pt idx="12">
                  <c:v>10</c:v>
                </c:pt>
                <c:pt idx="13">
                  <c:v>20</c:v>
                </c:pt>
                <c:pt idx="14">
                  <c:v>30</c:v>
                </c:pt>
                <c:pt idx="15">
                  <c:v>40</c:v>
                </c:pt>
              </c:numCache>
            </c:numRef>
          </c:val>
          <c:smooth val="0"/>
          <c:extLst>
            <c:ext xmlns:c16="http://schemas.microsoft.com/office/drawing/2014/chart" uri="{C3380CC4-5D6E-409C-BE32-E72D297353CC}">
              <c16:uniqueId val="{00000000-8AC0-4951-A028-D03FF70D29E0}"/>
            </c:ext>
          </c:extLst>
        </c:ser>
        <c:ser>
          <c:idx val="1"/>
          <c:order val="1"/>
          <c:tx>
            <c:strRef>
              <c:f>'Call Option Payoff'!$H$1</c:f>
              <c:strCache>
                <c:ptCount val="1"/>
                <c:pt idx="0">
                  <c:v>Short call Profit= Premium - C</c:v>
                </c:pt>
              </c:strCache>
            </c:strRef>
          </c:tx>
          <c:spPr>
            <a:ln w="28575" cap="rnd">
              <a:solidFill>
                <a:schemeClr val="accent2"/>
              </a:solidFill>
              <a:round/>
            </a:ln>
            <a:effectLst/>
          </c:spPr>
          <c:marker>
            <c:symbol val="none"/>
          </c:marker>
          <c:cat>
            <c:numRef>
              <c:f>'Call Option Payoff'!$F$2:$F$17</c:f>
              <c:numCache>
                <c:formatCode>General</c:formatCode>
                <c:ptCount val="16"/>
                <c:pt idx="0">
                  <c:v>0</c:v>
                </c:pt>
                <c:pt idx="1">
                  <c:v>16</c:v>
                </c:pt>
                <c:pt idx="2">
                  <c:v>26</c:v>
                </c:pt>
                <c:pt idx="3">
                  <c:v>36</c:v>
                </c:pt>
                <c:pt idx="4">
                  <c:v>46</c:v>
                </c:pt>
                <c:pt idx="5">
                  <c:v>56</c:v>
                </c:pt>
                <c:pt idx="6">
                  <c:v>66</c:v>
                </c:pt>
                <c:pt idx="7">
                  <c:v>76</c:v>
                </c:pt>
                <c:pt idx="8">
                  <c:v>86</c:v>
                </c:pt>
                <c:pt idx="9">
                  <c:v>96</c:v>
                </c:pt>
                <c:pt idx="10">
                  <c:v>106</c:v>
                </c:pt>
                <c:pt idx="11">
                  <c:v>116</c:v>
                </c:pt>
                <c:pt idx="12">
                  <c:v>126</c:v>
                </c:pt>
                <c:pt idx="13">
                  <c:v>136</c:v>
                </c:pt>
                <c:pt idx="14">
                  <c:v>146</c:v>
                </c:pt>
                <c:pt idx="15">
                  <c:v>156</c:v>
                </c:pt>
              </c:numCache>
            </c:numRef>
          </c:cat>
          <c:val>
            <c:numRef>
              <c:f>'Call Option Payoff'!$H$2:$H$17</c:f>
              <c:numCache>
                <c:formatCode>"$"#,##0_);[Red]\("$"#,##0\)</c:formatCode>
                <c:ptCount val="16"/>
                <c:pt idx="0">
                  <c:v>16</c:v>
                </c:pt>
                <c:pt idx="1">
                  <c:v>16</c:v>
                </c:pt>
                <c:pt idx="2">
                  <c:v>16</c:v>
                </c:pt>
                <c:pt idx="3">
                  <c:v>16</c:v>
                </c:pt>
                <c:pt idx="4">
                  <c:v>16</c:v>
                </c:pt>
                <c:pt idx="5">
                  <c:v>16</c:v>
                </c:pt>
                <c:pt idx="6">
                  <c:v>16</c:v>
                </c:pt>
                <c:pt idx="7">
                  <c:v>16</c:v>
                </c:pt>
                <c:pt idx="8">
                  <c:v>16</c:v>
                </c:pt>
                <c:pt idx="9">
                  <c:v>16</c:v>
                </c:pt>
                <c:pt idx="10">
                  <c:v>10</c:v>
                </c:pt>
                <c:pt idx="11">
                  <c:v>0</c:v>
                </c:pt>
                <c:pt idx="12">
                  <c:v>-10</c:v>
                </c:pt>
                <c:pt idx="13">
                  <c:v>-20</c:v>
                </c:pt>
                <c:pt idx="14">
                  <c:v>-30</c:v>
                </c:pt>
                <c:pt idx="15">
                  <c:v>-40</c:v>
                </c:pt>
              </c:numCache>
            </c:numRef>
          </c:val>
          <c:smooth val="0"/>
          <c:extLst>
            <c:ext xmlns:c16="http://schemas.microsoft.com/office/drawing/2014/chart" uri="{C3380CC4-5D6E-409C-BE32-E72D297353CC}">
              <c16:uniqueId val="{00000001-8AC0-4951-A028-D03FF70D29E0}"/>
            </c:ext>
          </c:extLst>
        </c:ser>
        <c:dLbls>
          <c:showLegendKey val="0"/>
          <c:showVal val="0"/>
          <c:showCatName val="0"/>
          <c:showSerName val="0"/>
          <c:showPercent val="0"/>
          <c:showBubbleSize val="0"/>
        </c:dLbls>
        <c:smooth val="0"/>
        <c:axId val="483059696"/>
        <c:axId val="483060416"/>
      </c:lineChart>
      <c:catAx>
        <c:axId val="483059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060416"/>
        <c:crosses val="autoZero"/>
        <c:auto val="1"/>
        <c:lblAlgn val="ctr"/>
        <c:lblOffset val="100"/>
        <c:noMultiLvlLbl val="0"/>
      </c:catAx>
      <c:valAx>
        <c:axId val="483060416"/>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059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Put Option Payoff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'Put Option Payoff'!$G$1</c:f>
              <c:strCache>
                <c:ptCount val="1"/>
                <c:pt idx="0">
                  <c:v>Long put profit = P - Premium</c:v>
                </c:pt>
              </c:strCache>
            </c:strRef>
          </c:tx>
          <c:spPr>
            <a:ln w="28575" cap="rnd">
              <a:solidFill>
                <a:schemeClr val="accent1"/>
              </a:solidFill>
              <a:round/>
            </a:ln>
            <a:effectLst/>
          </c:spPr>
          <c:marker>
            <c:symbol val="none"/>
          </c:marker>
          <c:cat>
            <c:numRef>
              <c:f>'Put Option Payoff'!$F$2:$F$17</c:f>
              <c:numCache>
                <c:formatCode>General</c:formatCode>
                <c:ptCount val="16"/>
                <c:pt idx="0">
                  <c:v>0</c:v>
                </c:pt>
                <c:pt idx="1">
                  <c:v>16</c:v>
                </c:pt>
                <c:pt idx="2">
                  <c:v>32</c:v>
                </c:pt>
                <c:pt idx="3">
                  <c:v>48</c:v>
                </c:pt>
                <c:pt idx="4">
                  <c:v>64</c:v>
                </c:pt>
                <c:pt idx="5">
                  <c:v>80</c:v>
                </c:pt>
                <c:pt idx="6">
                  <c:v>96</c:v>
                </c:pt>
                <c:pt idx="7">
                  <c:v>112</c:v>
                </c:pt>
                <c:pt idx="8">
                  <c:v>128</c:v>
                </c:pt>
                <c:pt idx="9">
                  <c:v>144</c:v>
                </c:pt>
                <c:pt idx="10">
                  <c:v>160</c:v>
                </c:pt>
                <c:pt idx="11">
                  <c:v>176</c:v>
                </c:pt>
                <c:pt idx="12">
                  <c:v>192</c:v>
                </c:pt>
                <c:pt idx="13">
                  <c:v>208</c:v>
                </c:pt>
                <c:pt idx="14">
                  <c:v>224</c:v>
                </c:pt>
                <c:pt idx="15">
                  <c:v>240</c:v>
                </c:pt>
              </c:numCache>
            </c:numRef>
          </c:cat>
          <c:val>
            <c:numRef>
              <c:f>'Put Option Payoff'!$G$2:$G$17</c:f>
              <c:numCache>
                <c:formatCode>"$"#,##0_);[Red]\("$"#,##0\)</c:formatCode>
                <c:ptCount val="16"/>
                <c:pt idx="0">
                  <c:v>84</c:v>
                </c:pt>
                <c:pt idx="1">
                  <c:v>68</c:v>
                </c:pt>
                <c:pt idx="2">
                  <c:v>52</c:v>
                </c:pt>
                <c:pt idx="3">
                  <c:v>36</c:v>
                </c:pt>
                <c:pt idx="4">
                  <c:v>20</c:v>
                </c:pt>
                <c:pt idx="5">
                  <c:v>4</c:v>
                </c:pt>
                <c:pt idx="6">
                  <c:v>-12</c:v>
                </c:pt>
                <c:pt idx="7">
                  <c:v>-16</c:v>
                </c:pt>
                <c:pt idx="8">
                  <c:v>-16</c:v>
                </c:pt>
                <c:pt idx="9">
                  <c:v>-16</c:v>
                </c:pt>
                <c:pt idx="10">
                  <c:v>-16</c:v>
                </c:pt>
                <c:pt idx="11">
                  <c:v>-16</c:v>
                </c:pt>
                <c:pt idx="12">
                  <c:v>-16</c:v>
                </c:pt>
                <c:pt idx="13">
                  <c:v>-16</c:v>
                </c:pt>
                <c:pt idx="14">
                  <c:v>-16</c:v>
                </c:pt>
                <c:pt idx="15">
                  <c:v>-16</c:v>
                </c:pt>
              </c:numCache>
            </c:numRef>
          </c:val>
          <c:smooth val="0"/>
          <c:extLst>
            <c:ext xmlns:c16="http://schemas.microsoft.com/office/drawing/2014/chart" uri="{C3380CC4-5D6E-409C-BE32-E72D297353CC}">
              <c16:uniqueId val="{00000000-EA21-4EDF-A0AE-35614358DB3A}"/>
            </c:ext>
          </c:extLst>
        </c:ser>
        <c:ser>
          <c:idx val="1"/>
          <c:order val="1"/>
          <c:tx>
            <c:strRef>
              <c:f>'Put Option Payoff'!$H$1</c:f>
              <c:strCache>
                <c:ptCount val="1"/>
                <c:pt idx="0">
                  <c:v>Short put profit = Premium - P</c:v>
                </c:pt>
              </c:strCache>
            </c:strRef>
          </c:tx>
          <c:spPr>
            <a:ln w="28575" cap="rnd">
              <a:solidFill>
                <a:schemeClr val="accent2"/>
              </a:solidFill>
              <a:round/>
            </a:ln>
            <a:effectLst/>
          </c:spPr>
          <c:marker>
            <c:symbol val="none"/>
          </c:marker>
          <c:cat>
            <c:numRef>
              <c:f>'Put Option Payoff'!$F$2:$F$17</c:f>
              <c:numCache>
                <c:formatCode>General</c:formatCode>
                <c:ptCount val="16"/>
                <c:pt idx="0">
                  <c:v>0</c:v>
                </c:pt>
                <c:pt idx="1">
                  <c:v>16</c:v>
                </c:pt>
                <c:pt idx="2">
                  <c:v>32</c:v>
                </c:pt>
                <c:pt idx="3">
                  <c:v>48</c:v>
                </c:pt>
                <c:pt idx="4">
                  <c:v>64</c:v>
                </c:pt>
                <c:pt idx="5">
                  <c:v>80</c:v>
                </c:pt>
                <c:pt idx="6">
                  <c:v>96</c:v>
                </c:pt>
                <c:pt idx="7">
                  <c:v>112</c:v>
                </c:pt>
                <c:pt idx="8">
                  <c:v>128</c:v>
                </c:pt>
                <c:pt idx="9">
                  <c:v>144</c:v>
                </c:pt>
                <c:pt idx="10">
                  <c:v>160</c:v>
                </c:pt>
                <c:pt idx="11">
                  <c:v>176</c:v>
                </c:pt>
                <c:pt idx="12">
                  <c:v>192</c:v>
                </c:pt>
                <c:pt idx="13">
                  <c:v>208</c:v>
                </c:pt>
                <c:pt idx="14">
                  <c:v>224</c:v>
                </c:pt>
                <c:pt idx="15">
                  <c:v>240</c:v>
                </c:pt>
              </c:numCache>
            </c:numRef>
          </c:cat>
          <c:val>
            <c:numRef>
              <c:f>'Put Option Payoff'!$H$2:$H$17</c:f>
              <c:numCache>
                <c:formatCode>"$"#,##0_);[Red]\("$"#,##0\)</c:formatCode>
                <c:ptCount val="16"/>
                <c:pt idx="0">
                  <c:v>-84</c:v>
                </c:pt>
                <c:pt idx="1">
                  <c:v>-68</c:v>
                </c:pt>
                <c:pt idx="2">
                  <c:v>-52</c:v>
                </c:pt>
                <c:pt idx="3">
                  <c:v>-36</c:v>
                </c:pt>
                <c:pt idx="4">
                  <c:v>-20</c:v>
                </c:pt>
                <c:pt idx="5">
                  <c:v>-4</c:v>
                </c:pt>
                <c:pt idx="6">
                  <c:v>12</c:v>
                </c:pt>
                <c:pt idx="7">
                  <c:v>16</c:v>
                </c:pt>
                <c:pt idx="8">
                  <c:v>16</c:v>
                </c:pt>
                <c:pt idx="9">
                  <c:v>16</c:v>
                </c:pt>
                <c:pt idx="10">
                  <c:v>16</c:v>
                </c:pt>
                <c:pt idx="11">
                  <c:v>16</c:v>
                </c:pt>
                <c:pt idx="12">
                  <c:v>16</c:v>
                </c:pt>
                <c:pt idx="13">
                  <c:v>16</c:v>
                </c:pt>
                <c:pt idx="14">
                  <c:v>16</c:v>
                </c:pt>
                <c:pt idx="15">
                  <c:v>16</c:v>
                </c:pt>
              </c:numCache>
            </c:numRef>
          </c:val>
          <c:smooth val="0"/>
          <c:extLst>
            <c:ext xmlns:c16="http://schemas.microsoft.com/office/drawing/2014/chart" uri="{C3380CC4-5D6E-409C-BE32-E72D297353CC}">
              <c16:uniqueId val="{00000001-EA21-4EDF-A0AE-35614358DB3A}"/>
            </c:ext>
          </c:extLst>
        </c:ser>
        <c:dLbls>
          <c:showLegendKey val="0"/>
          <c:showVal val="0"/>
          <c:showCatName val="0"/>
          <c:showSerName val="0"/>
          <c:showPercent val="0"/>
          <c:showBubbleSize val="0"/>
        </c:dLbls>
        <c:smooth val="0"/>
        <c:axId val="487590112"/>
        <c:axId val="487589392"/>
      </c:lineChart>
      <c:catAx>
        <c:axId val="487590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589392"/>
        <c:crosses val="autoZero"/>
        <c:auto val="1"/>
        <c:lblAlgn val="ctr"/>
        <c:lblOffset val="100"/>
        <c:noMultiLvlLbl val="0"/>
      </c:catAx>
      <c:valAx>
        <c:axId val="48758939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590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3C4242-178A-4D9E-992C-342BBB2A1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4808</Words>
  <Characters>27406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Hani Malik</cp:lastModifiedBy>
  <cp:revision>2</cp:revision>
  <dcterms:created xsi:type="dcterms:W3CDTF">2024-04-20T22:08:00Z</dcterms:created>
  <dcterms:modified xsi:type="dcterms:W3CDTF">2024-04-20T22:08:00Z</dcterms:modified>
</cp:coreProperties>
</file>