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F79" w:rsidRPr="00243505" w:rsidRDefault="00900F79" w:rsidP="00243505">
      <w:pPr>
        <w:spacing w:line="360" w:lineRule="auto"/>
        <w:rPr>
          <w:rFonts w:ascii="Arial" w:hAnsi="Arial" w:cs="Arial"/>
          <w:b/>
          <w:sz w:val="24"/>
          <w:szCs w:val="24"/>
          <w:u w:val="single"/>
        </w:rPr>
      </w:pPr>
      <w:r w:rsidRPr="00243505">
        <w:rPr>
          <w:rFonts w:ascii="Arial" w:hAnsi="Arial" w:cs="Arial"/>
          <w:b/>
          <w:sz w:val="24"/>
          <w:szCs w:val="24"/>
          <w:u w:val="single"/>
        </w:rPr>
        <w:t>Student Number: 1816534</w:t>
      </w:r>
    </w:p>
    <w:p w:rsidR="00900F79" w:rsidRPr="00243505" w:rsidRDefault="00900F79" w:rsidP="00243505">
      <w:pPr>
        <w:spacing w:line="360" w:lineRule="auto"/>
        <w:rPr>
          <w:rFonts w:ascii="Arial" w:hAnsi="Arial" w:cs="Arial"/>
          <w:b/>
          <w:sz w:val="24"/>
          <w:szCs w:val="24"/>
          <w:u w:val="single"/>
        </w:rPr>
      </w:pPr>
      <w:r w:rsidRPr="00243505">
        <w:rPr>
          <w:rFonts w:ascii="Arial" w:hAnsi="Arial" w:cs="Arial"/>
          <w:b/>
          <w:sz w:val="24"/>
          <w:szCs w:val="24"/>
          <w:u w:val="single"/>
        </w:rPr>
        <w:t>Learner name: Danielle Arran</w:t>
      </w:r>
    </w:p>
    <w:p w:rsidR="00900F79" w:rsidRPr="00243505" w:rsidRDefault="00900F79" w:rsidP="00243505">
      <w:pPr>
        <w:spacing w:line="360" w:lineRule="auto"/>
        <w:rPr>
          <w:rFonts w:ascii="Arial" w:hAnsi="Arial" w:cs="Arial"/>
          <w:b/>
          <w:sz w:val="24"/>
          <w:szCs w:val="24"/>
          <w:u w:val="single"/>
        </w:rPr>
      </w:pPr>
      <w:r w:rsidRPr="00243505">
        <w:rPr>
          <w:rFonts w:ascii="Arial" w:hAnsi="Arial" w:cs="Arial"/>
          <w:b/>
          <w:sz w:val="24"/>
          <w:szCs w:val="24"/>
          <w:u w:val="single"/>
        </w:rPr>
        <w:t>Module: Operational Police Practice 2</w:t>
      </w:r>
    </w:p>
    <w:p w:rsidR="00900F79" w:rsidRPr="00243505" w:rsidRDefault="00900F79" w:rsidP="00243505">
      <w:pPr>
        <w:spacing w:line="360" w:lineRule="auto"/>
        <w:rPr>
          <w:rFonts w:ascii="Arial" w:hAnsi="Arial" w:cs="Arial"/>
          <w:b/>
          <w:sz w:val="24"/>
          <w:szCs w:val="24"/>
          <w:u w:val="single"/>
        </w:rPr>
      </w:pPr>
      <w:r w:rsidRPr="00243505">
        <w:rPr>
          <w:rFonts w:ascii="Arial" w:hAnsi="Arial" w:cs="Arial"/>
          <w:b/>
          <w:sz w:val="24"/>
          <w:szCs w:val="24"/>
          <w:u w:val="single"/>
        </w:rPr>
        <w:t>Module Code: BMPP5002D</w:t>
      </w:r>
    </w:p>
    <w:p w:rsidR="00900F79" w:rsidRPr="00243505" w:rsidRDefault="00900F79" w:rsidP="00243505">
      <w:pPr>
        <w:spacing w:line="360" w:lineRule="auto"/>
        <w:rPr>
          <w:rFonts w:ascii="Arial" w:hAnsi="Arial" w:cs="Arial"/>
          <w:b/>
          <w:sz w:val="24"/>
          <w:szCs w:val="24"/>
          <w:u w:val="single"/>
        </w:rPr>
      </w:pPr>
      <w:r w:rsidRPr="00243505">
        <w:rPr>
          <w:rFonts w:ascii="Arial" w:hAnsi="Arial" w:cs="Arial"/>
          <w:b/>
          <w:sz w:val="24"/>
          <w:szCs w:val="24"/>
          <w:u w:val="single"/>
        </w:rPr>
        <w:t>Assignment 1</w:t>
      </w:r>
    </w:p>
    <w:p w:rsidR="00900F79" w:rsidRPr="00243505" w:rsidRDefault="00900F79" w:rsidP="00243505">
      <w:pPr>
        <w:spacing w:line="360" w:lineRule="auto"/>
        <w:rPr>
          <w:rFonts w:ascii="Arial" w:hAnsi="Arial" w:cs="Arial"/>
          <w:b/>
          <w:sz w:val="24"/>
          <w:szCs w:val="24"/>
          <w:u w:val="single"/>
        </w:rPr>
      </w:pPr>
    </w:p>
    <w:p w:rsidR="00900F79" w:rsidRPr="00243505" w:rsidRDefault="00900F79" w:rsidP="00243505">
      <w:pPr>
        <w:spacing w:line="360" w:lineRule="auto"/>
        <w:rPr>
          <w:rFonts w:ascii="Arial" w:hAnsi="Arial" w:cs="Arial"/>
          <w:b/>
          <w:sz w:val="24"/>
          <w:szCs w:val="24"/>
          <w:u w:val="single"/>
        </w:rPr>
      </w:pPr>
      <w:bookmarkStart w:id="0" w:name="_GoBack"/>
      <w:bookmarkEnd w:id="0"/>
    </w:p>
    <w:p w:rsidR="00900F79" w:rsidRPr="00243505" w:rsidRDefault="00900F79" w:rsidP="00243505">
      <w:pPr>
        <w:spacing w:line="360" w:lineRule="auto"/>
        <w:rPr>
          <w:rFonts w:ascii="Arial" w:hAnsi="Arial" w:cs="Arial"/>
          <w:b/>
          <w:sz w:val="24"/>
          <w:szCs w:val="24"/>
          <w:u w:val="single"/>
        </w:rPr>
      </w:pPr>
      <w:r w:rsidRPr="00243505">
        <w:rPr>
          <w:rFonts w:ascii="Arial" w:hAnsi="Arial" w:cs="Arial"/>
          <w:b/>
          <w:sz w:val="24"/>
          <w:szCs w:val="24"/>
          <w:u w:val="single"/>
        </w:rPr>
        <w:t xml:space="preserve">Title 1 </w:t>
      </w:r>
    </w:p>
    <w:p w:rsidR="00900F79" w:rsidRPr="00243505" w:rsidRDefault="00900F79" w:rsidP="00243505">
      <w:pPr>
        <w:spacing w:line="360" w:lineRule="auto"/>
        <w:rPr>
          <w:rFonts w:ascii="Arial" w:hAnsi="Arial" w:cs="Arial"/>
          <w:color w:val="FF0000"/>
          <w:sz w:val="24"/>
          <w:szCs w:val="24"/>
        </w:rPr>
      </w:pPr>
      <w:r w:rsidRPr="00243505">
        <w:rPr>
          <w:rFonts w:ascii="Arial" w:hAnsi="Arial" w:cs="Arial"/>
          <w:sz w:val="24"/>
          <w:szCs w:val="24"/>
        </w:rPr>
        <w:t>The Criminal Justice Act 2003 introduced Multi agency Public protection arrangements, referred to as MAPPA. This gives a duty to the police, and her majesty’s prison and probation services, referred to as responsible authorities, to assess and manage risks posed by offenders of Serious and organised Crime. Offenders of serious and organised crime are now categorised in to three levels based on the risk they pose to the public and the amount of intervention required to protect the public (Criminal Justice Act, 2003).</w:t>
      </w:r>
    </w:p>
    <w:p w:rsidR="00900F79" w:rsidRPr="00243505" w:rsidRDefault="00900F79" w:rsidP="00243505">
      <w:pPr>
        <w:spacing w:line="360" w:lineRule="auto"/>
        <w:rPr>
          <w:rFonts w:ascii="Arial" w:hAnsi="Arial" w:cs="Arial"/>
          <w:sz w:val="24"/>
          <w:szCs w:val="24"/>
        </w:rPr>
      </w:pPr>
      <w:r w:rsidRPr="00243505">
        <w:rPr>
          <w:rFonts w:ascii="Arial" w:hAnsi="Arial" w:cs="Arial"/>
          <w:sz w:val="24"/>
          <w:szCs w:val="24"/>
        </w:rPr>
        <w:t>MAPPA is not an organisation in itself but a collection of authorities working together. Local authorities, Social services and the National health service to name but a few, have a duty to co-operate with the relevant authorities under the same legislation. Working together as multi agency partnerships allows important information to be shared about offenders under MAPPA, allowing them to collaboratively manage the risk that they pose to the public, by introducing a plan of management, including housing, courses and rehabilitation, aiming to negate or at the very least minimise their risk of harm to the public and victims (College of Policing, 2020).</w:t>
      </w:r>
    </w:p>
    <w:p w:rsidR="00900F79" w:rsidRPr="00243505" w:rsidRDefault="00900F79" w:rsidP="00243505">
      <w:pPr>
        <w:spacing w:line="360" w:lineRule="auto"/>
        <w:rPr>
          <w:rFonts w:ascii="Arial" w:hAnsi="Arial" w:cs="Arial"/>
          <w:sz w:val="24"/>
          <w:szCs w:val="24"/>
        </w:rPr>
      </w:pPr>
      <w:r w:rsidRPr="00243505">
        <w:rPr>
          <w:rFonts w:ascii="Arial" w:hAnsi="Arial" w:cs="Arial"/>
          <w:sz w:val="24"/>
          <w:szCs w:val="24"/>
        </w:rPr>
        <w:t>To obtain an accurate representation as to the amount of offenders and the scale of work done and monitored by authorities, statistics gathered in an annual report by the Ministry of Justice (2019) found that nearly 83,000 offenders in England and Wales, were under the management of MAPPA by the end of March 2019.While at that same time 82,643 offenders were incarcerated (Ministry of Justice, 2019).</w:t>
      </w:r>
    </w:p>
    <w:p w:rsidR="00900F79" w:rsidRPr="00243505" w:rsidRDefault="00900F79" w:rsidP="00243505">
      <w:pPr>
        <w:spacing w:line="360" w:lineRule="auto"/>
        <w:rPr>
          <w:rFonts w:ascii="Arial" w:hAnsi="Arial" w:cs="Arial"/>
          <w:sz w:val="24"/>
          <w:szCs w:val="24"/>
        </w:rPr>
      </w:pPr>
      <w:r w:rsidRPr="00243505">
        <w:rPr>
          <w:rFonts w:ascii="Arial" w:hAnsi="Arial" w:cs="Arial"/>
          <w:sz w:val="24"/>
          <w:szCs w:val="24"/>
        </w:rPr>
        <w:lastRenderedPageBreak/>
        <w:t xml:space="preserve">These statistics highlight how critical a multi-agency approach is, as without their management, intervention and rehabilitation the amount of people in prison has the potential to nearly double, taking in to account the likelihood of some prisoners being part of the first figures. Whilst all the offences covered by MAPPA are widely considered to be deplorable, for the purpose of this work, to assess the role and impact of MAPPA, only terrorism will be discussed. </w:t>
      </w:r>
    </w:p>
    <w:p w:rsidR="00900F79" w:rsidRPr="00243505" w:rsidRDefault="00900F79" w:rsidP="00243505">
      <w:pPr>
        <w:spacing w:line="360" w:lineRule="auto"/>
        <w:rPr>
          <w:rFonts w:ascii="Arial" w:hAnsi="Arial" w:cs="Arial"/>
          <w:sz w:val="24"/>
          <w:szCs w:val="24"/>
        </w:rPr>
      </w:pPr>
      <w:r w:rsidRPr="00243505">
        <w:rPr>
          <w:rFonts w:ascii="Arial" w:hAnsi="Arial" w:cs="Arial"/>
          <w:sz w:val="24"/>
          <w:szCs w:val="24"/>
        </w:rPr>
        <w:t xml:space="preserve">The national intelligence model is utilised nationally to help identify and monitor people who are a threat to the public (Anonymous, 2014). Without the public’s trust and cooperation, intelligence which would ordinarily be shared by them and in turn the relevant authorities, is missed, therefore cannot be acted upon and negatively impacts preventative measures and appropriate management of offenders (Bullock, 2013). </w:t>
      </w:r>
    </w:p>
    <w:p w:rsidR="00900F79" w:rsidRPr="00243505" w:rsidRDefault="00900F79" w:rsidP="00243505">
      <w:pPr>
        <w:spacing w:line="360" w:lineRule="auto"/>
        <w:rPr>
          <w:rFonts w:ascii="Arial" w:hAnsi="Arial" w:cs="Arial"/>
          <w:sz w:val="24"/>
          <w:szCs w:val="24"/>
        </w:rPr>
      </w:pPr>
      <w:r w:rsidRPr="00243505">
        <w:rPr>
          <w:rFonts w:ascii="Arial" w:hAnsi="Arial" w:cs="Arial"/>
          <w:sz w:val="24"/>
          <w:szCs w:val="24"/>
        </w:rPr>
        <w:t xml:space="preserve">Myhill and Beak (2008) compiled a report based on statistical research in to the public perception of the Police and found that individuals who read newspapers, statistically had a lower opinion of Police. It could be argued that the media report negatively about the Police due to the strained relationship, thus influencing public perception and their confidence in the Police. </w:t>
      </w:r>
    </w:p>
    <w:p w:rsidR="00900F79" w:rsidRPr="00243505" w:rsidRDefault="00900F79" w:rsidP="00243505">
      <w:pPr>
        <w:spacing w:line="360" w:lineRule="auto"/>
        <w:rPr>
          <w:rFonts w:ascii="Arial" w:hAnsi="Arial" w:cs="Arial"/>
          <w:sz w:val="24"/>
          <w:szCs w:val="24"/>
        </w:rPr>
      </w:pPr>
      <w:r w:rsidRPr="00243505">
        <w:rPr>
          <w:rFonts w:ascii="Arial" w:hAnsi="Arial" w:cs="Arial"/>
          <w:sz w:val="24"/>
          <w:szCs w:val="24"/>
        </w:rPr>
        <w:t xml:space="preserve">Media coverage is particularly prevalent in alerting the public to significant incidents involving public protection offences which are likely to have a large impact on society, alerting them to the events, in some cases, as they are unfolding. The impact the media has when reporting terrorism can vary based on the public perception of the specified media outlet reporting. This theory is explained by Tsfati and Cohen (2013), stating that opinions are formed by the public based on the way in which certain topics are reported. In relation to policing public protection against terrorism and the media Impact on this, Caeti, Liederbach and Bellew (2005) state there is often a clash of priorities between the two as Police, when at scene are prioritising the preservation of evidence, gathering details of all involved to reassure the victims and general public whilst also obtaining an accurate account of what has happened, whereas the media’s priority is to be the first to report the incident, regardless of the sensitivity and time constraints of the police’s investigations. Caeti, Liederbach and Bellew (2005) go on the say that due to this mismatch of priorities, </w:t>
      </w:r>
      <w:r w:rsidRPr="00243505">
        <w:rPr>
          <w:rFonts w:ascii="Arial" w:hAnsi="Arial" w:cs="Arial"/>
          <w:sz w:val="24"/>
          <w:szCs w:val="24"/>
        </w:rPr>
        <w:lastRenderedPageBreak/>
        <w:t>the relationship between the media and law enforcement agencies has been fractured and shows in how they portray Police in their reports.</w:t>
      </w:r>
    </w:p>
    <w:p w:rsidR="00900F79" w:rsidRPr="00243505" w:rsidRDefault="00900F79" w:rsidP="00243505">
      <w:pPr>
        <w:spacing w:line="360" w:lineRule="auto"/>
        <w:rPr>
          <w:rFonts w:ascii="Arial" w:hAnsi="Arial" w:cs="Arial"/>
          <w:sz w:val="24"/>
          <w:szCs w:val="24"/>
        </w:rPr>
      </w:pPr>
      <w:r w:rsidRPr="00243505">
        <w:rPr>
          <w:rFonts w:ascii="Arial" w:hAnsi="Arial" w:cs="Arial"/>
          <w:sz w:val="24"/>
          <w:szCs w:val="24"/>
        </w:rPr>
        <w:t>In November 2019, a terrorist by the name of Usman Khan, a convicted Islamist (Evans et al, 2019) murdered two members of the public and injured three more in an act of terror, before being shot dead by Police who were responding to the threat that he was wearing a suicide vest (BBC, 2019).</w:t>
      </w:r>
    </w:p>
    <w:p w:rsidR="00900F79" w:rsidRPr="00243505" w:rsidRDefault="00900F79" w:rsidP="00243505">
      <w:pPr>
        <w:spacing w:line="360" w:lineRule="auto"/>
        <w:rPr>
          <w:rFonts w:ascii="Arial" w:hAnsi="Arial" w:cs="Arial"/>
          <w:sz w:val="24"/>
          <w:szCs w:val="24"/>
        </w:rPr>
      </w:pPr>
      <w:r w:rsidRPr="00243505">
        <w:rPr>
          <w:rFonts w:ascii="Arial" w:hAnsi="Arial" w:cs="Arial"/>
          <w:sz w:val="24"/>
          <w:szCs w:val="24"/>
        </w:rPr>
        <w:t>Terrorism is defined under section one of the Terrorism Act 2000 as a use or threat of action including, but not limited to, endangering the life of another, serious injury to another person or creating a serious risk to the health and safety of the public in a bid to influence the government, intimidate the public or to advance political or religious views (Terrorism Act 2000).</w:t>
      </w:r>
    </w:p>
    <w:p w:rsidR="00900F79" w:rsidRPr="00243505" w:rsidRDefault="00900F79" w:rsidP="00243505">
      <w:pPr>
        <w:spacing w:line="360" w:lineRule="auto"/>
        <w:rPr>
          <w:rFonts w:ascii="Arial" w:hAnsi="Arial" w:cs="Arial"/>
          <w:sz w:val="24"/>
          <w:szCs w:val="24"/>
        </w:rPr>
      </w:pPr>
      <w:r w:rsidRPr="00243505">
        <w:rPr>
          <w:rFonts w:ascii="Arial" w:hAnsi="Arial" w:cs="Arial"/>
          <w:sz w:val="24"/>
          <w:szCs w:val="24"/>
        </w:rPr>
        <w:t>Khan was previously convicted of terror offences in 2010 and despite originally being classed as never to be released, he was sentenced to 18 years in prison in 2012, after appeal this was lowered to 16 years (Evans Et al, 2019). In December 2018, after serving half of his sentence, Khan was released (Rawlinson, Wahlquist and Weaver, 2019).</w:t>
      </w:r>
    </w:p>
    <w:p w:rsidR="00900F79" w:rsidRPr="00243505" w:rsidRDefault="00900F79" w:rsidP="00243505">
      <w:pPr>
        <w:spacing w:line="360" w:lineRule="auto"/>
        <w:rPr>
          <w:rFonts w:ascii="Arial" w:hAnsi="Arial" w:cs="Arial"/>
          <w:sz w:val="24"/>
          <w:szCs w:val="24"/>
        </w:rPr>
      </w:pPr>
      <w:r w:rsidRPr="00243505">
        <w:rPr>
          <w:rFonts w:ascii="Arial" w:hAnsi="Arial" w:cs="Arial"/>
          <w:sz w:val="24"/>
          <w:szCs w:val="24"/>
        </w:rPr>
        <w:t xml:space="preserve">Due to the nature of this incident and the scale in which it was reported, many reports focussing on his past conviction, there was wide-spread criticism not only about his release from prison but also how he had not been prevented from committing this abhorrent crime, despite being known to authorities. </w:t>
      </w:r>
    </w:p>
    <w:p w:rsidR="00900F79" w:rsidRPr="00243505" w:rsidRDefault="00900F79" w:rsidP="00243505">
      <w:pPr>
        <w:spacing w:line="360" w:lineRule="auto"/>
        <w:rPr>
          <w:rFonts w:ascii="Arial" w:hAnsi="Arial" w:cs="Arial"/>
          <w:sz w:val="24"/>
          <w:szCs w:val="24"/>
        </w:rPr>
      </w:pPr>
      <w:r w:rsidRPr="00243505">
        <w:rPr>
          <w:rFonts w:ascii="Arial" w:hAnsi="Arial" w:cs="Arial"/>
          <w:sz w:val="24"/>
          <w:szCs w:val="24"/>
        </w:rPr>
        <w:t xml:space="preserve">As a direct result of this terror attack, the Home Office and the Ministry of Justice have ordered an independent review in to MAPPA’s effectiveness in managing those convicted of terrorism offences (Ministry of Justice, 2020). This report is not yet completed. </w:t>
      </w:r>
    </w:p>
    <w:p w:rsidR="00900F79" w:rsidRPr="00243505" w:rsidRDefault="00900F79" w:rsidP="00243505">
      <w:pPr>
        <w:spacing w:line="360" w:lineRule="auto"/>
        <w:rPr>
          <w:rFonts w:ascii="Arial" w:hAnsi="Arial" w:cs="Arial"/>
          <w:color w:val="FF0000"/>
          <w:sz w:val="24"/>
          <w:szCs w:val="24"/>
        </w:rPr>
      </w:pPr>
      <w:r w:rsidRPr="00243505">
        <w:rPr>
          <w:rFonts w:ascii="Arial" w:hAnsi="Arial" w:cs="Arial"/>
          <w:sz w:val="24"/>
          <w:szCs w:val="24"/>
        </w:rPr>
        <w:t xml:space="preserve">A joint inspection in to local criminal justice partnerships, found victims were being failed by the relevant authorities included in MAPPA as they were not seen to be a priority. Priorities varied greatly from one locality in England and Wales to the other. Recommendations within this inspection were that local priorities needed to align with national priorities and a clear framework must be established for agencies to work in sync with one another (Her Majesty’s Inspectorate of Constabulary, 2015). </w:t>
      </w:r>
    </w:p>
    <w:p w:rsidR="00900F79" w:rsidRPr="00243505" w:rsidRDefault="00900F79" w:rsidP="00243505">
      <w:pPr>
        <w:spacing w:line="360" w:lineRule="auto"/>
        <w:rPr>
          <w:rFonts w:ascii="Arial" w:hAnsi="Arial" w:cs="Arial"/>
          <w:sz w:val="24"/>
          <w:szCs w:val="24"/>
        </w:rPr>
      </w:pPr>
      <w:r w:rsidRPr="00243505">
        <w:rPr>
          <w:rFonts w:ascii="Arial" w:hAnsi="Arial" w:cs="Arial"/>
          <w:sz w:val="24"/>
          <w:szCs w:val="24"/>
        </w:rPr>
        <w:lastRenderedPageBreak/>
        <w:t>Without sharing the same priorities, rehabilitation of offenders will not be successful, causing further incidents, more negative media coverage and further dissatisfaction from the public. Without the public’s trust and co-operation, MAPPA will struggle to manage off</w:t>
      </w:r>
      <w:r w:rsidRPr="00243505">
        <w:rPr>
          <w:rFonts w:ascii="Arial" w:hAnsi="Arial" w:cs="Arial"/>
          <w:sz w:val="24"/>
          <w:szCs w:val="24"/>
        </w:rPr>
        <w:t>enders and keep the public safe.</w:t>
      </w:r>
    </w:p>
    <w:p w:rsidR="00900F79" w:rsidRPr="00243505" w:rsidRDefault="00900F79" w:rsidP="00243505">
      <w:pPr>
        <w:pStyle w:val="Bibliography"/>
        <w:spacing w:line="360" w:lineRule="auto"/>
        <w:rPr>
          <w:rFonts w:ascii="Arial" w:hAnsi="Arial" w:cs="Arial"/>
          <w:noProof/>
          <w:sz w:val="24"/>
          <w:szCs w:val="24"/>
          <w:lang w:val="en-US"/>
        </w:rPr>
      </w:pP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b/>
          <w:noProof/>
          <w:sz w:val="24"/>
          <w:szCs w:val="24"/>
          <w:u w:val="single"/>
          <w:lang w:val="en-US"/>
        </w:rPr>
        <w:t>Title 1 r</w:t>
      </w:r>
      <w:r w:rsidRPr="00243505">
        <w:rPr>
          <w:rFonts w:ascii="Arial" w:hAnsi="Arial" w:cs="Arial"/>
          <w:b/>
          <w:noProof/>
          <w:sz w:val="24"/>
          <w:szCs w:val="24"/>
          <w:u w:val="single"/>
          <w:lang w:val="en-US"/>
        </w:rPr>
        <w:t>eference list</w:t>
      </w:r>
      <w:r w:rsidRPr="00243505">
        <w:rPr>
          <w:rFonts w:ascii="Arial" w:hAnsi="Arial" w:cs="Arial"/>
          <w:noProof/>
          <w:sz w:val="24"/>
          <w:szCs w:val="24"/>
          <w:lang w:val="en-US"/>
        </w:rPr>
        <w:t>:</w:t>
      </w: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Anonymous, 2004. Prolific and priority offender schemes - DIP to play key role. </w:t>
      </w:r>
      <w:r w:rsidRPr="00243505">
        <w:rPr>
          <w:rFonts w:ascii="Arial" w:hAnsi="Arial" w:cs="Arial"/>
          <w:i/>
          <w:iCs/>
          <w:noProof/>
          <w:sz w:val="24"/>
          <w:szCs w:val="24"/>
          <w:lang w:val="en-US"/>
        </w:rPr>
        <w:t xml:space="preserve">Drugs and Alcohol Today, </w:t>
      </w:r>
      <w:r w:rsidRPr="00243505">
        <w:rPr>
          <w:rFonts w:ascii="Arial" w:hAnsi="Arial" w:cs="Arial"/>
          <w:noProof/>
          <w:sz w:val="24"/>
          <w:szCs w:val="24"/>
          <w:lang w:val="en-US"/>
        </w:rPr>
        <w:t>4(3), p. 9.</w:t>
      </w:r>
    </w:p>
    <w:p w:rsidR="00900F79" w:rsidRPr="00243505" w:rsidRDefault="00900F79" w:rsidP="00243505">
      <w:pPr>
        <w:spacing w:line="360" w:lineRule="auto"/>
        <w:rPr>
          <w:rFonts w:ascii="Arial" w:hAnsi="Arial" w:cs="Arial"/>
          <w:noProof/>
          <w:sz w:val="24"/>
          <w:szCs w:val="24"/>
          <w:lang w:val="en-US"/>
        </w:rPr>
      </w:pPr>
      <w:r w:rsidRPr="00243505">
        <w:rPr>
          <w:rFonts w:ascii="Arial" w:hAnsi="Arial" w:cs="Arial"/>
          <w:noProof/>
          <w:sz w:val="24"/>
          <w:szCs w:val="24"/>
          <w:lang w:val="en-US"/>
        </w:rPr>
        <w:t xml:space="preserve">BBC, 2019. London Bridge: What we know about the attack. </w:t>
      </w:r>
      <w:r w:rsidRPr="00243505">
        <w:rPr>
          <w:rFonts w:ascii="Arial" w:hAnsi="Arial" w:cs="Arial"/>
          <w:i/>
          <w:iCs/>
          <w:noProof/>
          <w:sz w:val="24"/>
          <w:szCs w:val="24"/>
          <w:lang w:val="en-US"/>
        </w:rPr>
        <w:t>BBC</w:t>
      </w:r>
      <w:r w:rsidRPr="00243505">
        <w:rPr>
          <w:rFonts w:ascii="Arial" w:hAnsi="Arial" w:cs="Arial"/>
          <w:noProof/>
          <w:sz w:val="24"/>
          <w:szCs w:val="24"/>
          <w:lang w:val="en-US"/>
        </w:rPr>
        <w:t>, 03 12.</w:t>
      </w: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Bullock, K., 2013. Community, intelligence-led policing and crime control. </w:t>
      </w:r>
      <w:r w:rsidRPr="00243505">
        <w:rPr>
          <w:rFonts w:ascii="Arial" w:hAnsi="Arial" w:cs="Arial"/>
          <w:i/>
          <w:iCs/>
          <w:noProof/>
          <w:sz w:val="24"/>
          <w:szCs w:val="24"/>
          <w:lang w:val="en-US"/>
        </w:rPr>
        <w:t xml:space="preserve">Policing and society, </w:t>
      </w:r>
      <w:r w:rsidRPr="00243505">
        <w:rPr>
          <w:rFonts w:ascii="Arial" w:hAnsi="Arial" w:cs="Arial"/>
          <w:noProof/>
          <w:sz w:val="24"/>
          <w:szCs w:val="24"/>
          <w:lang w:val="en-US"/>
        </w:rPr>
        <w:t>23(2), pp. 125-145.</w:t>
      </w: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Caeti, T. J., Liederbach, j. &amp; Bellew, S. S., 2005. </w:t>
      </w:r>
      <w:r w:rsidRPr="00243505">
        <w:rPr>
          <w:rFonts w:ascii="Arial" w:hAnsi="Arial" w:cs="Arial"/>
          <w:i/>
          <w:iCs/>
          <w:noProof/>
          <w:sz w:val="24"/>
          <w:szCs w:val="24"/>
          <w:lang w:val="en-US"/>
        </w:rPr>
        <w:t xml:space="preserve">International journal of police science and management, </w:t>
      </w:r>
      <w:r w:rsidRPr="00243505">
        <w:rPr>
          <w:rFonts w:ascii="Arial" w:hAnsi="Arial" w:cs="Arial"/>
          <w:noProof/>
          <w:sz w:val="24"/>
          <w:szCs w:val="24"/>
          <w:lang w:val="en-US"/>
        </w:rPr>
        <w:t>7(2), pp. 86-97.</w:t>
      </w: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Cohen, J. &amp; Tsfati, Y., 2013. Perceptions of media and media effects. In: A. N. Valdivia, ed. </w:t>
      </w:r>
      <w:r w:rsidRPr="00243505">
        <w:rPr>
          <w:rFonts w:ascii="Arial" w:hAnsi="Arial" w:cs="Arial"/>
          <w:i/>
          <w:iCs/>
          <w:noProof/>
          <w:sz w:val="24"/>
          <w:szCs w:val="24"/>
          <w:lang w:val="en-US"/>
        </w:rPr>
        <w:t xml:space="preserve">The international encyclopedia of media studies. </w:t>
      </w:r>
      <w:r w:rsidRPr="00243505">
        <w:rPr>
          <w:rFonts w:ascii="Arial" w:hAnsi="Arial" w:cs="Arial"/>
          <w:noProof/>
          <w:sz w:val="24"/>
          <w:szCs w:val="24"/>
          <w:lang w:val="en-US"/>
        </w:rPr>
        <w:t>s.l.:Blackwell publishing.</w:t>
      </w: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College of Policing, 2020. </w:t>
      </w:r>
      <w:r w:rsidRPr="00243505">
        <w:rPr>
          <w:rFonts w:ascii="Arial" w:hAnsi="Arial" w:cs="Arial"/>
          <w:i/>
          <w:iCs/>
          <w:noProof/>
          <w:sz w:val="24"/>
          <w:szCs w:val="24"/>
          <w:lang w:val="en-US"/>
        </w:rPr>
        <w:t xml:space="preserve">Major investigations and public protection.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https://www.app.college.police.uk/app-content/major-investigation-and-public-protection/managing-sexual-offenders-and-violent-offenders/mappa/?highlight=mappa?s=mappa</w:t>
      </w:r>
      <w:r w:rsidRPr="00243505">
        <w:rPr>
          <w:rFonts w:ascii="Arial" w:hAnsi="Arial" w:cs="Arial"/>
          <w:noProof/>
          <w:sz w:val="24"/>
          <w:szCs w:val="24"/>
          <w:lang w:val="en-US"/>
        </w:rPr>
        <w:br/>
        <w:t>[Accessed 20 05 2020].</w:t>
      </w: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i/>
          <w:iCs/>
          <w:noProof/>
          <w:sz w:val="24"/>
          <w:szCs w:val="24"/>
          <w:lang w:val="en-US"/>
        </w:rPr>
        <w:t xml:space="preserve">Criminal Justice Act </w:t>
      </w:r>
      <w:r w:rsidRPr="00243505">
        <w:rPr>
          <w:rFonts w:ascii="Arial" w:hAnsi="Arial" w:cs="Arial"/>
          <w:noProof/>
          <w:sz w:val="24"/>
          <w:szCs w:val="24"/>
          <w:lang w:val="en-US"/>
        </w:rPr>
        <w:t xml:space="preserve">(2003). </w:t>
      </w: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Evans, M. et al., 2019. London Bridge attack: police identify convicted terrorist who murdered two victims. </w:t>
      </w:r>
      <w:r w:rsidRPr="00243505">
        <w:rPr>
          <w:rFonts w:ascii="Arial" w:hAnsi="Arial" w:cs="Arial"/>
          <w:i/>
          <w:iCs/>
          <w:noProof/>
          <w:sz w:val="24"/>
          <w:szCs w:val="24"/>
          <w:lang w:val="en-US"/>
        </w:rPr>
        <w:t>The Telegraph</w:t>
      </w:r>
      <w:r w:rsidRPr="00243505">
        <w:rPr>
          <w:rFonts w:ascii="Arial" w:hAnsi="Arial" w:cs="Arial"/>
          <w:noProof/>
          <w:sz w:val="24"/>
          <w:szCs w:val="24"/>
          <w:lang w:val="en-US"/>
        </w:rPr>
        <w:t xml:space="preserve">, 30 11. </w:t>
      </w: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Her majesty's inspectorate of Constabulary, 2015. </w:t>
      </w:r>
      <w:r w:rsidRPr="00243505">
        <w:rPr>
          <w:rFonts w:ascii="Arial" w:hAnsi="Arial" w:cs="Arial"/>
          <w:i/>
          <w:iCs/>
          <w:noProof/>
          <w:sz w:val="24"/>
          <w:szCs w:val="24"/>
          <w:lang w:val="en-US"/>
        </w:rPr>
        <w:t xml:space="preserve">Working in step? A joint inspection of local criminal justice partnerships by HMIC, HMCPSI and HMI Probation, </w:t>
      </w:r>
      <w:r w:rsidRPr="00243505">
        <w:rPr>
          <w:rFonts w:ascii="Arial" w:hAnsi="Arial" w:cs="Arial"/>
          <w:noProof/>
          <w:sz w:val="24"/>
          <w:szCs w:val="24"/>
          <w:lang w:val="en-US"/>
        </w:rPr>
        <w:t>s.l.: Her majesty's inspectorate of Constabulary.</w:t>
      </w: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Ministry of justice, HM Prison Service, and her Majesty's Prison and Probation Service, 2019. </w:t>
      </w:r>
      <w:r w:rsidRPr="00243505">
        <w:rPr>
          <w:rFonts w:ascii="Arial" w:hAnsi="Arial" w:cs="Arial"/>
          <w:i/>
          <w:iCs/>
          <w:noProof/>
          <w:sz w:val="24"/>
          <w:szCs w:val="24"/>
          <w:lang w:val="en-US"/>
        </w:rPr>
        <w:t xml:space="preserve">Prison population figures, </w:t>
      </w:r>
      <w:r w:rsidRPr="00243505">
        <w:rPr>
          <w:rFonts w:ascii="Arial" w:hAnsi="Arial" w:cs="Arial"/>
          <w:noProof/>
          <w:sz w:val="24"/>
          <w:szCs w:val="24"/>
          <w:lang w:val="en-US"/>
        </w:rPr>
        <w:t>s.l.: Ministry of Justice.</w:t>
      </w: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lastRenderedPageBreak/>
        <w:t xml:space="preserve">Ministry of Justice, 20. </w:t>
      </w:r>
      <w:r w:rsidRPr="00243505">
        <w:rPr>
          <w:rFonts w:ascii="Arial" w:hAnsi="Arial" w:cs="Arial"/>
          <w:i/>
          <w:iCs/>
          <w:noProof/>
          <w:sz w:val="24"/>
          <w:szCs w:val="24"/>
          <w:lang w:val="en-US"/>
        </w:rPr>
        <w:t xml:space="preserve">Multi-agency public protection arrangements review.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https://www.gov.uk/government/publications/multi-agency-public-protection-arrangements-review/terms-of-reference-independent-review-of-the-statutory-multi-agency-public-protection-arrangements</w:t>
      </w:r>
      <w:r w:rsidRPr="00243505">
        <w:rPr>
          <w:rFonts w:ascii="Arial" w:hAnsi="Arial" w:cs="Arial"/>
          <w:noProof/>
          <w:sz w:val="24"/>
          <w:szCs w:val="24"/>
          <w:lang w:val="en-US"/>
        </w:rPr>
        <w:br/>
        <w:t>[Accessed 20 05 20].</w:t>
      </w: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Myhill, A. &amp; Beak, K., 2008. </w:t>
      </w:r>
      <w:r w:rsidRPr="00243505">
        <w:rPr>
          <w:rFonts w:ascii="Arial" w:hAnsi="Arial" w:cs="Arial"/>
          <w:i/>
          <w:iCs/>
          <w:noProof/>
          <w:sz w:val="24"/>
          <w:szCs w:val="24"/>
          <w:lang w:val="en-US"/>
        </w:rPr>
        <w:t xml:space="preserve">Public confidence in the Police. Research, analysis and information., </w:t>
      </w:r>
      <w:r w:rsidRPr="00243505">
        <w:rPr>
          <w:rFonts w:ascii="Arial" w:hAnsi="Arial" w:cs="Arial"/>
          <w:noProof/>
          <w:sz w:val="24"/>
          <w:szCs w:val="24"/>
          <w:lang w:val="en-US"/>
        </w:rPr>
        <w:t>s.l.: s.n.</w:t>
      </w:r>
    </w:p>
    <w:p w:rsidR="00900F79"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Rawlinson, K., Wahlquist, C. &amp; Weaver, M., 2019. London Bridge attacker named as Usman Khan, 28 – as it happened. </w:t>
      </w:r>
      <w:r w:rsidRPr="00243505">
        <w:rPr>
          <w:rFonts w:ascii="Arial" w:hAnsi="Arial" w:cs="Arial"/>
          <w:i/>
          <w:iCs/>
          <w:noProof/>
          <w:sz w:val="24"/>
          <w:szCs w:val="24"/>
          <w:lang w:val="en-US"/>
        </w:rPr>
        <w:t>The Guardian</w:t>
      </w:r>
      <w:r w:rsidRPr="00243505">
        <w:rPr>
          <w:rFonts w:ascii="Arial" w:hAnsi="Arial" w:cs="Arial"/>
          <w:noProof/>
          <w:sz w:val="24"/>
          <w:szCs w:val="24"/>
          <w:lang w:val="en-US"/>
        </w:rPr>
        <w:t xml:space="preserve">, 02 12. </w:t>
      </w:r>
    </w:p>
    <w:p w:rsidR="003C7F51" w:rsidRPr="00243505" w:rsidRDefault="00900F79" w:rsidP="00243505">
      <w:pPr>
        <w:pStyle w:val="Bibliography"/>
        <w:spacing w:line="360" w:lineRule="auto"/>
        <w:rPr>
          <w:rFonts w:ascii="Arial" w:hAnsi="Arial" w:cs="Arial"/>
          <w:noProof/>
          <w:sz w:val="24"/>
          <w:szCs w:val="24"/>
          <w:lang w:val="en-US"/>
        </w:rPr>
      </w:pPr>
      <w:r w:rsidRPr="00243505">
        <w:rPr>
          <w:rFonts w:ascii="Arial" w:hAnsi="Arial" w:cs="Arial"/>
          <w:i/>
          <w:iCs/>
          <w:noProof/>
          <w:sz w:val="24"/>
          <w:szCs w:val="24"/>
          <w:lang w:val="en-US"/>
        </w:rPr>
        <w:t xml:space="preserve">Terrorism Act </w:t>
      </w:r>
      <w:r w:rsidRPr="00243505">
        <w:rPr>
          <w:rFonts w:ascii="Arial" w:hAnsi="Arial" w:cs="Arial"/>
          <w:noProof/>
          <w:sz w:val="24"/>
          <w:szCs w:val="24"/>
          <w:lang w:val="en-US"/>
        </w:rPr>
        <w:t xml:space="preserve">(2000). </w:t>
      </w:r>
    </w:p>
    <w:p w:rsidR="003C7F51" w:rsidRPr="00243505" w:rsidRDefault="003C7F51" w:rsidP="00243505">
      <w:pPr>
        <w:spacing w:line="360" w:lineRule="auto"/>
        <w:rPr>
          <w:rFonts w:ascii="Arial" w:hAnsi="Arial" w:cs="Arial"/>
          <w:sz w:val="24"/>
          <w:szCs w:val="24"/>
          <w:lang w:val="en-US"/>
        </w:rPr>
      </w:pPr>
    </w:p>
    <w:p w:rsidR="003C7F51" w:rsidRPr="00243505" w:rsidRDefault="003C7F51" w:rsidP="00243505">
      <w:pPr>
        <w:spacing w:line="360" w:lineRule="auto"/>
        <w:rPr>
          <w:rFonts w:ascii="Arial" w:hAnsi="Arial" w:cs="Arial"/>
          <w:sz w:val="24"/>
          <w:szCs w:val="24"/>
          <w:lang w:val="en-US"/>
        </w:rPr>
      </w:pPr>
    </w:p>
    <w:p w:rsidR="003C7F51" w:rsidRPr="00243505" w:rsidRDefault="003C7F51" w:rsidP="00243505">
      <w:pPr>
        <w:spacing w:line="360" w:lineRule="auto"/>
        <w:rPr>
          <w:rFonts w:ascii="Arial" w:hAnsi="Arial" w:cs="Arial"/>
          <w:b/>
          <w:sz w:val="24"/>
          <w:szCs w:val="24"/>
          <w:u w:val="single"/>
        </w:rPr>
      </w:pPr>
      <w:r w:rsidRPr="00243505">
        <w:rPr>
          <w:rFonts w:ascii="Arial" w:hAnsi="Arial" w:cs="Arial"/>
          <w:b/>
          <w:sz w:val="24"/>
          <w:szCs w:val="24"/>
          <w:u w:val="single"/>
        </w:rPr>
        <w:t>Title 2</w:t>
      </w:r>
    </w:p>
    <w:p w:rsidR="003C7F51" w:rsidRPr="00243505" w:rsidRDefault="003C7F51" w:rsidP="00243505">
      <w:pPr>
        <w:spacing w:line="360" w:lineRule="auto"/>
        <w:rPr>
          <w:rFonts w:ascii="Arial" w:hAnsi="Arial" w:cs="Arial"/>
          <w:sz w:val="24"/>
          <w:szCs w:val="24"/>
        </w:rPr>
      </w:pPr>
      <w:r w:rsidRPr="00243505">
        <w:rPr>
          <w:rFonts w:ascii="Arial" w:hAnsi="Arial" w:cs="Arial"/>
          <w:sz w:val="24"/>
          <w:szCs w:val="24"/>
        </w:rPr>
        <w:t>Police forces in England and Wales are accountable and answerable to outside authorities should they breach their requirements which are key in upholding the public’s trust. In order to fully understand and appreciate the work carried out by inspecting bodies, it is first important to understand what underpins policing.</w:t>
      </w:r>
    </w:p>
    <w:p w:rsidR="003C7F51" w:rsidRPr="00243505" w:rsidRDefault="003C7F51" w:rsidP="00243505">
      <w:pPr>
        <w:spacing w:line="360" w:lineRule="auto"/>
        <w:rPr>
          <w:rFonts w:ascii="Arial" w:hAnsi="Arial" w:cs="Arial"/>
          <w:sz w:val="24"/>
          <w:szCs w:val="24"/>
        </w:rPr>
      </w:pPr>
      <w:r w:rsidRPr="00243505">
        <w:rPr>
          <w:rFonts w:ascii="Arial" w:hAnsi="Arial" w:cs="Arial"/>
          <w:sz w:val="24"/>
          <w:szCs w:val="24"/>
        </w:rPr>
        <w:t>Since 1829, all police forces have policed by consent, this was a philosophy introduced by Sir Robert Peel when the first police force was formed to ensure that the Police were ethical in their role and supported by the public. These standards were set out in what we know as the Peelian principles. Officers now, must also abide by the 10 standards of professional behaviour. These standards echo and re-inforce the Peelian principles introduced over a century ago and underpin the code of ethics that each officer must conform to, to ensure that the supportive relationship between the Police and the public is not jeopardised. Officers are expected to act honestly, with integrity, accepting accountability for their actions whilst being respectful, fair and selfless in every aspect of their roles (College of Policing, 2014).</w:t>
      </w:r>
    </w:p>
    <w:p w:rsidR="003C7F51" w:rsidRPr="00243505" w:rsidRDefault="003C7F51" w:rsidP="00243505">
      <w:pPr>
        <w:spacing w:line="360" w:lineRule="auto"/>
        <w:rPr>
          <w:rFonts w:ascii="Arial" w:hAnsi="Arial" w:cs="Arial"/>
          <w:sz w:val="24"/>
          <w:szCs w:val="24"/>
        </w:rPr>
      </w:pPr>
      <w:r w:rsidRPr="00243505">
        <w:rPr>
          <w:rFonts w:ascii="Arial" w:hAnsi="Arial" w:cs="Arial"/>
          <w:sz w:val="24"/>
          <w:szCs w:val="24"/>
        </w:rPr>
        <w:t xml:space="preserve">The support from the public is vital in allowing the Police to continue their work. Each Police force in England and Wales has a department known as Professional standards (PSD) and it is the role of this department to ensure that all Police officers </w:t>
      </w:r>
      <w:r w:rsidRPr="00243505">
        <w:rPr>
          <w:rFonts w:ascii="Arial" w:hAnsi="Arial" w:cs="Arial"/>
          <w:sz w:val="24"/>
          <w:szCs w:val="24"/>
        </w:rPr>
        <w:lastRenderedPageBreak/>
        <w:t xml:space="preserve">do not breach the high standards and behaviours expected of them whilst upholding the code of ethics. This department will investigate allegations surrounding, corruption, complaints and misconduct amongst other issues (College of Policing, 2015). </w:t>
      </w:r>
    </w:p>
    <w:p w:rsidR="003C7F51" w:rsidRPr="00243505" w:rsidRDefault="003C7F51" w:rsidP="00243505">
      <w:pPr>
        <w:spacing w:line="360" w:lineRule="auto"/>
        <w:rPr>
          <w:rFonts w:ascii="Arial" w:hAnsi="Arial" w:cs="Arial"/>
          <w:sz w:val="24"/>
          <w:szCs w:val="24"/>
        </w:rPr>
      </w:pPr>
      <w:r w:rsidRPr="00243505">
        <w:rPr>
          <w:rFonts w:ascii="Arial" w:hAnsi="Arial" w:cs="Arial"/>
          <w:sz w:val="24"/>
          <w:szCs w:val="24"/>
        </w:rPr>
        <w:t>The Home office has clear guidelines in relation to Police officer misconduct and the procedures that Professional standards follow when investigating such incidents, instructing them to deal promptly and fairly with un-satisfactory behaviour and complaints about Police conduct including a list of available outcomes ranging from no case to answer to dismissal without notice depending on the level of misconduct found (Home Office, 2014).</w:t>
      </w:r>
    </w:p>
    <w:p w:rsidR="003C7F51" w:rsidRPr="00243505" w:rsidRDefault="003C7F51" w:rsidP="00243505">
      <w:pPr>
        <w:spacing w:line="360" w:lineRule="auto"/>
        <w:rPr>
          <w:rFonts w:ascii="Arial" w:hAnsi="Arial" w:cs="Arial"/>
          <w:sz w:val="24"/>
          <w:szCs w:val="24"/>
        </w:rPr>
      </w:pPr>
      <w:r w:rsidRPr="00243505">
        <w:rPr>
          <w:rFonts w:ascii="Arial" w:hAnsi="Arial" w:cs="Arial"/>
          <w:sz w:val="24"/>
          <w:szCs w:val="24"/>
        </w:rPr>
        <w:t>When notified of unacceptable behaviour, Professional standards will launch an investigation in to the conduct of the officer in question, this process involves utilising all available evidence in relation to the allegation in the form of statements and interviews and should be conducted in a timely manner, considering the impact a lengthy investigation would have on not only the officer in question but also any complainants. Any investigations stipulated by Section 3 of the Police Reform Act 2002 must be referred to the Independent office for Police conduct, known as the IOPC (Home office, 2020).</w:t>
      </w:r>
    </w:p>
    <w:p w:rsidR="003C7F51" w:rsidRPr="00243505" w:rsidRDefault="003C7F51" w:rsidP="00243505">
      <w:pPr>
        <w:spacing w:line="360" w:lineRule="auto"/>
        <w:rPr>
          <w:rFonts w:ascii="Arial" w:hAnsi="Arial" w:cs="Arial"/>
          <w:sz w:val="24"/>
          <w:szCs w:val="24"/>
        </w:rPr>
      </w:pPr>
      <w:r w:rsidRPr="00243505">
        <w:rPr>
          <w:rFonts w:ascii="Arial" w:hAnsi="Arial" w:cs="Arial"/>
          <w:sz w:val="24"/>
          <w:szCs w:val="24"/>
        </w:rPr>
        <w:t>The independent Office for Police Conduct is independent from the Police and the government and investigate more serious matters regarding conduct of officer’s such as the death of an individual after Police Contact. The IOPC enforce Police accountability to the public they serve, deciding the most appropriate outcome for the officer who’s conduct has been questioned, whilst often providing recommendations to the Police for changes to be implemented in order to stop certain incidents from happening again (IPOC, 2018).</w:t>
      </w:r>
    </w:p>
    <w:p w:rsidR="003C7F51" w:rsidRPr="00243505" w:rsidRDefault="003C7F51" w:rsidP="00243505">
      <w:pPr>
        <w:spacing w:line="360" w:lineRule="auto"/>
        <w:rPr>
          <w:rFonts w:ascii="Arial" w:hAnsi="Arial" w:cs="Arial"/>
          <w:sz w:val="24"/>
          <w:szCs w:val="24"/>
        </w:rPr>
      </w:pPr>
      <w:r w:rsidRPr="00243505">
        <w:rPr>
          <w:rFonts w:ascii="Arial" w:hAnsi="Arial" w:cs="Arial"/>
          <w:sz w:val="24"/>
          <w:szCs w:val="24"/>
        </w:rPr>
        <w:t xml:space="preserve">These recommendations will assist in ensuring that constabularies in England and Wales confidently meet the standards expected of </w:t>
      </w:r>
      <w:r w:rsidRPr="00243505">
        <w:rPr>
          <w:rFonts w:ascii="Arial" w:hAnsi="Arial" w:cs="Arial"/>
          <w:color w:val="282828"/>
          <w:sz w:val="24"/>
          <w:szCs w:val="24"/>
        </w:rPr>
        <w:t xml:space="preserve">Her Majesty’s Inspectorate of Constabulary and Fire &amp; Rescue Services (HMICFRS), who independently assess the effectiveness and efficiency of police forces, and promote improvements to services delivered to the public. HMICFRS regularly conduct inspections with the purpose of identifying areas within policing that require improvement. By making recommendations to the Police on how they should not only improve their service, </w:t>
      </w:r>
      <w:r w:rsidRPr="00243505">
        <w:rPr>
          <w:rFonts w:ascii="Arial" w:hAnsi="Arial" w:cs="Arial"/>
          <w:color w:val="282828"/>
          <w:sz w:val="24"/>
          <w:szCs w:val="24"/>
        </w:rPr>
        <w:lastRenderedPageBreak/>
        <w:t>but also highlighting areas working well, it can allow the police to deliver the service expected of them, minimising the chance of errors, inadvertent misconduct and dissatisfaction from the public that they serve (Her Majesty’s Inspectorate of Constabulary and Fire &amp; Rescue Services, n.d).</w:t>
      </w:r>
    </w:p>
    <w:p w:rsidR="003C7F51" w:rsidRPr="00243505" w:rsidRDefault="003C7F51" w:rsidP="00243505">
      <w:pPr>
        <w:spacing w:line="360" w:lineRule="auto"/>
        <w:rPr>
          <w:rFonts w:ascii="Arial" w:hAnsi="Arial" w:cs="Arial"/>
          <w:sz w:val="24"/>
          <w:szCs w:val="24"/>
        </w:rPr>
      </w:pPr>
      <w:r w:rsidRPr="00243505">
        <w:rPr>
          <w:rFonts w:ascii="Arial" w:hAnsi="Arial" w:cs="Arial"/>
          <w:sz w:val="24"/>
          <w:szCs w:val="24"/>
        </w:rPr>
        <w:t xml:space="preserve">In March 2019, the Home Office found that in a one year period seven South Wales Police officers were dismissed without notice as a result of their conduct with only one being as a result of a public complaint. Four Police officers of the seven were found guilty in criminal investigations surrounding their conduct (Home office, 2019). </w:t>
      </w:r>
    </w:p>
    <w:p w:rsidR="003C7F51" w:rsidRPr="00243505" w:rsidRDefault="003C7F51" w:rsidP="00243505">
      <w:pPr>
        <w:spacing w:line="360" w:lineRule="auto"/>
        <w:rPr>
          <w:rFonts w:ascii="Arial" w:hAnsi="Arial" w:cs="Arial"/>
          <w:sz w:val="24"/>
          <w:szCs w:val="24"/>
        </w:rPr>
      </w:pPr>
      <w:r w:rsidRPr="00243505">
        <w:rPr>
          <w:rFonts w:ascii="Arial" w:hAnsi="Arial" w:cs="Arial"/>
          <w:sz w:val="24"/>
          <w:szCs w:val="24"/>
        </w:rPr>
        <w:t>A recent example of the process is the highly reported case of the Acting Chief Superintendent, Novlett Robyn Williams, of the Metropolitan Police. Williams was subject to both an IOPC investigation and criminal investigation as a result of receiving an indecent image of a child. The Metropolitan Police service, referred Williams to the IOPC for investigation regarding an allegation that she failed to disclose relevant information surrounding an ongoing criminal case. The IOPC had to suspend their investigations in to her conduct whilst Williams was part of the criminal investigation. When the criminal hearing had concluded, Williams was found guilty of possessing the images and of failing to disclose the images she was sent. Williams was sentenced to community service and ordered to sign the sex offenders register for five years. Williams is currently appealing the conviction however, a colleague of William’s is now also under investigation by the IOPC for allegedly discussing the case with her when she asked for advice (Evans, 2019)</w:t>
      </w:r>
    </w:p>
    <w:p w:rsidR="003C7F51" w:rsidRPr="00243505" w:rsidRDefault="003C7F51" w:rsidP="00243505">
      <w:pPr>
        <w:spacing w:line="360" w:lineRule="auto"/>
        <w:rPr>
          <w:rFonts w:ascii="Arial" w:hAnsi="Arial" w:cs="Arial"/>
          <w:sz w:val="24"/>
          <w:szCs w:val="24"/>
        </w:rPr>
      </w:pPr>
      <w:r w:rsidRPr="00243505">
        <w:rPr>
          <w:rFonts w:ascii="Arial" w:hAnsi="Arial" w:cs="Arial"/>
          <w:sz w:val="24"/>
          <w:szCs w:val="24"/>
        </w:rPr>
        <w:t>Despite this case still being under investigation by the IOPC, this case shows that the Metropolitan Police service have adhered to Section 3 of the Police Reform Act 2002 by referring such a serious case of misconduct to the IOPC to investigate impartially. By following their process of allowing the criminal element to be addressed first, the IOPC will be in a better position to fully understand and address the misconduct in question, now taking in to consideration that this particular officer is now a registered sex offender. At the very least, having been found guilty of failing to disclose evidence, this high ranked officer has showed complete disregard for the a number of the standards of professional behaviour by not being honest, not showing integrity and some may argue not accepting accountability for the part she played.</w:t>
      </w:r>
    </w:p>
    <w:p w:rsidR="003C7F51" w:rsidRPr="00243505" w:rsidRDefault="003C7F51" w:rsidP="00243505">
      <w:pPr>
        <w:spacing w:line="360" w:lineRule="auto"/>
        <w:rPr>
          <w:rFonts w:ascii="Arial" w:hAnsi="Arial" w:cs="Arial"/>
          <w:sz w:val="24"/>
          <w:szCs w:val="24"/>
        </w:rPr>
      </w:pPr>
      <w:r w:rsidRPr="00243505">
        <w:rPr>
          <w:rFonts w:ascii="Arial" w:hAnsi="Arial" w:cs="Arial"/>
          <w:sz w:val="24"/>
          <w:szCs w:val="24"/>
        </w:rPr>
        <w:lastRenderedPageBreak/>
        <w:t>This example alone shows that public that by working together, the police service and IOPC have been able to evidence that misconduct processes are taken seriously and followed correctly, by themselves upholding the standards that they are ensuring are followed in regards to the code of ethics and standards of behaviour (College of Policing, 2014).</w:t>
      </w:r>
    </w:p>
    <w:p w:rsidR="003C7F51" w:rsidRPr="00243505" w:rsidRDefault="003C7F51" w:rsidP="00243505">
      <w:pPr>
        <w:spacing w:line="360" w:lineRule="auto"/>
        <w:rPr>
          <w:rFonts w:ascii="Arial" w:hAnsi="Arial" w:cs="Arial"/>
          <w:noProof/>
          <w:sz w:val="24"/>
          <w:szCs w:val="24"/>
          <w:lang w:val="en-US"/>
        </w:rPr>
      </w:pPr>
    </w:p>
    <w:p w:rsidR="003C7F51" w:rsidRPr="00243505" w:rsidRDefault="003C7F51" w:rsidP="00243505">
      <w:pPr>
        <w:spacing w:line="360" w:lineRule="auto"/>
        <w:rPr>
          <w:rFonts w:ascii="Arial" w:hAnsi="Arial" w:cs="Arial"/>
          <w:b/>
          <w:noProof/>
          <w:sz w:val="24"/>
          <w:szCs w:val="24"/>
          <w:u w:val="single"/>
          <w:lang w:val="en-US"/>
        </w:rPr>
      </w:pPr>
      <w:r w:rsidRPr="00243505">
        <w:rPr>
          <w:rFonts w:ascii="Arial" w:hAnsi="Arial" w:cs="Arial"/>
          <w:b/>
          <w:noProof/>
          <w:sz w:val="24"/>
          <w:szCs w:val="24"/>
          <w:u w:val="single"/>
          <w:lang w:val="en-US"/>
        </w:rPr>
        <w:t>Title 2 reference List:</w:t>
      </w:r>
    </w:p>
    <w:p w:rsidR="003C7F51" w:rsidRPr="00243505" w:rsidRDefault="003C7F51" w:rsidP="00243505">
      <w:pPr>
        <w:spacing w:line="360" w:lineRule="auto"/>
        <w:rPr>
          <w:rFonts w:ascii="Arial" w:hAnsi="Arial" w:cs="Arial"/>
          <w:noProof/>
          <w:sz w:val="24"/>
          <w:szCs w:val="24"/>
          <w:lang w:val="en-US"/>
        </w:rPr>
      </w:pPr>
      <w:r w:rsidRPr="00243505">
        <w:rPr>
          <w:rFonts w:ascii="Arial" w:hAnsi="Arial" w:cs="Arial"/>
          <w:noProof/>
          <w:sz w:val="24"/>
          <w:szCs w:val="24"/>
          <w:lang w:val="en-US"/>
        </w:rPr>
        <w:t xml:space="preserve">College of Policing, 2014. </w:t>
      </w:r>
      <w:r w:rsidRPr="00243505">
        <w:rPr>
          <w:rFonts w:ascii="Arial" w:hAnsi="Arial" w:cs="Arial"/>
          <w:i/>
          <w:iCs/>
          <w:noProof/>
          <w:sz w:val="24"/>
          <w:szCs w:val="24"/>
          <w:lang w:val="en-US"/>
        </w:rPr>
        <w:t xml:space="preserve">Code of Ethics.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https://www.college.police.uk/What-we-do/Ethics/Ethics-home/Documents/Code_of_Ethics_ReadingList.pdf</w:t>
      </w:r>
      <w:r w:rsidRPr="00243505">
        <w:rPr>
          <w:rFonts w:ascii="Arial" w:hAnsi="Arial" w:cs="Arial"/>
          <w:noProof/>
          <w:sz w:val="24"/>
          <w:szCs w:val="24"/>
          <w:lang w:val="en-US"/>
        </w:rPr>
        <w:br/>
        <w:t>[Accessed 23 05 2020]</w:t>
      </w:r>
    </w:p>
    <w:p w:rsidR="003C7F51" w:rsidRPr="00243505" w:rsidRDefault="003C7F51" w:rsidP="00243505">
      <w:pPr>
        <w:spacing w:line="360" w:lineRule="auto"/>
        <w:rPr>
          <w:rFonts w:ascii="Arial" w:hAnsi="Arial" w:cs="Arial"/>
          <w:noProof/>
          <w:sz w:val="24"/>
          <w:szCs w:val="24"/>
          <w:lang w:val="en-US"/>
        </w:rPr>
      </w:pPr>
      <w:r w:rsidRPr="00243505">
        <w:rPr>
          <w:rFonts w:ascii="Arial" w:hAnsi="Arial" w:cs="Arial"/>
          <w:noProof/>
          <w:sz w:val="24"/>
          <w:szCs w:val="24"/>
          <w:lang w:val="en-US"/>
        </w:rPr>
        <w:t xml:space="preserve">College of Policing, 2015. </w:t>
      </w:r>
      <w:r w:rsidRPr="00243505">
        <w:rPr>
          <w:rFonts w:ascii="Arial" w:hAnsi="Arial" w:cs="Arial"/>
          <w:i/>
          <w:iCs/>
          <w:noProof/>
          <w:sz w:val="24"/>
          <w:szCs w:val="24"/>
          <w:lang w:val="en-US"/>
        </w:rPr>
        <w:t xml:space="preserve">Professional standards.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Available at: www.app.college.police.uk/app-content/professional-standards</w:t>
      </w:r>
      <w:r w:rsidRPr="00243505">
        <w:rPr>
          <w:rFonts w:ascii="Arial" w:hAnsi="Arial" w:cs="Arial"/>
          <w:noProof/>
          <w:sz w:val="24"/>
          <w:szCs w:val="24"/>
          <w:lang w:val="en-US"/>
        </w:rPr>
        <w:br/>
        <w:t>[Accessed 28 07 20]</w:t>
      </w:r>
    </w:p>
    <w:p w:rsidR="003C7F51" w:rsidRPr="00243505" w:rsidRDefault="003C7F51" w:rsidP="00243505">
      <w:pPr>
        <w:spacing w:line="360" w:lineRule="auto"/>
        <w:rPr>
          <w:rFonts w:ascii="Arial" w:hAnsi="Arial" w:cs="Arial"/>
          <w:noProof/>
          <w:sz w:val="24"/>
          <w:szCs w:val="24"/>
          <w:lang w:val="en-US"/>
        </w:rPr>
      </w:pPr>
      <w:r w:rsidRPr="00243505">
        <w:rPr>
          <w:rFonts w:ascii="Arial" w:hAnsi="Arial" w:cs="Arial"/>
          <w:noProof/>
          <w:sz w:val="24"/>
          <w:szCs w:val="24"/>
          <w:lang w:val="en-US"/>
        </w:rPr>
        <w:t xml:space="preserve">Crown Prosecution Service, 2018. </w:t>
      </w:r>
      <w:r w:rsidRPr="00243505">
        <w:rPr>
          <w:rFonts w:ascii="Arial" w:hAnsi="Arial" w:cs="Arial"/>
          <w:i/>
          <w:iCs/>
          <w:noProof/>
          <w:sz w:val="24"/>
          <w:szCs w:val="24"/>
          <w:lang w:val="en-US"/>
        </w:rPr>
        <w:t xml:space="preserve">Misconduct in public office.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www.cps.gov.uk/legal-guidance/misconduct-public-office</w:t>
      </w:r>
      <w:r w:rsidRPr="00243505">
        <w:rPr>
          <w:rFonts w:ascii="Arial" w:hAnsi="Arial" w:cs="Arial"/>
          <w:noProof/>
          <w:sz w:val="24"/>
          <w:szCs w:val="24"/>
          <w:lang w:val="en-US"/>
        </w:rPr>
        <w:br/>
        <w:t>[Accessed 23 05 2020]</w:t>
      </w:r>
    </w:p>
    <w:p w:rsidR="003C7F51" w:rsidRPr="00243505" w:rsidRDefault="003C7F51"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Evans, M., 2049. senior Scotland Yard officer facing misconduct probe for contact with officer convicted over child abuse photo. </w:t>
      </w:r>
      <w:r w:rsidRPr="00243505">
        <w:rPr>
          <w:rFonts w:ascii="Arial" w:hAnsi="Arial" w:cs="Arial"/>
          <w:i/>
          <w:iCs/>
          <w:noProof/>
          <w:sz w:val="24"/>
          <w:szCs w:val="24"/>
          <w:lang w:val="en-US"/>
        </w:rPr>
        <w:t>The Telegraph</w:t>
      </w:r>
      <w:r w:rsidRPr="00243505">
        <w:rPr>
          <w:rFonts w:ascii="Arial" w:hAnsi="Arial" w:cs="Arial"/>
          <w:noProof/>
          <w:sz w:val="24"/>
          <w:szCs w:val="24"/>
          <w:lang w:val="en-US"/>
        </w:rPr>
        <w:t>, 29 11, p. online.</w:t>
      </w:r>
    </w:p>
    <w:p w:rsidR="003C7F51" w:rsidRPr="00243505" w:rsidRDefault="003C7F51" w:rsidP="00243505">
      <w:pPr>
        <w:spacing w:line="360" w:lineRule="auto"/>
        <w:rPr>
          <w:rFonts w:ascii="Arial" w:hAnsi="Arial" w:cs="Arial"/>
          <w:noProof/>
          <w:sz w:val="24"/>
          <w:szCs w:val="24"/>
          <w:lang w:val="en-US"/>
        </w:rPr>
      </w:pPr>
      <w:r w:rsidRPr="00243505">
        <w:rPr>
          <w:rFonts w:ascii="Arial" w:hAnsi="Arial" w:cs="Arial"/>
          <w:noProof/>
          <w:sz w:val="24"/>
          <w:szCs w:val="24"/>
          <w:lang w:val="en-US"/>
        </w:rPr>
        <w:t xml:space="preserve">Her Majesty's Inspectorate of Constabulary and Fire &amp;Resecue Services (HMICFRS), n.d.. </w:t>
      </w:r>
      <w:r w:rsidRPr="00243505">
        <w:rPr>
          <w:rFonts w:ascii="Arial" w:hAnsi="Arial" w:cs="Arial"/>
          <w:i/>
          <w:iCs/>
          <w:noProof/>
          <w:sz w:val="24"/>
          <w:szCs w:val="24"/>
          <w:lang w:val="en-US"/>
        </w:rPr>
        <w:t xml:space="preserve">Police Forces.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https://www.justiceinspectorates.gov.uk/hmicfrs/police-forces/</w:t>
      </w:r>
      <w:r w:rsidRPr="00243505">
        <w:rPr>
          <w:rFonts w:ascii="Arial" w:hAnsi="Arial" w:cs="Arial"/>
          <w:noProof/>
          <w:sz w:val="24"/>
          <w:szCs w:val="24"/>
          <w:lang w:val="en-US"/>
        </w:rPr>
        <w:br/>
        <w:t>[Accessed 01 08 2020]</w:t>
      </w:r>
    </w:p>
    <w:p w:rsidR="003C7F51" w:rsidRPr="00243505" w:rsidRDefault="003C7F51"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Home office, 2014. </w:t>
      </w:r>
      <w:r w:rsidRPr="00243505">
        <w:rPr>
          <w:rFonts w:ascii="Arial" w:hAnsi="Arial" w:cs="Arial"/>
          <w:i/>
          <w:iCs/>
          <w:noProof/>
          <w:sz w:val="24"/>
          <w:szCs w:val="24"/>
          <w:lang w:val="en-US"/>
        </w:rPr>
        <w:t xml:space="preserve">Home office guidance. Police officer Misconduct, Unsatisfactory performance and Attendance management Procedures.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https://assets.publishing.service.gov.uk/government/uploads/system/uploads/attachment_data/file/330235/MisconductPerformAttendanceJuly14.pdf</w:t>
      </w:r>
      <w:r w:rsidRPr="00243505">
        <w:rPr>
          <w:rFonts w:ascii="Arial" w:hAnsi="Arial" w:cs="Arial"/>
          <w:noProof/>
          <w:sz w:val="24"/>
          <w:szCs w:val="24"/>
          <w:lang w:val="en-US"/>
        </w:rPr>
        <w:br/>
        <w:t>[Accessed 01 08 2020].</w:t>
      </w:r>
    </w:p>
    <w:p w:rsidR="003C7F51" w:rsidRPr="00243505" w:rsidRDefault="003C7F51"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lastRenderedPageBreak/>
        <w:t xml:space="preserve">Home Office, 2020. </w:t>
      </w:r>
      <w:r w:rsidRPr="00243505">
        <w:rPr>
          <w:rFonts w:ascii="Arial" w:hAnsi="Arial" w:cs="Arial"/>
          <w:i/>
          <w:iCs/>
          <w:noProof/>
          <w:sz w:val="24"/>
          <w:szCs w:val="24"/>
          <w:lang w:val="en-US"/>
        </w:rPr>
        <w:t xml:space="preserve">Home office guidance Conduct, Eficience and Effectiveness: Statutory Guidance on Professional Standards, Performance and Integrity in Policing.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https://assets.publishing.service.gov.uk/government/uploads/system/uploads/attachment_data/file/863820/Home_Office_Statutory_Guidance_0502.pdf</w:t>
      </w:r>
      <w:r w:rsidRPr="00243505">
        <w:rPr>
          <w:rFonts w:ascii="Arial" w:hAnsi="Arial" w:cs="Arial"/>
          <w:noProof/>
          <w:sz w:val="24"/>
          <w:szCs w:val="24"/>
          <w:lang w:val="en-US"/>
        </w:rPr>
        <w:br/>
        <w:t>[Accessed 23 05 2020].</w:t>
      </w:r>
    </w:p>
    <w:p w:rsidR="003C7F51" w:rsidRPr="00243505" w:rsidRDefault="003C7F51" w:rsidP="00243505">
      <w:pPr>
        <w:spacing w:line="360" w:lineRule="auto"/>
        <w:rPr>
          <w:rFonts w:ascii="Arial" w:hAnsi="Arial" w:cs="Arial"/>
          <w:noProof/>
          <w:sz w:val="24"/>
          <w:szCs w:val="24"/>
          <w:lang w:val="en-US"/>
        </w:rPr>
      </w:pPr>
      <w:r w:rsidRPr="00243505">
        <w:rPr>
          <w:rFonts w:ascii="Arial" w:hAnsi="Arial" w:cs="Arial"/>
          <w:noProof/>
          <w:sz w:val="24"/>
          <w:szCs w:val="24"/>
          <w:lang w:val="en-US"/>
        </w:rPr>
        <w:t xml:space="preserve">Home Office, n.d. </w:t>
      </w:r>
      <w:r w:rsidRPr="00243505">
        <w:rPr>
          <w:rFonts w:ascii="Arial" w:hAnsi="Arial" w:cs="Arial"/>
          <w:i/>
          <w:iCs/>
          <w:noProof/>
          <w:sz w:val="24"/>
          <w:szCs w:val="24"/>
          <w:lang w:val="en-US"/>
        </w:rPr>
        <w:t xml:space="preserve">Police workforce, England and Wales, year ending 31Mrach 16-2919:misconduct data table, </w:t>
      </w:r>
      <w:r w:rsidRPr="00243505">
        <w:rPr>
          <w:rFonts w:ascii="Arial" w:hAnsi="Arial" w:cs="Arial"/>
          <w:noProof/>
          <w:sz w:val="24"/>
          <w:szCs w:val="24"/>
          <w:lang w:val="en-US"/>
        </w:rPr>
        <w:t>London: Home Office.</w:t>
      </w:r>
    </w:p>
    <w:p w:rsidR="003C7F51" w:rsidRPr="00243505" w:rsidRDefault="003C7F51"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IOPC, 2018. </w:t>
      </w:r>
      <w:r w:rsidRPr="00243505">
        <w:rPr>
          <w:rFonts w:ascii="Arial" w:hAnsi="Arial" w:cs="Arial"/>
          <w:i/>
          <w:iCs/>
          <w:noProof/>
          <w:sz w:val="24"/>
          <w:szCs w:val="24"/>
          <w:lang w:val="en-US"/>
        </w:rPr>
        <w:t xml:space="preserve">A guide to IOPC independent investigations.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A guide to IOPC independent investigations</w:t>
      </w:r>
      <w:r w:rsidRPr="00243505">
        <w:rPr>
          <w:rFonts w:ascii="Arial" w:hAnsi="Arial" w:cs="Arial"/>
          <w:noProof/>
          <w:sz w:val="24"/>
          <w:szCs w:val="24"/>
          <w:lang w:val="en-US"/>
        </w:rPr>
        <w:br/>
        <w:t>[Accessed 23 05 2020].</w:t>
      </w:r>
    </w:p>
    <w:p w:rsidR="003C7F51" w:rsidRPr="00243505" w:rsidRDefault="003C7F51" w:rsidP="00243505">
      <w:pPr>
        <w:spacing w:line="360" w:lineRule="auto"/>
        <w:rPr>
          <w:rFonts w:ascii="Arial" w:hAnsi="Arial" w:cs="Arial"/>
          <w:sz w:val="24"/>
          <w:szCs w:val="24"/>
          <w:lang w:val="en-US"/>
        </w:rPr>
      </w:pPr>
    </w:p>
    <w:p w:rsidR="00243505" w:rsidRPr="00243505" w:rsidRDefault="00243505" w:rsidP="00243505">
      <w:pPr>
        <w:spacing w:line="360" w:lineRule="auto"/>
        <w:rPr>
          <w:rFonts w:ascii="Arial" w:hAnsi="Arial" w:cs="Arial"/>
          <w:b/>
          <w:sz w:val="24"/>
          <w:szCs w:val="24"/>
          <w:u w:val="single"/>
        </w:rPr>
      </w:pPr>
      <w:r w:rsidRPr="00243505">
        <w:rPr>
          <w:rFonts w:ascii="Arial" w:hAnsi="Arial" w:cs="Arial"/>
          <w:b/>
          <w:sz w:val="24"/>
          <w:szCs w:val="24"/>
          <w:u w:val="single"/>
        </w:rPr>
        <w:t xml:space="preserve">Title 3 </w:t>
      </w:r>
    </w:p>
    <w:p w:rsidR="00243505" w:rsidRPr="00243505" w:rsidRDefault="00243505" w:rsidP="00243505">
      <w:pPr>
        <w:overflowPunct w:val="0"/>
        <w:autoSpaceDE w:val="0"/>
        <w:autoSpaceDN w:val="0"/>
        <w:adjustRightInd w:val="0"/>
        <w:spacing w:before="240" w:after="0" w:line="360" w:lineRule="auto"/>
        <w:jc w:val="both"/>
        <w:textAlignment w:val="baseline"/>
        <w:rPr>
          <w:rFonts w:ascii="Arial" w:eastAsia="Times New Roman" w:hAnsi="Arial" w:cs="Arial"/>
          <w:sz w:val="24"/>
          <w:szCs w:val="24"/>
          <w:lang w:eastAsia="en-GB"/>
        </w:rPr>
      </w:pPr>
      <w:r w:rsidRPr="00243505">
        <w:rPr>
          <w:rFonts w:ascii="Arial" w:eastAsia="Times New Roman" w:hAnsi="Arial" w:cs="Arial"/>
          <w:sz w:val="24"/>
          <w:szCs w:val="24"/>
          <w:lang w:eastAsia="en-GB"/>
        </w:rPr>
        <w:t xml:space="preserve">In order to fully analyse the issues that develop in relation to youth gangs, it is important to first understand what a gang is. The most recent legal definition of what a gang is can be found under section 51 of the Serious Crime Act 2015. This Act now recognises a gang in law as consisting of at least 3 people and has one or more identifiable characteristics which would indicate that they are part of that group, whilst also engaging in gang related violence or involved in an illegal drug market. </w:t>
      </w:r>
    </w:p>
    <w:p w:rsidR="00243505" w:rsidRPr="00243505" w:rsidRDefault="00243505" w:rsidP="00243505">
      <w:pPr>
        <w:spacing w:line="360" w:lineRule="auto"/>
        <w:rPr>
          <w:rFonts w:ascii="Arial" w:eastAsia="Times New Roman" w:hAnsi="Arial" w:cs="Arial"/>
          <w:sz w:val="24"/>
          <w:szCs w:val="24"/>
          <w:lang w:eastAsia="en-GB"/>
        </w:rPr>
      </w:pPr>
      <w:r w:rsidRPr="00243505">
        <w:rPr>
          <w:rFonts w:ascii="Arial" w:eastAsia="Times New Roman" w:hAnsi="Arial" w:cs="Arial"/>
          <w:sz w:val="24"/>
          <w:szCs w:val="24"/>
          <w:lang w:eastAsia="en-GB"/>
        </w:rPr>
        <w:t>The Act further states that the characteristics of a gang included are, but not limited to, a name, command structure or an association of a particular geographical area. These characteristics are not entirely restricted and the gang only has to have one or more of these to be accepted by professionals as being a ‘gang’ (Serious Crime Act, 2015).</w:t>
      </w:r>
    </w:p>
    <w:p w:rsidR="00243505" w:rsidRPr="00243505" w:rsidRDefault="00243505" w:rsidP="00243505">
      <w:pPr>
        <w:spacing w:line="360" w:lineRule="auto"/>
        <w:rPr>
          <w:rFonts w:ascii="Arial" w:eastAsia="Times New Roman" w:hAnsi="Arial" w:cs="Arial"/>
          <w:sz w:val="24"/>
          <w:szCs w:val="24"/>
          <w:lang w:eastAsia="en-GB"/>
        </w:rPr>
      </w:pPr>
      <w:r w:rsidRPr="00243505">
        <w:rPr>
          <w:rFonts w:ascii="Arial" w:eastAsia="Times New Roman" w:hAnsi="Arial" w:cs="Arial"/>
          <w:sz w:val="24"/>
          <w:szCs w:val="24"/>
          <w:lang w:eastAsia="en-GB"/>
        </w:rPr>
        <w:t xml:space="preserve">In a document released by the Home Office (2015) it is stated that the evidence gathered from Police and Local authorities when deciding to revise the definition of what a gang is, found that street gangs are often involved in drug dealing either alongside organised crime groups or that they morph in to an organised crime group of they’re own. </w:t>
      </w:r>
    </w:p>
    <w:p w:rsidR="00243505" w:rsidRPr="00243505" w:rsidRDefault="00243505" w:rsidP="00243505">
      <w:pPr>
        <w:spacing w:line="360" w:lineRule="auto"/>
        <w:rPr>
          <w:rFonts w:ascii="Arial" w:eastAsia="Times New Roman" w:hAnsi="Arial" w:cs="Arial"/>
          <w:sz w:val="24"/>
          <w:szCs w:val="24"/>
          <w:lang w:eastAsia="en-GB"/>
        </w:rPr>
      </w:pPr>
      <w:r w:rsidRPr="00243505">
        <w:rPr>
          <w:rFonts w:ascii="Arial" w:eastAsia="Times New Roman" w:hAnsi="Arial" w:cs="Arial"/>
          <w:sz w:val="24"/>
          <w:szCs w:val="24"/>
          <w:lang w:eastAsia="en-GB"/>
        </w:rPr>
        <w:lastRenderedPageBreak/>
        <w:t>The 2015 document also explains that by defining a gang in law, it enables the use of injunctions to assist in preventing individuals, especially younger teenage children, from being or getting involved in drug dealing activity and gang culture.</w:t>
      </w:r>
    </w:p>
    <w:p w:rsidR="00243505" w:rsidRPr="00243505" w:rsidRDefault="00243505" w:rsidP="00243505">
      <w:pPr>
        <w:overflowPunct w:val="0"/>
        <w:autoSpaceDE w:val="0"/>
        <w:autoSpaceDN w:val="0"/>
        <w:adjustRightInd w:val="0"/>
        <w:spacing w:before="240" w:after="0" w:line="360" w:lineRule="auto"/>
        <w:jc w:val="both"/>
        <w:textAlignment w:val="baseline"/>
        <w:rPr>
          <w:rFonts w:ascii="Arial" w:eastAsia="Times New Roman" w:hAnsi="Arial" w:cs="Arial"/>
          <w:sz w:val="24"/>
          <w:szCs w:val="24"/>
          <w:lang w:eastAsia="en-GB"/>
        </w:rPr>
      </w:pPr>
      <w:r w:rsidRPr="00243505">
        <w:rPr>
          <w:rFonts w:ascii="Arial" w:eastAsia="Times New Roman" w:hAnsi="Arial" w:cs="Arial"/>
          <w:sz w:val="24"/>
          <w:szCs w:val="24"/>
          <w:lang w:eastAsia="en-GB"/>
        </w:rPr>
        <w:t>Interestingly, Esbensen et al (2001) conducted research in to the topic of a gang definition and found that the most accurate way to distinguish if a group were a gang or not was simply whether or not its members self-nominated as gang members (Esbensen, 2001) however, recognised the work of Klein conducted in 1971 (Cited in Esbensen,2001) whereby a gang is perceived by others as a distinct aggregation involved in delinquent incidents resulting in a negative response from the community or law enforcement agencies. (Esbensen, 2001).</w:t>
      </w:r>
    </w:p>
    <w:p w:rsidR="00243505" w:rsidRPr="00243505" w:rsidRDefault="00243505" w:rsidP="00243505">
      <w:pPr>
        <w:spacing w:line="360" w:lineRule="auto"/>
        <w:rPr>
          <w:rFonts w:ascii="Arial" w:eastAsia="Times New Roman" w:hAnsi="Arial" w:cs="Arial"/>
          <w:sz w:val="24"/>
          <w:szCs w:val="24"/>
          <w:lang w:eastAsia="en-GB"/>
        </w:rPr>
      </w:pPr>
    </w:p>
    <w:p w:rsidR="00243505" w:rsidRPr="00243505" w:rsidRDefault="00243505" w:rsidP="00243505">
      <w:pPr>
        <w:spacing w:line="360" w:lineRule="auto"/>
        <w:rPr>
          <w:rFonts w:ascii="Arial" w:eastAsia="Times New Roman" w:hAnsi="Arial" w:cs="Arial"/>
          <w:sz w:val="24"/>
          <w:szCs w:val="24"/>
          <w:lang w:eastAsia="en-GB"/>
        </w:rPr>
      </w:pPr>
      <w:r w:rsidRPr="00243505">
        <w:rPr>
          <w:rFonts w:ascii="Arial" w:eastAsia="Times New Roman" w:hAnsi="Arial" w:cs="Arial"/>
          <w:sz w:val="24"/>
          <w:szCs w:val="24"/>
          <w:lang w:eastAsia="en-GB"/>
        </w:rPr>
        <w:t>It can be said that, although there are different views on what constitutes a gang, the basis of what people recognise as a gang has remained somewhat consistent over the years, despite there not being a legal definition until quite recently. Overall it is clear that the 2015 Act reflects societies and professionals’ views on what constitutes a gang and allows for intervention relating to gang related crimes.</w:t>
      </w:r>
    </w:p>
    <w:p w:rsidR="00243505" w:rsidRPr="00243505" w:rsidRDefault="00243505" w:rsidP="00243505">
      <w:pPr>
        <w:overflowPunct w:val="0"/>
        <w:autoSpaceDE w:val="0"/>
        <w:autoSpaceDN w:val="0"/>
        <w:adjustRightInd w:val="0"/>
        <w:spacing w:before="240" w:after="0" w:line="360" w:lineRule="auto"/>
        <w:jc w:val="both"/>
        <w:textAlignment w:val="baseline"/>
        <w:rPr>
          <w:rFonts w:ascii="Arial" w:eastAsia="Times New Roman" w:hAnsi="Arial" w:cs="Arial"/>
          <w:sz w:val="24"/>
          <w:szCs w:val="24"/>
          <w:lang w:eastAsia="en-GB"/>
        </w:rPr>
      </w:pPr>
      <w:r w:rsidRPr="00243505">
        <w:rPr>
          <w:rFonts w:ascii="Arial" w:eastAsia="Times New Roman" w:hAnsi="Arial" w:cs="Arial"/>
          <w:sz w:val="24"/>
          <w:szCs w:val="24"/>
          <w:lang w:eastAsia="en-GB"/>
        </w:rPr>
        <w:t xml:space="preserve">Whittaker et.al (2020) states that gang evolution is often difficult to research accurately as many studies are conducted on individual gang members instead of the gangs as a whole and due to the findings being based on individual experiences, it is only the similarities between studies that can provide insights in to what gang culture really consists of and activities they partake in. </w:t>
      </w:r>
    </w:p>
    <w:p w:rsidR="00243505" w:rsidRPr="00243505" w:rsidRDefault="00243505" w:rsidP="00243505">
      <w:pPr>
        <w:spacing w:line="360" w:lineRule="auto"/>
        <w:rPr>
          <w:rFonts w:ascii="Arial" w:eastAsia="Times New Roman" w:hAnsi="Arial" w:cs="Arial"/>
          <w:sz w:val="24"/>
          <w:szCs w:val="24"/>
          <w:lang w:eastAsia="en-GB"/>
        </w:rPr>
      </w:pPr>
      <w:r w:rsidRPr="00243505">
        <w:rPr>
          <w:rFonts w:ascii="Arial" w:eastAsia="Times New Roman" w:hAnsi="Arial" w:cs="Arial"/>
          <w:sz w:val="24"/>
          <w:szCs w:val="24"/>
          <w:lang w:eastAsia="en-GB"/>
        </w:rPr>
        <w:t xml:space="preserve">In spite of this statement, Whittaker et.al go on to say that by combining studies they have found that, of late, gangs focus less on displaying their membership and opt for a more business-like approach that will not attract police attention, focussing more on their place in the drug market by not restricting themselves to a specific postcode, but by branching out throughout the United Kingdom. </w:t>
      </w:r>
    </w:p>
    <w:p w:rsidR="00243505" w:rsidRPr="00243505" w:rsidRDefault="00243505" w:rsidP="00243505">
      <w:pPr>
        <w:spacing w:line="360" w:lineRule="auto"/>
        <w:rPr>
          <w:rFonts w:ascii="Arial" w:eastAsia="Times New Roman" w:hAnsi="Arial" w:cs="Arial"/>
          <w:sz w:val="24"/>
          <w:szCs w:val="24"/>
          <w:lang w:eastAsia="en-GB"/>
        </w:rPr>
      </w:pPr>
      <w:r w:rsidRPr="00243505">
        <w:rPr>
          <w:rFonts w:ascii="Arial" w:eastAsia="Times New Roman" w:hAnsi="Arial" w:cs="Arial"/>
          <w:sz w:val="24"/>
          <w:szCs w:val="24"/>
          <w:lang w:eastAsia="en-GB"/>
        </w:rPr>
        <w:t xml:space="preserve">By looking at information gathered by the Office for National Statistics (2019) it could be argued that this way of operating more covertly, is assisting the gangs in their objectives as statistics obtained, show that nearly half of the youth participants asked, believed that street gangs in their local area were not a problem at all, with 64% believing the main problem that communities were subjected to by gangs were people “hanging around” (Office for National Statistics, 2019). </w:t>
      </w:r>
    </w:p>
    <w:p w:rsidR="00243505" w:rsidRPr="00243505" w:rsidRDefault="00243505" w:rsidP="00243505">
      <w:pPr>
        <w:spacing w:line="360" w:lineRule="auto"/>
        <w:rPr>
          <w:rFonts w:ascii="Arial" w:eastAsia="Times New Roman" w:hAnsi="Arial" w:cs="Arial"/>
          <w:sz w:val="24"/>
          <w:szCs w:val="24"/>
          <w:lang w:eastAsia="en-GB"/>
        </w:rPr>
      </w:pPr>
      <w:r w:rsidRPr="00243505">
        <w:rPr>
          <w:rFonts w:ascii="Arial" w:eastAsia="Times New Roman" w:hAnsi="Arial" w:cs="Arial"/>
          <w:sz w:val="24"/>
          <w:szCs w:val="24"/>
          <w:lang w:eastAsia="en-GB"/>
        </w:rPr>
        <w:lastRenderedPageBreak/>
        <w:t xml:space="preserve">With the beliefs reflected in these figures, one could take the view that, as these children do not view street gangs as much of a threat or problem, they would be more open to joining a gang themselves, not appreciating the severity and detrimental impacts their involvement will have on them and the communities. </w:t>
      </w:r>
    </w:p>
    <w:p w:rsidR="00243505" w:rsidRPr="00243505" w:rsidRDefault="00243505" w:rsidP="00243505">
      <w:pPr>
        <w:spacing w:line="360" w:lineRule="auto"/>
        <w:rPr>
          <w:rFonts w:ascii="Arial" w:eastAsia="Times New Roman" w:hAnsi="Arial" w:cs="Arial"/>
          <w:sz w:val="24"/>
          <w:szCs w:val="24"/>
          <w:lang w:eastAsia="en-GB"/>
        </w:rPr>
      </w:pPr>
      <w:r w:rsidRPr="00243505">
        <w:rPr>
          <w:rFonts w:ascii="Arial" w:eastAsia="Times New Roman" w:hAnsi="Arial" w:cs="Arial"/>
          <w:sz w:val="24"/>
          <w:szCs w:val="24"/>
          <w:lang w:eastAsia="en-GB"/>
        </w:rPr>
        <w:t xml:space="preserve">Macfarlane (2018) conducted a review in to the correlation between adolescent mental health and youth gangs which concluded that there were strong links between psychiatric morbidity leaving vulnerable adolescents more prone to joining gangs. Macfarlane states that children subjected to adverse childhood experiences are less likely to have their activity monitored by their parents, combining this with the negative emotional and psychological impacts of their experiences, gangs are more likely to manipulate suggestable youths in to joining gangs by providing them with a sense of belonging. </w:t>
      </w:r>
    </w:p>
    <w:p w:rsidR="00243505" w:rsidRPr="00243505" w:rsidRDefault="00243505" w:rsidP="00243505">
      <w:pPr>
        <w:spacing w:line="360" w:lineRule="auto"/>
        <w:rPr>
          <w:rFonts w:ascii="Arial" w:eastAsia="Times New Roman" w:hAnsi="Arial" w:cs="Arial"/>
          <w:sz w:val="24"/>
          <w:szCs w:val="24"/>
          <w:lang w:eastAsia="en-GB"/>
        </w:rPr>
      </w:pPr>
      <w:r w:rsidRPr="00243505">
        <w:rPr>
          <w:rFonts w:ascii="Arial" w:eastAsia="Times New Roman" w:hAnsi="Arial" w:cs="Arial"/>
          <w:sz w:val="24"/>
          <w:szCs w:val="24"/>
          <w:lang w:eastAsia="en-GB"/>
        </w:rPr>
        <w:t>It is alarming that children are getting involved an area so heavily focused around drugs, weapons and violence. The National Crime Agency (2019) found that in only one week of action by police and authorities targeting the specific area of organised crime gangs, over 360 children were safeguarded from gangs. Whilst in this same operation, over £200,000 of drugs were recovered, £312,649 in cash was seized along with firearms, machetes and other weapons. (National Crime Agency, 2019). As these numbers were provided based on one week’s worth of findings, staggeringly, if the same number were found each week of the year, this would mean that the number of children involved in gangs, that we know of, could be just shy of 19,000.</w:t>
      </w:r>
    </w:p>
    <w:p w:rsidR="00243505" w:rsidRPr="00243505" w:rsidRDefault="00243505" w:rsidP="00243505">
      <w:pPr>
        <w:overflowPunct w:val="0"/>
        <w:autoSpaceDE w:val="0"/>
        <w:autoSpaceDN w:val="0"/>
        <w:adjustRightInd w:val="0"/>
        <w:spacing w:before="240" w:after="0" w:line="360" w:lineRule="auto"/>
        <w:jc w:val="both"/>
        <w:textAlignment w:val="baseline"/>
        <w:rPr>
          <w:rFonts w:ascii="Arial" w:hAnsi="Arial" w:cs="Arial"/>
          <w:sz w:val="24"/>
          <w:szCs w:val="24"/>
        </w:rPr>
      </w:pPr>
      <w:r w:rsidRPr="00243505">
        <w:rPr>
          <w:rFonts w:ascii="Arial" w:hAnsi="Arial" w:cs="Arial"/>
          <w:sz w:val="24"/>
          <w:szCs w:val="24"/>
        </w:rPr>
        <w:t>When considering why gangs target youth and vulnerable it is beneficial to understand that being a child would naturally qualify someone as being vulnerable. “A person is vulnerable if, as a result of their situation or circumstances, they are unable to take care of or protect themselves or others from harm or exploitation”  (College of Policing, n.d). It would be fair to say that vulnerable persons are targeted by gangs because, as the definition states, they cannot protect themselves from harm and may unwilling put themselves in dangerous situations they struggle to get out of alone.</w:t>
      </w:r>
    </w:p>
    <w:p w:rsidR="00243505" w:rsidRPr="00243505" w:rsidRDefault="00243505" w:rsidP="00243505">
      <w:pPr>
        <w:overflowPunct w:val="0"/>
        <w:autoSpaceDE w:val="0"/>
        <w:autoSpaceDN w:val="0"/>
        <w:adjustRightInd w:val="0"/>
        <w:spacing w:before="240" w:after="0" w:line="360" w:lineRule="auto"/>
        <w:jc w:val="both"/>
        <w:textAlignment w:val="baseline"/>
        <w:rPr>
          <w:rFonts w:ascii="Arial" w:hAnsi="Arial" w:cs="Arial"/>
          <w:sz w:val="24"/>
          <w:szCs w:val="24"/>
        </w:rPr>
      </w:pPr>
      <w:r w:rsidRPr="00243505">
        <w:rPr>
          <w:rFonts w:ascii="Arial" w:hAnsi="Arial" w:cs="Arial"/>
          <w:sz w:val="24"/>
          <w:szCs w:val="24"/>
        </w:rPr>
        <w:t xml:space="preserve">Overall, the information here suggests that gangs target vulnerable people and youths, who cannot protect themselves, to assist in their business-like approach to crime, preying on their naive perception that gang culture is not as dangerous as it is while </w:t>
      </w:r>
      <w:r w:rsidRPr="00243505">
        <w:rPr>
          <w:rFonts w:ascii="Arial" w:hAnsi="Arial" w:cs="Arial"/>
          <w:sz w:val="24"/>
          <w:szCs w:val="24"/>
        </w:rPr>
        <w:lastRenderedPageBreak/>
        <w:t xml:space="preserve">providing the youths with false sense of belonging. This isn’t a comprehensive overview as the reasons for joining an gang are complex, having many impact factors. (Thompson, 2019)  Thompson (2019) stresses that youth crime prevention was reliant on the success of early intervention from authorities. </w:t>
      </w:r>
    </w:p>
    <w:p w:rsidR="00243505" w:rsidRPr="00243505" w:rsidRDefault="00243505" w:rsidP="00243505">
      <w:pPr>
        <w:spacing w:line="360" w:lineRule="auto"/>
        <w:rPr>
          <w:rFonts w:ascii="Arial" w:eastAsia="Times New Roman" w:hAnsi="Arial" w:cs="Arial"/>
          <w:sz w:val="24"/>
          <w:szCs w:val="24"/>
          <w:lang w:eastAsia="en-GB"/>
        </w:rPr>
      </w:pPr>
    </w:p>
    <w:p w:rsidR="00243505" w:rsidRPr="00243505" w:rsidRDefault="00243505" w:rsidP="00243505">
      <w:pPr>
        <w:spacing w:line="360" w:lineRule="auto"/>
        <w:rPr>
          <w:rFonts w:ascii="Arial" w:eastAsia="Times New Roman" w:hAnsi="Arial" w:cs="Arial"/>
          <w:sz w:val="24"/>
          <w:szCs w:val="24"/>
          <w:lang w:eastAsia="en-GB"/>
        </w:rPr>
      </w:pPr>
    </w:p>
    <w:p w:rsidR="00243505" w:rsidRPr="00243505" w:rsidRDefault="00243505" w:rsidP="00243505">
      <w:pPr>
        <w:spacing w:line="360" w:lineRule="auto"/>
        <w:rPr>
          <w:rFonts w:ascii="Arial" w:eastAsia="Times New Roman" w:hAnsi="Arial" w:cs="Arial"/>
          <w:b/>
          <w:sz w:val="24"/>
          <w:szCs w:val="24"/>
          <w:u w:val="single"/>
          <w:lang w:eastAsia="en-GB"/>
        </w:rPr>
      </w:pPr>
      <w:r w:rsidRPr="00243505">
        <w:rPr>
          <w:rFonts w:ascii="Arial" w:eastAsia="Times New Roman" w:hAnsi="Arial" w:cs="Arial"/>
          <w:b/>
          <w:sz w:val="24"/>
          <w:szCs w:val="24"/>
          <w:u w:val="single"/>
          <w:lang w:eastAsia="en-GB"/>
        </w:rPr>
        <w:t>Title 3 reference list:</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College of Policing, n.d.. </w:t>
      </w:r>
      <w:r w:rsidRPr="00243505">
        <w:rPr>
          <w:rFonts w:ascii="Arial" w:hAnsi="Arial" w:cs="Arial"/>
          <w:i/>
          <w:iCs/>
          <w:noProof/>
          <w:sz w:val="24"/>
          <w:szCs w:val="24"/>
          <w:lang w:val="en-US"/>
        </w:rPr>
        <w:t xml:space="preserve">Vulnerablility.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[Accessed 22 08 2020].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Ebensen, F., Winfree, L. T., He, N. &amp; Taylor, T. J., 2001. Youth Gangs and Definitional Issues: When is a Gang a Gang, and why does it matter?. </w:t>
      </w:r>
      <w:r w:rsidRPr="00243505">
        <w:rPr>
          <w:rFonts w:ascii="Arial" w:hAnsi="Arial" w:cs="Arial"/>
          <w:i/>
          <w:iCs/>
          <w:noProof/>
          <w:sz w:val="24"/>
          <w:szCs w:val="24"/>
          <w:lang w:val="en-US"/>
        </w:rPr>
        <w:t xml:space="preserve">Crime and delinquency, </w:t>
      </w:r>
      <w:r w:rsidRPr="00243505">
        <w:rPr>
          <w:rFonts w:ascii="Arial" w:hAnsi="Arial" w:cs="Arial"/>
          <w:noProof/>
          <w:sz w:val="24"/>
          <w:szCs w:val="24"/>
          <w:lang w:val="en-US"/>
        </w:rPr>
        <w:t>01 01, 47(1), pp. 105-130.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Home Office, 2015. </w:t>
      </w:r>
      <w:r w:rsidRPr="00243505">
        <w:rPr>
          <w:rFonts w:ascii="Arial" w:hAnsi="Arial" w:cs="Arial"/>
          <w:i/>
          <w:iCs/>
          <w:noProof/>
          <w:sz w:val="24"/>
          <w:szCs w:val="24"/>
          <w:lang w:val="en-US"/>
        </w:rPr>
        <w:t xml:space="preserve">Serious Crime Act 2015 Fact sheet: Gang injunctions..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https://assets.publishing.service.gov.uk/government/uploads/system/uploads/attachment_data/file/431337/Fact_sheet_-_Gang_Injunctions_-_Amendment_on_Gov-UK_-_01062015.pdf</w:t>
      </w:r>
      <w:r w:rsidRPr="00243505">
        <w:rPr>
          <w:rFonts w:ascii="Arial" w:hAnsi="Arial" w:cs="Arial"/>
          <w:noProof/>
          <w:sz w:val="24"/>
          <w:szCs w:val="24"/>
          <w:lang w:val="en-US"/>
        </w:rPr>
        <w:br/>
        <w:t>[Accessed 15 06 2020].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Macfarlane, A., 2018. Gangs and Adolescent Mental Health: a Narrative Review. </w:t>
      </w:r>
      <w:r w:rsidRPr="00243505">
        <w:rPr>
          <w:rFonts w:ascii="Arial" w:hAnsi="Arial" w:cs="Arial"/>
          <w:i/>
          <w:iCs/>
          <w:noProof/>
          <w:sz w:val="24"/>
          <w:szCs w:val="24"/>
          <w:lang w:val="en-US"/>
        </w:rPr>
        <w:t xml:space="preserve">Journal of Child and Adolescent Trauma, </w:t>
      </w:r>
      <w:r w:rsidRPr="00243505">
        <w:rPr>
          <w:rFonts w:ascii="Arial" w:hAnsi="Arial" w:cs="Arial"/>
          <w:noProof/>
          <w:sz w:val="24"/>
          <w:szCs w:val="24"/>
          <w:lang w:val="en-US"/>
        </w:rPr>
        <w:t>02 10, Volume 12, pp. 411-420.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National Crime Agency, 2019. </w:t>
      </w:r>
      <w:r w:rsidRPr="00243505">
        <w:rPr>
          <w:rFonts w:ascii="Arial" w:hAnsi="Arial" w:cs="Arial"/>
          <w:i/>
          <w:iCs/>
          <w:noProof/>
          <w:sz w:val="24"/>
          <w:szCs w:val="24"/>
          <w:lang w:val="en-US"/>
        </w:rPr>
        <w:t xml:space="preserve">Hundreds arrested and more than £310k cash seized as part of national activity targeting county lines drug gangs.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https://nationalcrimeagency.gov.uk/news/hundreds-arrested-and-more-than-310k-cash-seized-as-part-of-national-activity-targeting-county-lines-drug-gangs?highlight=WyJjb3VudHkiLCInY291bnR5IiwiY291bnRpZXMiLCJsaW5lcyIsImxpbmUnIiwibGluZSIsImxpbmluZyIsImxpbmVzJ</w:t>
      </w:r>
      <w:r w:rsidRPr="00243505">
        <w:rPr>
          <w:rFonts w:ascii="Arial" w:hAnsi="Arial" w:cs="Arial"/>
          <w:noProof/>
          <w:sz w:val="24"/>
          <w:szCs w:val="24"/>
          <w:lang w:val="en-US"/>
        </w:rPr>
        <w:br/>
        <w:t>[Accessed 17 06 2020].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Office of National Statistics, 2019. </w:t>
      </w:r>
      <w:r w:rsidRPr="00243505">
        <w:rPr>
          <w:rFonts w:ascii="Arial" w:hAnsi="Arial" w:cs="Arial"/>
          <w:i/>
          <w:iCs/>
          <w:noProof/>
          <w:sz w:val="24"/>
          <w:szCs w:val="24"/>
          <w:lang w:val="en-US"/>
        </w:rPr>
        <w:t xml:space="preserve">Perceptions among children aged 10 to 15 years of street gangs in the local area, year ending March 2016 to year ending March 2018, Crime survey for England and Wales.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r>
      <w:r w:rsidRPr="00243505">
        <w:rPr>
          <w:rFonts w:ascii="Arial" w:hAnsi="Arial" w:cs="Arial"/>
          <w:noProof/>
          <w:sz w:val="24"/>
          <w:szCs w:val="24"/>
          <w:lang w:val="en-US"/>
        </w:rPr>
        <w:lastRenderedPageBreak/>
        <w:t xml:space="preserve">Available at: </w:t>
      </w:r>
      <w:r w:rsidRPr="00243505">
        <w:rPr>
          <w:rFonts w:ascii="Arial" w:hAnsi="Arial" w:cs="Arial"/>
          <w:noProof/>
          <w:sz w:val="24"/>
          <w:szCs w:val="24"/>
          <w:u w:val="single"/>
          <w:lang w:val="en-US"/>
        </w:rPr>
        <w:t>https://www.ons.gov.uk/peoplepopulationandcommunity/crimeandjustice/adhocs/11005perceptionsamongchildrenaged10to15yearsofstreetgangsinthelocalareayearendingmarch2016toyearendingmarch2018crimesurveyforenglandandwales</w:t>
      </w:r>
      <w:r w:rsidRPr="00243505">
        <w:rPr>
          <w:rFonts w:ascii="Arial" w:hAnsi="Arial" w:cs="Arial"/>
          <w:noProof/>
          <w:sz w:val="24"/>
          <w:szCs w:val="24"/>
          <w:lang w:val="en-US"/>
        </w:rPr>
        <w:br/>
        <w:t>[Accessed 22 06 2020].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i/>
          <w:iCs/>
          <w:noProof/>
          <w:sz w:val="24"/>
          <w:szCs w:val="24"/>
          <w:lang w:val="en-US"/>
        </w:rPr>
        <w:t xml:space="preserve">Serious Crime Act </w:t>
      </w:r>
      <w:r w:rsidRPr="00243505">
        <w:rPr>
          <w:rFonts w:ascii="Arial" w:hAnsi="Arial" w:cs="Arial"/>
          <w:noProof/>
          <w:sz w:val="24"/>
          <w:szCs w:val="24"/>
          <w:lang w:val="en-US"/>
        </w:rPr>
        <w:t xml:space="preserve">(2015). </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Thompson, N., 2019. It's a No-Win Scenario, either the Police or the Gnag Will Get You. </w:t>
      </w:r>
      <w:r w:rsidRPr="00243505">
        <w:rPr>
          <w:rFonts w:ascii="Arial" w:hAnsi="Arial" w:cs="Arial"/>
          <w:i/>
          <w:iCs/>
          <w:noProof/>
          <w:sz w:val="24"/>
          <w:szCs w:val="24"/>
          <w:lang w:val="en-US"/>
        </w:rPr>
        <w:t xml:space="preserve">Young People and Organised Crime - Vulnerable or Criminal, </w:t>
      </w:r>
      <w:r w:rsidRPr="00243505">
        <w:rPr>
          <w:rFonts w:ascii="Arial" w:hAnsi="Arial" w:cs="Arial"/>
          <w:noProof/>
          <w:sz w:val="24"/>
          <w:szCs w:val="24"/>
          <w:lang w:val="en-US"/>
        </w:rPr>
        <w:t>20 04, 19(2), pp. 102-119.</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Whittaker, A. et al., 2020. Reluctant Gangsters Revisited: The Evolution of Gangs from Postcodes to Profits. </w:t>
      </w:r>
      <w:r w:rsidRPr="00243505">
        <w:rPr>
          <w:rFonts w:ascii="Arial" w:hAnsi="Arial" w:cs="Arial"/>
          <w:i/>
          <w:iCs/>
          <w:noProof/>
          <w:sz w:val="24"/>
          <w:szCs w:val="24"/>
          <w:lang w:val="en-US"/>
        </w:rPr>
        <w:t xml:space="preserve">European Journal on Criminal Policy and Research, </w:t>
      </w:r>
      <w:r w:rsidRPr="00243505">
        <w:rPr>
          <w:rFonts w:ascii="Arial" w:hAnsi="Arial" w:cs="Arial"/>
          <w:noProof/>
          <w:sz w:val="24"/>
          <w:szCs w:val="24"/>
          <w:lang w:val="en-US"/>
        </w:rPr>
        <w:t>26(1), pp. 1-22.</w:t>
      </w:r>
    </w:p>
    <w:p w:rsidR="00243505" w:rsidRPr="00243505" w:rsidRDefault="00243505" w:rsidP="00243505">
      <w:pPr>
        <w:spacing w:line="360" w:lineRule="auto"/>
        <w:rPr>
          <w:rFonts w:ascii="Arial" w:hAnsi="Arial" w:cs="Arial"/>
          <w:sz w:val="24"/>
          <w:szCs w:val="24"/>
          <w:lang w:val="en-US"/>
        </w:rPr>
      </w:pPr>
    </w:p>
    <w:p w:rsidR="00243505" w:rsidRPr="00243505" w:rsidRDefault="00243505" w:rsidP="00243505">
      <w:pPr>
        <w:spacing w:line="360" w:lineRule="auto"/>
        <w:rPr>
          <w:rFonts w:ascii="Arial" w:hAnsi="Arial" w:cs="Arial"/>
          <w:b/>
          <w:sz w:val="24"/>
          <w:szCs w:val="24"/>
          <w:u w:val="single"/>
        </w:rPr>
      </w:pPr>
      <w:r w:rsidRPr="00243505">
        <w:rPr>
          <w:rFonts w:ascii="Arial" w:hAnsi="Arial" w:cs="Arial"/>
          <w:b/>
          <w:sz w:val="24"/>
          <w:szCs w:val="24"/>
          <w:u w:val="single"/>
        </w:rPr>
        <w:t xml:space="preserve">Title 4 </w:t>
      </w:r>
    </w:p>
    <w:p w:rsidR="00243505" w:rsidRPr="00243505" w:rsidRDefault="00243505" w:rsidP="00243505">
      <w:pPr>
        <w:spacing w:line="360" w:lineRule="auto"/>
        <w:rPr>
          <w:rFonts w:ascii="Arial" w:hAnsi="Arial" w:cs="Arial"/>
          <w:sz w:val="24"/>
          <w:szCs w:val="24"/>
        </w:rPr>
      </w:pPr>
      <w:r w:rsidRPr="00243505">
        <w:rPr>
          <w:rFonts w:ascii="Arial" w:hAnsi="Arial" w:cs="Arial"/>
          <w:sz w:val="24"/>
          <w:szCs w:val="24"/>
        </w:rPr>
        <w:t>Policing by consent is a longstanding philosophy which has underpinned British policing since it was first introduced in 1829 (College of Policing, 2014). The 9 Peelian principles that officers have been to abide by explain that, in order to fulfil their duties as police officers, public approval is essential, the police service must “seek and preserve public favour” whilst remembering that “the police are the public and the public are the police” (Home office, 2012).</w:t>
      </w:r>
    </w:p>
    <w:p w:rsidR="00243505" w:rsidRPr="00243505" w:rsidRDefault="00243505" w:rsidP="00243505">
      <w:pPr>
        <w:spacing w:line="360" w:lineRule="auto"/>
        <w:rPr>
          <w:rFonts w:ascii="Arial" w:hAnsi="Arial" w:cs="Arial"/>
          <w:sz w:val="24"/>
          <w:szCs w:val="24"/>
        </w:rPr>
      </w:pPr>
      <w:r w:rsidRPr="00243505">
        <w:rPr>
          <w:rFonts w:ascii="Arial" w:hAnsi="Arial" w:cs="Arial"/>
          <w:sz w:val="24"/>
          <w:szCs w:val="24"/>
        </w:rPr>
        <w:t>Combining these principles with modern day policing code of ethics, which set a standard of behaviour and attitudes, ensure professionalism, responsibility and public confidence (Pearce, S. 2014).</w:t>
      </w:r>
    </w:p>
    <w:p w:rsidR="00243505" w:rsidRPr="00243505" w:rsidRDefault="00243505" w:rsidP="00243505">
      <w:pPr>
        <w:spacing w:line="360" w:lineRule="auto"/>
        <w:rPr>
          <w:rFonts w:ascii="Arial" w:hAnsi="Arial" w:cs="Arial"/>
          <w:sz w:val="24"/>
          <w:szCs w:val="24"/>
        </w:rPr>
      </w:pPr>
      <w:r w:rsidRPr="00243505">
        <w:rPr>
          <w:rFonts w:ascii="Arial" w:hAnsi="Arial" w:cs="Arial"/>
          <w:sz w:val="24"/>
          <w:szCs w:val="24"/>
        </w:rPr>
        <w:t xml:space="preserve">Community Policing is an aspect within the Police service that works collaboratively with local communities and partner agencies. In doing this, it has increased the trust and co-operation of the public whilst addressing problems by bringing individuals to the attention of supporting agencies and utilising other authorities’ powers and specialist knowledge (College of Policing, 2020). By adopting a multi-agency approach it in turn allows for Problem oriented Policing, in this, it means that recurring problems, crimes or anti-social activities are more easily identified, allowing </w:t>
      </w:r>
      <w:r w:rsidRPr="00243505">
        <w:rPr>
          <w:rFonts w:ascii="Arial" w:hAnsi="Arial" w:cs="Arial"/>
          <w:sz w:val="24"/>
          <w:szCs w:val="24"/>
        </w:rPr>
        <w:lastRenderedPageBreak/>
        <w:t>the police and community policing to target these areas most of a concern to their local community (Bullock, Erol and Tilley, 2006).</w:t>
      </w:r>
    </w:p>
    <w:p w:rsidR="00243505" w:rsidRPr="00243505" w:rsidRDefault="00243505" w:rsidP="00243505">
      <w:pPr>
        <w:autoSpaceDE w:val="0"/>
        <w:autoSpaceDN w:val="0"/>
        <w:adjustRightInd w:val="0"/>
        <w:spacing w:before="100" w:after="100" w:line="360" w:lineRule="auto"/>
        <w:rPr>
          <w:rFonts w:ascii="Arial" w:hAnsi="Arial" w:cs="Arial"/>
          <w:sz w:val="24"/>
          <w:szCs w:val="24"/>
        </w:rPr>
      </w:pPr>
      <w:r w:rsidRPr="00243505">
        <w:rPr>
          <w:rFonts w:ascii="Arial" w:hAnsi="Arial" w:cs="Arial"/>
          <w:sz w:val="24"/>
          <w:szCs w:val="24"/>
        </w:rPr>
        <w:t xml:space="preserve">There is an argument however, that Community Policing is not as beneficial as it was intended to be. Brogden and Nijhar (2005) comment that Community policing </w:t>
      </w:r>
      <w:r w:rsidRPr="00243505">
        <w:rPr>
          <w:rFonts w:ascii="Arial" w:hAnsi="Arial" w:cs="Arial"/>
          <w:i/>
          <w:sz w:val="24"/>
          <w:szCs w:val="24"/>
        </w:rPr>
        <w:t xml:space="preserve">“works best where it is least needed and worst where it is most needed”. </w:t>
      </w:r>
      <w:r w:rsidRPr="00243505">
        <w:rPr>
          <w:rFonts w:ascii="Arial" w:hAnsi="Arial" w:cs="Arial"/>
          <w:sz w:val="24"/>
          <w:szCs w:val="24"/>
        </w:rPr>
        <w:t xml:space="preserve">Considering this, one might argue that this is not down to the police or the agencies involved in identifying and responding to crimes within the community, but down to the communities themselves. </w:t>
      </w:r>
    </w:p>
    <w:p w:rsidR="00243505" w:rsidRPr="00243505" w:rsidRDefault="00243505" w:rsidP="00243505">
      <w:pPr>
        <w:autoSpaceDE w:val="0"/>
        <w:autoSpaceDN w:val="0"/>
        <w:adjustRightInd w:val="0"/>
        <w:spacing w:before="100" w:after="100" w:line="360" w:lineRule="auto"/>
        <w:rPr>
          <w:rFonts w:ascii="Arial" w:hAnsi="Arial" w:cs="Arial"/>
          <w:sz w:val="24"/>
          <w:szCs w:val="24"/>
        </w:rPr>
      </w:pPr>
    </w:p>
    <w:p w:rsidR="00243505" w:rsidRPr="00243505" w:rsidRDefault="00243505" w:rsidP="00243505">
      <w:pPr>
        <w:spacing w:line="360" w:lineRule="auto"/>
        <w:rPr>
          <w:rFonts w:ascii="Arial" w:hAnsi="Arial" w:cs="Arial"/>
          <w:color w:val="FF0000"/>
          <w:sz w:val="24"/>
          <w:szCs w:val="24"/>
        </w:rPr>
      </w:pPr>
      <w:r w:rsidRPr="00243505">
        <w:rPr>
          <w:rFonts w:ascii="Arial" w:hAnsi="Arial" w:cs="Arial"/>
          <w:sz w:val="24"/>
          <w:szCs w:val="24"/>
        </w:rPr>
        <w:t>Banton (1964) argues that social control lies within society itself, despite the time lapse of this statement, Cox (2019) also suggests that the effectiveness of the police is solely reliant on the local communities’ willingness to engage and that all persons living within the policing area should work with the police and share the responsibility for crime reduction and community safety in their area.</w:t>
      </w:r>
    </w:p>
    <w:p w:rsidR="00243505" w:rsidRPr="00243505" w:rsidRDefault="00243505" w:rsidP="00243505">
      <w:pPr>
        <w:spacing w:line="360" w:lineRule="auto"/>
        <w:rPr>
          <w:rFonts w:ascii="Arial" w:hAnsi="Arial" w:cs="Arial"/>
          <w:color w:val="FF0000"/>
          <w:sz w:val="24"/>
          <w:szCs w:val="24"/>
        </w:rPr>
      </w:pPr>
      <w:r w:rsidRPr="00243505">
        <w:rPr>
          <w:rFonts w:ascii="Arial" w:hAnsi="Arial" w:cs="Arial"/>
          <w:sz w:val="24"/>
          <w:szCs w:val="24"/>
        </w:rPr>
        <w:t xml:space="preserve">Cox (2019) does go on to state however, that in order to bridge the gap between the police and the communities, community policing is key in breaking down barriers and building trust, especially within the BAME communities and believes that by building a minorities trust in police, more incident as a whole would be reported and in return, dealt with accordingly.  </w:t>
      </w:r>
    </w:p>
    <w:p w:rsidR="00243505" w:rsidRPr="00243505" w:rsidRDefault="00243505" w:rsidP="00243505">
      <w:pPr>
        <w:spacing w:line="360" w:lineRule="auto"/>
        <w:rPr>
          <w:rFonts w:ascii="Arial" w:hAnsi="Arial" w:cs="Arial"/>
          <w:sz w:val="24"/>
          <w:szCs w:val="24"/>
        </w:rPr>
      </w:pPr>
      <w:r w:rsidRPr="00243505">
        <w:rPr>
          <w:rFonts w:ascii="Arial" w:hAnsi="Arial" w:cs="Arial"/>
          <w:sz w:val="24"/>
          <w:szCs w:val="24"/>
        </w:rPr>
        <w:t xml:space="preserve">According to the most recent UK census released in 2011 only 14% of the British population describe themselves as being part of a black and minority ethnic community often referred to as BAME communities (Office for National Statistics, 2020). Due to the drastic difference in BAME communities, compared to 86% of the respondents who described themselves as white British, it is often argued that BAME communities are, in turn, under-represented within the Police (Home office, 2008). </w:t>
      </w:r>
    </w:p>
    <w:p w:rsidR="00243505" w:rsidRPr="00243505" w:rsidRDefault="00243505" w:rsidP="00243505">
      <w:pPr>
        <w:spacing w:line="360" w:lineRule="auto"/>
        <w:rPr>
          <w:rFonts w:ascii="Arial" w:hAnsi="Arial" w:cs="Arial"/>
          <w:sz w:val="24"/>
          <w:szCs w:val="24"/>
        </w:rPr>
      </w:pPr>
      <w:r w:rsidRPr="00243505">
        <w:rPr>
          <w:rFonts w:ascii="Arial" w:hAnsi="Arial" w:cs="Arial"/>
          <w:sz w:val="24"/>
          <w:szCs w:val="24"/>
        </w:rPr>
        <w:t xml:space="preserve">This is highlighted in statistics released by the Home Office (2019) whereby a mere 6.9% of police officers identified as being BAME. Whilst this has increased by 3% over the last twelve years, it still does not reflect the communities it is serving (Home Office, 2019). Surely, if 14% of the community on average, identify as BAME, to fully understand the values and cultures within the community, they should be represented within the police service itself (Bury et al, 2018), and in order to do this, </w:t>
      </w:r>
      <w:r w:rsidRPr="00243505">
        <w:rPr>
          <w:rFonts w:ascii="Arial" w:hAnsi="Arial" w:cs="Arial"/>
          <w:sz w:val="24"/>
          <w:szCs w:val="24"/>
        </w:rPr>
        <w:lastRenderedPageBreak/>
        <w:t>the numbers within police should reflect the national statistics or at the very least, drastically narrow the margin.</w:t>
      </w:r>
    </w:p>
    <w:p w:rsidR="00243505" w:rsidRPr="00243505" w:rsidRDefault="00243505" w:rsidP="00243505">
      <w:pPr>
        <w:spacing w:line="360" w:lineRule="auto"/>
        <w:rPr>
          <w:rFonts w:ascii="Arial" w:hAnsi="Arial" w:cs="Arial"/>
          <w:sz w:val="24"/>
          <w:szCs w:val="24"/>
        </w:rPr>
      </w:pPr>
      <w:r w:rsidRPr="00243505">
        <w:rPr>
          <w:rFonts w:ascii="Arial" w:hAnsi="Arial" w:cs="Arial"/>
          <w:sz w:val="24"/>
          <w:szCs w:val="24"/>
        </w:rPr>
        <w:t>Cox (2019) points out that an intolerance of differing cultures and norms by the majority of society will naturally mean that these minority group are quite possibly, over policed. In contrast to this statement, statistics collected in a recent survey conducted by Hope not Hate charity found that 64% of BAME community feel that the police, on the whole were good and any incidents where they may have felt targeted were down to individuals and not the force as a whole (BBC, 2020).</w:t>
      </w:r>
    </w:p>
    <w:p w:rsidR="00243505" w:rsidRPr="00243505" w:rsidRDefault="00243505" w:rsidP="00243505">
      <w:pPr>
        <w:spacing w:line="360" w:lineRule="auto"/>
        <w:rPr>
          <w:rFonts w:ascii="Arial" w:hAnsi="Arial" w:cs="Arial"/>
          <w:sz w:val="24"/>
          <w:szCs w:val="24"/>
        </w:rPr>
      </w:pPr>
      <w:r w:rsidRPr="00243505">
        <w:rPr>
          <w:rFonts w:ascii="Arial" w:hAnsi="Arial" w:cs="Arial"/>
          <w:sz w:val="24"/>
          <w:szCs w:val="24"/>
        </w:rPr>
        <w:t>The office of National Statistics found that perceptions of police in the year ending March 2020, found that 75% of respondents had confidence the in Police in England and Wales, however, this average was found to be lower in the West midlands Police area, where there is a high BAME community number as the confidence percentage in the same survey was 68% with just 67% of respondents feeling they would be treated fairly (Office of national statistics, 2020).</w:t>
      </w:r>
    </w:p>
    <w:p w:rsidR="00243505" w:rsidRPr="00243505" w:rsidRDefault="00243505" w:rsidP="00243505">
      <w:pPr>
        <w:spacing w:line="360" w:lineRule="auto"/>
        <w:rPr>
          <w:rFonts w:ascii="Arial" w:hAnsi="Arial" w:cs="Arial"/>
          <w:sz w:val="24"/>
          <w:szCs w:val="24"/>
        </w:rPr>
      </w:pPr>
      <w:r w:rsidRPr="00243505">
        <w:rPr>
          <w:rFonts w:ascii="Arial" w:hAnsi="Arial" w:cs="Arial"/>
          <w:sz w:val="24"/>
          <w:szCs w:val="24"/>
        </w:rPr>
        <w:t>By combining the information discussed so far, there are conflicting views on whether the police services in England and Wales can address issues faced by or created by members of the BAME communities. Although Cox (2019) insinuates that unconscious bias may be a factor in indirect discrimination in the way of over-policing certain communities, a majority of participants from a survey undertaken only by members of the BAME community appear to disagree with this and believe that despite being under-represented in the police, still feel that the police are doing a good job and do not feel discriminated against (BBC, 2020).</w:t>
      </w:r>
    </w:p>
    <w:p w:rsidR="00243505" w:rsidRPr="00243505" w:rsidRDefault="00243505" w:rsidP="00243505">
      <w:pPr>
        <w:spacing w:line="360" w:lineRule="auto"/>
        <w:rPr>
          <w:rFonts w:ascii="Arial" w:hAnsi="Arial" w:cs="Arial"/>
          <w:sz w:val="24"/>
          <w:szCs w:val="24"/>
        </w:rPr>
      </w:pPr>
      <w:r w:rsidRPr="00243505">
        <w:rPr>
          <w:rFonts w:ascii="Arial" w:hAnsi="Arial" w:cs="Arial"/>
          <w:sz w:val="24"/>
          <w:szCs w:val="24"/>
        </w:rPr>
        <w:t>Although the Home Office’s (2008) report found that in order to relate with minority groups in society, more people from minority communities should be encourage to join the police. Satisfaction statistics included in this work prove that police are getting better at understanding different values, ethics and norms within diverse communities especially when compared to the findings of the Macpherson report (1999), whereby the Police were heavily criticised for being “institutionally racist”.</w:t>
      </w:r>
    </w:p>
    <w:p w:rsidR="00243505" w:rsidRPr="00243505" w:rsidRDefault="00243505" w:rsidP="00243505">
      <w:pPr>
        <w:spacing w:line="360" w:lineRule="auto"/>
        <w:rPr>
          <w:rFonts w:ascii="Arial" w:hAnsi="Arial" w:cs="Arial"/>
          <w:sz w:val="24"/>
          <w:szCs w:val="24"/>
        </w:rPr>
      </w:pPr>
    </w:p>
    <w:p w:rsidR="00243505" w:rsidRPr="00243505" w:rsidRDefault="00243505" w:rsidP="00243505">
      <w:pPr>
        <w:spacing w:line="360" w:lineRule="auto"/>
        <w:rPr>
          <w:rFonts w:ascii="Arial" w:hAnsi="Arial" w:cs="Arial"/>
          <w:b/>
          <w:sz w:val="24"/>
          <w:szCs w:val="24"/>
          <w:u w:val="single"/>
        </w:rPr>
      </w:pPr>
      <w:r w:rsidRPr="00243505">
        <w:rPr>
          <w:rFonts w:ascii="Arial" w:hAnsi="Arial" w:cs="Arial"/>
          <w:b/>
          <w:sz w:val="24"/>
          <w:szCs w:val="24"/>
          <w:u w:val="single"/>
        </w:rPr>
        <w:t>Title 4 r</w:t>
      </w:r>
      <w:r w:rsidRPr="00243505">
        <w:rPr>
          <w:rFonts w:ascii="Arial" w:hAnsi="Arial" w:cs="Arial"/>
          <w:b/>
          <w:sz w:val="24"/>
          <w:szCs w:val="24"/>
          <w:u w:val="single"/>
        </w:rPr>
        <w:t xml:space="preserve">eference list: </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lastRenderedPageBreak/>
        <w:t xml:space="preserve">Banton, M., 1964. </w:t>
      </w:r>
      <w:r w:rsidRPr="00243505">
        <w:rPr>
          <w:rFonts w:ascii="Arial" w:hAnsi="Arial" w:cs="Arial"/>
          <w:i/>
          <w:iCs/>
          <w:noProof/>
          <w:sz w:val="24"/>
          <w:szCs w:val="24"/>
          <w:lang w:val="en-US"/>
        </w:rPr>
        <w:t xml:space="preserve">The Policeman in the Community.. </w:t>
      </w:r>
      <w:r w:rsidRPr="00243505">
        <w:rPr>
          <w:rFonts w:ascii="Arial" w:hAnsi="Arial" w:cs="Arial"/>
          <w:noProof/>
          <w:sz w:val="24"/>
          <w:szCs w:val="24"/>
          <w:lang w:val="en-US"/>
        </w:rPr>
        <w:t>1 ed. London: Tavistock publications.</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BBC, 2020. </w:t>
      </w:r>
      <w:r w:rsidRPr="00243505">
        <w:rPr>
          <w:rFonts w:ascii="Arial" w:hAnsi="Arial" w:cs="Arial"/>
          <w:i/>
          <w:iCs/>
          <w:noProof/>
          <w:sz w:val="24"/>
          <w:szCs w:val="24"/>
          <w:lang w:val="en-US"/>
        </w:rPr>
        <w:t xml:space="preserve">Ethnic minorities feel UK Police are racially biased, report says.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https://www.bbc.co.uk/news/uk-53843240</w:t>
      </w:r>
      <w:r w:rsidRPr="00243505">
        <w:rPr>
          <w:rFonts w:ascii="Arial" w:hAnsi="Arial" w:cs="Arial"/>
          <w:noProof/>
          <w:sz w:val="24"/>
          <w:szCs w:val="24"/>
          <w:lang w:val="en-US"/>
        </w:rPr>
        <w:br/>
        <w:t>[Accessed 20 08 2020].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Brogden, M. &amp; Nijhar, P., 2007. Community policing: national and international models and approaches. </w:t>
      </w:r>
      <w:r w:rsidRPr="00243505">
        <w:rPr>
          <w:rFonts w:ascii="Arial" w:hAnsi="Arial" w:cs="Arial"/>
          <w:i/>
          <w:iCs/>
          <w:noProof/>
          <w:sz w:val="24"/>
          <w:szCs w:val="24"/>
          <w:lang w:val="en-US"/>
        </w:rPr>
        <w:t xml:space="preserve">The Howard Journal of Criminal Justice, </w:t>
      </w:r>
      <w:r w:rsidRPr="00243505">
        <w:rPr>
          <w:rFonts w:ascii="Arial" w:hAnsi="Arial" w:cs="Arial"/>
          <w:noProof/>
          <w:sz w:val="24"/>
          <w:szCs w:val="24"/>
          <w:lang w:val="en-US"/>
        </w:rPr>
        <w:t>07 12, 46(5), pp. 537-538.</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Bullock, K., Erol, R. &amp; Tiley, N., 2006. </w:t>
      </w:r>
      <w:r w:rsidRPr="00243505">
        <w:rPr>
          <w:rFonts w:ascii="Arial" w:hAnsi="Arial" w:cs="Arial"/>
          <w:i/>
          <w:iCs/>
          <w:noProof/>
          <w:sz w:val="24"/>
          <w:szCs w:val="24"/>
          <w:lang w:val="en-US"/>
        </w:rPr>
        <w:t xml:space="preserve">Problem-oriented policing and partnerships implementing an evidence based approach to crime reduction. </w:t>
      </w:r>
      <w:r w:rsidRPr="00243505">
        <w:rPr>
          <w:rFonts w:ascii="Arial" w:hAnsi="Arial" w:cs="Arial"/>
          <w:noProof/>
          <w:sz w:val="24"/>
          <w:szCs w:val="24"/>
          <w:lang w:val="en-US"/>
        </w:rPr>
        <w:t>Devon: Willian publishing.</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Bury, j. et al., n.d. </w:t>
      </w:r>
      <w:r w:rsidRPr="00243505">
        <w:rPr>
          <w:rFonts w:ascii="Arial" w:hAnsi="Arial" w:cs="Arial"/>
          <w:i/>
          <w:iCs/>
          <w:noProof/>
          <w:sz w:val="24"/>
          <w:szCs w:val="24"/>
          <w:lang w:val="en-US"/>
        </w:rPr>
        <w:t xml:space="preserve">Enhancing diversity in Policing final report, </w:t>
      </w:r>
      <w:r w:rsidRPr="00243505">
        <w:rPr>
          <w:rFonts w:ascii="Arial" w:hAnsi="Arial" w:cs="Arial"/>
          <w:noProof/>
          <w:sz w:val="24"/>
          <w:szCs w:val="24"/>
          <w:lang w:val="en-US"/>
        </w:rPr>
        <w:t>London: NatCen social research.</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College of Policing, 2020. </w:t>
      </w:r>
      <w:r w:rsidRPr="00243505">
        <w:rPr>
          <w:rFonts w:ascii="Arial" w:hAnsi="Arial" w:cs="Arial"/>
          <w:i/>
          <w:iCs/>
          <w:noProof/>
          <w:sz w:val="24"/>
          <w:szCs w:val="24"/>
          <w:lang w:val="en-US"/>
        </w:rPr>
        <w:t xml:space="preserve">Definition of neighbourhood policing.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www.college.police.uk/what-we-do/standards/guidlines/Neighbourhood-policing/pages/definition-of-neighbourhood-policing.aspx</w:t>
      </w:r>
      <w:r w:rsidRPr="00243505">
        <w:rPr>
          <w:rFonts w:ascii="Arial" w:hAnsi="Arial" w:cs="Arial"/>
          <w:noProof/>
          <w:sz w:val="24"/>
          <w:szCs w:val="24"/>
          <w:lang w:val="en-US"/>
        </w:rPr>
        <w:br/>
        <w:t>[Accessed 18 08 2020].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College of Poling, 2014. </w:t>
      </w:r>
      <w:r w:rsidRPr="00243505">
        <w:rPr>
          <w:rFonts w:ascii="Arial" w:hAnsi="Arial" w:cs="Arial"/>
          <w:i/>
          <w:iCs/>
          <w:noProof/>
          <w:sz w:val="24"/>
          <w:szCs w:val="24"/>
          <w:lang w:val="en-US"/>
        </w:rPr>
        <w:t xml:space="preserve">The Code of Ethics – Reading list.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https://www.college.police.uk/What-we-do/Ethics/Ethics-home/Documents/Code_of_Ethics_ReadingList.pdf</w:t>
      </w:r>
      <w:r w:rsidRPr="00243505">
        <w:rPr>
          <w:rFonts w:ascii="Arial" w:hAnsi="Arial" w:cs="Arial"/>
          <w:noProof/>
          <w:sz w:val="24"/>
          <w:szCs w:val="24"/>
          <w:lang w:val="en-US"/>
        </w:rPr>
        <w:br/>
        <w:t>[Accessed 22 08 2020].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Cox, C., 2019. Multi-agency working in criminal justcice 2e: Theory, policy and practice. </w:t>
      </w:r>
      <w:r w:rsidRPr="00243505">
        <w:rPr>
          <w:rFonts w:ascii="Arial" w:hAnsi="Arial" w:cs="Arial"/>
          <w:i/>
          <w:iCs/>
          <w:noProof/>
          <w:sz w:val="24"/>
          <w:szCs w:val="24"/>
          <w:lang w:val="en-US"/>
        </w:rPr>
        <w:t xml:space="preserve">Policing a diverse society: the community based rationale for multi-agency working, </w:t>
      </w:r>
      <w:r w:rsidRPr="00243505">
        <w:rPr>
          <w:rFonts w:ascii="Arial" w:hAnsi="Arial" w:cs="Arial"/>
          <w:noProof/>
          <w:sz w:val="24"/>
          <w:szCs w:val="24"/>
          <w:lang w:val="en-US"/>
        </w:rPr>
        <w:t>pp. 105-120.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Home Office, 2008. </w:t>
      </w:r>
      <w:r w:rsidRPr="00243505">
        <w:rPr>
          <w:rFonts w:ascii="Arial" w:hAnsi="Arial" w:cs="Arial"/>
          <w:i/>
          <w:iCs/>
          <w:noProof/>
          <w:sz w:val="24"/>
          <w:szCs w:val="24"/>
          <w:lang w:val="en-US"/>
        </w:rPr>
        <w:t xml:space="preserve">Policing Minister's Assessment of Minority Ethnic Recruitment, Retention and Progression in the Police Service a paper for the home secretary.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 xml:space="preserve">http://library.college.police.uk/docs/homeoffice/minority-ethnic-recruitment.pdf </w:t>
      </w:r>
      <w:r w:rsidRPr="00243505">
        <w:rPr>
          <w:rFonts w:ascii="Arial" w:hAnsi="Arial" w:cs="Arial"/>
          <w:noProof/>
          <w:sz w:val="24"/>
          <w:szCs w:val="24"/>
          <w:lang w:val="en-US"/>
        </w:rPr>
        <w:br/>
        <w:t>[Accessed 17 08 2020].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lastRenderedPageBreak/>
        <w:t xml:space="preserve">Home Office, 2012. </w:t>
      </w:r>
      <w:r w:rsidRPr="00243505">
        <w:rPr>
          <w:rFonts w:ascii="Arial" w:hAnsi="Arial" w:cs="Arial"/>
          <w:i/>
          <w:iCs/>
          <w:noProof/>
          <w:sz w:val="24"/>
          <w:szCs w:val="24"/>
          <w:lang w:val="en-US"/>
        </w:rPr>
        <w:t xml:space="preserve">FOI Definition of Policing By Consent.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https://www.gov.uk/government/publications/policing-by-consent/definition-of-policing-by-consent</w:t>
      </w:r>
      <w:r w:rsidRPr="00243505">
        <w:rPr>
          <w:rFonts w:ascii="Arial" w:hAnsi="Arial" w:cs="Arial"/>
          <w:noProof/>
          <w:sz w:val="24"/>
          <w:szCs w:val="24"/>
          <w:lang w:val="en-US"/>
        </w:rPr>
        <w:br/>
        <w:t>[Accessed 17 08 2020].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Macpherson, W., 1999. </w:t>
      </w:r>
      <w:r w:rsidRPr="00243505">
        <w:rPr>
          <w:rFonts w:ascii="Arial" w:hAnsi="Arial" w:cs="Arial"/>
          <w:i/>
          <w:iCs/>
          <w:noProof/>
          <w:sz w:val="24"/>
          <w:szCs w:val="24"/>
          <w:lang w:val="en-US"/>
        </w:rPr>
        <w:t xml:space="preserve">Gov.uk.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https://www.gov.uk/government/publications/the-stephen-lawrence-inquiry</w:t>
      </w:r>
      <w:r w:rsidRPr="00243505">
        <w:rPr>
          <w:rFonts w:ascii="Arial" w:hAnsi="Arial" w:cs="Arial"/>
          <w:noProof/>
          <w:sz w:val="24"/>
          <w:szCs w:val="24"/>
          <w:lang w:val="en-US"/>
        </w:rPr>
        <w:br/>
        <w:t>[Accessed 16 08 2020].</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Office for National Statistics, 2020. </w:t>
      </w:r>
      <w:r w:rsidRPr="00243505">
        <w:rPr>
          <w:rFonts w:ascii="Arial" w:hAnsi="Arial" w:cs="Arial"/>
          <w:i/>
          <w:iCs/>
          <w:noProof/>
          <w:sz w:val="24"/>
          <w:szCs w:val="24"/>
          <w:lang w:val="en-US"/>
        </w:rPr>
        <w:t xml:space="preserve">Perceptions of the local police year ending March 2020, </w:t>
      </w:r>
      <w:r w:rsidRPr="00243505">
        <w:rPr>
          <w:rFonts w:ascii="Arial" w:hAnsi="Arial" w:cs="Arial"/>
          <w:noProof/>
          <w:sz w:val="24"/>
          <w:szCs w:val="24"/>
          <w:lang w:val="en-US"/>
        </w:rPr>
        <w:t>s.l.: Office for National Statistics.</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Office for National statistics, 2020. </w:t>
      </w:r>
      <w:r w:rsidRPr="00243505">
        <w:rPr>
          <w:rFonts w:ascii="Arial" w:hAnsi="Arial" w:cs="Arial"/>
          <w:i/>
          <w:iCs/>
          <w:noProof/>
          <w:sz w:val="24"/>
          <w:szCs w:val="24"/>
          <w:lang w:val="en-US"/>
        </w:rPr>
        <w:t xml:space="preserve">Population of England and Wales, </w:t>
      </w:r>
      <w:r w:rsidRPr="00243505">
        <w:rPr>
          <w:rFonts w:ascii="Arial" w:hAnsi="Arial" w:cs="Arial"/>
          <w:noProof/>
          <w:sz w:val="24"/>
          <w:szCs w:val="24"/>
          <w:lang w:val="en-US"/>
        </w:rPr>
        <w:t>London: Office for National Statistics.</w:t>
      </w:r>
    </w:p>
    <w:p w:rsidR="00243505" w:rsidRPr="00243505" w:rsidRDefault="00243505" w:rsidP="00243505">
      <w:pPr>
        <w:pStyle w:val="Bibliography"/>
        <w:spacing w:line="360" w:lineRule="auto"/>
        <w:rPr>
          <w:rFonts w:ascii="Arial" w:hAnsi="Arial" w:cs="Arial"/>
          <w:noProof/>
          <w:sz w:val="24"/>
          <w:szCs w:val="24"/>
          <w:lang w:val="en-US"/>
        </w:rPr>
      </w:pPr>
      <w:r w:rsidRPr="00243505">
        <w:rPr>
          <w:rFonts w:ascii="Arial" w:hAnsi="Arial" w:cs="Arial"/>
          <w:noProof/>
          <w:sz w:val="24"/>
          <w:szCs w:val="24"/>
          <w:lang w:val="en-US"/>
        </w:rPr>
        <w:t xml:space="preserve">Pearce, S., 2014. </w:t>
      </w:r>
      <w:r w:rsidRPr="00243505">
        <w:rPr>
          <w:rFonts w:ascii="Arial" w:hAnsi="Arial" w:cs="Arial"/>
          <w:i/>
          <w:iCs/>
          <w:noProof/>
          <w:sz w:val="24"/>
          <w:szCs w:val="24"/>
          <w:lang w:val="en-US"/>
        </w:rPr>
        <w:t xml:space="preserve">Code of Etchics a code of prectice for the principles and standrads of professional behaviour for the policing profession of Engloand and Wales. </w:t>
      </w:r>
      <w:r w:rsidRPr="00243505">
        <w:rPr>
          <w:rFonts w:ascii="Arial" w:hAnsi="Arial" w:cs="Arial"/>
          <w:noProof/>
          <w:sz w:val="24"/>
          <w:szCs w:val="24"/>
          <w:lang w:val="en-US"/>
        </w:rPr>
        <w:t xml:space="preserve">[Online] </w:t>
      </w:r>
      <w:r w:rsidRPr="00243505">
        <w:rPr>
          <w:rFonts w:ascii="Arial" w:hAnsi="Arial" w:cs="Arial"/>
          <w:noProof/>
          <w:sz w:val="24"/>
          <w:szCs w:val="24"/>
          <w:lang w:val="en-US"/>
        </w:rPr>
        <w:br/>
        <w:t xml:space="preserve">Available at: </w:t>
      </w:r>
      <w:r w:rsidRPr="00243505">
        <w:rPr>
          <w:rFonts w:ascii="Arial" w:hAnsi="Arial" w:cs="Arial"/>
          <w:noProof/>
          <w:sz w:val="24"/>
          <w:szCs w:val="24"/>
          <w:u w:val="single"/>
          <w:lang w:val="en-US"/>
        </w:rPr>
        <w:t>www.college.police.uk/what-we-do/ethics/documents/Code_of_Ethics.pdf</w:t>
      </w:r>
      <w:r w:rsidRPr="00243505">
        <w:rPr>
          <w:rFonts w:ascii="Arial" w:hAnsi="Arial" w:cs="Arial"/>
          <w:noProof/>
          <w:sz w:val="24"/>
          <w:szCs w:val="24"/>
          <w:lang w:val="en-US"/>
        </w:rPr>
        <w:br/>
        <w:t>[Accessed 17 07 2020].</w:t>
      </w:r>
    </w:p>
    <w:p w:rsidR="00243505" w:rsidRPr="003C7F51" w:rsidRDefault="00243505" w:rsidP="003C7F51">
      <w:pPr>
        <w:rPr>
          <w:lang w:val="en-US"/>
        </w:rPr>
      </w:pPr>
    </w:p>
    <w:sectPr w:rsidR="00243505" w:rsidRPr="003C7F51" w:rsidSect="00900F79">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F79" w:rsidRDefault="00900F79" w:rsidP="00900F79">
      <w:pPr>
        <w:spacing w:after="0" w:line="240" w:lineRule="auto"/>
      </w:pPr>
      <w:r>
        <w:separator/>
      </w:r>
    </w:p>
  </w:endnote>
  <w:endnote w:type="continuationSeparator" w:id="0">
    <w:p w:rsidR="00900F79" w:rsidRDefault="00900F79" w:rsidP="00900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F51" w:rsidRDefault="00243505" w:rsidP="00243505">
    <w:pPr>
      <w:pStyle w:val="Footer"/>
      <w:rPr>
        <w:color w:val="000000"/>
        <w:sz w:val="17"/>
      </w:rPr>
    </w:pPr>
    <w:bookmarkStart w:id="3" w:name="TITUS1FooterEvenPages"/>
    <w:r>
      <w:rPr>
        <w:color w:val="000000"/>
        <w:sz w:val="17"/>
      </w:rPr>
      <w:t> </w:t>
    </w:r>
  </w:p>
  <w:bookmarkEnd w:id="3"/>
  <w:p w:rsidR="003C7F51" w:rsidRDefault="003C7F51" w:rsidP="003C7F51">
    <w:pPr>
      <w:pStyle w:val="Footer"/>
    </w:pPr>
  </w:p>
  <w:p w:rsidR="00900F79" w:rsidRDefault="00900F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F79" w:rsidRDefault="00243505" w:rsidP="00243505">
    <w:pPr>
      <w:pStyle w:val="Footer"/>
      <w:rPr>
        <w:color w:val="000000"/>
        <w:sz w:val="17"/>
      </w:rPr>
    </w:pPr>
    <w:bookmarkStart w:id="4" w:name="TITUS1FooterPrimary"/>
    <w:r>
      <w:rPr>
        <w:color w:val="000000"/>
        <w:sz w:val="17"/>
      </w:rPr>
      <w:t> </w:t>
    </w:r>
  </w:p>
  <w:bookmarkEnd w:id="4"/>
  <w:p w:rsidR="00900F79" w:rsidRDefault="00900F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F79" w:rsidRDefault="00243505" w:rsidP="00243505">
    <w:pPr>
      <w:pStyle w:val="Footer"/>
      <w:rPr>
        <w:color w:val="000000"/>
        <w:sz w:val="17"/>
      </w:rPr>
    </w:pPr>
    <w:bookmarkStart w:id="6" w:name="TITUS1FooterFirstPage"/>
    <w:r>
      <w:rPr>
        <w:color w:val="000000"/>
        <w:sz w:val="17"/>
      </w:rPr>
      <w:t> </w:t>
    </w:r>
  </w:p>
  <w:bookmarkEnd w:id="6"/>
  <w:p w:rsidR="00900F79" w:rsidRDefault="00900F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F79" w:rsidRDefault="00900F79" w:rsidP="00900F79">
      <w:pPr>
        <w:spacing w:after="0" w:line="240" w:lineRule="auto"/>
      </w:pPr>
      <w:r>
        <w:separator/>
      </w:r>
    </w:p>
  </w:footnote>
  <w:footnote w:type="continuationSeparator" w:id="0">
    <w:p w:rsidR="00900F79" w:rsidRDefault="00900F79" w:rsidP="00900F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F51" w:rsidRDefault="00243505" w:rsidP="00243505">
    <w:pPr>
      <w:pStyle w:val="Header"/>
      <w:rPr>
        <w:color w:val="000000"/>
        <w:sz w:val="17"/>
      </w:rPr>
    </w:pPr>
    <w:bookmarkStart w:id="1" w:name="TITUS1HeaderEvenPages"/>
    <w:r>
      <w:rPr>
        <w:color w:val="000000"/>
        <w:sz w:val="17"/>
      </w:rPr>
      <w:t> </w:t>
    </w:r>
  </w:p>
  <w:bookmarkEnd w:id="1"/>
  <w:p w:rsidR="003C7F51" w:rsidRDefault="003C7F51" w:rsidP="003C7F51">
    <w:pPr>
      <w:pStyle w:val="Header"/>
    </w:pPr>
  </w:p>
  <w:p w:rsidR="00900F79" w:rsidRDefault="00900F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F79" w:rsidRDefault="00243505" w:rsidP="00243505">
    <w:pPr>
      <w:pStyle w:val="Header"/>
      <w:rPr>
        <w:color w:val="000000"/>
        <w:sz w:val="17"/>
      </w:rPr>
    </w:pPr>
    <w:bookmarkStart w:id="2" w:name="TITUS1HeaderPrimary"/>
    <w:r>
      <w:rPr>
        <w:color w:val="000000"/>
        <w:sz w:val="17"/>
      </w:rPr>
      <w:t> </w:t>
    </w:r>
  </w:p>
  <w:bookmarkEnd w:id="2"/>
  <w:p w:rsidR="00900F79" w:rsidRDefault="00900F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F79" w:rsidRDefault="00243505" w:rsidP="00243505">
    <w:pPr>
      <w:pStyle w:val="Header"/>
      <w:rPr>
        <w:color w:val="000000"/>
        <w:sz w:val="17"/>
      </w:rPr>
    </w:pPr>
    <w:bookmarkStart w:id="5" w:name="TITUS1HeaderFirstPage"/>
    <w:r>
      <w:rPr>
        <w:color w:val="000000"/>
        <w:sz w:val="17"/>
      </w:rPr>
      <w:t> </w:t>
    </w:r>
  </w:p>
  <w:bookmarkEnd w:id="5"/>
  <w:p w:rsidR="00900F79" w:rsidRDefault="00900F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F79"/>
    <w:rsid w:val="00243505"/>
    <w:rsid w:val="003C7F51"/>
    <w:rsid w:val="00900F79"/>
    <w:rsid w:val="009A0523"/>
    <w:rsid w:val="00EF5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592BB"/>
  <w15:chartTrackingRefBased/>
  <w15:docId w15:val="{E2997799-7613-4BD0-A68A-7FDDE69F6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900F79"/>
  </w:style>
  <w:style w:type="paragraph" w:styleId="Header">
    <w:name w:val="header"/>
    <w:basedOn w:val="Normal"/>
    <w:link w:val="HeaderChar"/>
    <w:uiPriority w:val="99"/>
    <w:unhideWhenUsed/>
    <w:rsid w:val="00900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F79"/>
  </w:style>
  <w:style w:type="paragraph" w:styleId="Footer">
    <w:name w:val="footer"/>
    <w:basedOn w:val="Normal"/>
    <w:link w:val="FooterChar"/>
    <w:uiPriority w:val="99"/>
    <w:unhideWhenUsed/>
    <w:rsid w:val="00900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5083</Words>
  <Characters>28975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Arran,Danielle swp6480</dc:creator>
  <cp:keywords/>
  <dc:description/>
  <cp:lastModifiedBy>Arran,Danielle swp6480</cp:lastModifiedBy>
  <cp:revision>3</cp:revision>
  <dcterms:created xsi:type="dcterms:W3CDTF">2020-08-23T21:09:00Z</dcterms:created>
  <dcterms:modified xsi:type="dcterms:W3CDTF">2020-08-23T21:16:00Z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85fbc765-31c7-4407-97c8-37109419b196</vt:lpwstr>
  </property>
  <property fmtid="{D5CDD505-2E9C-101B-9397-08002B2CF9AE}" pid="3" name="Classification">
    <vt:lpwstr>OFFICIAL</vt:lpwstr>
  </property>
  <property fmtid="{D5CDD505-2E9C-101B-9397-08002B2CF9AE}" pid="4" name="Visibility">
    <vt:lpwstr>NOT VISIBLE</vt:lpwstr>
  </property>
</Properties>
</file>