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92893" w14:textId="77777777" w:rsidR="004F0ECC" w:rsidRPr="00EA55F0" w:rsidRDefault="004F0ECC" w:rsidP="004F0ECC">
      <w:pPr>
        <w:spacing w:after="0" w:line="240" w:lineRule="auto"/>
        <w:rPr>
          <w:rFonts w:ascii="Arial" w:eastAsia="SimSun" w:hAnsi="Arial" w:cs="Arial"/>
          <w:color w:val="000000" w:themeColor="text1"/>
          <w:kern w:val="24"/>
          <w14:ligatures w14:val="none"/>
        </w:rPr>
      </w:pPr>
      <w:r w:rsidRPr="00EA55F0">
        <w:rPr>
          <w:rFonts w:ascii="Arial" w:eastAsia="SimSun" w:hAnsi="Arial" w:cs="Arial"/>
          <w:color w:val="000000" w:themeColor="text1"/>
          <w:kern w:val="24"/>
          <w14:ligatures w14:val="none"/>
        </w:rPr>
        <w:t xml:space="preserve">I confirm that I have not presented any AI generated text as my own work. I confirm I have copies of my drafts, notes, and other resources I used before, and after the use of AI tools which I may </w:t>
      </w:r>
      <w:bookmarkStart w:id="0" w:name="_Int_s9CP4NSq"/>
      <w:r w:rsidRPr="00EA55F0">
        <w:rPr>
          <w:rFonts w:ascii="Arial" w:eastAsia="SimSun" w:hAnsi="Arial" w:cs="Arial"/>
          <w:color w:val="000000" w:themeColor="text1"/>
          <w:kern w:val="24"/>
          <w14:ligatures w14:val="none"/>
        </w:rPr>
        <w:t>be asked</w:t>
      </w:r>
      <w:bookmarkEnd w:id="0"/>
      <w:r w:rsidRPr="00EA55F0">
        <w:rPr>
          <w:rFonts w:ascii="Arial" w:eastAsia="SimSun" w:hAnsi="Arial" w:cs="Arial"/>
          <w:color w:val="000000" w:themeColor="text1"/>
          <w:kern w:val="24"/>
          <w14:ligatures w14:val="none"/>
        </w:rPr>
        <w:t xml:space="preserve"> to provide in evidence.</w:t>
      </w:r>
    </w:p>
    <w:p w14:paraId="54D66F62" w14:textId="77777777" w:rsidR="004F0ECC" w:rsidRPr="00EA55F0" w:rsidRDefault="004F0ECC" w:rsidP="004F0ECC">
      <w:pPr>
        <w:spacing w:after="0" w:line="240" w:lineRule="auto"/>
        <w:rPr>
          <w:rFonts w:ascii="Arial" w:eastAsia="SimSun" w:hAnsi="Arial" w:cs="Arial"/>
          <w:color w:val="000000" w:themeColor="text1"/>
          <w:kern w:val="24"/>
          <w14:ligatures w14:val="none"/>
        </w:rPr>
      </w:pPr>
    </w:p>
    <w:p w14:paraId="0BBCD1C6" w14:textId="4B954842" w:rsidR="004F0ECC" w:rsidRPr="00EA55F0" w:rsidRDefault="004F0ECC" w:rsidP="004F0ECC">
      <w:pPr>
        <w:spacing w:after="200" w:line="276" w:lineRule="auto"/>
        <w:rPr>
          <w:rFonts w:ascii="Arial" w:hAnsi="Arial" w:cs="Arial"/>
          <w:kern w:val="0"/>
          <w:lang w:val="en-US" w:eastAsia="en-US"/>
          <w14:ligatures w14:val="none"/>
        </w:rPr>
      </w:pPr>
      <w:r w:rsidRPr="00EA55F0">
        <w:rPr>
          <w:rFonts w:ascii="Arial" w:eastAsia="Times New Roman" w:hAnsi="Arial" w:cs="Arial"/>
          <w:color w:val="1D2125"/>
          <w:kern w:val="0"/>
          <w:lang w:val="en-US" w:eastAsia="en-US"/>
          <w14:ligatures w14:val="none"/>
        </w:rPr>
        <w:t>Academic Skills (HPHP4902)</w:t>
      </w:r>
      <w:r w:rsidRPr="00EA55F0">
        <w:rPr>
          <w:rFonts w:ascii="Arial" w:eastAsia="Times New Roman" w:hAnsi="Arial" w:cs="Arial"/>
          <w:color w:val="1D2125"/>
          <w:kern w:val="0"/>
          <w:shd w:val="clear" w:color="auto" w:fill="FFFFFF"/>
          <w:lang w:val="en-US" w:eastAsia="en-US"/>
          <w14:ligatures w14:val="none"/>
        </w:rPr>
        <w:t xml:space="preserve">. </w:t>
      </w:r>
      <w:r w:rsidR="00180E2E" w:rsidRPr="00EA55F0">
        <w:rPr>
          <w:rFonts w:ascii="Arial" w:eastAsia="Times New Roman" w:hAnsi="Arial" w:cs="Arial"/>
          <w:color w:val="1D2125"/>
          <w:shd w:val="clear" w:color="auto" w:fill="FFFFFF"/>
        </w:rPr>
        <w:t>Research Focu</w:t>
      </w:r>
      <w:r w:rsidR="003A00E3">
        <w:rPr>
          <w:rFonts w:ascii="Arial" w:eastAsia="Times New Roman" w:hAnsi="Arial" w:cs="Arial"/>
          <w:color w:val="1D2125"/>
          <w:shd w:val="clear" w:color="auto" w:fill="FFFFFF"/>
        </w:rPr>
        <w:t>s.</w:t>
      </w:r>
    </w:p>
    <w:p w14:paraId="0C32A333" w14:textId="77777777" w:rsidR="00180E2E" w:rsidRPr="00EA55F0" w:rsidRDefault="00180E2E" w:rsidP="004F0ECC">
      <w:pPr>
        <w:spacing w:after="200" w:line="276" w:lineRule="auto"/>
        <w:rPr>
          <w:rFonts w:ascii="Arial" w:hAnsi="Arial" w:cs="Arial"/>
          <w:kern w:val="0"/>
          <w:lang w:val="en-US" w:eastAsia="en-US"/>
          <w14:ligatures w14:val="none"/>
        </w:rPr>
      </w:pPr>
    </w:p>
    <w:p w14:paraId="6A6D24C9" w14:textId="276E9211" w:rsidR="00B23918" w:rsidRPr="00EA55F0" w:rsidRDefault="00B23918" w:rsidP="00D77859">
      <w:pPr>
        <w:spacing w:before="100" w:beforeAutospacing="1" w:after="100" w:afterAutospacing="1" w:line="240" w:lineRule="auto"/>
        <w:outlineLvl w:val="0"/>
        <w:rPr>
          <w:rFonts w:ascii="Arial" w:eastAsia="Times New Roman" w:hAnsi="Arial" w:cs="Arial"/>
          <w:b/>
          <w:bCs/>
          <w:kern w:val="36"/>
          <w14:ligatures w14:val="none"/>
        </w:rPr>
      </w:pPr>
      <w:r w:rsidRPr="00EA55F0">
        <w:rPr>
          <w:rFonts w:ascii="Arial" w:eastAsia="Times New Roman" w:hAnsi="Arial" w:cs="Arial"/>
          <w:b/>
          <w:bCs/>
          <w:kern w:val="36"/>
          <w14:ligatures w14:val="none"/>
        </w:rPr>
        <w:t>The Impact of Strategic Bombing on British Civilian Morale during the Blitz, 1940–1941</w:t>
      </w:r>
    </w:p>
    <w:p w14:paraId="600EFE55" w14:textId="0C00DD6E" w:rsidR="00B23918" w:rsidRPr="00EA55F0" w:rsidRDefault="00B23918" w:rsidP="00D77859">
      <w:pPr>
        <w:spacing w:before="100" w:beforeAutospacing="1" w:after="100" w:afterAutospacing="1" w:line="240" w:lineRule="auto"/>
        <w:outlineLvl w:val="1"/>
        <w:rPr>
          <w:rFonts w:ascii="Arial" w:hAnsi="Arial" w:cs="Arial"/>
          <w:b/>
          <w:bCs/>
          <w:kern w:val="0"/>
          <w14:ligatures w14:val="none"/>
        </w:rPr>
      </w:pPr>
      <w:r w:rsidRPr="00EA55F0">
        <w:rPr>
          <w:rFonts w:ascii="Arial" w:eastAsia="Times New Roman" w:hAnsi="Arial" w:cs="Arial"/>
          <w:b/>
          <w:bCs/>
          <w:kern w:val="0"/>
          <w14:ligatures w14:val="none"/>
        </w:rPr>
        <w:t>Introduction</w:t>
      </w:r>
    </w:p>
    <w:p w14:paraId="439DDB7E" w14:textId="093D99AF" w:rsidR="00B23918" w:rsidRPr="00EA55F0" w:rsidRDefault="00B23918" w:rsidP="00B23918">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Between September 1940 and May 1941</w:t>
      </w:r>
      <w:r w:rsidR="00745F48" w:rsidRPr="00EA55F0">
        <w:rPr>
          <w:rFonts w:ascii="Arial" w:hAnsi="Arial" w:cs="Arial"/>
          <w:kern w:val="0"/>
          <w14:ligatures w14:val="none"/>
        </w:rPr>
        <w:t xml:space="preserve"> </w:t>
      </w:r>
      <w:r w:rsidR="00C50F17" w:rsidRPr="00EA55F0">
        <w:rPr>
          <w:rFonts w:ascii="Arial" w:hAnsi="Arial" w:cs="Arial"/>
          <w:kern w:val="0"/>
          <w14:ligatures w14:val="none"/>
        </w:rPr>
        <w:t>during the Second World War</w:t>
      </w:r>
      <w:r w:rsidR="00745F48" w:rsidRPr="00EA55F0">
        <w:rPr>
          <w:rFonts w:ascii="Arial" w:hAnsi="Arial" w:cs="Arial"/>
          <w:kern w:val="0"/>
          <w14:ligatures w14:val="none"/>
        </w:rPr>
        <w:t>,</w:t>
      </w:r>
      <w:r w:rsidR="00C50F17" w:rsidRPr="00EA55F0">
        <w:rPr>
          <w:rFonts w:ascii="Arial" w:hAnsi="Arial" w:cs="Arial"/>
          <w:kern w:val="0"/>
          <w14:ligatures w14:val="none"/>
        </w:rPr>
        <w:t xml:space="preserve"> </w:t>
      </w:r>
      <w:r w:rsidRPr="00EA55F0">
        <w:rPr>
          <w:rFonts w:ascii="Arial" w:hAnsi="Arial" w:cs="Arial"/>
          <w:kern w:val="0"/>
          <w14:ligatures w14:val="none"/>
        </w:rPr>
        <w:t xml:space="preserve">Britain </w:t>
      </w:r>
      <w:bookmarkStart w:id="1" w:name="_Int_1OJkYx3t"/>
      <w:r w:rsidRPr="00EA55F0">
        <w:rPr>
          <w:rFonts w:ascii="Arial" w:hAnsi="Arial" w:cs="Arial"/>
          <w:kern w:val="0"/>
          <w14:ligatures w14:val="none"/>
        </w:rPr>
        <w:t>was subjected</w:t>
      </w:r>
      <w:bookmarkEnd w:id="1"/>
      <w:r w:rsidRPr="00EA55F0">
        <w:rPr>
          <w:rFonts w:ascii="Arial" w:hAnsi="Arial" w:cs="Arial"/>
          <w:kern w:val="0"/>
          <w14:ligatures w14:val="none"/>
        </w:rPr>
        <w:t xml:space="preserve"> to sustained aerial bombardment by t</w:t>
      </w:r>
      <w:r w:rsidRPr="002B2FA8">
        <w:rPr>
          <w:rFonts w:ascii="Arial" w:hAnsi="Arial" w:cs="Arial"/>
          <w:color w:val="000000" w:themeColor="text1"/>
          <w:kern w:val="0"/>
          <w14:ligatures w14:val="none"/>
        </w:rPr>
        <w:t xml:space="preserve">he </w:t>
      </w:r>
      <w:r w:rsidR="00745F48" w:rsidRPr="002B2FA8">
        <w:rPr>
          <w:rStyle w:val="Emphasis"/>
          <w:rFonts w:ascii="Arial" w:eastAsia="Times New Roman" w:hAnsi="Arial" w:cs="Arial"/>
          <w:i w:val="0"/>
          <w:iCs w:val="0"/>
          <w:color w:val="000000" w:themeColor="text1"/>
        </w:rPr>
        <w:t>Nazi Germany and Fascist Italy</w:t>
      </w:r>
      <w:r w:rsidR="005F76F5" w:rsidRPr="002B2FA8">
        <w:rPr>
          <w:rStyle w:val="apple-converted-space"/>
          <w:rFonts w:ascii="Arial" w:eastAsia="Times New Roman" w:hAnsi="Arial" w:cs="Arial"/>
          <w:color w:val="000000" w:themeColor="text1"/>
          <w:shd w:val="clear" w:color="auto" w:fill="FFFFFF"/>
        </w:rPr>
        <w:t xml:space="preserve">. </w:t>
      </w:r>
      <w:r w:rsidR="00A03191" w:rsidRPr="002B2FA8">
        <w:rPr>
          <w:rStyle w:val="apple-converted-space"/>
          <w:rFonts w:ascii="Arial" w:eastAsia="Times New Roman" w:hAnsi="Arial" w:cs="Arial"/>
          <w:color w:val="000000" w:themeColor="text1"/>
          <w:shd w:val="clear" w:color="auto" w:fill="FFFFFF"/>
        </w:rPr>
        <w:t xml:space="preserve">Carried out by </w:t>
      </w:r>
      <w:r w:rsidR="005F76F5" w:rsidRPr="002B2FA8">
        <w:rPr>
          <w:rStyle w:val="apple-converted-space"/>
          <w:rFonts w:ascii="Arial" w:eastAsia="Times New Roman" w:hAnsi="Arial" w:cs="Arial"/>
          <w:color w:val="000000" w:themeColor="text1"/>
          <w:shd w:val="clear" w:color="auto" w:fill="FFFFFF"/>
        </w:rPr>
        <w:t xml:space="preserve">The </w:t>
      </w:r>
      <w:r w:rsidRPr="002B2FA8">
        <w:rPr>
          <w:rFonts w:ascii="Arial" w:hAnsi="Arial" w:cs="Arial"/>
          <w:color w:val="000000" w:themeColor="text1"/>
          <w:kern w:val="0"/>
          <w14:ligatures w14:val="none"/>
        </w:rPr>
        <w:t>German Luftwaffe in a campaign that became known</w:t>
      </w:r>
      <w:r w:rsidR="00B509C9" w:rsidRPr="002B2FA8">
        <w:rPr>
          <w:rFonts w:ascii="Arial" w:hAnsi="Arial" w:cs="Arial"/>
          <w:color w:val="000000" w:themeColor="text1"/>
          <w:kern w:val="0"/>
          <w14:ligatures w14:val="none"/>
        </w:rPr>
        <w:t xml:space="preserve"> as</w:t>
      </w:r>
      <w:r w:rsidRPr="002B2FA8">
        <w:rPr>
          <w:rFonts w:ascii="Arial" w:hAnsi="Arial" w:cs="Arial"/>
          <w:color w:val="000000" w:themeColor="text1"/>
          <w:kern w:val="0"/>
          <w14:ligatures w14:val="none"/>
        </w:rPr>
        <w:t xml:space="preserve"> </w:t>
      </w:r>
      <w:r w:rsidR="00AF3A72" w:rsidRPr="002B2FA8">
        <w:rPr>
          <w:rFonts w:ascii="Arial" w:eastAsia="Times New Roman" w:hAnsi="Arial" w:cs="Arial"/>
          <w:color w:val="000000" w:themeColor="text1"/>
          <w:shd w:val="clear" w:color="auto" w:fill="FFFFFF"/>
        </w:rPr>
        <w:t>the</w:t>
      </w:r>
      <w:r w:rsidR="00B509C9" w:rsidRPr="002B2FA8">
        <w:rPr>
          <w:rFonts w:ascii="Arial" w:eastAsia="Times New Roman" w:hAnsi="Arial" w:cs="Arial"/>
          <w:color w:val="000000" w:themeColor="text1"/>
          <w:shd w:val="clear" w:color="auto" w:fill="FFFFFF"/>
        </w:rPr>
        <w:t xml:space="preserve"> 'Blitz', from the German term Blitzkrieg</w:t>
      </w:r>
      <w:r w:rsidRPr="002B2FA8">
        <w:rPr>
          <w:rFonts w:ascii="Arial" w:hAnsi="Arial" w:cs="Arial"/>
          <w:color w:val="000000" w:themeColor="text1"/>
          <w:kern w:val="0"/>
          <w14:ligatures w14:val="none"/>
        </w:rPr>
        <w:t xml:space="preserve">. German strategic bombing doctrine assumed that prolonged </w:t>
      </w:r>
      <w:r w:rsidR="009A750D" w:rsidRPr="002B2FA8">
        <w:rPr>
          <w:rFonts w:ascii="Arial" w:eastAsia="Times New Roman" w:hAnsi="Arial" w:cs="Arial"/>
          <w:color w:val="000000" w:themeColor="text1"/>
          <w:shd w:val="clear" w:color="auto" w:fill="FFFFFF"/>
        </w:rPr>
        <w:t>attacks of</w:t>
      </w:r>
      <w:r w:rsidR="009A750D" w:rsidRPr="002B2FA8">
        <w:rPr>
          <w:rStyle w:val="apple-converted-space"/>
          <w:rFonts w:ascii="Arial" w:eastAsia="Times New Roman" w:hAnsi="Arial" w:cs="Arial"/>
          <w:color w:val="000000" w:themeColor="text1"/>
          <w:shd w:val="clear" w:color="auto" w:fill="FFFFFF"/>
        </w:rPr>
        <w:t> </w:t>
      </w:r>
      <w:r w:rsidR="009A750D" w:rsidRPr="002B2FA8">
        <w:rPr>
          <w:rStyle w:val="Emphasis"/>
          <w:rFonts w:ascii="Arial" w:eastAsia="Times New Roman" w:hAnsi="Arial" w:cs="Arial"/>
          <w:i w:val="0"/>
          <w:iCs w:val="0"/>
          <w:color w:val="000000" w:themeColor="text1"/>
        </w:rPr>
        <w:t xml:space="preserve">aerial bombing attacks on British </w:t>
      </w:r>
      <w:r w:rsidR="00A80709" w:rsidRPr="002B2FA8">
        <w:rPr>
          <w:rStyle w:val="Emphasis"/>
          <w:rFonts w:ascii="Arial" w:eastAsia="Times New Roman" w:hAnsi="Arial" w:cs="Arial"/>
          <w:i w:val="0"/>
          <w:iCs w:val="0"/>
          <w:color w:val="000000" w:themeColor="text1"/>
        </w:rPr>
        <w:t>cities</w:t>
      </w:r>
      <w:r w:rsidR="005912EB" w:rsidRPr="002B2FA8">
        <w:rPr>
          <w:rStyle w:val="Emphasis"/>
          <w:rFonts w:ascii="Arial" w:eastAsia="Times New Roman" w:hAnsi="Arial" w:cs="Arial"/>
          <w:i w:val="0"/>
          <w:iCs w:val="0"/>
          <w:color w:val="000000" w:themeColor="text1"/>
        </w:rPr>
        <w:t>,</w:t>
      </w:r>
      <w:r w:rsidR="009A750D" w:rsidRPr="002B2FA8">
        <w:rPr>
          <w:rStyle w:val="Emphasis"/>
          <w:rFonts w:ascii="Arial" w:eastAsia="Times New Roman" w:hAnsi="Arial" w:cs="Arial"/>
          <w:i w:val="0"/>
          <w:iCs w:val="0"/>
          <w:color w:val="000000" w:themeColor="text1"/>
        </w:rPr>
        <w:t xml:space="preserve"> </w:t>
      </w:r>
      <w:r w:rsidR="00A80709" w:rsidRPr="002B2FA8">
        <w:rPr>
          <w:rStyle w:val="Emphasis"/>
          <w:rFonts w:ascii="Arial" w:eastAsia="Times New Roman" w:hAnsi="Arial" w:cs="Arial"/>
          <w:i w:val="0"/>
          <w:iCs w:val="0"/>
          <w:color w:val="000000" w:themeColor="text1"/>
        </w:rPr>
        <w:t>towns</w:t>
      </w:r>
      <w:r w:rsidR="005912EB" w:rsidRPr="002B2FA8">
        <w:rPr>
          <w:rStyle w:val="Emphasis"/>
          <w:rFonts w:ascii="Arial" w:eastAsia="Times New Roman" w:hAnsi="Arial" w:cs="Arial"/>
          <w:i w:val="0"/>
          <w:iCs w:val="0"/>
          <w:color w:val="000000" w:themeColor="text1"/>
        </w:rPr>
        <w:t xml:space="preserve"> </w:t>
      </w:r>
      <w:r w:rsidR="005912EB" w:rsidRPr="002B2FA8">
        <w:rPr>
          <w:rFonts w:ascii="Arial" w:hAnsi="Arial" w:cs="Arial"/>
          <w:color w:val="000000" w:themeColor="text1"/>
          <w:kern w:val="0"/>
          <w14:ligatures w14:val="none"/>
        </w:rPr>
        <w:t xml:space="preserve">and </w:t>
      </w:r>
      <w:r w:rsidRPr="002B2FA8">
        <w:rPr>
          <w:rFonts w:ascii="Arial" w:hAnsi="Arial" w:cs="Arial"/>
          <w:color w:val="000000" w:themeColor="text1"/>
          <w:kern w:val="0"/>
          <w14:ligatures w14:val="none"/>
        </w:rPr>
        <w:t>civilian centres would undermine morale, disrupt industrial production, and ultim</w:t>
      </w:r>
      <w:r w:rsidRPr="00EA55F0">
        <w:rPr>
          <w:rFonts w:ascii="Arial" w:hAnsi="Arial" w:cs="Arial"/>
          <w:kern w:val="0"/>
          <w14:ligatures w14:val="none"/>
        </w:rPr>
        <w:t>ately force Britain to seek a negotiated peace.</w:t>
      </w:r>
      <w:r w:rsidR="00457293" w:rsidRPr="00EA55F0">
        <w:rPr>
          <w:rStyle w:val="FootnoteReference"/>
          <w:rFonts w:ascii="Arial" w:hAnsi="Arial" w:cs="Arial"/>
          <w:kern w:val="0"/>
          <w14:ligatures w14:val="none"/>
        </w:rPr>
        <w:footnoteReference w:id="1"/>
      </w:r>
      <w:r w:rsidRPr="00EA55F0">
        <w:rPr>
          <w:rFonts w:ascii="Arial" w:hAnsi="Arial" w:cs="Arial"/>
          <w:kern w:val="0"/>
          <w14:ligatures w14:val="none"/>
        </w:rPr>
        <w:t xml:space="preserve"> British policymakers shared similar fears, influenced by interwar airpower theory that predicted rapid civilian collapse under aerial attack.</w:t>
      </w:r>
      <w:r w:rsidR="009447C8" w:rsidRPr="00EA55F0">
        <w:rPr>
          <w:rStyle w:val="FootnoteReference"/>
          <w:rFonts w:ascii="Arial" w:hAnsi="Arial" w:cs="Arial"/>
          <w:kern w:val="0"/>
          <w14:ligatures w14:val="none"/>
        </w:rPr>
        <w:footnoteReference w:id="2"/>
      </w:r>
      <w:r w:rsidR="009447C8" w:rsidRPr="00EA55F0">
        <w:rPr>
          <w:rFonts w:ascii="Arial" w:hAnsi="Arial" w:cs="Arial"/>
          <w:kern w:val="0"/>
          <w14:ligatures w14:val="none"/>
        </w:rPr>
        <w:t>As</w:t>
      </w:r>
      <w:r w:rsidRPr="00EA55F0">
        <w:rPr>
          <w:rFonts w:ascii="Arial" w:hAnsi="Arial" w:cs="Arial"/>
          <w:kern w:val="0"/>
          <w14:ligatures w14:val="none"/>
        </w:rPr>
        <w:t xml:space="preserve"> a result, civilian morale became a central concern for both the attacker and defender.</w:t>
      </w:r>
    </w:p>
    <w:p w14:paraId="74F247BE" w14:textId="0E63E33D" w:rsidR="00D77859" w:rsidRDefault="00B23918" w:rsidP="00CF1DAC">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 xml:space="preserve">This study examines the extent to which German strategic bombing succeeded in undermining British civilian morale during the Blitz. It argues that although bombing caused fear, exhaustion, and social strain, it </w:t>
      </w:r>
      <w:bookmarkStart w:id="2" w:name="_Int_ux5eq2H8"/>
      <w:r w:rsidRPr="00EA55F0">
        <w:rPr>
          <w:rFonts w:ascii="Arial" w:hAnsi="Arial" w:cs="Arial"/>
          <w:kern w:val="0"/>
          <w14:ligatures w14:val="none"/>
        </w:rPr>
        <w:t>failed to</w:t>
      </w:r>
      <w:bookmarkEnd w:id="2"/>
      <w:r w:rsidRPr="00EA55F0">
        <w:rPr>
          <w:rFonts w:ascii="Arial" w:hAnsi="Arial" w:cs="Arial"/>
          <w:kern w:val="0"/>
          <w14:ligatures w14:val="none"/>
        </w:rPr>
        <w:t xml:space="preserve"> produce the widespread morale collapse </w:t>
      </w:r>
      <w:bookmarkStart w:id="3" w:name="_Int_oibiKbzO"/>
      <w:r w:rsidRPr="00EA55F0">
        <w:rPr>
          <w:rFonts w:ascii="Arial" w:hAnsi="Arial" w:cs="Arial"/>
          <w:kern w:val="0"/>
          <w14:ligatures w14:val="none"/>
        </w:rPr>
        <w:t>anticipated</w:t>
      </w:r>
      <w:bookmarkEnd w:id="3"/>
      <w:r w:rsidRPr="00EA55F0">
        <w:rPr>
          <w:rFonts w:ascii="Arial" w:hAnsi="Arial" w:cs="Arial"/>
          <w:kern w:val="0"/>
          <w14:ligatures w14:val="none"/>
        </w:rPr>
        <w:t xml:space="preserve"> by German planners. Instead, morale proved uneven, conditional, and actively managed by the British state. Using primary evidence from Mass Observation reports, government documents, and contemporary speeches, alongside secondary interpretations by historians such as Angus Calder and Richard Overy, this research challenges simplified narratives of the “Blitz spirit” and </w:t>
      </w:r>
      <w:bookmarkStart w:id="4" w:name="_Int_PmUnBJeS"/>
      <w:r w:rsidRPr="00EA55F0">
        <w:rPr>
          <w:rFonts w:ascii="Arial" w:hAnsi="Arial" w:cs="Arial"/>
          <w:kern w:val="0"/>
          <w14:ligatures w14:val="none"/>
        </w:rPr>
        <w:t>demonstrates</w:t>
      </w:r>
      <w:bookmarkEnd w:id="4"/>
      <w:r w:rsidRPr="00EA55F0">
        <w:rPr>
          <w:rFonts w:ascii="Arial" w:hAnsi="Arial" w:cs="Arial"/>
          <w:kern w:val="0"/>
          <w14:ligatures w14:val="none"/>
        </w:rPr>
        <w:t xml:space="preserve"> the limitations of strategic bombing as a tool of psychological </w:t>
      </w:r>
      <w:r w:rsidR="00A43F77" w:rsidRPr="00EA55F0">
        <w:rPr>
          <w:rFonts w:ascii="Arial" w:hAnsi="Arial" w:cs="Arial"/>
          <w:kern w:val="0"/>
          <w14:ligatures w14:val="none"/>
        </w:rPr>
        <w:t>warfare.</w:t>
      </w:r>
      <w:r w:rsidR="002D2BE6" w:rsidRPr="00EA55F0">
        <w:rPr>
          <w:rStyle w:val="FootnoteReference"/>
          <w:rFonts w:ascii="Arial" w:hAnsi="Arial" w:cs="Arial"/>
          <w:kern w:val="0"/>
          <w14:ligatures w14:val="none"/>
        </w:rPr>
        <w:footnoteReference w:id="3"/>
      </w:r>
    </w:p>
    <w:p w14:paraId="1B698DB4" w14:textId="77777777" w:rsidR="00CF1DAC" w:rsidRPr="00CF1DAC" w:rsidRDefault="00CF1DAC" w:rsidP="00CF1DAC">
      <w:pPr>
        <w:spacing w:before="100" w:beforeAutospacing="1" w:after="100" w:afterAutospacing="1" w:line="240" w:lineRule="auto"/>
        <w:rPr>
          <w:rFonts w:ascii="Arial" w:hAnsi="Arial" w:cs="Arial"/>
          <w:kern w:val="0"/>
          <w14:ligatures w14:val="none"/>
        </w:rPr>
      </w:pPr>
    </w:p>
    <w:p w14:paraId="616992FD" w14:textId="0AE45735" w:rsidR="00B23918" w:rsidRPr="00EA55F0" w:rsidRDefault="00B23918" w:rsidP="00D77859">
      <w:pPr>
        <w:spacing w:before="100" w:beforeAutospacing="1" w:after="100" w:afterAutospacing="1" w:line="240" w:lineRule="auto"/>
        <w:outlineLvl w:val="1"/>
        <w:rPr>
          <w:rFonts w:ascii="Arial" w:hAnsi="Arial" w:cs="Arial"/>
          <w:b/>
          <w:bCs/>
          <w:kern w:val="0"/>
          <w14:ligatures w14:val="none"/>
        </w:rPr>
      </w:pPr>
      <w:r w:rsidRPr="00EA55F0">
        <w:rPr>
          <w:rFonts w:ascii="Arial" w:eastAsia="Times New Roman" w:hAnsi="Arial" w:cs="Arial"/>
          <w:b/>
          <w:bCs/>
          <w:kern w:val="0"/>
          <w14:ligatures w14:val="none"/>
        </w:rPr>
        <w:t>Strategic Bombing Theory and Expectations of Morale Collapse</w:t>
      </w:r>
    </w:p>
    <w:p w14:paraId="616502F8" w14:textId="1D4C5ED8" w:rsidR="00B23918" w:rsidRPr="00EA55F0" w:rsidRDefault="00B23918" w:rsidP="00B23918">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 xml:space="preserve">The belief that aerial bombardment would rapidly break civilian morale </w:t>
      </w:r>
      <w:bookmarkStart w:id="5" w:name="_Int_93rkq3Aw"/>
      <w:r w:rsidRPr="00EA55F0">
        <w:rPr>
          <w:rFonts w:ascii="Arial" w:hAnsi="Arial" w:cs="Arial"/>
          <w:kern w:val="0"/>
          <w14:ligatures w14:val="none"/>
        </w:rPr>
        <w:t>was deeply embedded</w:t>
      </w:r>
      <w:bookmarkEnd w:id="5"/>
      <w:r w:rsidRPr="00EA55F0">
        <w:rPr>
          <w:rFonts w:ascii="Arial" w:hAnsi="Arial" w:cs="Arial"/>
          <w:kern w:val="0"/>
          <w14:ligatures w14:val="none"/>
        </w:rPr>
        <w:t xml:space="preserve"> in interwar airpower theory. Giulio Douhet, one of the most influential theorists of strategic bombing, argued that future wars would be decided by air </w:t>
      </w:r>
      <w:r w:rsidRPr="00EA55F0">
        <w:rPr>
          <w:rFonts w:ascii="Arial" w:hAnsi="Arial" w:cs="Arial"/>
          <w:kern w:val="0"/>
          <w14:ligatures w14:val="none"/>
        </w:rPr>
        <w:lastRenderedPageBreak/>
        <w:t>power and that civilian populations would be unable to endure sustained attacks on cities.</w:t>
      </w:r>
      <w:r w:rsidR="002D2BE6" w:rsidRPr="00EA55F0">
        <w:rPr>
          <w:rStyle w:val="FootnoteReference"/>
          <w:rFonts w:ascii="Arial" w:hAnsi="Arial" w:cs="Arial"/>
          <w:kern w:val="0"/>
          <w14:ligatures w14:val="none"/>
        </w:rPr>
        <w:footnoteReference w:id="4"/>
      </w:r>
      <w:r w:rsidRPr="00EA55F0">
        <w:rPr>
          <w:rFonts w:ascii="Arial" w:hAnsi="Arial" w:cs="Arial"/>
          <w:kern w:val="0"/>
          <w14:ligatures w14:val="none"/>
        </w:rPr>
        <w:t>Douhet explicitly claimed that bombing would cause panic, social disintegration, and political collapse, rendering prolonged resistance impossible.</w:t>
      </w:r>
      <w:r w:rsidR="00A76CA4" w:rsidRPr="00EA55F0">
        <w:rPr>
          <w:rStyle w:val="FootnoteReference"/>
          <w:rFonts w:ascii="Arial" w:hAnsi="Arial" w:cs="Arial"/>
          <w:kern w:val="0"/>
          <w14:ligatures w14:val="none"/>
        </w:rPr>
        <w:footnoteReference w:id="5"/>
      </w:r>
      <w:r w:rsidRPr="00EA55F0">
        <w:rPr>
          <w:rFonts w:ascii="Arial" w:hAnsi="Arial" w:cs="Arial"/>
          <w:kern w:val="0"/>
          <w14:ligatures w14:val="none"/>
        </w:rPr>
        <w:t xml:space="preserve"> These ideas gained significant traction across Europe, including Britain, where they shaped military planning and political expectations.</w:t>
      </w:r>
      <w:r w:rsidR="00A76CA4" w:rsidRPr="00EA55F0">
        <w:rPr>
          <w:rStyle w:val="FootnoteReference"/>
          <w:rFonts w:ascii="Arial" w:hAnsi="Arial" w:cs="Arial"/>
          <w:kern w:val="0"/>
          <w14:ligatures w14:val="none"/>
        </w:rPr>
        <w:footnoteReference w:id="6"/>
      </w:r>
    </w:p>
    <w:p w14:paraId="7B2FDD40" w14:textId="2344CD17" w:rsidR="00B23918" w:rsidRPr="00EA55F0" w:rsidRDefault="00B23918" w:rsidP="00B23918">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British pre-war assessments reflected these assumptions. Government estimates in the late 1930s predicted that aerial bombardment could result in up to 600,000 civilian deaths within the first weeks of war, accompanied by mass panic and the breakdown of public order.</w:t>
      </w:r>
      <w:r w:rsidR="00A76CA4" w:rsidRPr="00EA55F0">
        <w:rPr>
          <w:rStyle w:val="FootnoteReference"/>
          <w:rFonts w:ascii="Arial" w:hAnsi="Arial" w:cs="Arial"/>
          <w:kern w:val="0"/>
          <w14:ligatures w14:val="none"/>
        </w:rPr>
        <w:footnoteReference w:id="7"/>
      </w:r>
      <w:r w:rsidR="00A76CA4" w:rsidRPr="00EA55F0">
        <w:rPr>
          <w:rFonts w:ascii="Arial" w:hAnsi="Arial" w:cs="Arial"/>
          <w:kern w:val="0"/>
          <w14:ligatures w14:val="none"/>
        </w:rPr>
        <w:t xml:space="preserve"> </w:t>
      </w:r>
      <w:r w:rsidRPr="00EA55F0">
        <w:rPr>
          <w:rFonts w:ascii="Arial" w:hAnsi="Arial" w:cs="Arial"/>
          <w:kern w:val="0"/>
          <w14:ligatures w14:val="none"/>
        </w:rPr>
        <w:t>The establishment of the Ministry of Information (MOI) in 1939 demonstrated official concern that civilian morale would require constant supervision and propaganda management once war began.</w:t>
      </w:r>
      <w:r w:rsidR="00A76CA4" w:rsidRPr="00EA55F0">
        <w:rPr>
          <w:rStyle w:val="FootnoteReference"/>
          <w:rFonts w:ascii="Arial" w:hAnsi="Arial" w:cs="Arial"/>
          <w:kern w:val="0"/>
          <w14:ligatures w14:val="none"/>
        </w:rPr>
        <w:footnoteReference w:id="8"/>
      </w:r>
      <w:r w:rsidRPr="00EA55F0">
        <w:rPr>
          <w:rFonts w:ascii="Arial" w:hAnsi="Arial" w:cs="Arial"/>
          <w:kern w:val="0"/>
          <w14:ligatures w14:val="none"/>
        </w:rPr>
        <w:t xml:space="preserve"> These fears were not theoretical; they directly informed civil defence planning and censorship policy.</w:t>
      </w:r>
    </w:p>
    <w:p w14:paraId="2D169E1A" w14:textId="61A6AD27" w:rsidR="00B23918" w:rsidRPr="00EA55F0" w:rsidRDefault="00B23918" w:rsidP="00D77859">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German strategy during the Blitz similarly prioritised morale. Following the Luftwaffe’s failure to defeat the Royal Air Force during the Battle of Britain in the summer of 1940, German bombing strategy shifted toward major cities, particularly London, from September 1940 onwards.</w:t>
      </w:r>
      <w:r w:rsidR="002B14CA" w:rsidRPr="00EA55F0">
        <w:rPr>
          <w:rStyle w:val="FootnoteReference"/>
          <w:rFonts w:ascii="Arial" w:hAnsi="Arial" w:cs="Arial"/>
          <w:kern w:val="0"/>
          <w14:ligatures w14:val="none"/>
        </w:rPr>
        <w:footnoteReference w:id="9"/>
      </w:r>
      <w:r w:rsidRPr="00EA55F0">
        <w:rPr>
          <w:rFonts w:ascii="Arial" w:hAnsi="Arial" w:cs="Arial"/>
          <w:kern w:val="0"/>
          <w14:ligatures w14:val="none"/>
        </w:rPr>
        <w:t xml:space="preserve"> Hitler authorised attacks on civilian targets with the intention of breaking British resolve and forcing political concessions.</w:t>
      </w:r>
      <w:r w:rsidR="002B14CA" w:rsidRPr="00EA55F0">
        <w:rPr>
          <w:rStyle w:val="FootnoteReference"/>
          <w:rFonts w:ascii="Arial" w:hAnsi="Arial" w:cs="Arial"/>
          <w:kern w:val="0"/>
          <w14:ligatures w14:val="none"/>
        </w:rPr>
        <w:footnoteReference w:id="10"/>
      </w:r>
      <w:r w:rsidRPr="00EA55F0">
        <w:rPr>
          <w:rFonts w:ascii="Arial" w:hAnsi="Arial" w:cs="Arial"/>
          <w:kern w:val="0"/>
          <w14:ligatures w14:val="none"/>
        </w:rPr>
        <w:t xml:space="preserve"> German intelligence assessments assumed that Britain’s industrialised and urbanised society would be particularly vulnerable to psychological collapse.</w:t>
      </w:r>
      <w:r w:rsidR="002B14CA" w:rsidRPr="00EA55F0">
        <w:rPr>
          <w:rStyle w:val="FootnoteReference"/>
          <w:rFonts w:ascii="Arial" w:hAnsi="Arial" w:cs="Arial"/>
          <w:kern w:val="0"/>
          <w14:ligatures w14:val="none"/>
        </w:rPr>
        <w:footnoteReference w:id="11"/>
      </w:r>
      <w:r w:rsidRPr="00EA55F0">
        <w:rPr>
          <w:rFonts w:ascii="Arial" w:hAnsi="Arial" w:cs="Arial"/>
          <w:kern w:val="0"/>
          <w14:ligatures w14:val="none"/>
        </w:rPr>
        <w:t xml:space="preserve"> These assumptions framed the Blitz as a campaign aimed at civilian morale rather than purely military objectives.</w:t>
      </w:r>
    </w:p>
    <w:p w14:paraId="70F1276F" w14:textId="77777777" w:rsidR="00D77859" w:rsidRPr="00EA55F0" w:rsidRDefault="00D77859" w:rsidP="00D77859">
      <w:pPr>
        <w:spacing w:before="100" w:beforeAutospacing="1" w:after="100" w:afterAutospacing="1" w:line="240" w:lineRule="auto"/>
        <w:rPr>
          <w:rFonts w:ascii="Arial" w:hAnsi="Arial" w:cs="Arial"/>
          <w:kern w:val="0"/>
          <w14:ligatures w14:val="none"/>
        </w:rPr>
      </w:pPr>
    </w:p>
    <w:p w14:paraId="64BBF80C" w14:textId="2EF66CE9" w:rsidR="00B23918" w:rsidRPr="00EA55F0" w:rsidRDefault="00B23918" w:rsidP="00D77859">
      <w:pPr>
        <w:spacing w:before="100" w:beforeAutospacing="1" w:after="100" w:afterAutospacing="1" w:line="240" w:lineRule="auto"/>
        <w:outlineLvl w:val="1"/>
        <w:rPr>
          <w:rFonts w:ascii="Arial" w:hAnsi="Arial" w:cs="Arial"/>
          <w:b/>
          <w:bCs/>
          <w:kern w:val="0"/>
          <w14:ligatures w14:val="none"/>
        </w:rPr>
      </w:pPr>
      <w:r w:rsidRPr="00EA55F0">
        <w:rPr>
          <w:rFonts w:ascii="Arial" w:eastAsia="Times New Roman" w:hAnsi="Arial" w:cs="Arial"/>
          <w:b/>
          <w:bCs/>
          <w:kern w:val="0"/>
          <w14:ligatures w14:val="none"/>
        </w:rPr>
        <w:t>Leadership Perspectives: Attacker and Defender Views on Strategic Bombing</w:t>
      </w:r>
    </w:p>
    <w:p w14:paraId="0530B43E" w14:textId="342B35E9" w:rsidR="00B23918" w:rsidRPr="00EA55F0" w:rsidRDefault="00B23918" w:rsidP="00B23918">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 xml:space="preserve">Leadership perspectives on both sides of the conflict further reveal the gap between strategic expectations and actual outcomes. On the German side, the Blitz </w:t>
      </w:r>
      <w:bookmarkStart w:id="6" w:name="_Int_JJkaabE8"/>
      <w:r w:rsidRPr="00EA55F0">
        <w:rPr>
          <w:rFonts w:ascii="Arial" w:hAnsi="Arial" w:cs="Arial"/>
          <w:kern w:val="0"/>
          <w14:ligatures w14:val="none"/>
        </w:rPr>
        <w:t>was directed</w:t>
      </w:r>
      <w:bookmarkEnd w:id="6"/>
      <w:r w:rsidRPr="00EA55F0">
        <w:rPr>
          <w:rFonts w:ascii="Arial" w:hAnsi="Arial" w:cs="Arial"/>
          <w:kern w:val="0"/>
          <w14:ligatures w14:val="none"/>
        </w:rPr>
        <w:t xml:space="preserve"> by Hermann Göring, Commander-in-Chief of the Luftwaffe. Göring repeatedly asserted that sustained bombing would inevitably shatter British civilian morale, claiming in August 1940 that German air power would “eradicate” British cities and force Britain to </w:t>
      </w:r>
      <w:r w:rsidR="00A43F77" w:rsidRPr="00EA55F0">
        <w:rPr>
          <w:rFonts w:ascii="Arial" w:hAnsi="Arial" w:cs="Arial"/>
          <w:kern w:val="0"/>
          <w14:ligatures w14:val="none"/>
        </w:rPr>
        <w:t xml:space="preserve">capitulate. </w:t>
      </w:r>
      <w:r w:rsidR="002B14CA" w:rsidRPr="00EA55F0">
        <w:rPr>
          <w:rStyle w:val="FootnoteReference"/>
          <w:rFonts w:ascii="Arial" w:hAnsi="Arial" w:cs="Arial"/>
          <w:kern w:val="0"/>
          <w14:ligatures w14:val="none"/>
        </w:rPr>
        <w:footnoteReference w:id="12"/>
      </w:r>
      <w:r w:rsidRPr="00EA55F0">
        <w:rPr>
          <w:rFonts w:ascii="Arial" w:hAnsi="Arial" w:cs="Arial"/>
          <w:kern w:val="0"/>
          <w14:ligatures w14:val="none"/>
        </w:rPr>
        <w:t xml:space="preserve"> This confidence was rooted in Luftwaffe </w:t>
      </w:r>
      <w:r w:rsidRPr="00EA55F0">
        <w:rPr>
          <w:rFonts w:ascii="Arial" w:hAnsi="Arial" w:cs="Arial"/>
          <w:kern w:val="0"/>
          <w14:ligatures w14:val="none"/>
        </w:rPr>
        <w:lastRenderedPageBreak/>
        <w:t xml:space="preserve">intelligence assessments that significantly overestimated bombing accuracy and underestimated civilian </w:t>
      </w:r>
      <w:r w:rsidR="00A43F77" w:rsidRPr="00EA55F0">
        <w:rPr>
          <w:rFonts w:ascii="Arial" w:hAnsi="Arial" w:cs="Arial"/>
          <w:kern w:val="0"/>
          <w14:ligatures w14:val="none"/>
        </w:rPr>
        <w:t xml:space="preserve">adaptability. </w:t>
      </w:r>
      <w:r w:rsidR="002B14CA" w:rsidRPr="00EA55F0">
        <w:rPr>
          <w:rStyle w:val="FootnoteReference"/>
          <w:rFonts w:ascii="Arial" w:hAnsi="Arial" w:cs="Arial"/>
          <w:kern w:val="0"/>
          <w14:ligatures w14:val="none"/>
        </w:rPr>
        <w:footnoteReference w:id="13"/>
      </w:r>
    </w:p>
    <w:p w14:paraId="08B19941" w14:textId="45FBB1F4" w:rsidR="00B23918" w:rsidRPr="00EA55F0" w:rsidRDefault="00B23918" w:rsidP="00B23918">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Post-war interrogations reveal that Göring continued to believe morale collapse was inevitable, stating that no civilian population could endure prolonged bombing indefinitely.</w:t>
      </w:r>
      <w:r w:rsidR="002B14CA" w:rsidRPr="00EA55F0">
        <w:rPr>
          <w:rStyle w:val="FootnoteReference"/>
          <w:rFonts w:ascii="Arial" w:hAnsi="Arial" w:cs="Arial"/>
          <w:kern w:val="0"/>
          <w14:ligatures w14:val="none"/>
        </w:rPr>
        <w:footnoteReference w:id="14"/>
      </w:r>
      <w:r w:rsidR="002B14CA" w:rsidRPr="00EA55F0">
        <w:rPr>
          <w:rFonts w:ascii="Arial" w:hAnsi="Arial" w:cs="Arial"/>
          <w:kern w:val="0"/>
          <w14:ligatures w14:val="none"/>
        </w:rPr>
        <w:t xml:space="preserve"> </w:t>
      </w:r>
      <w:r w:rsidRPr="00EA55F0">
        <w:rPr>
          <w:rFonts w:ascii="Arial" w:hAnsi="Arial" w:cs="Arial"/>
          <w:kern w:val="0"/>
          <w14:ligatures w14:val="none"/>
        </w:rPr>
        <w:t>However, internal German reports by late 1940 increasingly acknowledged that British morale had not collapsed as anticipated, exposing a fundamental miscalculation in German strategic planning.</w:t>
      </w:r>
      <w:r w:rsidR="002B14CA" w:rsidRPr="00EA55F0">
        <w:rPr>
          <w:rStyle w:val="FootnoteReference"/>
          <w:rFonts w:ascii="Arial" w:hAnsi="Arial" w:cs="Arial"/>
          <w:kern w:val="0"/>
          <w14:ligatures w14:val="none"/>
        </w:rPr>
        <w:footnoteReference w:id="15"/>
      </w:r>
      <w:r w:rsidRPr="00EA55F0">
        <w:rPr>
          <w:rFonts w:ascii="Arial" w:hAnsi="Arial" w:cs="Arial"/>
          <w:kern w:val="0"/>
          <w14:ligatures w14:val="none"/>
        </w:rPr>
        <w:t xml:space="preserve"> This disconnect between leadership expectation and operational reality undermined the effectiveness of the Blitz as a coercive strategy.</w:t>
      </w:r>
    </w:p>
    <w:p w14:paraId="60ED404F" w14:textId="38FCE9B7" w:rsidR="00B23918" w:rsidRPr="00EA55F0" w:rsidRDefault="00B23918" w:rsidP="00D77859">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 xml:space="preserve">From the British perspective, Winston Churchill adopted a dual approach to the bombing campaign. Publicly, Churchill framed the Blitz as a test of national character, praising civilian resilience in speeches to Parliament and the nation. In a speech to the House of Commons on 20 August 1940, he celebrated the “unconquerable spirit” of those living under air </w:t>
      </w:r>
      <w:r w:rsidR="00A43F77" w:rsidRPr="00EA55F0">
        <w:rPr>
          <w:rFonts w:ascii="Arial" w:hAnsi="Arial" w:cs="Arial"/>
          <w:kern w:val="0"/>
          <w14:ligatures w14:val="none"/>
        </w:rPr>
        <w:t xml:space="preserve">attack. </w:t>
      </w:r>
      <w:r w:rsidR="002B14CA" w:rsidRPr="00EA55F0">
        <w:rPr>
          <w:rStyle w:val="FootnoteReference"/>
          <w:rFonts w:ascii="Arial" w:hAnsi="Arial" w:cs="Arial"/>
          <w:kern w:val="0"/>
          <w14:ligatures w14:val="none"/>
        </w:rPr>
        <w:footnoteReference w:id="16"/>
      </w:r>
      <w:r w:rsidRPr="00EA55F0">
        <w:rPr>
          <w:rFonts w:ascii="Arial" w:hAnsi="Arial" w:cs="Arial"/>
          <w:kern w:val="0"/>
          <w14:ligatures w14:val="none"/>
        </w:rPr>
        <w:t xml:space="preserve"> Privately, however, Churchill’s assessment was more cautious. In a War Cabinet memorandum from September 1940, he warned that morale was “holding, but not without strain,” and emphasised that prolonged bombing could lead to dangerous exhaustion if shelter provision and welfare measures failed.</w:t>
      </w:r>
      <w:r w:rsidR="006442A6" w:rsidRPr="00EA55F0">
        <w:rPr>
          <w:rStyle w:val="FootnoteReference"/>
          <w:rFonts w:ascii="Arial" w:hAnsi="Arial" w:cs="Arial"/>
          <w:kern w:val="0"/>
          <w14:ligatures w14:val="none"/>
        </w:rPr>
        <w:footnoteReference w:id="17"/>
      </w:r>
      <w:r w:rsidRPr="00EA55F0">
        <w:rPr>
          <w:rFonts w:ascii="Arial" w:hAnsi="Arial" w:cs="Arial"/>
          <w:kern w:val="0"/>
          <w14:ligatures w14:val="none"/>
        </w:rPr>
        <w:t xml:space="preserve"> This contrast between public rhetoric and private concern supports historians’ arguments that morale was actively managed through leadership and state intervention rather than being an automatic or universal response.</w:t>
      </w:r>
      <w:r w:rsidR="006442A6" w:rsidRPr="00EA55F0">
        <w:rPr>
          <w:rStyle w:val="FootnoteReference"/>
          <w:rFonts w:ascii="Arial" w:hAnsi="Arial" w:cs="Arial"/>
          <w:kern w:val="0"/>
          <w14:ligatures w14:val="none"/>
        </w:rPr>
        <w:footnoteReference w:id="18"/>
      </w:r>
    </w:p>
    <w:p w14:paraId="6D7D4226" w14:textId="77777777" w:rsidR="00D77859" w:rsidRPr="00EA55F0" w:rsidRDefault="00D77859" w:rsidP="00D77859">
      <w:pPr>
        <w:spacing w:before="100" w:beforeAutospacing="1" w:after="100" w:afterAutospacing="1" w:line="240" w:lineRule="auto"/>
        <w:rPr>
          <w:rFonts w:ascii="Arial" w:hAnsi="Arial" w:cs="Arial"/>
          <w:kern w:val="0"/>
          <w14:ligatures w14:val="none"/>
        </w:rPr>
      </w:pPr>
    </w:p>
    <w:p w14:paraId="21503DD5" w14:textId="09C19EFA" w:rsidR="00B23918" w:rsidRPr="00EA55F0" w:rsidRDefault="00B23918" w:rsidP="00D77859">
      <w:pPr>
        <w:spacing w:before="100" w:beforeAutospacing="1" w:after="100" w:afterAutospacing="1" w:line="240" w:lineRule="auto"/>
        <w:outlineLvl w:val="1"/>
        <w:rPr>
          <w:rFonts w:ascii="Arial" w:hAnsi="Arial" w:cs="Arial"/>
          <w:b/>
          <w:bCs/>
          <w:kern w:val="0"/>
          <w14:ligatures w14:val="none"/>
        </w:rPr>
      </w:pPr>
      <w:r w:rsidRPr="00EA55F0">
        <w:rPr>
          <w:rFonts w:ascii="Arial" w:eastAsia="Times New Roman" w:hAnsi="Arial" w:cs="Arial"/>
          <w:b/>
          <w:bCs/>
          <w:kern w:val="0"/>
          <w14:ligatures w14:val="none"/>
        </w:rPr>
        <w:t>Civilian Experience and Evidence from Primary Sources</w:t>
      </w:r>
    </w:p>
    <w:p w14:paraId="02334A7C" w14:textId="14CA27B8" w:rsidR="00B23918" w:rsidRPr="00EA55F0" w:rsidRDefault="00B23918" w:rsidP="00B23918">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 xml:space="preserve">Primary sources from the Blitz </w:t>
      </w:r>
      <w:bookmarkStart w:id="7" w:name="_Int_QyNHirqo"/>
      <w:r w:rsidRPr="00EA55F0">
        <w:rPr>
          <w:rFonts w:ascii="Arial" w:hAnsi="Arial" w:cs="Arial"/>
          <w:kern w:val="0"/>
          <w14:ligatures w14:val="none"/>
        </w:rPr>
        <w:t>demonstrate</w:t>
      </w:r>
      <w:bookmarkEnd w:id="7"/>
      <w:r w:rsidRPr="00EA55F0">
        <w:rPr>
          <w:rFonts w:ascii="Arial" w:hAnsi="Arial" w:cs="Arial"/>
          <w:kern w:val="0"/>
          <w14:ligatures w14:val="none"/>
        </w:rPr>
        <w:t xml:space="preserve"> that civilian morale was neither uniformly resilient nor universally broken. The most significant contemporary evidence comes from Mass Observation, a social research organisation established in 1937 to document everyday life in </w:t>
      </w:r>
      <w:r w:rsidR="00A43F77" w:rsidRPr="00EA55F0">
        <w:rPr>
          <w:rFonts w:ascii="Arial" w:hAnsi="Arial" w:cs="Arial"/>
          <w:kern w:val="0"/>
          <w14:ligatures w14:val="none"/>
        </w:rPr>
        <w:t xml:space="preserve">Britain. </w:t>
      </w:r>
      <w:r w:rsidR="006442A6" w:rsidRPr="00EA55F0">
        <w:rPr>
          <w:rStyle w:val="FootnoteReference"/>
          <w:rFonts w:ascii="Arial" w:hAnsi="Arial" w:cs="Arial"/>
          <w:kern w:val="0"/>
          <w14:ligatures w14:val="none"/>
        </w:rPr>
        <w:footnoteReference w:id="19"/>
      </w:r>
      <w:r w:rsidRPr="00EA55F0">
        <w:rPr>
          <w:rFonts w:ascii="Arial" w:hAnsi="Arial" w:cs="Arial"/>
          <w:kern w:val="0"/>
          <w14:ligatures w14:val="none"/>
        </w:rPr>
        <w:t xml:space="preserve"> During the Blitz, Mass Observation collected </w:t>
      </w:r>
      <w:r w:rsidRPr="00EA55F0">
        <w:rPr>
          <w:rFonts w:ascii="Arial" w:hAnsi="Arial" w:cs="Arial"/>
          <w:kern w:val="0"/>
          <w14:ligatures w14:val="none"/>
        </w:rPr>
        <w:lastRenderedPageBreak/>
        <w:t xml:space="preserve">diaries, surveys, and observational reports that </w:t>
      </w:r>
      <w:bookmarkStart w:id="8" w:name="_Int_L5d0tTVI"/>
      <w:r w:rsidRPr="00EA55F0">
        <w:rPr>
          <w:rFonts w:ascii="Arial" w:hAnsi="Arial" w:cs="Arial"/>
          <w:kern w:val="0"/>
          <w14:ligatures w14:val="none"/>
        </w:rPr>
        <w:t>provide</w:t>
      </w:r>
      <w:bookmarkEnd w:id="8"/>
      <w:r w:rsidRPr="00EA55F0">
        <w:rPr>
          <w:rFonts w:ascii="Arial" w:hAnsi="Arial" w:cs="Arial"/>
          <w:kern w:val="0"/>
          <w14:ligatures w14:val="none"/>
        </w:rPr>
        <w:t xml:space="preserve"> direct insight into civilian responses to bombing.</w:t>
      </w:r>
    </w:p>
    <w:p w14:paraId="675A50C2" w14:textId="22913EA3" w:rsidR="00B23918" w:rsidRPr="00EA55F0" w:rsidRDefault="00B23918" w:rsidP="00B23918">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Early reports from September 1940 recorded widespread fear and anxiety, particularly during the initial period of heavy bombardment.</w:t>
      </w:r>
      <w:r w:rsidR="006442A6" w:rsidRPr="00EA55F0">
        <w:rPr>
          <w:rStyle w:val="FootnoteReference"/>
          <w:rFonts w:ascii="Arial" w:hAnsi="Arial" w:cs="Arial"/>
          <w:kern w:val="0"/>
          <w14:ligatures w14:val="none"/>
        </w:rPr>
        <w:footnoteReference w:id="20"/>
      </w:r>
      <w:r w:rsidRPr="00EA55F0">
        <w:rPr>
          <w:rFonts w:ascii="Arial" w:hAnsi="Arial" w:cs="Arial"/>
          <w:kern w:val="0"/>
          <w14:ligatures w14:val="none"/>
        </w:rPr>
        <w:t xml:space="preserve"> Civilians frequently reported sleep deprivation, stress-related illness, and persistent fear of death, especially in heavily bombed areas of London.</w:t>
      </w:r>
      <w:r w:rsidR="006442A6" w:rsidRPr="00EA55F0">
        <w:rPr>
          <w:rStyle w:val="FootnoteReference"/>
          <w:rFonts w:ascii="Arial" w:hAnsi="Arial" w:cs="Arial"/>
          <w:kern w:val="0"/>
          <w14:ligatures w14:val="none"/>
        </w:rPr>
        <w:footnoteReference w:id="21"/>
      </w:r>
      <w:r w:rsidRPr="00EA55F0">
        <w:rPr>
          <w:rFonts w:ascii="Arial" w:hAnsi="Arial" w:cs="Arial"/>
          <w:kern w:val="0"/>
          <w14:ligatures w14:val="none"/>
        </w:rPr>
        <w:t xml:space="preserve"> One observer noted that “people are not hysterical, but they are strained and exhausted,” directly contradicting later portrayals of cheerful endurance.</w:t>
      </w:r>
      <w:r w:rsidR="006442A6" w:rsidRPr="00EA55F0">
        <w:rPr>
          <w:rStyle w:val="FootnoteReference"/>
          <w:rFonts w:ascii="Arial" w:hAnsi="Arial" w:cs="Arial"/>
          <w:kern w:val="0"/>
          <w14:ligatures w14:val="none"/>
        </w:rPr>
        <w:footnoteReference w:id="22"/>
      </w:r>
      <w:r w:rsidRPr="00EA55F0">
        <w:rPr>
          <w:rFonts w:ascii="Arial" w:hAnsi="Arial" w:cs="Arial"/>
          <w:kern w:val="0"/>
          <w14:ligatures w14:val="none"/>
        </w:rPr>
        <w:t xml:space="preserve"> Morale varied significantly depending on location and social class, with working-class districts experiencing greater exposure to bombing and poorer shelter conditions.</w:t>
      </w:r>
      <w:r w:rsidR="006442A6" w:rsidRPr="00EA55F0">
        <w:rPr>
          <w:rStyle w:val="FootnoteReference"/>
          <w:rFonts w:ascii="Arial" w:hAnsi="Arial" w:cs="Arial"/>
          <w:kern w:val="0"/>
          <w14:ligatures w14:val="none"/>
        </w:rPr>
        <w:footnoteReference w:id="23"/>
      </w:r>
    </w:p>
    <w:p w14:paraId="389BAD54" w14:textId="3447126D" w:rsidR="00B23918" w:rsidRPr="00741A04" w:rsidRDefault="00B23918" w:rsidP="00741A04">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Government assessments privately echoed these concerns. A confidential MOI report from November 1940 concluded that morale remained “fairly steady but vulnerable,” particularly if bombing intensity increased or living conditions deteriorated.</w:t>
      </w:r>
      <w:r w:rsidR="0076476D" w:rsidRPr="00EA55F0">
        <w:rPr>
          <w:rStyle w:val="FootnoteReference"/>
          <w:rFonts w:ascii="Arial" w:hAnsi="Arial" w:cs="Arial"/>
          <w:kern w:val="0"/>
          <w14:ligatures w14:val="none"/>
        </w:rPr>
        <w:footnoteReference w:id="24"/>
      </w:r>
      <w:r w:rsidRPr="00EA55F0">
        <w:rPr>
          <w:rFonts w:ascii="Arial" w:hAnsi="Arial" w:cs="Arial"/>
          <w:kern w:val="0"/>
          <w14:ligatures w14:val="none"/>
        </w:rPr>
        <w:t xml:space="preserve"> While public propaganda emphasised unity and resilience, internal documents acknowledged resentment, fatigue, and distrust toward authorities.</w:t>
      </w:r>
      <w:r w:rsidR="0076476D" w:rsidRPr="00EA55F0">
        <w:rPr>
          <w:rStyle w:val="FootnoteReference"/>
          <w:rFonts w:ascii="Arial" w:hAnsi="Arial" w:cs="Arial"/>
          <w:kern w:val="0"/>
          <w14:ligatures w14:val="none"/>
        </w:rPr>
        <w:footnoteReference w:id="25"/>
      </w:r>
      <w:r w:rsidR="0076476D" w:rsidRPr="00EA55F0">
        <w:rPr>
          <w:rFonts w:ascii="Arial" w:hAnsi="Arial" w:cs="Arial"/>
          <w:kern w:val="0"/>
          <w14:ligatures w14:val="none"/>
        </w:rPr>
        <w:t xml:space="preserve"> </w:t>
      </w:r>
      <w:r w:rsidRPr="00EA55F0">
        <w:rPr>
          <w:rFonts w:ascii="Arial" w:hAnsi="Arial" w:cs="Arial"/>
          <w:kern w:val="0"/>
          <w14:ligatures w14:val="none"/>
        </w:rPr>
        <w:t>This disparity highlights the importance of state management in sustaining morale.</w:t>
      </w:r>
    </w:p>
    <w:p w14:paraId="2E75F386" w14:textId="7A549947" w:rsidR="00B23918" w:rsidRPr="00206A86" w:rsidRDefault="00B23918" w:rsidP="00206A86">
      <w:pPr>
        <w:spacing w:before="100" w:beforeAutospacing="1" w:after="100" w:afterAutospacing="1" w:line="240" w:lineRule="auto"/>
        <w:outlineLvl w:val="2"/>
        <w:rPr>
          <w:rFonts w:ascii="Arial" w:hAnsi="Arial" w:cs="Arial"/>
          <w:b/>
          <w:bCs/>
          <w:kern w:val="0"/>
          <w14:ligatures w14:val="none"/>
        </w:rPr>
      </w:pPr>
      <w:r w:rsidRPr="00EA55F0">
        <w:rPr>
          <w:rFonts w:ascii="Arial" w:eastAsia="Times New Roman" w:hAnsi="Arial" w:cs="Arial"/>
          <w:b/>
          <w:bCs/>
          <w:kern w:val="0"/>
          <w14:ligatures w14:val="none"/>
        </w:rPr>
        <w:t>Civilian Life during the Blitz</w:t>
      </w:r>
    </w:p>
    <w:p w14:paraId="68E46F10" w14:textId="1A893793" w:rsidR="00206A86" w:rsidRDefault="00206A86" w:rsidP="00B23918">
      <w:pPr>
        <w:spacing w:before="100" w:beforeAutospacing="1" w:after="100" w:afterAutospacing="1" w:line="240" w:lineRule="auto"/>
        <w:rPr>
          <w:rFonts w:ascii="Arial" w:hAnsi="Arial" w:cs="Arial"/>
          <w:kern w:val="0"/>
          <w14:ligatures w14:val="none"/>
        </w:rPr>
      </w:pPr>
      <w:r>
        <w:rPr>
          <w:rFonts w:ascii="Arial" w:hAnsi="Arial" w:cs="Arial"/>
          <w:noProof/>
          <w:kern w:val="0"/>
        </w:rPr>
        <w:drawing>
          <wp:anchor distT="0" distB="0" distL="114300" distR="114300" simplePos="0" relativeHeight="251659264" behindDoc="0" locked="0" layoutInCell="1" allowOverlap="1" wp14:anchorId="3D7DEA69" wp14:editId="690AE3FF">
            <wp:simplePos x="0" y="0"/>
            <wp:positionH relativeFrom="column">
              <wp:posOffset>22922</wp:posOffset>
            </wp:positionH>
            <wp:positionV relativeFrom="paragraph">
              <wp:posOffset>305443</wp:posOffset>
            </wp:positionV>
            <wp:extent cx="1961002" cy="2096996"/>
            <wp:effectExtent l="0" t="0" r="0" b="0"/>
            <wp:wrapTopAndBottom/>
            <wp:docPr id="760898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898623" name="Picture 760898623"/>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61002" cy="2096996"/>
                    </a:xfrm>
                    <a:prstGeom prst="rect">
                      <a:avLst/>
                    </a:prstGeom>
                  </pic:spPr>
                </pic:pic>
              </a:graphicData>
            </a:graphic>
            <wp14:sizeRelH relativeFrom="margin">
              <wp14:pctWidth>0</wp14:pctWidth>
            </wp14:sizeRelH>
            <wp14:sizeRelV relativeFrom="margin">
              <wp14:pctHeight>0</wp14:pctHeight>
            </wp14:sizeRelV>
          </wp:anchor>
        </w:drawing>
      </w:r>
      <w:r w:rsidR="00B23918" w:rsidRPr="00EA55F0">
        <w:rPr>
          <w:rFonts w:ascii="Arial" w:hAnsi="Arial" w:cs="Arial"/>
          <w:kern w:val="0"/>
          <w14:ligatures w14:val="none"/>
        </w:rPr>
        <w:t>Figure 1: Londoners sheltering in the Underground during the Blitz, 1940.</w:t>
      </w:r>
    </w:p>
    <w:p w14:paraId="4C8130B4" w14:textId="24F81243" w:rsidR="00B23918" w:rsidRPr="00EA55F0" w:rsidRDefault="00B23918" w:rsidP="00B23918">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lastRenderedPageBreak/>
        <w:t xml:space="preserve">Imperial War Museums, </w:t>
      </w:r>
      <w:r w:rsidRPr="004C016E">
        <w:rPr>
          <w:rFonts w:ascii="Arial" w:hAnsi="Arial" w:cs="Arial"/>
          <w:i/>
          <w:iCs/>
          <w:kern w:val="0"/>
          <w14:ligatures w14:val="none"/>
        </w:rPr>
        <w:t>Photograph</w:t>
      </w:r>
      <w:r w:rsidR="00322E96" w:rsidRPr="004C016E">
        <w:rPr>
          <w:rFonts w:ascii="Arial" w:hAnsi="Arial" w:cs="Arial"/>
          <w:i/>
          <w:iCs/>
          <w:kern w:val="0"/>
          <w14:ligatures w14:val="none"/>
        </w:rPr>
        <w:t xml:space="preserve"> IWM HU_000672</w:t>
      </w:r>
      <w:r w:rsidR="00A43F77" w:rsidRPr="004C016E">
        <w:rPr>
          <w:rFonts w:ascii="Arial" w:hAnsi="Arial" w:cs="Arial"/>
          <w:i/>
          <w:iCs/>
          <w:kern w:val="0"/>
          <w14:ligatures w14:val="none"/>
        </w:rPr>
        <w:t>.</w:t>
      </w:r>
      <w:r w:rsidR="00A43F77" w:rsidRPr="00EA55F0">
        <w:rPr>
          <w:rFonts w:ascii="Arial" w:hAnsi="Arial" w:cs="Arial"/>
          <w:kern w:val="0"/>
          <w14:ligatures w14:val="none"/>
        </w:rPr>
        <w:t xml:space="preserve"> </w:t>
      </w:r>
      <w:r w:rsidR="0076476D" w:rsidRPr="00EA55F0">
        <w:rPr>
          <w:rStyle w:val="FootnoteReference"/>
          <w:rFonts w:ascii="Arial" w:hAnsi="Arial" w:cs="Arial"/>
          <w:kern w:val="0"/>
          <w14:ligatures w14:val="none"/>
        </w:rPr>
        <w:footnoteReference w:id="26"/>
      </w:r>
    </w:p>
    <w:p w14:paraId="7034DC46" w14:textId="2EB5BC84" w:rsidR="00E44449" w:rsidRDefault="00B23918" w:rsidP="00D77859">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 xml:space="preserve">This image illustrates both adaptation and vulnerability. The use of underground stations as shelters reflects civilian resilience, while simultaneously revealing the inadequacy of pre-war shelter planning, a theme </w:t>
      </w:r>
      <w:bookmarkStart w:id="9" w:name="_Int_3PxTUgwH"/>
      <w:r w:rsidRPr="00EA55F0">
        <w:rPr>
          <w:rFonts w:ascii="Arial" w:hAnsi="Arial" w:cs="Arial"/>
          <w:kern w:val="0"/>
          <w14:ligatures w14:val="none"/>
        </w:rPr>
        <w:t>frequently</w:t>
      </w:r>
      <w:bookmarkEnd w:id="9"/>
      <w:r w:rsidRPr="00EA55F0">
        <w:rPr>
          <w:rFonts w:ascii="Arial" w:hAnsi="Arial" w:cs="Arial"/>
          <w:kern w:val="0"/>
          <w14:ligatures w14:val="none"/>
        </w:rPr>
        <w:t xml:space="preserve"> identified in Mass Observation </w:t>
      </w:r>
      <w:r w:rsidR="00A43F77" w:rsidRPr="00EA55F0">
        <w:rPr>
          <w:rFonts w:ascii="Arial" w:hAnsi="Arial" w:cs="Arial"/>
          <w:kern w:val="0"/>
          <w14:ligatures w14:val="none"/>
        </w:rPr>
        <w:t xml:space="preserve">reports. </w:t>
      </w:r>
      <w:r w:rsidR="0076476D" w:rsidRPr="00EA55F0">
        <w:rPr>
          <w:rStyle w:val="FootnoteReference"/>
          <w:rFonts w:ascii="Arial" w:hAnsi="Arial" w:cs="Arial"/>
          <w:kern w:val="0"/>
          <w14:ligatures w14:val="none"/>
        </w:rPr>
        <w:footnoteReference w:id="27"/>
      </w:r>
    </w:p>
    <w:p w14:paraId="6B11FA49" w14:textId="77777777" w:rsidR="003A00E3" w:rsidRPr="00EA55F0" w:rsidRDefault="003A00E3" w:rsidP="00D77859">
      <w:pPr>
        <w:spacing w:before="100" w:beforeAutospacing="1" w:after="100" w:afterAutospacing="1" w:line="240" w:lineRule="auto"/>
        <w:rPr>
          <w:rFonts w:ascii="Arial" w:hAnsi="Arial" w:cs="Arial"/>
          <w:kern w:val="0"/>
          <w14:ligatures w14:val="none"/>
        </w:rPr>
      </w:pPr>
    </w:p>
    <w:p w14:paraId="57A0C4F3" w14:textId="14BAF70F" w:rsidR="00B23918" w:rsidRPr="00EA55F0" w:rsidRDefault="00B23918" w:rsidP="00D77859">
      <w:pPr>
        <w:spacing w:before="100" w:beforeAutospacing="1" w:after="100" w:afterAutospacing="1" w:line="240" w:lineRule="auto"/>
        <w:outlineLvl w:val="1"/>
        <w:rPr>
          <w:rFonts w:ascii="Arial" w:hAnsi="Arial" w:cs="Arial"/>
          <w:b/>
          <w:bCs/>
          <w:kern w:val="0"/>
          <w14:ligatures w14:val="none"/>
        </w:rPr>
      </w:pPr>
      <w:r w:rsidRPr="00EA55F0">
        <w:rPr>
          <w:rFonts w:ascii="Arial" w:eastAsia="Times New Roman" w:hAnsi="Arial" w:cs="Arial"/>
          <w:b/>
          <w:bCs/>
          <w:kern w:val="0"/>
          <w14:ligatures w14:val="none"/>
        </w:rPr>
        <w:t>Historiographical Debate: Reassessing the “Blitz Spirit”</w:t>
      </w:r>
    </w:p>
    <w:p w14:paraId="07E87276" w14:textId="2FF80EE8" w:rsidR="00B23918" w:rsidRPr="00EA55F0" w:rsidRDefault="00B23918" w:rsidP="00B23918">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Post-war interpretations of the Blitz initially emphasised unity and collective resilience, reinforcing what Angus Calder later termed the “myth of the Blitz</w:t>
      </w:r>
      <w:r w:rsidR="00A43F77" w:rsidRPr="00EA55F0">
        <w:rPr>
          <w:rFonts w:ascii="Arial" w:hAnsi="Arial" w:cs="Arial"/>
          <w:kern w:val="0"/>
          <w14:ligatures w14:val="none"/>
        </w:rPr>
        <w:t xml:space="preserve">.” </w:t>
      </w:r>
      <w:r w:rsidR="0076476D" w:rsidRPr="00EA55F0">
        <w:rPr>
          <w:rStyle w:val="FootnoteReference"/>
          <w:rFonts w:ascii="Arial" w:hAnsi="Arial" w:cs="Arial"/>
          <w:kern w:val="0"/>
          <w14:ligatures w14:val="none"/>
        </w:rPr>
        <w:footnoteReference w:id="28"/>
      </w:r>
      <w:r w:rsidRPr="00EA55F0">
        <w:rPr>
          <w:rFonts w:ascii="Arial" w:hAnsi="Arial" w:cs="Arial"/>
          <w:kern w:val="0"/>
          <w14:ligatures w14:val="none"/>
        </w:rPr>
        <w:t xml:space="preserve"> This narrative portrayed bombing as a force that strengthened national resolve and contributed directly to British victory. However, revisionist historians have challenged this interpretation using contemporary evidence unavailable or ignored in earlier accounts.</w:t>
      </w:r>
    </w:p>
    <w:p w14:paraId="552A96DC" w14:textId="2CB74640" w:rsidR="00B23918" w:rsidRPr="00EA55F0" w:rsidRDefault="00B23918" w:rsidP="00B23918">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Calder argued that the image of universal stoicism was a constructed narrative shaped by wartime propaganda and post-war memory.</w:t>
      </w:r>
      <w:r w:rsidR="00611CCA" w:rsidRPr="00EA55F0">
        <w:rPr>
          <w:rStyle w:val="FootnoteReference"/>
          <w:rFonts w:ascii="Arial" w:hAnsi="Arial" w:cs="Arial"/>
          <w:kern w:val="0"/>
          <w14:ligatures w14:val="none"/>
        </w:rPr>
        <w:footnoteReference w:id="29"/>
      </w:r>
      <w:r w:rsidRPr="00EA55F0">
        <w:rPr>
          <w:rFonts w:ascii="Arial" w:hAnsi="Arial" w:cs="Arial"/>
          <w:kern w:val="0"/>
          <w14:ligatures w14:val="none"/>
        </w:rPr>
        <w:t xml:space="preserve"> He demonstrated that morale was uneven and often fragile, with significant evidence of fear, anger, and social tension.</w:t>
      </w:r>
      <w:r w:rsidR="00611CCA" w:rsidRPr="00EA55F0">
        <w:rPr>
          <w:rStyle w:val="FootnoteReference"/>
          <w:rFonts w:ascii="Arial" w:hAnsi="Arial" w:cs="Arial"/>
          <w:kern w:val="0"/>
          <w14:ligatures w14:val="none"/>
        </w:rPr>
        <w:footnoteReference w:id="30"/>
      </w:r>
      <w:r w:rsidRPr="00EA55F0">
        <w:rPr>
          <w:rFonts w:ascii="Arial" w:hAnsi="Arial" w:cs="Arial"/>
          <w:kern w:val="0"/>
          <w14:ligatures w14:val="none"/>
        </w:rPr>
        <w:t xml:space="preserve"> Richard Overy offers a more nuanced interpretation, acknowledging psychological strain while emphasising that bombing failed to achieve its strategic objective of morale collapse.</w:t>
      </w:r>
      <w:r w:rsidR="00611CCA" w:rsidRPr="00EA55F0">
        <w:rPr>
          <w:rStyle w:val="FootnoteReference"/>
          <w:rFonts w:ascii="Arial" w:hAnsi="Arial" w:cs="Arial"/>
          <w:kern w:val="0"/>
          <w14:ligatures w14:val="none"/>
        </w:rPr>
        <w:footnoteReference w:id="31"/>
      </w:r>
      <w:r w:rsidRPr="00EA55F0">
        <w:rPr>
          <w:rFonts w:ascii="Arial" w:hAnsi="Arial" w:cs="Arial"/>
          <w:kern w:val="0"/>
          <w14:ligatures w14:val="none"/>
        </w:rPr>
        <w:t xml:space="preserve"> Overy attributes this failure to limited bombing accuracy, the absence of chemical weapons, and Britain’s capacity for institutional adaptation through shelters, evacuation, and welfare provision.</w:t>
      </w:r>
      <w:r w:rsidR="00611CCA" w:rsidRPr="00EA55F0">
        <w:rPr>
          <w:rStyle w:val="FootnoteReference"/>
          <w:rFonts w:ascii="Arial" w:hAnsi="Arial" w:cs="Arial"/>
          <w:kern w:val="0"/>
          <w14:ligatures w14:val="none"/>
        </w:rPr>
        <w:footnoteReference w:id="32"/>
      </w:r>
    </w:p>
    <w:p w14:paraId="3FEF4215" w14:textId="7B909321" w:rsidR="003108D1" w:rsidRPr="00EA55F0" w:rsidRDefault="00B23918" w:rsidP="003108D1">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 xml:space="preserve">Other historians, such as Mark Connelly, argue that morale endurance </w:t>
      </w:r>
      <w:bookmarkStart w:id="10" w:name="_Int_xGH6dZuQ"/>
      <w:r w:rsidRPr="00EA55F0">
        <w:rPr>
          <w:rFonts w:ascii="Arial" w:hAnsi="Arial" w:cs="Arial"/>
          <w:kern w:val="0"/>
          <w14:ligatures w14:val="none"/>
        </w:rPr>
        <w:t>was influenced</w:t>
      </w:r>
      <w:bookmarkEnd w:id="10"/>
      <w:r w:rsidRPr="00EA55F0">
        <w:rPr>
          <w:rFonts w:ascii="Arial" w:hAnsi="Arial" w:cs="Arial"/>
          <w:kern w:val="0"/>
          <w14:ligatures w14:val="none"/>
        </w:rPr>
        <w:t xml:space="preserve"> by expectation management. Pre-war fears of catastrophic collapse did not materialise, creating a psychological adjustment once bombing became routine.</w:t>
      </w:r>
      <w:r w:rsidR="00611CCA" w:rsidRPr="00EA55F0">
        <w:rPr>
          <w:rStyle w:val="FootnoteReference"/>
          <w:rFonts w:ascii="Arial" w:hAnsi="Arial" w:cs="Arial"/>
          <w:kern w:val="0"/>
          <w14:ligatures w14:val="none"/>
        </w:rPr>
        <w:footnoteReference w:id="33"/>
      </w:r>
      <w:r w:rsidRPr="00EA55F0">
        <w:rPr>
          <w:rFonts w:ascii="Arial" w:hAnsi="Arial" w:cs="Arial"/>
          <w:kern w:val="0"/>
          <w14:ligatures w14:val="none"/>
        </w:rPr>
        <w:t xml:space="preserve"> Mass Observation reports support this interpretation, noting that civilians </w:t>
      </w:r>
      <w:r w:rsidRPr="00EA55F0">
        <w:rPr>
          <w:rFonts w:ascii="Arial" w:hAnsi="Arial" w:cs="Arial"/>
          <w:kern w:val="0"/>
          <w14:ligatures w14:val="none"/>
        </w:rPr>
        <w:lastRenderedPageBreak/>
        <w:t>adapted to bombing over time, even as fatigue increased.</w:t>
      </w:r>
      <w:r w:rsidR="00060C01" w:rsidRPr="00EA55F0">
        <w:rPr>
          <w:rStyle w:val="FootnoteReference"/>
          <w:rFonts w:ascii="Arial" w:hAnsi="Arial" w:cs="Arial"/>
          <w:kern w:val="0"/>
          <w14:ligatures w14:val="none"/>
        </w:rPr>
        <w:footnoteReference w:id="34"/>
      </w:r>
      <w:r w:rsidRPr="00EA55F0">
        <w:rPr>
          <w:rFonts w:ascii="Arial" w:hAnsi="Arial" w:cs="Arial"/>
          <w:kern w:val="0"/>
          <w14:ligatures w14:val="none"/>
        </w:rPr>
        <w:t xml:space="preserve"> Together, these interpretations demonstrate that morale survival was neither mythical nor inevitable, but conditional and politically managed.</w:t>
      </w:r>
    </w:p>
    <w:p w14:paraId="5B254431" w14:textId="77777777" w:rsidR="001F0E3A" w:rsidRPr="00EA55F0" w:rsidRDefault="001F0E3A" w:rsidP="003108D1">
      <w:pPr>
        <w:spacing w:before="100" w:beforeAutospacing="1" w:after="100" w:afterAutospacing="1" w:line="240" w:lineRule="auto"/>
        <w:rPr>
          <w:rFonts w:ascii="Arial" w:hAnsi="Arial" w:cs="Arial"/>
          <w:kern w:val="0"/>
          <w14:ligatures w14:val="none"/>
        </w:rPr>
      </w:pPr>
    </w:p>
    <w:p w14:paraId="32401BEC" w14:textId="2B031E4B" w:rsidR="00B23918" w:rsidRPr="00EA55F0" w:rsidRDefault="00B23918" w:rsidP="003108D1">
      <w:pPr>
        <w:spacing w:before="100" w:beforeAutospacing="1" w:after="100" w:afterAutospacing="1" w:line="240" w:lineRule="auto"/>
        <w:outlineLvl w:val="1"/>
        <w:rPr>
          <w:rFonts w:ascii="Arial" w:hAnsi="Arial" w:cs="Arial"/>
          <w:b/>
          <w:bCs/>
          <w:kern w:val="0"/>
          <w14:ligatures w14:val="none"/>
        </w:rPr>
      </w:pPr>
      <w:r w:rsidRPr="00EA55F0">
        <w:rPr>
          <w:rFonts w:ascii="Arial" w:eastAsia="Times New Roman" w:hAnsi="Arial" w:cs="Arial"/>
          <w:b/>
          <w:bCs/>
          <w:kern w:val="0"/>
          <w14:ligatures w14:val="none"/>
        </w:rPr>
        <w:t>Conclusion</w:t>
      </w:r>
    </w:p>
    <w:p w14:paraId="1055DFAD" w14:textId="34AB3906" w:rsidR="00B23918" w:rsidRPr="00EA55F0" w:rsidRDefault="00B23918" w:rsidP="00B23918">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 xml:space="preserve">This research project has examined the extent to which German strategic bombing undermined British civilian morale during the Blitz. The evidence </w:t>
      </w:r>
      <w:bookmarkStart w:id="11" w:name="_Int_rBv5KZyO"/>
      <w:r w:rsidRPr="00EA55F0">
        <w:rPr>
          <w:rFonts w:ascii="Arial" w:hAnsi="Arial" w:cs="Arial"/>
          <w:kern w:val="0"/>
          <w14:ligatures w14:val="none"/>
        </w:rPr>
        <w:t>demonstrates</w:t>
      </w:r>
      <w:bookmarkEnd w:id="11"/>
      <w:r w:rsidRPr="00EA55F0">
        <w:rPr>
          <w:rFonts w:ascii="Arial" w:hAnsi="Arial" w:cs="Arial"/>
          <w:kern w:val="0"/>
          <w14:ligatures w14:val="none"/>
        </w:rPr>
        <w:t xml:space="preserve"> that although bombing caused fear, exhaustion, and social disruption, it did not produce the decisive morale collapse </w:t>
      </w:r>
      <w:bookmarkStart w:id="12" w:name="_Int_MzusKc4m"/>
      <w:r w:rsidRPr="00EA55F0">
        <w:rPr>
          <w:rFonts w:ascii="Arial" w:hAnsi="Arial" w:cs="Arial"/>
          <w:kern w:val="0"/>
          <w14:ligatures w14:val="none"/>
        </w:rPr>
        <w:t>anticipated</w:t>
      </w:r>
      <w:bookmarkEnd w:id="12"/>
      <w:r w:rsidRPr="00EA55F0">
        <w:rPr>
          <w:rFonts w:ascii="Arial" w:hAnsi="Arial" w:cs="Arial"/>
          <w:kern w:val="0"/>
          <w14:ligatures w14:val="none"/>
        </w:rPr>
        <w:t xml:space="preserve"> by German planners. Primary sources reveal a population under severe strain but capable of adaptation, particularly when supported by effective civil defence and welfare measures.</w:t>
      </w:r>
    </w:p>
    <w:p w14:paraId="78AAAC31" w14:textId="0E1196D7" w:rsidR="00AF2CCE" w:rsidRPr="00EA55F0" w:rsidRDefault="00B23918">
      <w:pPr>
        <w:pStyle w:val="p1"/>
        <w:rPr>
          <w:rFonts w:ascii="Arial" w:hAnsi="Arial" w:cs="Arial"/>
        </w:rPr>
      </w:pPr>
      <w:r w:rsidRPr="00EA55F0">
        <w:rPr>
          <w:rFonts w:ascii="Arial" w:hAnsi="Arial" w:cs="Arial"/>
        </w:rPr>
        <w:t xml:space="preserve">The persistence of morale owed less to inherent national resilience than to the limitations of German bombing strategy and the active management of civilian attitudes by the British state. Historiographical debate has moved away from simplistic narratives of the “Blitz spirit” toward a more complex understanding of morale as fragile, uneven, and contingent. </w:t>
      </w:r>
      <w:bookmarkStart w:id="13" w:name="_Int_q3iLsmbv"/>
      <w:r w:rsidRPr="00EA55F0">
        <w:rPr>
          <w:rFonts w:ascii="Arial" w:hAnsi="Arial" w:cs="Arial"/>
        </w:rPr>
        <w:t>Ultimately, the</w:t>
      </w:r>
      <w:bookmarkEnd w:id="13"/>
      <w:r w:rsidRPr="00EA55F0">
        <w:rPr>
          <w:rFonts w:ascii="Arial" w:hAnsi="Arial" w:cs="Arial"/>
        </w:rPr>
        <w:t xml:space="preserve"> Blitz highlights the limitations of strategic bombing as a tool of psychological warfare and challenges assumptions at the heart of interwar airpower theory</w:t>
      </w:r>
      <w:r w:rsidR="003349C4" w:rsidRPr="00EA55F0">
        <w:rPr>
          <w:rFonts w:ascii="Arial" w:hAnsi="Arial" w:cs="Arial"/>
        </w:rPr>
        <w:t xml:space="preserve"> </w:t>
      </w:r>
      <w:r w:rsidR="00AF2CCE" w:rsidRPr="00EA55F0">
        <w:rPr>
          <w:rStyle w:val="s1"/>
          <w:rFonts w:ascii="Arial" w:hAnsi="Arial" w:cs="Arial"/>
        </w:rPr>
        <w:t>when confronted with social complexity.</w:t>
      </w:r>
    </w:p>
    <w:p w14:paraId="6A4AE69C" w14:textId="77777777" w:rsidR="00E44449" w:rsidRDefault="00E44449" w:rsidP="00F90CB1">
      <w:pPr>
        <w:spacing w:before="100" w:beforeAutospacing="1" w:after="100" w:afterAutospacing="1" w:line="240" w:lineRule="auto"/>
        <w:outlineLvl w:val="1"/>
        <w:rPr>
          <w:rFonts w:ascii="Arial" w:eastAsia="Times New Roman" w:hAnsi="Arial" w:cs="Arial"/>
          <w:b/>
          <w:bCs/>
          <w:kern w:val="0"/>
          <w14:ligatures w14:val="none"/>
        </w:rPr>
      </w:pPr>
      <w:r>
        <w:rPr>
          <w:rFonts w:ascii="Arial" w:eastAsia="Times New Roman" w:hAnsi="Arial" w:cs="Arial"/>
          <w:b/>
          <w:bCs/>
          <w:kern w:val="0"/>
          <w14:ligatures w14:val="none"/>
        </w:rPr>
        <w:br w:type="page"/>
      </w:r>
    </w:p>
    <w:p w14:paraId="0D33869D" w14:textId="6B7B0A66" w:rsidR="00B23918" w:rsidRPr="00F90CB1" w:rsidRDefault="00B23918" w:rsidP="00E44449">
      <w:pPr>
        <w:spacing w:before="100" w:beforeAutospacing="1" w:after="100" w:afterAutospacing="1" w:line="240" w:lineRule="auto"/>
        <w:jc w:val="center"/>
        <w:outlineLvl w:val="1"/>
        <w:rPr>
          <w:rFonts w:ascii="Arial" w:hAnsi="Arial" w:cs="Arial"/>
          <w:b/>
          <w:bCs/>
          <w:kern w:val="0"/>
          <w14:ligatures w14:val="none"/>
        </w:rPr>
      </w:pPr>
      <w:r w:rsidRPr="00EA55F0">
        <w:rPr>
          <w:rFonts w:ascii="Arial" w:eastAsia="Times New Roman" w:hAnsi="Arial" w:cs="Arial"/>
          <w:b/>
          <w:bCs/>
          <w:kern w:val="0"/>
          <w14:ligatures w14:val="none"/>
        </w:rPr>
        <w:lastRenderedPageBreak/>
        <w:t>Bibliography</w:t>
      </w:r>
    </w:p>
    <w:p w14:paraId="30270E56" w14:textId="36333E13" w:rsidR="005B37B3" w:rsidRPr="005B37B3" w:rsidRDefault="005B37B3" w:rsidP="005B37B3">
      <w:pPr>
        <w:spacing w:before="100" w:beforeAutospacing="1" w:after="100" w:afterAutospacing="1" w:line="240" w:lineRule="auto"/>
        <w:rPr>
          <w:rFonts w:ascii="Arial" w:hAnsi="Arial" w:cs="Arial"/>
          <w:b/>
          <w:bCs/>
          <w:kern w:val="0"/>
          <w14:ligatures w14:val="none"/>
        </w:rPr>
      </w:pPr>
      <w:r w:rsidRPr="005B37B3">
        <w:rPr>
          <w:rFonts w:ascii="Arial" w:hAnsi="Arial" w:cs="Arial"/>
          <w:b/>
          <w:bCs/>
          <w:kern w:val="0"/>
          <w14:ligatures w14:val="none"/>
        </w:rPr>
        <w:t>Primary Sources</w:t>
      </w:r>
    </w:p>
    <w:p w14:paraId="73CAEDFD" w14:textId="2AB30081"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Churchill, Winston, </w:t>
      </w:r>
      <w:r w:rsidRPr="004C016E">
        <w:rPr>
          <w:rFonts w:ascii="Arial" w:hAnsi="Arial" w:cs="Arial"/>
          <w:i/>
          <w:iCs/>
          <w:kern w:val="0"/>
          <w14:ligatures w14:val="none"/>
        </w:rPr>
        <w:t>Speech to the House of Commons</w:t>
      </w:r>
      <w:r w:rsidRPr="005B37B3">
        <w:rPr>
          <w:rFonts w:ascii="Arial" w:hAnsi="Arial" w:cs="Arial"/>
          <w:kern w:val="0"/>
          <w14:ligatures w14:val="none"/>
        </w:rPr>
        <w:t>, 20 August 1940, Hansard</w:t>
      </w:r>
    </w:p>
    <w:p w14:paraId="1540D342" w14:textId="0CE2506D"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Churchill, Winston, </w:t>
      </w:r>
      <w:r w:rsidRPr="004C016E">
        <w:rPr>
          <w:rFonts w:ascii="Arial" w:hAnsi="Arial" w:cs="Arial"/>
          <w:i/>
          <w:iCs/>
          <w:kern w:val="0"/>
          <w14:ligatures w14:val="none"/>
        </w:rPr>
        <w:t>War Cabinet Memorandum</w:t>
      </w:r>
      <w:r w:rsidRPr="005B37B3">
        <w:rPr>
          <w:rFonts w:ascii="Arial" w:hAnsi="Arial" w:cs="Arial"/>
          <w:kern w:val="0"/>
          <w14:ligatures w14:val="none"/>
        </w:rPr>
        <w:t>, September 1940, The National Archives, CAB 66/11</w:t>
      </w:r>
    </w:p>
    <w:p w14:paraId="48A2B4B2" w14:textId="61341C4B"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Göring, Hermann, </w:t>
      </w:r>
      <w:r w:rsidRPr="004C016E">
        <w:rPr>
          <w:rFonts w:ascii="Arial" w:hAnsi="Arial" w:cs="Arial"/>
          <w:i/>
          <w:iCs/>
          <w:kern w:val="0"/>
          <w14:ligatures w14:val="none"/>
        </w:rPr>
        <w:t>Interrogation Transcript</w:t>
      </w:r>
      <w:r w:rsidRPr="005B37B3">
        <w:rPr>
          <w:rFonts w:ascii="Arial" w:hAnsi="Arial" w:cs="Arial"/>
          <w:kern w:val="0"/>
          <w14:ligatures w14:val="none"/>
        </w:rPr>
        <w:t>, 1945, quoted in Richard Overy, The Bombing War: Europe 1939–1945 (London: Allen Lane, 2013)</w:t>
      </w:r>
    </w:p>
    <w:p w14:paraId="49EEDDEE" w14:textId="07F966F7" w:rsidR="005B37B3" w:rsidRPr="004C016E" w:rsidRDefault="005B37B3" w:rsidP="005B37B3">
      <w:pPr>
        <w:spacing w:before="100" w:beforeAutospacing="1" w:after="100" w:afterAutospacing="1" w:line="240" w:lineRule="auto"/>
        <w:rPr>
          <w:rFonts w:ascii="Arial" w:hAnsi="Arial" w:cs="Arial"/>
          <w:i/>
          <w:iCs/>
          <w:kern w:val="0"/>
          <w14:ligatures w14:val="none"/>
        </w:rPr>
      </w:pPr>
      <w:r w:rsidRPr="005B37B3">
        <w:rPr>
          <w:rFonts w:ascii="Arial" w:hAnsi="Arial" w:cs="Arial"/>
          <w:kern w:val="0"/>
          <w14:ligatures w14:val="none"/>
        </w:rPr>
        <w:t xml:space="preserve">Imperial War Museums, </w:t>
      </w:r>
      <w:r w:rsidRPr="004C016E">
        <w:rPr>
          <w:rFonts w:ascii="Arial" w:hAnsi="Arial" w:cs="Arial"/>
          <w:i/>
          <w:iCs/>
          <w:kern w:val="0"/>
          <w14:ligatures w14:val="none"/>
        </w:rPr>
        <w:t xml:space="preserve">Photograph </w:t>
      </w:r>
      <w:r w:rsidR="004C016E" w:rsidRPr="004C016E">
        <w:rPr>
          <w:rFonts w:ascii="Arial" w:hAnsi="Arial" w:cs="Arial"/>
          <w:i/>
          <w:iCs/>
          <w:kern w:val="0"/>
          <w14:ligatures w14:val="none"/>
        </w:rPr>
        <w:t>IWM HU_000672</w:t>
      </w:r>
    </w:p>
    <w:p w14:paraId="790D48BE" w14:textId="38400D17"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Mass Observation, </w:t>
      </w:r>
      <w:r w:rsidRPr="004C016E">
        <w:rPr>
          <w:rFonts w:ascii="Arial" w:hAnsi="Arial" w:cs="Arial"/>
          <w:i/>
          <w:iCs/>
          <w:kern w:val="0"/>
          <w14:ligatures w14:val="none"/>
        </w:rPr>
        <w:t>Adaptation to Bombing</w:t>
      </w:r>
      <w:r w:rsidRPr="005B37B3">
        <w:rPr>
          <w:rFonts w:ascii="Arial" w:hAnsi="Arial" w:cs="Arial"/>
          <w:kern w:val="0"/>
          <w14:ligatures w14:val="none"/>
        </w:rPr>
        <w:t>, January 1941, The National Archives, INF 1/297</w:t>
      </w:r>
    </w:p>
    <w:p w14:paraId="334D38D6" w14:textId="0C4309B2"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Mass Observation, </w:t>
      </w:r>
      <w:r w:rsidRPr="004C016E">
        <w:rPr>
          <w:rFonts w:ascii="Arial" w:hAnsi="Arial" w:cs="Arial"/>
          <w:i/>
          <w:iCs/>
          <w:kern w:val="0"/>
          <w14:ligatures w14:val="none"/>
        </w:rPr>
        <w:t>Report on Civilian Morale</w:t>
      </w:r>
      <w:r w:rsidRPr="005B37B3">
        <w:rPr>
          <w:rFonts w:ascii="Arial" w:hAnsi="Arial" w:cs="Arial"/>
          <w:kern w:val="0"/>
          <w14:ligatures w14:val="none"/>
        </w:rPr>
        <w:t>, September 1940, The National Archives, INF 1/264</w:t>
      </w:r>
    </w:p>
    <w:p w14:paraId="33AF0693" w14:textId="02D79915"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Mass Observation, </w:t>
      </w:r>
      <w:r w:rsidRPr="004C016E">
        <w:rPr>
          <w:rFonts w:ascii="Arial" w:hAnsi="Arial" w:cs="Arial"/>
          <w:i/>
          <w:iCs/>
          <w:kern w:val="0"/>
          <w14:ligatures w14:val="none"/>
        </w:rPr>
        <w:t>Shelter Conditions Report</w:t>
      </w:r>
      <w:r w:rsidRPr="005B37B3">
        <w:rPr>
          <w:rFonts w:ascii="Arial" w:hAnsi="Arial" w:cs="Arial"/>
          <w:kern w:val="0"/>
          <w14:ligatures w14:val="none"/>
        </w:rPr>
        <w:t>, November 1940, The National Archives, INF 1/292</w:t>
      </w:r>
    </w:p>
    <w:p w14:paraId="6832C404" w14:textId="17153BAA"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Ministry of Information, </w:t>
      </w:r>
      <w:r w:rsidRPr="004C016E">
        <w:rPr>
          <w:rFonts w:ascii="Arial" w:hAnsi="Arial" w:cs="Arial"/>
          <w:i/>
          <w:iCs/>
          <w:kern w:val="0"/>
          <w14:ligatures w14:val="none"/>
        </w:rPr>
        <w:t>Morale Report</w:t>
      </w:r>
      <w:r w:rsidRPr="005B37B3">
        <w:rPr>
          <w:rFonts w:ascii="Arial" w:hAnsi="Arial" w:cs="Arial"/>
          <w:kern w:val="0"/>
          <w14:ligatures w14:val="none"/>
        </w:rPr>
        <w:t>, November 1940, The National Archives, INF 1/293</w:t>
      </w:r>
    </w:p>
    <w:p w14:paraId="763D872A" w14:textId="24185C93" w:rsidR="005B37B3" w:rsidRPr="005B37B3" w:rsidRDefault="005B37B3" w:rsidP="005B37B3">
      <w:pPr>
        <w:spacing w:before="100" w:beforeAutospacing="1" w:after="100" w:afterAutospacing="1" w:line="240" w:lineRule="auto"/>
        <w:outlineLvl w:val="2"/>
        <w:rPr>
          <w:rFonts w:ascii="Arial" w:hAnsi="Arial" w:cs="Arial"/>
          <w:b/>
          <w:bCs/>
          <w:kern w:val="0"/>
          <w14:ligatures w14:val="none"/>
        </w:rPr>
      </w:pPr>
      <w:r w:rsidRPr="005B37B3">
        <w:rPr>
          <w:rFonts w:ascii="Arial" w:eastAsia="Times New Roman" w:hAnsi="Arial" w:cs="Arial"/>
          <w:b/>
          <w:bCs/>
          <w:kern w:val="0"/>
          <w14:ligatures w14:val="none"/>
        </w:rPr>
        <w:t>Secondary Sources</w:t>
      </w:r>
    </w:p>
    <w:p w14:paraId="46DE6569" w14:textId="249EA2FB"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Biddle, Tami Davis, </w:t>
      </w:r>
      <w:r w:rsidRPr="004C016E">
        <w:rPr>
          <w:rFonts w:ascii="Arial" w:hAnsi="Arial" w:cs="Arial"/>
          <w:i/>
          <w:iCs/>
          <w:kern w:val="0"/>
          <w14:ligatures w14:val="none"/>
        </w:rPr>
        <w:t>Rhetoric and Reality in Air Warfare</w:t>
      </w:r>
      <w:r w:rsidRPr="005B37B3">
        <w:rPr>
          <w:rFonts w:ascii="Arial" w:hAnsi="Arial" w:cs="Arial"/>
          <w:kern w:val="0"/>
          <w14:ligatures w14:val="none"/>
        </w:rPr>
        <w:t xml:space="preserve"> (Princeton: Princeton University Press, 2002)</w:t>
      </w:r>
    </w:p>
    <w:p w14:paraId="652888F7" w14:textId="74DF2FD4"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Calder, Angus, </w:t>
      </w:r>
      <w:r w:rsidRPr="004C016E">
        <w:rPr>
          <w:rFonts w:ascii="Arial" w:hAnsi="Arial" w:cs="Arial"/>
          <w:i/>
          <w:iCs/>
          <w:kern w:val="0"/>
          <w14:ligatures w14:val="none"/>
        </w:rPr>
        <w:t xml:space="preserve">The Myth of the Blitz </w:t>
      </w:r>
      <w:r w:rsidRPr="005B37B3">
        <w:rPr>
          <w:rFonts w:ascii="Arial" w:hAnsi="Arial" w:cs="Arial"/>
          <w:kern w:val="0"/>
          <w14:ligatures w14:val="none"/>
        </w:rPr>
        <w:t>(London: Jonathan Cape, 1991)</w:t>
      </w:r>
    </w:p>
    <w:p w14:paraId="355417AF" w14:textId="313ABE25"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Connelly, Mark, </w:t>
      </w:r>
      <w:r w:rsidRPr="004C016E">
        <w:rPr>
          <w:rFonts w:ascii="Arial" w:hAnsi="Arial" w:cs="Arial"/>
          <w:i/>
          <w:iCs/>
          <w:kern w:val="0"/>
          <w14:ligatures w14:val="none"/>
        </w:rPr>
        <w:t>We Can Take It!</w:t>
      </w:r>
      <w:r w:rsidRPr="005B37B3">
        <w:rPr>
          <w:rFonts w:ascii="Arial" w:hAnsi="Arial" w:cs="Arial"/>
          <w:kern w:val="0"/>
          <w14:ligatures w14:val="none"/>
        </w:rPr>
        <w:t xml:space="preserve"> (London: Routledge, 2004)</w:t>
      </w:r>
    </w:p>
    <w:p w14:paraId="621ECA4F" w14:textId="359D5B19"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Douhet, Giulio, </w:t>
      </w:r>
      <w:r w:rsidRPr="004C016E">
        <w:rPr>
          <w:rFonts w:ascii="Arial" w:hAnsi="Arial" w:cs="Arial"/>
          <w:i/>
          <w:iCs/>
          <w:kern w:val="0"/>
          <w14:ligatures w14:val="none"/>
        </w:rPr>
        <w:t xml:space="preserve">The Command of the Air </w:t>
      </w:r>
      <w:r w:rsidRPr="005B37B3">
        <w:rPr>
          <w:rFonts w:ascii="Arial" w:hAnsi="Arial" w:cs="Arial"/>
          <w:kern w:val="0"/>
          <w14:ligatures w14:val="none"/>
        </w:rPr>
        <w:t>(Rome, 1921)</w:t>
      </w:r>
    </w:p>
    <w:p w14:paraId="1917C357" w14:textId="70BC96C3"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Edgerton, David, </w:t>
      </w:r>
      <w:r w:rsidRPr="004C016E">
        <w:rPr>
          <w:rFonts w:ascii="Arial" w:hAnsi="Arial" w:cs="Arial"/>
          <w:i/>
          <w:iCs/>
          <w:kern w:val="0"/>
          <w14:ligatures w14:val="none"/>
        </w:rPr>
        <w:t xml:space="preserve">Britain’s War Machine: Weapons, Resources and Experts in the Second World War </w:t>
      </w:r>
      <w:r w:rsidRPr="005B37B3">
        <w:rPr>
          <w:rFonts w:ascii="Arial" w:hAnsi="Arial" w:cs="Arial"/>
          <w:kern w:val="0"/>
          <w14:ligatures w14:val="none"/>
        </w:rPr>
        <w:t>(London: Penguin, 2011)</w:t>
      </w:r>
    </w:p>
    <w:p w14:paraId="04A31270" w14:textId="0DF09806"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Hubble, Nick, </w:t>
      </w:r>
      <w:r w:rsidRPr="004C016E">
        <w:rPr>
          <w:rFonts w:ascii="Arial" w:hAnsi="Arial" w:cs="Arial"/>
          <w:i/>
          <w:iCs/>
          <w:kern w:val="0"/>
          <w14:ligatures w14:val="none"/>
        </w:rPr>
        <w:t>Mass Observation and Everyday Life</w:t>
      </w:r>
      <w:r w:rsidRPr="005B37B3">
        <w:rPr>
          <w:rFonts w:ascii="Arial" w:hAnsi="Arial" w:cs="Arial"/>
          <w:kern w:val="0"/>
          <w14:ligatures w14:val="none"/>
        </w:rPr>
        <w:t xml:space="preserve"> (Basingstoke: Palgrave, 2006)</w:t>
      </w:r>
    </w:p>
    <w:p w14:paraId="4BC38816" w14:textId="6204E848"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Kershaw, Ian, </w:t>
      </w:r>
      <w:r w:rsidRPr="004C016E">
        <w:rPr>
          <w:rFonts w:ascii="Arial" w:hAnsi="Arial" w:cs="Arial"/>
          <w:i/>
          <w:iCs/>
          <w:kern w:val="0"/>
          <w14:ligatures w14:val="none"/>
        </w:rPr>
        <w:t>Hitler: 1936–1945 Nemesis</w:t>
      </w:r>
      <w:r w:rsidRPr="005B37B3">
        <w:rPr>
          <w:rFonts w:ascii="Arial" w:hAnsi="Arial" w:cs="Arial"/>
          <w:kern w:val="0"/>
          <w14:ligatures w14:val="none"/>
        </w:rPr>
        <w:t xml:space="preserve"> (London: Penguin, 2000)</w:t>
      </w:r>
    </w:p>
    <w:p w14:paraId="234E0EE2" w14:textId="715004A5"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McLaine, Ian, </w:t>
      </w:r>
      <w:r w:rsidRPr="004C016E">
        <w:rPr>
          <w:rFonts w:ascii="Arial" w:hAnsi="Arial" w:cs="Arial"/>
          <w:i/>
          <w:iCs/>
          <w:kern w:val="0"/>
          <w14:ligatures w14:val="none"/>
        </w:rPr>
        <w:t xml:space="preserve">Ministry of Morale: Home Front Morale and the Ministry of Information in World War II </w:t>
      </w:r>
      <w:r w:rsidRPr="005B37B3">
        <w:rPr>
          <w:rFonts w:ascii="Arial" w:hAnsi="Arial" w:cs="Arial"/>
          <w:kern w:val="0"/>
          <w14:ligatures w14:val="none"/>
        </w:rPr>
        <w:t>(London: Allen &amp; Unwin, 1979)</w:t>
      </w:r>
    </w:p>
    <w:p w14:paraId="32B941D5" w14:textId="25CF1CC3" w:rsidR="005B37B3" w:rsidRPr="005B37B3"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Murray, Williamson, </w:t>
      </w:r>
      <w:r w:rsidRPr="004C016E">
        <w:rPr>
          <w:rFonts w:ascii="Arial" w:hAnsi="Arial" w:cs="Arial"/>
          <w:i/>
          <w:iCs/>
          <w:kern w:val="0"/>
          <w14:ligatures w14:val="none"/>
        </w:rPr>
        <w:t xml:space="preserve">Luftwaffe </w:t>
      </w:r>
      <w:r w:rsidRPr="005B37B3">
        <w:rPr>
          <w:rFonts w:ascii="Arial" w:hAnsi="Arial" w:cs="Arial"/>
          <w:kern w:val="0"/>
          <w14:ligatures w14:val="none"/>
        </w:rPr>
        <w:t>(Baltimore: Nautical &amp; Aviation Publishing, 1985)</w:t>
      </w:r>
    </w:p>
    <w:p w14:paraId="5C909F8E" w14:textId="158F3132" w:rsidR="00F6422A" w:rsidRDefault="005B37B3" w:rsidP="005B37B3">
      <w:pPr>
        <w:spacing w:before="100" w:beforeAutospacing="1" w:after="100" w:afterAutospacing="1" w:line="240" w:lineRule="auto"/>
        <w:rPr>
          <w:rFonts w:ascii="Arial" w:hAnsi="Arial" w:cs="Arial"/>
          <w:kern w:val="0"/>
          <w14:ligatures w14:val="none"/>
        </w:rPr>
      </w:pPr>
      <w:r w:rsidRPr="005B37B3">
        <w:rPr>
          <w:rFonts w:ascii="Arial" w:hAnsi="Arial" w:cs="Arial"/>
          <w:kern w:val="0"/>
          <w14:ligatures w14:val="none"/>
        </w:rPr>
        <w:t xml:space="preserve">Overy, Richard, </w:t>
      </w:r>
      <w:r w:rsidRPr="004C016E">
        <w:rPr>
          <w:rFonts w:ascii="Arial" w:hAnsi="Arial" w:cs="Arial"/>
          <w:i/>
          <w:iCs/>
          <w:kern w:val="0"/>
          <w14:ligatures w14:val="none"/>
        </w:rPr>
        <w:t>The Bombing War: Europe 1939–1945</w:t>
      </w:r>
      <w:r w:rsidRPr="005B37B3">
        <w:rPr>
          <w:rFonts w:ascii="Arial" w:hAnsi="Arial" w:cs="Arial"/>
          <w:kern w:val="0"/>
          <w14:ligatures w14:val="none"/>
        </w:rPr>
        <w:t xml:space="preserve"> (London: Allen Lane, 2013)</w:t>
      </w:r>
    </w:p>
    <w:p w14:paraId="24E2C52C" w14:textId="77777777" w:rsidR="005B37B3" w:rsidRPr="00EA55F0" w:rsidRDefault="005B37B3" w:rsidP="005B37B3">
      <w:pPr>
        <w:spacing w:before="100" w:beforeAutospacing="1" w:after="100" w:afterAutospacing="1" w:line="240" w:lineRule="auto"/>
        <w:rPr>
          <w:rFonts w:ascii="Arial" w:hAnsi="Arial" w:cs="Arial"/>
          <w:kern w:val="0"/>
          <w14:ligatures w14:val="none"/>
        </w:rPr>
      </w:pPr>
    </w:p>
    <w:p w14:paraId="1CE03F53" w14:textId="46DDB1F1" w:rsidR="00D51FCB" w:rsidRPr="00EA55F0" w:rsidRDefault="00D51FCB" w:rsidP="00F90CB1">
      <w:pPr>
        <w:spacing w:before="100" w:beforeAutospacing="1" w:after="100" w:afterAutospacing="1" w:line="240" w:lineRule="auto"/>
        <w:jc w:val="center"/>
        <w:outlineLvl w:val="2"/>
        <w:rPr>
          <w:rFonts w:ascii="Arial" w:hAnsi="Arial" w:cs="Arial"/>
          <w:b/>
          <w:bCs/>
          <w:kern w:val="0"/>
          <w14:ligatures w14:val="none"/>
        </w:rPr>
      </w:pPr>
      <w:r w:rsidRPr="00EA55F0">
        <w:rPr>
          <w:rFonts w:ascii="Arial" w:eastAsia="Times New Roman" w:hAnsi="Arial" w:cs="Arial"/>
          <w:b/>
          <w:bCs/>
          <w:kern w:val="0"/>
          <w14:ligatures w14:val="none"/>
        </w:rPr>
        <w:t>Websites</w:t>
      </w:r>
    </w:p>
    <w:p w14:paraId="696C2766" w14:textId="4D2B45D5" w:rsidR="00D51FCB" w:rsidRPr="00EA55F0" w:rsidRDefault="00D51FCB" w:rsidP="00D51FCB">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 xml:space="preserve">Imperial War Museums, ‘The Blitz’, </w:t>
      </w:r>
      <w:hyperlink r:id="rId8" w:history="1">
        <w:r w:rsidRPr="00EA55F0">
          <w:rPr>
            <w:rFonts w:ascii="Arial" w:hAnsi="Arial" w:cs="Arial"/>
            <w:color w:val="0000FF"/>
            <w:kern w:val="0"/>
            <w:u w:val="single"/>
            <w14:ligatures w14:val="none"/>
          </w:rPr>
          <w:t>https://www.iwm.org.uk/history/the-blitz</w:t>
        </w:r>
      </w:hyperlink>
      <w:r w:rsidRPr="00EA55F0">
        <w:rPr>
          <w:rFonts w:ascii="Arial" w:hAnsi="Arial" w:cs="Arial"/>
          <w:noProof/>
          <w:kern w:val="0"/>
          <w14:ligatures w14:val="none"/>
        </w:rPr>
        <mc:AlternateContent>
          <mc:Choice Requires="wps">
            <w:drawing>
              <wp:inline distT="0" distB="0" distL="0" distR="0" wp14:anchorId="4840AAEC" wp14:editId="73E9FB4B">
                <wp:extent cx="304800" cy="304800"/>
                <wp:effectExtent l="0" t="0" r="0" b="0"/>
                <wp:docPr id="1499901180"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94DB94A"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EA55F0">
        <w:rPr>
          <w:rFonts w:ascii="Arial" w:hAnsi="Arial" w:cs="Arial"/>
          <w:kern w:val="0"/>
          <w14:ligatures w14:val="none"/>
        </w:rPr>
        <w:t xml:space="preserve"> </w:t>
      </w:r>
      <w:r w:rsidR="009811AF">
        <w:rPr>
          <w:rFonts w:ascii="Arial" w:hAnsi="Arial" w:cs="Arial"/>
          <w:kern w:val="0"/>
          <w14:ligatures w14:val="none"/>
        </w:rPr>
        <w:t>Accessed 02/01/2026</w:t>
      </w:r>
    </w:p>
    <w:p w14:paraId="75307467" w14:textId="304D2C9B" w:rsidR="00D51FCB" w:rsidRPr="00EA55F0" w:rsidRDefault="00D51FCB" w:rsidP="00D51FCB">
      <w:pPr>
        <w:spacing w:before="100" w:beforeAutospacing="1" w:after="100" w:afterAutospacing="1" w:line="240" w:lineRule="auto"/>
        <w:rPr>
          <w:rFonts w:ascii="Arial" w:hAnsi="Arial" w:cs="Arial"/>
          <w:kern w:val="0"/>
          <w14:ligatures w14:val="none"/>
        </w:rPr>
      </w:pPr>
      <w:r w:rsidRPr="00EA55F0">
        <w:rPr>
          <w:rFonts w:ascii="Arial" w:hAnsi="Arial" w:cs="Arial"/>
          <w:kern w:val="0"/>
          <w14:ligatures w14:val="none"/>
        </w:rPr>
        <w:t xml:space="preserve">The National Archives (UK), ‘Civilian Morale and the Blitz’, </w:t>
      </w:r>
      <w:hyperlink r:id="rId9" w:history="1">
        <w:r w:rsidRPr="00EA55F0">
          <w:rPr>
            <w:rFonts w:ascii="Arial" w:hAnsi="Arial" w:cs="Arial"/>
            <w:color w:val="0000FF"/>
            <w:kern w:val="0"/>
            <w:u w:val="single"/>
            <w14:ligatures w14:val="none"/>
          </w:rPr>
          <w:t>https://www.nationalarchives.gov.uk</w:t>
        </w:r>
      </w:hyperlink>
      <w:r w:rsidR="009811AF">
        <w:rPr>
          <w:rFonts w:ascii="Arial" w:hAnsi="Arial" w:cs="Arial"/>
          <w:noProof/>
          <w:kern w:val="0"/>
          <w14:ligatures w14:val="none"/>
        </w:rPr>
        <w:t xml:space="preserve"> </w:t>
      </w:r>
      <w:r w:rsidR="00F53D59">
        <w:rPr>
          <w:rFonts w:ascii="Arial" w:hAnsi="Arial" w:cs="Arial"/>
          <w:kern w:val="0"/>
          <w14:ligatures w14:val="none"/>
        </w:rPr>
        <w:t>Accessed 02/01/2026</w:t>
      </w:r>
    </w:p>
    <w:p w14:paraId="748F0718" w14:textId="77777777" w:rsidR="00047412" w:rsidRPr="00EA55F0" w:rsidRDefault="00047412" w:rsidP="00B23918">
      <w:pPr>
        <w:rPr>
          <w:rFonts w:ascii="Arial" w:hAnsi="Arial" w:cs="Arial"/>
        </w:rPr>
      </w:pPr>
    </w:p>
    <w:sectPr w:rsidR="00047412" w:rsidRPr="00EA55F0">
      <w:headerReference w:type="even" r:id="rId1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77F5CE" w14:textId="77777777" w:rsidR="00814706" w:rsidRDefault="00814706" w:rsidP="008804F8">
      <w:pPr>
        <w:spacing w:after="0" w:line="240" w:lineRule="auto"/>
      </w:pPr>
      <w:r>
        <w:separator/>
      </w:r>
    </w:p>
  </w:endnote>
  <w:endnote w:type="continuationSeparator" w:id="0">
    <w:p w14:paraId="7280A086" w14:textId="77777777" w:rsidR="00814706" w:rsidRDefault="00814706" w:rsidP="008804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463056" w14:textId="51427364" w:rsidR="001F0E3A" w:rsidRPr="001F0E3A" w:rsidRDefault="001F0E3A" w:rsidP="001F0E3A">
    <w:pPr>
      <w:spacing w:after="0" w:line="240" w:lineRule="auto"/>
      <w:outlineLvl w:val="0"/>
      <w:rPr>
        <w:rFonts w:ascii="Arial" w:eastAsia="Times New Roman" w:hAnsi="Arial" w:cs="Arial"/>
        <w:b/>
        <w:bCs/>
        <w:color w:val="000000" w:themeColor="text1"/>
        <w:kern w:val="36"/>
        <w14:ligatures w14:val="none"/>
      </w:rPr>
    </w:pPr>
    <w:r w:rsidRPr="001F0E3A">
      <w:rPr>
        <w:rFonts w:ascii="Arial" w:eastAsia="Times New Roman" w:hAnsi="Arial" w:cs="Arial"/>
        <w:b/>
        <w:bCs/>
        <w:color w:val="000000" w:themeColor="text1"/>
        <w:kern w:val="36"/>
        <w14:ligatures w14:val="none"/>
      </w:rPr>
      <w:t>Academic Skills (HPHP4902)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895FC" w14:textId="77777777" w:rsidR="00814706" w:rsidRDefault="00814706" w:rsidP="008804F8">
      <w:pPr>
        <w:spacing w:after="0" w:line="240" w:lineRule="auto"/>
      </w:pPr>
      <w:r>
        <w:separator/>
      </w:r>
    </w:p>
  </w:footnote>
  <w:footnote w:type="continuationSeparator" w:id="0">
    <w:p w14:paraId="678161E2" w14:textId="77777777" w:rsidR="00814706" w:rsidRDefault="00814706" w:rsidP="008804F8">
      <w:pPr>
        <w:spacing w:after="0" w:line="240" w:lineRule="auto"/>
      </w:pPr>
      <w:r>
        <w:continuationSeparator/>
      </w:r>
    </w:p>
  </w:footnote>
  <w:footnote w:id="1">
    <w:p w14:paraId="7F7017F6" w14:textId="789DBEFE" w:rsidR="00457293" w:rsidRPr="00020EB0" w:rsidRDefault="00457293">
      <w:pPr>
        <w:pStyle w:val="FootnoteText"/>
        <w:rPr>
          <w:sz w:val="24"/>
          <w:szCs w:val="24"/>
        </w:rPr>
      </w:pPr>
      <w:r>
        <w:rPr>
          <w:rStyle w:val="FootnoteReference"/>
        </w:rPr>
        <w:footnoteRef/>
      </w:r>
      <w:r>
        <w:t xml:space="preserve"> </w:t>
      </w:r>
      <w:r w:rsidR="00F245AB" w:rsidRPr="00020EB0">
        <w:rPr>
          <w:rFonts w:ascii="Arial" w:hAnsi="Arial" w:cs="Arial"/>
          <w:kern w:val="0"/>
          <w:sz w:val="24"/>
          <w:szCs w:val="24"/>
          <w14:ligatures w14:val="none"/>
        </w:rPr>
        <w:t xml:space="preserve">Richard Overy, </w:t>
      </w:r>
      <w:r w:rsidR="00F245AB" w:rsidRPr="003A00E3">
        <w:rPr>
          <w:rFonts w:ascii="Arial" w:hAnsi="Arial" w:cs="Arial"/>
          <w:i/>
          <w:iCs/>
          <w:kern w:val="0"/>
          <w:sz w:val="24"/>
          <w:szCs w:val="24"/>
          <w14:ligatures w14:val="none"/>
        </w:rPr>
        <w:t>The Bombing War: Europe 1939–1945</w:t>
      </w:r>
      <w:r w:rsidR="00F245AB" w:rsidRPr="00020EB0">
        <w:rPr>
          <w:rFonts w:ascii="Arial" w:hAnsi="Arial" w:cs="Arial"/>
          <w:kern w:val="0"/>
          <w:sz w:val="24"/>
          <w:szCs w:val="24"/>
          <w14:ligatures w14:val="none"/>
        </w:rPr>
        <w:t xml:space="preserve"> (London: Allen Lane, 2013), pp. 77–80.</w:t>
      </w:r>
    </w:p>
  </w:footnote>
  <w:footnote w:id="2">
    <w:p w14:paraId="2583ADB5" w14:textId="564782DA" w:rsidR="009447C8" w:rsidRPr="000C04A4" w:rsidRDefault="009447C8" w:rsidP="000C04A4">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F245AB" w:rsidRPr="00D77859">
        <w:rPr>
          <w:rFonts w:ascii="Arial" w:hAnsi="Arial" w:cs="Arial"/>
          <w:kern w:val="0"/>
          <w14:ligatures w14:val="none"/>
        </w:rPr>
        <w:t xml:space="preserve">Tami Davis Biddle, </w:t>
      </w:r>
      <w:r w:rsidR="00F245AB" w:rsidRPr="003A00E3">
        <w:rPr>
          <w:rFonts w:ascii="Arial" w:hAnsi="Arial" w:cs="Arial"/>
          <w:i/>
          <w:iCs/>
          <w:kern w:val="0"/>
          <w14:ligatures w14:val="none"/>
        </w:rPr>
        <w:t>Rhetoric and Reality in Air Warfare</w:t>
      </w:r>
      <w:r w:rsidR="00F245AB" w:rsidRPr="00D77859">
        <w:rPr>
          <w:rFonts w:ascii="Arial" w:hAnsi="Arial" w:cs="Arial"/>
          <w:kern w:val="0"/>
          <w14:ligatures w14:val="none"/>
        </w:rPr>
        <w:t xml:space="preserve"> (Princeton: Princeton University Press, 2002), p. 21.</w:t>
      </w:r>
    </w:p>
  </w:footnote>
  <w:footnote w:id="3">
    <w:p w14:paraId="624220B5" w14:textId="1073C15C" w:rsidR="002D2BE6" w:rsidRPr="000C04A4" w:rsidRDefault="002D2BE6" w:rsidP="000C04A4">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0C04A4" w:rsidRPr="00D77859">
        <w:rPr>
          <w:rFonts w:ascii="Arial" w:hAnsi="Arial" w:cs="Arial"/>
          <w:kern w:val="0"/>
          <w14:ligatures w14:val="none"/>
        </w:rPr>
        <w:t xml:space="preserve">Angus Calder, </w:t>
      </w:r>
      <w:r w:rsidR="000C04A4" w:rsidRPr="003A00E3">
        <w:rPr>
          <w:rFonts w:ascii="Arial" w:hAnsi="Arial" w:cs="Arial"/>
          <w:i/>
          <w:iCs/>
          <w:kern w:val="0"/>
          <w14:ligatures w14:val="none"/>
        </w:rPr>
        <w:t xml:space="preserve">The Myth of the Blitz </w:t>
      </w:r>
      <w:r w:rsidR="000C04A4" w:rsidRPr="00D77859">
        <w:rPr>
          <w:rFonts w:ascii="Arial" w:hAnsi="Arial" w:cs="Arial"/>
          <w:kern w:val="0"/>
          <w14:ligatures w14:val="none"/>
        </w:rPr>
        <w:t>(London: Jonathan Cape, 1991), p. 13.</w:t>
      </w:r>
    </w:p>
  </w:footnote>
  <w:footnote w:id="4">
    <w:p w14:paraId="6A353CE5" w14:textId="2560A359" w:rsidR="002D2BE6" w:rsidRPr="00020EB0" w:rsidRDefault="002D2BE6">
      <w:pPr>
        <w:pStyle w:val="FootnoteText"/>
        <w:rPr>
          <w:sz w:val="24"/>
          <w:szCs w:val="24"/>
        </w:rPr>
      </w:pPr>
      <w:r>
        <w:rPr>
          <w:rStyle w:val="FootnoteReference"/>
        </w:rPr>
        <w:footnoteRef/>
      </w:r>
      <w:r>
        <w:t xml:space="preserve"> </w:t>
      </w:r>
      <w:r w:rsidR="006D5953" w:rsidRPr="00020EB0">
        <w:rPr>
          <w:rFonts w:ascii="Arial" w:hAnsi="Arial" w:cs="Arial"/>
          <w:kern w:val="0"/>
          <w:sz w:val="24"/>
          <w:szCs w:val="24"/>
          <w14:ligatures w14:val="none"/>
        </w:rPr>
        <w:t xml:space="preserve">Giulio Douhet, </w:t>
      </w:r>
      <w:r w:rsidR="006D5953" w:rsidRPr="003A00E3">
        <w:rPr>
          <w:rFonts w:ascii="Arial" w:hAnsi="Arial" w:cs="Arial"/>
          <w:i/>
          <w:iCs/>
          <w:kern w:val="0"/>
          <w:sz w:val="24"/>
          <w:szCs w:val="24"/>
          <w14:ligatures w14:val="none"/>
        </w:rPr>
        <w:t>The Command of the Air</w:t>
      </w:r>
      <w:r w:rsidR="006D5953" w:rsidRPr="00020EB0">
        <w:rPr>
          <w:rFonts w:ascii="Arial" w:hAnsi="Arial" w:cs="Arial"/>
          <w:kern w:val="0"/>
          <w:sz w:val="24"/>
          <w:szCs w:val="24"/>
          <w14:ligatures w14:val="none"/>
        </w:rPr>
        <w:t xml:space="preserve"> (Rome, 1921), p. 58.</w:t>
      </w:r>
    </w:p>
  </w:footnote>
  <w:footnote w:id="5">
    <w:p w14:paraId="1322CFB0" w14:textId="7E1514F5" w:rsidR="00A76CA4" w:rsidRPr="006D5953" w:rsidRDefault="00A76CA4" w:rsidP="006D5953">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6D5953" w:rsidRPr="00D77859">
        <w:rPr>
          <w:rFonts w:ascii="Arial" w:hAnsi="Arial" w:cs="Arial"/>
          <w:kern w:val="0"/>
          <w14:ligatures w14:val="none"/>
        </w:rPr>
        <w:t>Douhet, p. 61.</w:t>
      </w:r>
    </w:p>
  </w:footnote>
  <w:footnote w:id="6">
    <w:p w14:paraId="15DF5219" w14:textId="29C7E7EE" w:rsidR="00A76CA4" w:rsidRPr="00020EB0" w:rsidRDefault="00A76CA4">
      <w:pPr>
        <w:pStyle w:val="FootnoteText"/>
        <w:rPr>
          <w:sz w:val="24"/>
          <w:szCs w:val="24"/>
        </w:rPr>
      </w:pPr>
      <w:r>
        <w:rPr>
          <w:rStyle w:val="FootnoteReference"/>
        </w:rPr>
        <w:footnoteRef/>
      </w:r>
      <w:r>
        <w:t xml:space="preserve"> </w:t>
      </w:r>
      <w:r w:rsidR="006F4E53" w:rsidRPr="00020EB0">
        <w:rPr>
          <w:rFonts w:ascii="Arial" w:hAnsi="Arial" w:cs="Arial"/>
          <w:kern w:val="0"/>
          <w:sz w:val="24"/>
          <w:szCs w:val="24"/>
          <w14:ligatures w14:val="none"/>
        </w:rPr>
        <w:t xml:space="preserve">David Edgerton, </w:t>
      </w:r>
      <w:r w:rsidR="006F4E53" w:rsidRPr="003A00E3">
        <w:rPr>
          <w:rFonts w:ascii="Arial" w:hAnsi="Arial" w:cs="Arial"/>
          <w:i/>
          <w:iCs/>
          <w:kern w:val="0"/>
          <w:sz w:val="24"/>
          <w:szCs w:val="24"/>
          <w14:ligatures w14:val="none"/>
        </w:rPr>
        <w:t>Britain’s War Machine</w:t>
      </w:r>
      <w:r w:rsidR="006F4E53" w:rsidRPr="00020EB0">
        <w:rPr>
          <w:rFonts w:ascii="Arial" w:hAnsi="Arial" w:cs="Arial"/>
          <w:kern w:val="0"/>
          <w:sz w:val="24"/>
          <w:szCs w:val="24"/>
          <w14:ligatures w14:val="none"/>
        </w:rPr>
        <w:t xml:space="preserve"> (London: Penguin, 2011), p. 112.</w:t>
      </w:r>
    </w:p>
  </w:footnote>
  <w:footnote w:id="7">
    <w:p w14:paraId="601814DB" w14:textId="64976D16" w:rsidR="00A76CA4" w:rsidRPr="00020EB0" w:rsidRDefault="00A76CA4">
      <w:pPr>
        <w:pStyle w:val="FootnoteText"/>
        <w:rPr>
          <w:sz w:val="24"/>
          <w:szCs w:val="24"/>
        </w:rPr>
      </w:pPr>
      <w:r>
        <w:rPr>
          <w:rStyle w:val="FootnoteReference"/>
        </w:rPr>
        <w:footnoteRef/>
      </w:r>
      <w:r>
        <w:t xml:space="preserve"> </w:t>
      </w:r>
      <w:r w:rsidR="006F4E53" w:rsidRPr="00020EB0">
        <w:rPr>
          <w:rFonts w:ascii="Arial" w:hAnsi="Arial" w:cs="Arial"/>
          <w:kern w:val="0"/>
          <w:sz w:val="24"/>
          <w:szCs w:val="24"/>
          <w14:ligatures w14:val="none"/>
        </w:rPr>
        <w:t>Calder, p. 19.</w:t>
      </w:r>
    </w:p>
  </w:footnote>
  <w:footnote w:id="8">
    <w:p w14:paraId="217CB3F7" w14:textId="7EFB3C3A" w:rsidR="00A76CA4" w:rsidRPr="00020EB0" w:rsidRDefault="00A76CA4">
      <w:pPr>
        <w:pStyle w:val="FootnoteText"/>
        <w:rPr>
          <w:sz w:val="24"/>
          <w:szCs w:val="24"/>
        </w:rPr>
      </w:pPr>
      <w:r>
        <w:rPr>
          <w:rStyle w:val="FootnoteReference"/>
        </w:rPr>
        <w:footnoteRef/>
      </w:r>
      <w:r>
        <w:t xml:space="preserve"> </w:t>
      </w:r>
      <w:r w:rsidR="00194202" w:rsidRPr="00020EB0">
        <w:rPr>
          <w:rFonts w:ascii="Arial" w:hAnsi="Arial" w:cs="Arial"/>
          <w:kern w:val="0"/>
          <w:sz w:val="24"/>
          <w:szCs w:val="24"/>
          <w14:ligatures w14:val="none"/>
        </w:rPr>
        <w:t xml:space="preserve">Ian McLaine, </w:t>
      </w:r>
      <w:r w:rsidR="00194202" w:rsidRPr="003A00E3">
        <w:rPr>
          <w:rFonts w:ascii="Arial" w:hAnsi="Arial" w:cs="Arial"/>
          <w:i/>
          <w:iCs/>
          <w:kern w:val="0"/>
          <w:sz w:val="24"/>
          <w:szCs w:val="24"/>
          <w14:ligatures w14:val="none"/>
        </w:rPr>
        <w:t>Ministry of Morale</w:t>
      </w:r>
      <w:r w:rsidR="00194202" w:rsidRPr="00020EB0">
        <w:rPr>
          <w:rFonts w:ascii="Arial" w:hAnsi="Arial" w:cs="Arial"/>
          <w:kern w:val="0"/>
          <w:sz w:val="24"/>
          <w:szCs w:val="24"/>
          <w14:ligatures w14:val="none"/>
        </w:rPr>
        <w:t xml:space="preserve"> (London: Allen &amp; Unwin, 1979), p. 4.</w:t>
      </w:r>
    </w:p>
  </w:footnote>
  <w:footnote w:id="9">
    <w:p w14:paraId="5905CFE1" w14:textId="6811718A" w:rsidR="002B14CA" w:rsidRDefault="002B14CA">
      <w:pPr>
        <w:pStyle w:val="FootnoteText"/>
      </w:pPr>
      <w:r>
        <w:rPr>
          <w:rStyle w:val="FootnoteReference"/>
        </w:rPr>
        <w:footnoteRef/>
      </w:r>
      <w:r>
        <w:t xml:space="preserve"> </w:t>
      </w:r>
      <w:r w:rsidR="00194202" w:rsidRPr="00020EB0">
        <w:rPr>
          <w:rFonts w:ascii="Arial" w:hAnsi="Arial" w:cs="Arial"/>
          <w:kern w:val="0"/>
          <w:sz w:val="24"/>
          <w:szCs w:val="24"/>
          <w14:ligatures w14:val="none"/>
        </w:rPr>
        <w:t>Overy, p. 96.</w:t>
      </w:r>
    </w:p>
  </w:footnote>
  <w:footnote w:id="10">
    <w:p w14:paraId="54F3A7F3" w14:textId="7782658E" w:rsidR="002B14CA" w:rsidRPr="00194202" w:rsidRDefault="002B14CA" w:rsidP="00194202">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194202" w:rsidRPr="00D77859">
        <w:rPr>
          <w:rFonts w:ascii="Arial" w:hAnsi="Arial" w:cs="Arial"/>
          <w:kern w:val="0"/>
          <w14:ligatures w14:val="none"/>
        </w:rPr>
        <w:t xml:space="preserve">Ian Kershaw, </w:t>
      </w:r>
      <w:r w:rsidR="00194202" w:rsidRPr="003A00E3">
        <w:rPr>
          <w:rFonts w:ascii="Arial" w:hAnsi="Arial" w:cs="Arial"/>
          <w:i/>
          <w:iCs/>
          <w:kern w:val="0"/>
          <w14:ligatures w14:val="none"/>
        </w:rPr>
        <w:t>Hitler: 1936–1945</w:t>
      </w:r>
      <w:r w:rsidR="00194202" w:rsidRPr="00D77859">
        <w:rPr>
          <w:rFonts w:ascii="Arial" w:hAnsi="Arial" w:cs="Arial"/>
          <w:kern w:val="0"/>
          <w14:ligatures w14:val="none"/>
        </w:rPr>
        <w:t xml:space="preserve"> (London: Penguin, 2000), p. 329.</w:t>
      </w:r>
    </w:p>
  </w:footnote>
  <w:footnote w:id="11">
    <w:p w14:paraId="524D8B4E" w14:textId="613A344B" w:rsidR="002B14CA" w:rsidRPr="00287359" w:rsidRDefault="002B14CA" w:rsidP="00287359">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E610AC" w:rsidRPr="00D77859">
        <w:rPr>
          <w:rFonts w:ascii="Arial" w:hAnsi="Arial" w:cs="Arial"/>
          <w:kern w:val="0"/>
          <w14:ligatures w14:val="none"/>
        </w:rPr>
        <w:t>Overy, p. 102.</w:t>
      </w:r>
    </w:p>
  </w:footnote>
  <w:footnote w:id="12">
    <w:p w14:paraId="72B43C0E" w14:textId="61CD8B7F" w:rsidR="002B14CA" w:rsidRPr="00287359" w:rsidRDefault="002B14CA" w:rsidP="00287359">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287359" w:rsidRPr="00D77859">
        <w:rPr>
          <w:rFonts w:ascii="Arial" w:hAnsi="Arial" w:cs="Arial"/>
          <w:kern w:val="0"/>
          <w14:ligatures w14:val="none"/>
        </w:rPr>
        <w:t>Overy, p. 98.</w:t>
      </w:r>
    </w:p>
  </w:footnote>
  <w:footnote w:id="13">
    <w:p w14:paraId="78BFF84B" w14:textId="51C14EDD" w:rsidR="002B14CA" w:rsidRPr="000311E8" w:rsidRDefault="002B14CA" w:rsidP="000311E8">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0311E8" w:rsidRPr="00D77859">
        <w:rPr>
          <w:rFonts w:ascii="Arial" w:hAnsi="Arial" w:cs="Arial"/>
          <w:kern w:val="0"/>
          <w14:ligatures w14:val="none"/>
        </w:rPr>
        <w:t>Biddle, p. 214.</w:t>
      </w:r>
    </w:p>
  </w:footnote>
  <w:footnote w:id="14">
    <w:p w14:paraId="093EB95B" w14:textId="4A8585DB" w:rsidR="002B14CA" w:rsidRPr="000311E8" w:rsidRDefault="002B14CA" w:rsidP="000311E8">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0311E8" w:rsidRPr="00D77859">
        <w:rPr>
          <w:rFonts w:ascii="Arial" w:hAnsi="Arial" w:cs="Arial"/>
          <w:kern w:val="0"/>
          <w14:ligatures w14:val="none"/>
        </w:rPr>
        <w:t>Göring interrogation, 1945, quoted in Overy, p. 115.</w:t>
      </w:r>
    </w:p>
  </w:footnote>
  <w:footnote w:id="15">
    <w:p w14:paraId="63E6A62B" w14:textId="1C405AEA" w:rsidR="002B14CA" w:rsidRPr="003E2742" w:rsidRDefault="002B14CA" w:rsidP="003E2742">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3E2742" w:rsidRPr="00D77859">
        <w:rPr>
          <w:rFonts w:ascii="Arial" w:hAnsi="Arial" w:cs="Arial"/>
          <w:kern w:val="0"/>
          <w14:ligatures w14:val="none"/>
        </w:rPr>
        <w:t xml:space="preserve">Williamson Murray, </w:t>
      </w:r>
      <w:r w:rsidR="003E2742" w:rsidRPr="003A00E3">
        <w:rPr>
          <w:rFonts w:ascii="Arial" w:hAnsi="Arial" w:cs="Arial"/>
          <w:i/>
          <w:iCs/>
          <w:kern w:val="0"/>
          <w14:ligatures w14:val="none"/>
        </w:rPr>
        <w:t xml:space="preserve">Luftwaffe </w:t>
      </w:r>
      <w:r w:rsidR="003E2742" w:rsidRPr="00D77859">
        <w:rPr>
          <w:rFonts w:ascii="Arial" w:hAnsi="Arial" w:cs="Arial"/>
          <w:kern w:val="0"/>
          <w14:ligatures w14:val="none"/>
        </w:rPr>
        <w:t>(Baltimore: Nautical &amp; Aviation Publishing, 1985), p. 187.</w:t>
      </w:r>
    </w:p>
  </w:footnote>
  <w:footnote w:id="16">
    <w:p w14:paraId="299C7F94" w14:textId="7458003F" w:rsidR="002B14CA" w:rsidRPr="003E2742" w:rsidRDefault="002B14CA" w:rsidP="003E2742">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3E2742" w:rsidRPr="00D77859">
        <w:rPr>
          <w:rFonts w:ascii="Arial" w:hAnsi="Arial" w:cs="Arial"/>
          <w:kern w:val="0"/>
          <w14:ligatures w14:val="none"/>
        </w:rPr>
        <w:t>Winston Churchill, Speech to the House of Commons, 20 August 1940, Hansard.</w:t>
      </w:r>
    </w:p>
  </w:footnote>
  <w:footnote w:id="17">
    <w:p w14:paraId="4E3C1446" w14:textId="61D6AC4C" w:rsidR="006442A6" w:rsidRPr="003E2742" w:rsidRDefault="006442A6" w:rsidP="003E2742">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3E2742" w:rsidRPr="00D77859">
        <w:rPr>
          <w:rFonts w:ascii="Arial" w:hAnsi="Arial" w:cs="Arial"/>
          <w:kern w:val="0"/>
          <w14:ligatures w14:val="none"/>
        </w:rPr>
        <w:t xml:space="preserve">Winston Churchill, </w:t>
      </w:r>
      <w:r w:rsidR="003E2742" w:rsidRPr="003A00E3">
        <w:rPr>
          <w:rFonts w:ascii="Arial" w:hAnsi="Arial" w:cs="Arial"/>
          <w:i/>
          <w:iCs/>
          <w:kern w:val="0"/>
          <w14:ligatures w14:val="none"/>
        </w:rPr>
        <w:t>War Cabinet Memorandum</w:t>
      </w:r>
      <w:r w:rsidR="003E2742" w:rsidRPr="00D77859">
        <w:rPr>
          <w:rFonts w:ascii="Arial" w:hAnsi="Arial" w:cs="Arial"/>
          <w:kern w:val="0"/>
          <w14:ligatures w14:val="none"/>
        </w:rPr>
        <w:t>, September 1940, TNA, CAB 66/11.</w:t>
      </w:r>
    </w:p>
  </w:footnote>
  <w:footnote w:id="18">
    <w:p w14:paraId="599EF116" w14:textId="7C4FC1A4" w:rsidR="006442A6" w:rsidRPr="003E2742" w:rsidRDefault="006442A6" w:rsidP="003E2742">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3E2742" w:rsidRPr="00D77859">
        <w:rPr>
          <w:rFonts w:ascii="Arial" w:hAnsi="Arial" w:cs="Arial"/>
          <w:kern w:val="0"/>
          <w14:ligatures w14:val="none"/>
        </w:rPr>
        <w:t>Calder, p. 203.</w:t>
      </w:r>
    </w:p>
  </w:footnote>
  <w:footnote w:id="19">
    <w:p w14:paraId="2A626F39" w14:textId="24A00AE2" w:rsidR="006442A6" w:rsidRPr="00020EB0" w:rsidRDefault="006442A6">
      <w:pPr>
        <w:pStyle w:val="FootnoteText"/>
        <w:rPr>
          <w:sz w:val="24"/>
          <w:szCs w:val="24"/>
        </w:rPr>
      </w:pPr>
      <w:r>
        <w:rPr>
          <w:rStyle w:val="FootnoteReference"/>
        </w:rPr>
        <w:footnoteRef/>
      </w:r>
      <w:r>
        <w:t xml:space="preserve"> </w:t>
      </w:r>
      <w:r w:rsidR="002F59F2" w:rsidRPr="00020EB0">
        <w:rPr>
          <w:rFonts w:ascii="Arial" w:hAnsi="Arial" w:cs="Arial"/>
          <w:kern w:val="0"/>
          <w:sz w:val="24"/>
          <w:szCs w:val="24"/>
          <w14:ligatures w14:val="none"/>
        </w:rPr>
        <w:t xml:space="preserve">Nick Hubble, </w:t>
      </w:r>
      <w:r w:rsidR="002F59F2" w:rsidRPr="003A00E3">
        <w:rPr>
          <w:rFonts w:ascii="Arial" w:hAnsi="Arial" w:cs="Arial"/>
          <w:i/>
          <w:iCs/>
          <w:kern w:val="0"/>
          <w:sz w:val="24"/>
          <w:szCs w:val="24"/>
          <w14:ligatures w14:val="none"/>
        </w:rPr>
        <w:t>Mass Observation and Everyday Life</w:t>
      </w:r>
      <w:r w:rsidR="002F59F2" w:rsidRPr="00020EB0">
        <w:rPr>
          <w:rFonts w:ascii="Arial" w:hAnsi="Arial" w:cs="Arial"/>
          <w:kern w:val="0"/>
          <w:sz w:val="24"/>
          <w:szCs w:val="24"/>
          <w14:ligatures w14:val="none"/>
        </w:rPr>
        <w:t xml:space="preserve"> (Basingstoke: Palgrave, 2006), p. 1.</w:t>
      </w:r>
    </w:p>
  </w:footnote>
  <w:footnote w:id="20">
    <w:p w14:paraId="0CDA94CD" w14:textId="128C9F9E" w:rsidR="006442A6" w:rsidRPr="002F59F2" w:rsidRDefault="006442A6" w:rsidP="002F59F2">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2F59F2" w:rsidRPr="00D77859">
        <w:rPr>
          <w:rFonts w:ascii="Arial" w:hAnsi="Arial" w:cs="Arial"/>
          <w:kern w:val="0"/>
          <w14:ligatures w14:val="none"/>
        </w:rPr>
        <w:t xml:space="preserve">Mass Observation, </w:t>
      </w:r>
      <w:r w:rsidR="002F59F2" w:rsidRPr="003A00E3">
        <w:rPr>
          <w:rFonts w:ascii="Arial" w:hAnsi="Arial" w:cs="Arial"/>
          <w:i/>
          <w:iCs/>
          <w:kern w:val="0"/>
          <w14:ligatures w14:val="none"/>
        </w:rPr>
        <w:t>Report on Civilian Morale</w:t>
      </w:r>
      <w:r w:rsidR="002F59F2" w:rsidRPr="00D77859">
        <w:rPr>
          <w:rFonts w:ascii="Arial" w:hAnsi="Arial" w:cs="Arial"/>
          <w:kern w:val="0"/>
          <w14:ligatures w14:val="none"/>
        </w:rPr>
        <w:t>, September 1940, TNA, INF 1/264.</w:t>
      </w:r>
    </w:p>
  </w:footnote>
  <w:footnote w:id="21">
    <w:p w14:paraId="636CD1F7" w14:textId="42B54EF7" w:rsidR="006442A6" w:rsidRPr="00AE3867" w:rsidRDefault="006442A6" w:rsidP="00AE3867">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6E183B" w:rsidRPr="00D77859">
        <w:rPr>
          <w:rFonts w:ascii="Arial" w:hAnsi="Arial" w:cs="Arial"/>
          <w:kern w:val="0"/>
          <w14:ligatures w14:val="none"/>
        </w:rPr>
        <w:t>Mass Observation, R</w:t>
      </w:r>
      <w:r w:rsidR="006E183B" w:rsidRPr="003A00E3">
        <w:rPr>
          <w:rFonts w:ascii="Arial" w:hAnsi="Arial" w:cs="Arial"/>
          <w:i/>
          <w:iCs/>
          <w:kern w:val="0"/>
          <w14:ligatures w14:val="none"/>
        </w:rPr>
        <w:t>eport on Civilian Morale</w:t>
      </w:r>
      <w:r w:rsidR="006E183B" w:rsidRPr="00D77859">
        <w:rPr>
          <w:rFonts w:ascii="Arial" w:hAnsi="Arial" w:cs="Arial"/>
          <w:kern w:val="0"/>
          <w14:ligatures w14:val="none"/>
        </w:rPr>
        <w:t>, September 1940, TNA, INF 1/264.</w:t>
      </w:r>
    </w:p>
  </w:footnote>
  <w:footnote w:id="22">
    <w:p w14:paraId="6A6C92E6" w14:textId="569580B3" w:rsidR="006442A6" w:rsidRPr="00AE3867" w:rsidRDefault="006442A6" w:rsidP="00AE3867">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AE3867" w:rsidRPr="00D77859">
        <w:rPr>
          <w:rFonts w:ascii="Arial" w:hAnsi="Arial" w:cs="Arial"/>
          <w:kern w:val="0"/>
          <w14:ligatures w14:val="none"/>
        </w:rPr>
        <w:t>Mass Observation Diary, October 1940, quoted in Calder, p. 92.</w:t>
      </w:r>
    </w:p>
  </w:footnote>
  <w:footnote w:id="23">
    <w:p w14:paraId="391CA8A4" w14:textId="113B75BF" w:rsidR="006442A6" w:rsidRPr="00AE3867" w:rsidRDefault="006442A6" w:rsidP="00AE3867">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AE3867" w:rsidRPr="00D77859">
        <w:rPr>
          <w:rFonts w:ascii="Arial" w:hAnsi="Arial" w:cs="Arial"/>
          <w:kern w:val="0"/>
          <w14:ligatures w14:val="none"/>
        </w:rPr>
        <w:t>Calder, p. 110.</w:t>
      </w:r>
    </w:p>
  </w:footnote>
  <w:footnote w:id="24">
    <w:p w14:paraId="1C6F9EE5" w14:textId="6AA0A3DB" w:rsidR="0076476D" w:rsidRPr="00AE3867" w:rsidRDefault="0076476D" w:rsidP="00AE3867">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AE3867" w:rsidRPr="00D77859">
        <w:rPr>
          <w:rFonts w:ascii="Arial" w:hAnsi="Arial" w:cs="Arial"/>
          <w:kern w:val="0"/>
          <w14:ligatures w14:val="none"/>
        </w:rPr>
        <w:t xml:space="preserve">Ministry of Information, </w:t>
      </w:r>
      <w:r w:rsidR="00AE3867" w:rsidRPr="003A00E3">
        <w:rPr>
          <w:rFonts w:ascii="Arial" w:hAnsi="Arial" w:cs="Arial"/>
          <w:i/>
          <w:iCs/>
          <w:kern w:val="0"/>
          <w14:ligatures w14:val="none"/>
        </w:rPr>
        <w:t>Morale Report</w:t>
      </w:r>
      <w:r w:rsidR="00AE3867" w:rsidRPr="00D77859">
        <w:rPr>
          <w:rFonts w:ascii="Arial" w:hAnsi="Arial" w:cs="Arial"/>
          <w:kern w:val="0"/>
          <w14:ligatures w14:val="none"/>
        </w:rPr>
        <w:t>, November 1940, TNA, INF 1/293.</w:t>
      </w:r>
    </w:p>
  </w:footnote>
  <w:footnote w:id="25">
    <w:p w14:paraId="5199B14D" w14:textId="75AC7B0A" w:rsidR="0076476D" w:rsidRPr="00AE3867" w:rsidRDefault="0076476D" w:rsidP="00AE3867">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AE3867" w:rsidRPr="00D77859">
        <w:rPr>
          <w:rFonts w:ascii="Arial" w:hAnsi="Arial" w:cs="Arial"/>
          <w:kern w:val="0"/>
          <w14:ligatures w14:val="none"/>
        </w:rPr>
        <w:t>McLaine, p. 87.</w:t>
      </w:r>
    </w:p>
  </w:footnote>
  <w:footnote w:id="26">
    <w:p w14:paraId="365455D3" w14:textId="40CC3A87" w:rsidR="0076476D" w:rsidRPr="00AE3867" w:rsidRDefault="0076476D" w:rsidP="00AE3867">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AE3867" w:rsidRPr="00D77859">
        <w:rPr>
          <w:rFonts w:ascii="Arial" w:hAnsi="Arial" w:cs="Arial"/>
          <w:kern w:val="0"/>
          <w14:ligatures w14:val="none"/>
        </w:rPr>
        <w:t xml:space="preserve">Imperial War Museums, </w:t>
      </w:r>
      <w:r w:rsidR="00AE3867" w:rsidRPr="003A00E3">
        <w:rPr>
          <w:rFonts w:ascii="Arial" w:hAnsi="Arial" w:cs="Arial"/>
          <w:i/>
          <w:iCs/>
          <w:kern w:val="0"/>
          <w14:ligatures w14:val="none"/>
        </w:rPr>
        <w:t>Photograph H25222.</w:t>
      </w:r>
    </w:p>
  </w:footnote>
  <w:footnote w:id="27">
    <w:p w14:paraId="4A065CD1" w14:textId="358A3858" w:rsidR="0076476D" w:rsidRPr="00E44449" w:rsidRDefault="0076476D" w:rsidP="00E44449">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8E11C3" w:rsidRPr="00D77859">
        <w:rPr>
          <w:rFonts w:ascii="Arial" w:hAnsi="Arial" w:cs="Arial"/>
          <w:kern w:val="0"/>
          <w14:ligatures w14:val="none"/>
        </w:rPr>
        <w:t xml:space="preserve">Mass Observation, </w:t>
      </w:r>
      <w:r w:rsidR="008E11C3" w:rsidRPr="003A00E3">
        <w:rPr>
          <w:rFonts w:ascii="Arial" w:hAnsi="Arial" w:cs="Arial"/>
          <w:i/>
          <w:iCs/>
          <w:kern w:val="0"/>
          <w14:ligatures w14:val="none"/>
        </w:rPr>
        <w:t>Shelter Conditions Report</w:t>
      </w:r>
      <w:r w:rsidR="008E11C3" w:rsidRPr="00D77859">
        <w:rPr>
          <w:rFonts w:ascii="Arial" w:hAnsi="Arial" w:cs="Arial"/>
          <w:kern w:val="0"/>
          <w14:ligatures w14:val="none"/>
        </w:rPr>
        <w:t>, November 1940, TNA, INF 1/292.</w:t>
      </w:r>
    </w:p>
  </w:footnote>
  <w:footnote w:id="28">
    <w:p w14:paraId="56B3DB35" w14:textId="14EF904A" w:rsidR="0076476D" w:rsidRPr="008E11C3" w:rsidRDefault="0076476D" w:rsidP="008E11C3">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8E11C3" w:rsidRPr="00D77859">
        <w:rPr>
          <w:rFonts w:ascii="Arial" w:hAnsi="Arial" w:cs="Arial"/>
          <w:kern w:val="0"/>
          <w14:ligatures w14:val="none"/>
        </w:rPr>
        <w:t>Calder, p. 1.</w:t>
      </w:r>
    </w:p>
  </w:footnote>
  <w:footnote w:id="29">
    <w:p w14:paraId="77F9AE20" w14:textId="3A2E358F" w:rsidR="00611CCA" w:rsidRPr="00020EB0" w:rsidRDefault="00611CCA">
      <w:pPr>
        <w:pStyle w:val="FootnoteText"/>
        <w:rPr>
          <w:sz w:val="24"/>
          <w:szCs w:val="24"/>
        </w:rPr>
      </w:pPr>
      <w:r>
        <w:rPr>
          <w:rStyle w:val="FootnoteReference"/>
        </w:rPr>
        <w:footnoteRef/>
      </w:r>
      <w:r>
        <w:t xml:space="preserve"> </w:t>
      </w:r>
      <w:r w:rsidR="008E11C3" w:rsidRPr="00020EB0">
        <w:rPr>
          <w:rFonts w:ascii="Arial" w:hAnsi="Arial" w:cs="Arial"/>
          <w:kern w:val="0"/>
          <w:sz w:val="24"/>
          <w:szCs w:val="24"/>
          <w14:ligatures w14:val="none"/>
        </w:rPr>
        <w:t>Calder, p. 5.</w:t>
      </w:r>
    </w:p>
  </w:footnote>
  <w:footnote w:id="30">
    <w:p w14:paraId="3BB658E3" w14:textId="0249AE0F" w:rsidR="00611CCA" w:rsidRPr="008A5665" w:rsidRDefault="00611CCA" w:rsidP="008A5665">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8A5665" w:rsidRPr="00D77859">
        <w:rPr>
          <w:rFonts w:ascii="Arial" w:hAnsi="Arial" w:cs="Arial"/>
          <w:kern w:val="0"/>
          <w14:ligatures w14:val="none"/>
        </w:rPr>
        <w:t>Calder, p. 202.</w:t>
      </w:r>
    </w:p>
  </w:footnote>
  <w:footnote w:id="31">
    <w:p w14:paraId="253C9536" w14:textId="620B5BC6" w:rsidR="00611CCA" w:rsidRPr="008A5665" w:rsidRDefault="00611CCA" w:rsidP="008A5665">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8A5665" w:rsidRPr="00D77859">
        <w:rPr>
          <w:rFonts w:ascii="Arial" w:hAnsi="Arial" w:cs="Arial"/>
          <w:kern w:val="0"/>
          <w14:ligatures w14:val="none"/>
        </w:rPr>
        <w:t>Overy, p. 118.</w:t>
      </w:r>
    </w:p>
  </w:footnote>
  <w:footnote w:id="32">
    <w:p w14:paraId="6B927B37" w14:textId="32249D65" w:rsidR="00611CCA" w:rsidRPr="008A5665" w:rsidRDefault="00611CCA" w:rsidP="008A5665">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8A5665" w:rsidRPr="00D77859">
        <w:rPr>
          <w:rFonts w:ascii="Arial" w:hAnsi="Arial" w:cs="Arial"/>
          <w:kern w:val="0"/>
          <w14:ligatures w14:val="none"/>
        </w:rPr>
        <w:t>Overy, p. 121.</w:t>
      </w:r>
    </w:p>
  </w:footnote>
  <w:footnote w:id="33">
    <w:p w14:paraId="5C75DC03" w14:textId="7BB66541" w:rsidR="00611CCA" w:rsidRPr="008A5665" w:rsidRDefault="00611CCA" w:rsidP="008A5665">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8A5665" w:rsidRPr="00D77859">
        <w:rPr>
          <w:rFonts w:ascii="Arial" w:hAnsi="Arial" w:cs="Arial"/>
          <w:kern w:val="0"/>
          <w14:ligatures w14:val="none"/>
        </w:rPr>
        <w:t xml:space="preserve">Mark Connelly, </w:t>
      </w:r>
      <w:r w:rsidR="008A5665" w:rsidRPr="003A00E3">
        <w:rPr>
          <w:rFonts w:ascii="Arial" w:hAnsi="Arial" w:cs="Arial"/>
          <w:i/>
          <w:iCs/>
          <w:kern w:val="0"/>
          <w14:ligatures w14:val="none"/>
        </w:rPr>
        <w:t>We Can Take It!</w:t>
      </w:r>
      <w:r w:rsidR="008A5665" w:rsidRPr="00D77859">
        <w:rPr>
          <w:rFonts w:ascii="Arial" w:hAnsi="Arial" w:cs="Arial"/>
          <w:kern w:val="0"/>
          <w14:ligatures w14:val="none"/>
        </w:rPr>
        <w:t xml:space="preserve"> (London: Routledge, 2004), p. 34.</w:t>
      </w:r>
    </w:p>
  </w:footnote>
  <w:footnote w:id="34">
    <w:p w14:paraId="5EFBB043" w14:textId="0AEDB225" w:rsidR="00060C01" w:rsidRPr="008A5665" w:rsidRDefault="00060C01" w:rsidP="008A5665">
      <w:pPr>
        <w:spacing w:before="100" w:beforeAutospacing="1" w:after="100" w:afterAutospacing="1" w:line="240" w:lineRule="auto"/>
        <w:rPr>
          <w:rFonts w:ascii="Arial" w:hAnsi="Arial" w:cs="Arial"/>
          <w:kern w:val="0"/>
          <w14:ligatures w14:val="none"/>
        </w:rPr>
      </w:pPr>
      <w:r>
        <w:rPr>
          <w:rStyle w:val="FootnoteReference"/>
        </w:rPr>
        <w:footnoteRef/>
      </w:r>
      <w:r>
        <w:t xml:space="preserve"> </w:t>
      </w:r>
      <w:r w:rsidR="008A5665" w:rsidRPr="00D77859">
        <w:rPr>
          <w:rFonts w:ascii="Arial" w:hAnsi="Arial" w:cs="Arial"/>
          <w:kern w:val="0"/>
          <w14:ligatures w14:val="none"/>
        </w:rPr>
        <w:t xml:space="preserve">Mass Observation, </w:t>
      </w:r>
      <w:r w:rsidR="008A5665" w:rsidRPr="003A00E3">
        <w:rPr>
          <w:rFonts w:ascii="Arial" w:hAnsi="Arial" w:cs="Arial"/>
          <w:i/>
          <w:iCs/>
          <w:kern w:val="0"/>
          <w14:ligatures w14:val="none"/>
        </w:rPr>
        <w:t>Adaptation to Bombing</w:t>
      </w:r>
      <w:r w:rsidR="008A5665" w:rsidRPr="00D77859">
        <w:rPr>
          <w:rFonts w:ascii="Arial" w:hAnsi="Arial" w:cs="Arial"/>
          <w:kern w:val="0"/>
          <w14:ligatures w14:val="none"/>
        </w:rPr>
        <w:t>, January 1941, TNA, INF 1/297.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1569218"/>
      <w:docPartObj>
        <w:docPartGallery w:val="Page Numbers (Top of Page)"/>
        <w:docPartUnique/>
      </w:docPartObj>
    </w:sdtPr>
    <w:sdtEndPr>
      <w:rPr>
        <w:rStyle w:val="PageNumber"/>
      </w:rPr>
    </w:sdtEndPr>
    <w:sdtContent>
      <w:p w14:paraId="576F9D14" w14:textId="7D14FAA3" w:rsidR="00621AFE" w:rsidRDefault="00621AFE" w:rsidP="00515F0B">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9C48A3" w14:textId="77777777" w:rsidR="00621AFE" w:rsidRDefault="00621AFE" w:rsidP="00621AF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Arial" w:hAnsi="Arial" w:cs="Arial"/>
        <w:b/>
        <w:bCs/>
      </w:rPr>
      <w:id w:val="-1909913755"/>
      <w:docPartObj>
        <w:docPartGallery w:val="Page Numbers (Top of Page)"/>
        <w:docPartUnique/>
      </w:docPartObj>
    </w:sdtPr>
    <w:sdtEndPr>
      <w:rPr>
        <w:rStyle w:val="PageNumber"/>
      </w:rPr>
    </w:sdtEndPr>
    <w:sdtContent>
      <w:p w14:paraId="2583A8CA" w14:textId="5B5FC400" w:rsidR="00621AFE" w:rsidRPr="00476E1E" w:rsidRDefault="00621AFE" w:rsidP="00515F0B">
        <w:pPr>
          <w:pStyle w:val="Header"/>
          <w:framePr w:wrap="none" w:vAnchor="text" w:hAnchor="margin" w:xAlign="right" w:y="1"/>
          <w:jc w:val="right"/>
          <w:rPr>
            <w:rStyle w:val="PageNumber"/>
            <w:rFonts w:ascii="Arial" w:hAnsi="Arial" w:cs="Arial"/>
            <w:b/>
            <w:bCs/>
          </w:rPr>
        </w:pPr>
        <w:r w:rsidRPr="00476E1E">
          <w:rPr>
            <w:rStyle w:val="PageNumber"/>
            <w:rFonts w:ascii="Arial" w:hAnsi="Arial" w:cs="Arial"/>
            <w:b/>
            <w:bCs/>
          </w:rPr>
          <w:fldChar w:fldCharType="begin"/>
        </w:r>
        <w:r w:rsidRPr="00476E1E">
          <w:rPr>
            <w:rStyle w:val="PageNumber"/>
            <w:rFonts w:ascii="Arial" w:hAnsi="Arial" w:cs="Arial"/>
            <w:b/>
            <w:bCs/>
          </w:rPr>
          <w:instrText xml:space="preserve"> PAGE </w:instrText>
        </w:r>
        <w:r w:rsidRPr="00476E1E">
          <w:rPr>
            <w:rStyle w:val="PageNumber"/>
            <w:rFonts w:ascii="Arial" w:hAnsi="Arial" w:cs="Arial"/>
            <w:b/>
            <w:bCs/>
          </w:rPr>
          <w:fldChar w:fldCharType="separate"/>
        </w:r>
        <w:r w:rsidRPr="00476E1E">
          <w:rPr>
            <w:rStyle w:val="PageNumber"/>
            <w:rFonts w:ascii="Arial" w:hAnsi="Arial" w:cs="Arial"/>
            <w:b/>
            <w:bCs/>
            <w:noProof/>
          </w:rPr>
          <w:t>1</w:t>
        </w:r>
        <w:r w:rsidRPr="00476E1E">
          <w:rPr>
            <w:rStyle w:val="PageNumber"/>
            <w:rFonts w:ascii="Arial" w:hAnsi="Arial" w:cs="Arial"/>
            <w:b/>
            <w:bCs/>
          </w:rPr>
          <w:fldChar w:fldCharType="end"/>
        </w:r>
      </w:p>
    </w:sdtContent>
  </w:sdt>
  <w:p w14:paraId="2DAF1357" w14:textId="339FD445" w:rsidR="00621AFE" w:rsidRPr="00476E1E" w:rsidRDefault="00621AFE" w:rsidP="00621AFE">
    <w:pPr>
      <w:tabs>
        <w:tab w:val="center" w:pos="4513"/>
        <w:tab w:val="right" w:pos="9026"/>
      </w:tabs>
      <w:spacing w:after="0" w:line="240" w:lineRule="auto"/>
      <w:rPr>
        <w:rFonts w:ascii="Arial" w:eastAsiaTheme="minorHAnsi" w:hAnsi="Arial" w:cs="Arial"/>
        <w:b/>
        <w:bCs/>
        <w:kern w:val="0"/>
        <w:lang w:eastAsia="en-US"/>
        <w14:ligatures w14:val="none"/>
      </w:rPr>
    </w:pPr>
    <w:r w:rsidRPr="00476E1E">
      <w:rPr>
        <w:rFonts w:ascii="Arial" w:eastAsiaTheme="minorHAnsi" w:hAnsi="Arial" w:cs="Arial"/>
        <w:b/>
        <w:bCs/>
        <w:kern w:val="0"/>
        <w:lang w:eastAsia="en-US"/>
        <w14:ligatures w14:val="none"/>
      </w:rPr>
      <w:t>Callum Carter 2404122</w:t>
    </w:r>
  </w:p>
</w:hdr>
</file>

<file path=word/intelligence2.xml><?xml version="1.0" encoding="utf-8"?>
<int2:intelligence xmlns:int2="http://schemas.microsoft.com/office/intelligence/2020/intelligence" xmlns:oel="http://schemas.microsoft.com/office/2019/extlst">
  <int2:observations>
    <int2:bookmark int2:bookmarkName="_Int_xGH6dZuQ" int2:invalidationBookmarkName="" int2:hashCode="c/vI06g9lHcMun" int2:id="iJlTznnD">
      <int2:state int2:value="Rejected" int2:type="style"/>
    </int2:bookmark>
    <int2:bookmark int2:bookmarkName="_Int_rBv5KZyO" int2:invalidationBookmarkName="" int2:hashCode="SMFwPIHakRGYAb" int2:id="FKYUyoX0">
      <int2:state int2:value="Rejected" int2:type="style"/>
    </int2:bookmark>
    <int2:bookmark int2:bookmarkName="_Int_MzusKc4m" int2:invalidationBookmarkName="" int2:hashCode="hg6yCHB2eT73T3" int2:id="sb0mdvRZ">
      <int2:state int2:value="Rejected" int2:type="style"/>
    </int2:bookmark>
    <int2:bookmark int2:bookmarkName="_Int_1OJkYx3t" int2:invalidationBookmarkName="" int2:hashCode="5/eAZwZIoXD/aE" int2:id="AzjHBwpS">
      <int2:state int2:value="Rejected" int2:type="style"/>
    </int2:bookmark>
    <int2:bookmark int2:bookmarkName="_Int_ux5eq2H8" int2:invalidationBookmarkName="" int2:hashCode="18i7aOq8RcpkSI" int2:id="UjMMoY0P">
      <int2:state int2:value="Rejected" int2:type="style"/>
    </int2:bookmark>
    <int2:bookmark int2:bookmarkName="_Int_oibiKbzO" int2:invalidationBookmarkName="" int2:hashCode="hg6yCHB2eT73T3" int2:id="9zv37tMm">
      <int2:state int2:value="Rejected" int2:type="style"/>
    </int2:bookmark>
    <int2:bookmark int2:bookmarkName="_Int_PmUnBJeS" int2:invalidationBookmarkName="" int2:hashCode="SMFwPIHakRGYAb" int2:id="5nd11PRL">
      <int2:state int2:value="Rejected" int2:type="style"/>
    </int2:bookmark>
    <int2:bookmark int2:bookmarkName="_Int_93rkq3Aw" int2:invalidationBookmarkName="" int2:hashCode="yDn4y8O5l83LnR" int2:id="duR7l4oE">
      <int2:state int2:value="Rejected" int2:type="style"/>
    </int2:bookmark>
    <int2:bookmark int2:bookmarkName="_Int_JJkaabE8" int2:invalidationBookmarkName="" int2:hashCode="CXJnQRqEmisf12" int2:id="uQsOS0DH">
      <int2:state int2:value="Rejected" int2:type="style"/>
    </int2:bookmark>
    <int2:bookmark int2:bookmarkName="_Int_QyNHirqo" int2:invalidationBookmarkName="" int2:hashCode="SLGLFARhzcGrh6" int2:id="d1wzrlmL">
      <int2:state int2:value="Rejected" int2:type="style"/>
    </int2:bookmark>
    <int2:bookmark int2:bookmarkName="_Int_q3iLsmbv" int2:invalidationBookmarkName="" int2:hashCode="6HovLIhD3ys/B8" int2:id="ceDw6AtB">
      <int2:state int2:value="Rejected" int2:type="style"/>
    </int2:bookmark>
    <int2:bookmark int2:bookmarkName="_Int_L5d0tTVI" int2:invalidationBookmarkName="" int2:hashCode="SradH0SdDJdch8" int2:id="ePSumpUV">
      <int2:state int2:value="Rejected" int2:type="style"/>
    </int2:bookmark>
    <int2:bookmark int2:bookmarkName="_Int_3PxTUgwH" int2:invalidationBookmarkName="" int2:hashCode="2i9M6eDcqD4Mt6" int2:id="YGj9hvNH">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92469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4436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412"/>
    <w:rsid w:val="000201DD"/>
    <w:rsid w:val="00020EB0"/>
    <w:rsid w:val="000311E8"/>
    <w:rsid w:val="00047412"/>
    <w:rsid w:val="00060C01"/>
    <w:rsid w:val="000C04A4"/>
    <w:rsid w:val="00180E2E"/>
    <w:rsid w:val="00194202"/>
    <w:rsid w:val="001F0E3A"/>
    <w:rsid w:val="00206A86"/>
    <w:rsid w:val="00287359"/>
    <w:rsid w:val="002B14CA"/>
    <w:rsid w:val="002B2FA8"/>
    <w:rsid w:val="002D2BE6"/>
    <w:rsid w:val="002F59F2"/>
    <w:rsid w:val="003108D1"/>
    <w:rsid w:val="00322E96"/>
    <w:rsid w:val="003349C4"/>
    <w:rsid w:val="003A00E3"/>
    <w:rsid w:val="003E2742"/>
    <w:rsid w:val="00457293"/>
    <w:rsid w:val="00476E1E"/>
    <w:rsid w:val="004C016E"/>
    <w:rsid w:val="004F0ECC"/>
    <w:rsid w:val="005912EB"/>
    <w:rsid w:val="005B37B3"/>
    <w:rsid w:val="005F76F5"/>
    <w:rsid w:val="00611CCA"/>
    <w:rsid w:val="00621AFE"/>
    <w:rsid w:val="006442A6"/>
    <w:rsid w:val="006701E3"/>
    <w:rsid w:val="006A5407"/>
    <w:rsid w:val="006C0377"/>
    <w:rsid w:val="006D5953"/>
    <w:rsid w:val="006E183B"/>
    <w:rsid w:val="006F3E2B"/>
    <w:rsid w:val="006F4E53"/>
    <w:rsid w:val="00741A04"/>
    <w:rsid w:val="00745F48"/>
    <w:rsid w:val="0076476D"/>
    <w:rsid w:val="0078667D"/>
    <w:rsid w:val="00814706"/>
    <w:rsid w:val="008804F8"/>
    <w:rsid w:val="0089370D"/>
    <w:rsid w:val="008A5665"/>
    <w:rsid w:val="008D3EAD"/>
    <w:rsid w:val="008E11C3"/>
    <w:rsid w:val="009447C8"/>
    <w:rsid w:val="009811AF"/>
    <w:rsid w:val="009A750D"/>
    <w:rsid w:val="009E78BD"/>
    <w:rsid w:val="00A03191"/>
    <w:rsid w:val="00A43F77"/>
    <w:rsid w:val="00A76CA4"/>
    <w:rsid w:val="00A80709"/>
    <w:rsid w:val="00AA47E3"/>
    <w:rsid w:val="00AE3867"/>
    <w:rsid w:val="00AF2CCE"/>
    <w:rsid w:val="00AF3A72"/>
    <w:rsid w:val="00B23918"/>
    <w:rsid w:val="00B421A1"/>
    <w:rsid w:val="00B509C9"/>
    <w:rsid w:val="00B51BD9"/>
    <w:rsid w:val="00C50F17"/>
    <w:rsid w:val="00CF1DAC"/>
    <w:rsid w:val="00D51FCB"/>
    <w:rsid w:val="00D77859"/>
    <w:rsid w:val="00E44449"/>
    <w:rsid w:val="00E610AC"/>
    <w:rsid w:val="00E71D62"/>
    <w:rsid w:val="00EA55F0"/>
    <w:rsid w:val="00EC2A44"/>
    <w:rsid w:val="00F162A1"/>
    <w:rsid w:val="00F245AB"/>
    <w:rsid w:val="00F25AA6"/>
    <w:rsid w:val="00F53D59"/>
    <w:rsid w:val="00F6422A"/>
    <w:rsid w:val="00F90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EEE85"/>
  <w15:chartTrackingRefBased/>
  <w15:docId w15:val="{BD4C7DD4-9195-884F-96D3-15D152A92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4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74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74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4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4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4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4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4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4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4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74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74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4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4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4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4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4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412"/>
    <w:rPr>
      <w:rFonts w:eastAsiaTheme="majorEastAsia" w:cstheme="majorBidi"/>
      <w:color w:val="272727" w:themeColor="text1" w:themeTint="D8"/>
    </w:rPr>
  </w:style>
  <w:style w:type="paragraph" w:styleId="Title">
    <w:name w:val="Title"/>
    <w:basedOn w:val="Normal"/>
    <w:next w:val="Normal"/>
    <w:link w:val="TitleChar"/>
    <w:uiPriority w:val="10"/>
    <w:qFormat/>
    <w:rsid w:val="000474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4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4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4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412"/>
    <w:pPr>
      <w:spacing w:before="160"/>
      <w:jc w:val="center"/>
    </w:pPr>
    <w:rPr>
      <w:i/>
      <w:iCs/>
      <w:color w:val="404040" w:themeColor="text1" w:themeTint="BF"/>
    </w:rPr>
  </w:style>
  <w:style w:type="character" w:customStyle="1" w:styleId="QuoteChar">
    <w:name w:val="Quote Char"/>
    <w:basedOn w:val="DefaultParagraphFont"/>
    <w:link w:val="Quote"/>
    <w:uiPriority w:val="29"/>
    <w:rsid w:val="00047412"/>
    <w:rPr>
      <w:i/>
      <w:iCs/>
      <w:color w:val="404040" w:themeColor="text1" w:themeTint="BF"/>
    </w:rPr>
  </w:style>
  <w:style w:type="paragraph" w:styleId="ListParagraph">
    <w:name w:val="List Paragraph"/>
    <w:basedOn w:val="Normal"/>
    <w:uiPriority w:val="34"/>
    <w:qFormat/>
    <w:rsid w:val="00047412"/>
    <w:pPr>
      <w:ind w:left="720"/>
      <w:contextualSpacing/>
    </w:pPr>
  </w:style>
  <w:style w:type="character" w:styleId="IntenseEmphasis">
    <w:name w:val="Intense Emphasis"/>
    <w:basedOn w:val="DefaultParagraphFont"/>
    <w:uiPriority w:val="21"/>
    <w:qFormat/>
    <w:rsid w:val="00047412"/>
    <w:rPr>
      <w:i/>
      <w:iCs/>
      <w:color w:val="0F4761" w:themeColor="accent1" w:themeShade="BF"/>
    </w:rPr>
  </w:style>
  <w:style w:type="paragraph" w:styleId="IntenseQuote">
    <w:name w:val="Intense Quote"/>
    <w:basedOn w:val="Normal"/>
    <w:next w:val="Normal"/>
    <w:link w:val="IntenseQuoteChar"/>
    <w:uiPriority w:val="30"/>
    <w:qFormat/>
    <w:rsid w:val="000474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412"/>
    <w:rPr>
      <w:i/>
      <w:iCs/>
      <w:color w:val="0F4761" w:themeColor="accent1" w:themeShade="BF"/>
    </w:rPr>
  </w:style>
  <w:style w:type="character" w:styleId="IntenseReference">
    <w:name w:val="Intense Reference"/>
    <w:basedOn w:val="DefaultParagraphFont"/>
    <w:uiPriority w:val="32"/>
    <w:qFormat/>
    <w:rsid w:val="00047412"/>
    <w:rPr>
      <w:b/>
      <w:bCs/>
      <w:smallCaps/>
      <w:color w:val="0F4761" w:themeColor="accent1" w:themeShade="BF"/>
      <w:spacing w:val="5"/>
    </w:rPr>
  </w:style>
  <w:style w:type="paragraph" w:customStyle="1" w:styleId="p1">
    <w:name w:val="p1"/>
    <w:basedOn w:val="Normal"/>
    <w:rsid w:val="0004741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047412"/>
  </w:style>
  <w:style w:type="paragraph" w:customStyle="1" w:styleId="p2">
    <w:name w:val="p2"/>
    <w:basedOn w:val="Normal"/>
    <w:rsid w:val="0004741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47412"/>
  </w:style>
  <w:style w:type="paragraph" w:customStyle="1" w:styleId="p3">
    <w:name w:val="p3"/>
    <w:basedOn w:val="Normal"/>
    <w:rsid w:val="00047412"/>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47412"/>
  </w:style>
  <w:style w:type="character" w:customStyle="1" w:styleId="s4">
    <w:name w:val="s4"/>
    <w:basedOn w:val="DefaultParagraphFont"/>
    <w:rsid w:val="00047412"/>
  </w:style>
  <w:style w:type="character" w:customStyle="1" w:styleId="apple-converted-space">
    <w:name w:val="apple-converted-space"/>
    <w:basedOn w:val="DefaultParagraphFont"/>
    <w:rsid w:val="00B509C9"/>
  </w:style>
  <w:style w:type="character" w:styleId="Emphasis">
    <w:name w:val="Emphasis"/>
    <w:basedOn w:val="DefaultParagraphFont"/>
    <w:uiPriority w:val="20"/>
    <w:qFormat/>
    <w:rsid w:val="00B509C9"/>
    <w:rPr>
      <w:i/>
      <w:iCs/>
    </w:rPr>
  </w:style>
  <w:style w:type="paragraph" w:styleId="Header">
    <w:name w:val="header"/>
    <w:basedOn w:val="Normal"/>
    <w:link w:val="HeaderChar"/>
    <w:uiPriority w:val="99"/>
    <w:unhideWhenUsed/>
    <w:rsid w:val="008804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4F8"/>
  </w:style>
  <w:style w:type="paragraph" w:styleId="Footer">
    <w:name w:val="footer"/>
    <w:basedOn w:val="Normal"/>
    <w:link w:val="FooterChar"/>
    <w:uiPriority w:val="99"/>
    <w:unhideWhenUsed/>
    <w:rsid w:val="008804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4F8"/>
  </w:style>
  <w:style w:type="character" w:styleId="PageNumber">
    <w:name w:val="page number"/>
    <w:basedOn w:val="DefaultParagraphFont"/>
    <w:uiPriority w:val="99"/>
    <w:semiHidden/>
    <w:unhideWhenUsed/>
    <w:rsid w:val="00621AFE"/>
  </w:style>
  <w:style w:type="character" w:styleId="Strong">
    <w:name w:val="Strong"/>
    <w:basedOn w:val="DefaultParagraphFont"/>
    <w:uiPriority w:val="22"/>
    <w:qFormat/>
    <w:rsid w:val="004F0ECC"/>
    <w:rPr>
      <w:b/>
      <w:bCs/>
    </w:rPr>
  </w:style>
  <w:style w:type="paragraph" w:styleId="FootnoteText">
    <w:name w:val="footnote text"/>
    <w:basedOn w:val="Normal"/>
    <w:link w:val="FootnoteTextChar"/>
    <w:uiPriority w:val="99"/>
    <w:unhideWhenUsed/>
    <w:rsid w:val="00457293"/>
    <w:pPr>
      <w:spacing w:after="0" w:line="240" w:lineRule="auto"/>
    </w:pPr>
    <w:rPr>
      <w:sz w:val="20"/>
      <w:szCs w:val="20"/>
    </w:rPr>
  </w:style>
  <w:style w:type="character" w:customStyle="1" w:styleId="FootnoteTextChar">
    <w:name w:val="Footnote Text Char"/>
    <w:basedOn w:val="DefaultParagraphFont"/>
    <w:link w:val="FootnoteText"/>
    <w:uiPriority w:val="99"/>
    <w:rsid w:val="00457293"/>
    <w:rPr>
      <w:sz w:val="20"/>
      <w:szCs w:val="20"/>
    </w:rPr>
  </w:style>
  <w:style w:type="character" w:styleId="FootnoteReference">
    <w:name w:val="footnote reference"/>
    <w:basedOn w:val="DefaultParagraphFont"/>
    <w:uiPriority w:val="99"/>
    <w:semiHidden/>
    <w:unhideWhenUsed/>
    <w:rsid w:val="00457293"/>
    <w:rPr>
      <w:vertAlign w:val="superscript"/>
    </w:rPr>
  </w:style>
  <w:style w:type="character" w:styleId="Hyperlink">
    <w:name w:val="Hyperlink"/>
    <w:basedOn w:val="DefaultParagraphFont"/>
    <w:uiPriority w:val="99"/>
    <w:unhideWhenUsed/>
    <w:rsid w:val="00D51FCB"/>
    <w:rPr>
      <w:color w:val="0000FF"/>
      <w:u w:val="single"/>
    </w:rPr>
  </w:style>
  <w:style w:type="character" w:styleId="UnresolvedMention">
    <w:name w:val="Unresolved Mention"/>
    <w:basedOn w:val="DefaultParagraphFont"/>
    <w:uiPriority w:val="99"/>
    <w:semiHidden/>
    <w:unhideWhenUsed/>
    <w:rsid w:val="00F53D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wm.org.uk/history/the-blitz"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ationalarchives.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543</TotalTime>
  <Pages>8</Pages>
  <Words>1859</Words>
  <Characters>10602</Characters>
  <Application>Microsoft Office Word</Application>
  <DocSecurity>0</DocSecurity>
  <Lines>88</Lines>
  <Paragraphs>24</Paragraphs>
  <ScaleCrop>false</ScaleCrop>
  <Company/>
  <LinksUpToDate>false</LinksUpToDate>
  <CharactersWithSpaces>12437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Carter (2404122)</dc:creator>
  <cp:keywords/>
  <dc:description/>
  <cp:lastModifiedBy>Callum Carter (2404122)</cp:lastModifiedBy>
  <cp:revision>56</cp:revision>
  <dcterms:created xsi:type="dcterms:W3CDTF">2026-01-07T11:52:00Z</dcterms:created>
  <dcterms:modified xsi:type="dcterms:W3CDTF">2026-01-07T21:06:00Z</dcterms:modified>
</cp:coreProperties>
</file>