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D960A" w14:textId="77777777" w:rsidR="00960999" w:rsidRDefault="00000000">
      <w:pPr>
        <w:spacing w:before="400" w:after="100"/>
      </w:pPr>
      <w:r>
        <w:rPr>
          <w:b/>
          <w:bCs/>
          <w:color w:val="C9A84C"/>
          <w:sz w:val="24"/>
          <w:szCs w:val="24"/>
        </w:rPr>
        <w:t>DOCTORAL RESEARCH METHODS</w:t>
      </w:r>
    </w:p>
    <w:p w14:paraId="1861CC76" w14:textId="77777777" w:rsidR="00960999" w:rsidRDefault="00000000">
      <w:pPr>
        <w:spacing w:after="60"/>
      </w:pPr>
      <w:r>
        <w:rPr>
          <w:color w:val="607085"/>
          <w:sz w:val="24"/>
          <w:szCs w:val="24"/>
        </w:rPr>
        <w:t>A standalone reference session</w:t>
      </w:r>
    </w:p>
    <w:p w14:paraId="7AED81A3" w14:textId="77777777" w:rsidR="00960999" w:rsidRDefault="00000000">
      <w:pPr>
        <w:spacing w:before="200" w:after="100"/>
      </w:pPr>
      <w:r>
        <w:rPr>
          <w:b/>
          <w:bCs/>
          <w:color w:val="1C2B4A"/>
          <w:sz w:val="44"/>
          <w:szCs w:val="44"/>
        </w:rPr>
        <w:t>Triangulation: Types, Purpose and Practice</w:t>
      </w:r>
    </w:p>
    <w:p w14:paraId="049341F4" w14:textId="77777777" w:rsidR="00960999" w:rsidRDefault="00000000">
      <w:pPr>
        <w:spacing w:after="400"/>
      </w:pPr>
      <w:r>
        <w:rPr>
          <w:i/>
          <w:iCs/>
          <w:color w:val="607085"/>
        </w:rPr>
        <w:t>Student Handbook</w:t>
      </w:r>
    </w:p>
    <w:p w14:paraId="2055EB4F" w14:textId="77777777" w:rsidR="00960999" w:rsidRDefault="00000000">
      <w:pPr>
        <w:spacing w:after="600"/>
      </w:pPr>
      <w:r>
        <w:rPr>
          <w:color w:val="000000"/>
          <w:sz w:val="26"/>
          <w:szCs w:val="26"/>
        </w:rPr>
        <w:t>Dr Caroline Jawad</w:t>
      </w:r>
    </w:p>
    <w:p w14:paraId="1B30FBFC" w14:textId="77777777" w:rsidR="00960999" w:rsidRDefault="00000000">
      <w:pPr>
        <w:pStyle w:val="Heading1"/>
        <w:spacing w:before="320" w:after="160"/>
      </w:pPr>
      <w:r>
        <w:rPr>
          <w:b/>
          <w:bCs/>
          <w:color w:val="1C2B4A"/>
        </w:rPr>
        <w:t>Purpose of this session</w:t>
      </w:r>
    </w:p>
    <w:p w14:paraId="413FB48F" w14:textId="77777777" w:rsidR="00960999" w:rsidRDefault="00000000">
      <w:pPr>
        <w:spacing w:after="160"/>
      </w:pPr>
      <w:r>
        <w:rPr>
          <w:color w:val="000000"/>
        </w:rPr>
        <w:t>Triangulation is one of the most frequently claimed and least precisely used terms in doctoral methodology chapters. Stating that a study was triangulated is not, by itself, a checkable methodological claim. This session gives you Denzin's (1978) typology, a working method for naming and justifying the type of triangulation you use, and practice distinguishing a genuine triangulation design from a description that only uses the word.</w:t>
      </w:r>
    </w:p>
    <w:p w14:paraId="43FEACC3" w14:textId="77777777" w:rsidR="00960999" w:rsidRDefault="00000000">
      <w:pPr>
        <w:spacing w:after="160"/>
      </w:pPr>
      <w:r>
        <w:rPr>
          <w:color w:val="000000"/>
        </w:rPr>
        <w:t>How to use this handbook: the session slides carry the teaching sequence and the two in-room activities. This handbook is your take-home reference and workbook. It holds the full reading list, a second practice extract for each activity with a model answer, and the complete set of worked examples in one place for when you come back to write your own methodology chapter.</w:t>
      </w:r>
    </w:p>
    <w:p w14:paraId="1C369460" w14:textId="77777777" w:rsidR="00960999" w:rsidRDefault="00000000">
      <w:pPr>
        <w:pStyle w:val="Heading1"/>
        <w:spacing w:before="320" w:after="160"/>
      </w:pPr>
      <w:r>
        <w:rPr>
          <w:b/>
          <w:bCs/>
          <w:color w:val="1C2B4A"/>
        </w:rPr>
        <w:t>What is triangulation?</w:t>
      </w:r>
    </w:p>
    <w:p w14:paraId="74E6F10D" w14:textId="77777777" w:rsidR="00960999" w:rsidRDefault="00000000">
      <w:pPr>
        <w:spacing w:after="160"/>
      </w:pPr>
      <w:r>
        <w:rPr>
          <w:color w:val="000000"/>
        </w:rPr>
        <w:t>Denzin (1978) takes the term from surveying: you fix an unknown position by taking bearings from more than one known point, rather than trusting a single reading. Applied to research, triangulation means examining the same phenomenon from more than one vantage point, a data source, an investigator, a theory, or a method, and comparing what each reveals.</w:t>
      </w:r>
    </w:p>
    <w:p w14:paraId="5ABA792E" w14:textId="77777777" w:rsidR="00960999" w:rsidRDefault="00000000">
      <w:pPr>
        <w:spacing w:after="160"/>
      </w:pPr>
      <w:r>
        <w:rPr>
          <w:color w:val="000000"/>
        </w:rPr>
        <w:t>The purpose is not simply to gather more evidence. It is to test whether a finding holds up when approached differently, and to understand why it might not. Lincoln and Guba (1985) treat triangulation as a central strategy for establishing credibility in naturalistic inquiry, the qualitative counterpart to internal validity in positivist research.</w:t>
      </w:r>
    </w:p>
    <w:p w14:paraId="3EC7C47C" w14:textId="77777777" w:rsidR="00960999" w:rsidRDefault="00000000">
      <w:pPr>
        <w:spacing w:after="160"/>
      </w:pPr>
      <w:r>
        <w:rPr>
          <w:color w:val="000000"/>
        </w:rPr>
        <w:t>At doctoral level, examiners expect you to name which type of triangulation you used and why. Stating that a study was triangulated, without more, is not a methodological claim an examiner can test.</w:t>
      </w:r>
    </w:p>
    <w:p w14:paraId="10C99CAC" w14:textId="77777777" w:rsidR="00960999" w:rsidRDefault="00000000">
      <w:pPr>
        <w:pStyle w:val="Heading1"/>
        <w:spacing w:before="320" w:after="160"/>
      </w:pPr>
      <w:r>
        <w:rPr>
          <w:b/>
          <w:bCs/>
          <w:color w:val="1C2B4A"/>
        </w:rPr>
        <w:lastRenderedPageBreak/>
        <w:t>The four types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2"/>
        <w:gridCol w:w="3890"/>
        <w:gridCol w:w="3698"/>
      </w:tblGrid>
      <w:tr w:rsidR="00960999" w14:paraId="6535CB65" w14:textId="77777777">
        <w:tblPrEx>
          <w:tblCellMar>
            <w:top w:w="0" w:type="dxa"/>
            <w:bottom w:w="0" w:type="dxa"/>
          </w:tblCellMar>
        </w:tblPrEx>
        <w:tc>
          <w:tcPr>
            <w:tcW w:w="1600" w:type="dxa"/>
            <w:shd w:val="clear" w:color="auto" w:fill="1C2B4A"/>
            <w:tcMar>
              <w:top w:w="120" w:type="dxa"/>
              <w:left w:w="120" w:type="dxa"/>
              <w:bottom w:w="120" w:type="dxa"/>
              <w:right w:w="120" w:type="dxa"/>
            </w:tcMar>
          </w:tcPr>
          <w:p w14:paraId="218C1ADF" w14:textId="77777777" w:rsidR="00960999" w:rsidRDefault="00000000">
            <w:r>
              <w:rPr>
                <w:b/>
                <w:bCs/>
                <w:color w:val="FFFFFF"/>
                <w:sz w:val="24"/>
                <w:szCs w:val="24"/>
              </w:rPr>
              <w:t>Type</w:t>
            </w:r>
          </w:p>
        </w:tc>
        <w:tc>
          <w:tcPr>
            <w:tcW w:w="3980" w:type="dxa"/>
            <w:shd w:val="clear" w:color="auto" w:fill="1C2B4A"/>
            <w:tcMar>
              <w:top w:w="120" w:type="dxa"/>
              <w:left w:w="120" w:type="dxa"/>
              <w:bottom w:w="120" w:type="dxa"/>
              <w:right w:w="120" w:type="dxa"/>
            </w:tcMar>
          </w:tcPr>
          <w:p w14:paraId="16EFB32F" w14:textId="77777777" w:rsidR="00960999" w:rsidRDefault="00000000">
            <w:r>
              <w:rPr>
                <w:b/>
                <w:bCs/>
                <w:color w:val="FFFFFF"/>
                <w:sz w:val="24"/>
                <w:szCs w:val="24"/>
              </w:rPr>
              <w:t>What it means</w:t>
            </w:r>
          </w:p>
        </w:tc>
        <w:tc>
          <w:tcPr>
            <w:tcW w:w="3780" w:type="dxa"/>
            <w:shd w:val="clear" w:color="auto" w:fill="1C2B4A"/>
            <w:tcMar>
              <w:top w:w="120" w:type="dxa"/>
              <w:left w:w="120" w:type="dxa"/>
              <w:bottom w:w="120" w:type="dxa"/>
              <w:right w:w="120" w:type="dxa"/>
            </w:tcMar>
          </w:tcPr>
          <w:p w14:paraId="04B9C135" w14:textId="77777777" w:rsidR="00960999" w:rsidRDefault="00000000">
            <w:r>
              <w:rPr>
                <w:b/>
                <w:bCs/>
                <w:color w:val="FFFFFF"/>
                <w:sz w:val="24"/>
                <w:szCs w:val="24"/>
              </w:rPr>
              <w:t>Business example</w:t>
            </w:r>
          </w:p>
        </w:tc>
      </w:tr>
      <w:tr w:rsidR="00960999" w14:paraId="56163BF7" w14:textId="77777777">
        <w:tblPrEx>
          <w:tblCellMar>
            <w:top w:w="0" w:type="dxa"/>
            <w:bottom w:w="0" w:type="dxa"/>
          </w:tblCellMar>
        </w:tblPrEx>
        <w:tc>
          <w:tcPr>
            <w:tcW w:w="1600" w:type="dxa"/>
            <w:tcMar>
              <w:top w:w="120" w:type="dxa"/>
              <w:left w:w="120" w:type="dxa"/>
              <w:bottom w:w="120" w:type="dxa"/>
              <w:right w:w="120" w:type="dxa"/>
            </w:tcMar>
          </w:tcPr>
          <w:p w14:paraId="5BC8C3EC" w14:textId="77777777" w:rsidR="00960999" w:rsidRDefault="00000000">
            <w:r>
              <w:rPr>
                <w:color w:val="000000"/>
                <w:sz w:val="24"/>
                <w:szCs w:val="24"/>
              </w:rPr>
              <w:t>Data</w:t>
            </w:r>
          </w:p>
        </w:tc>
        <w:tc>
          <w:tcPr>
            <w:tcW w:w="3980" w:type="dxa"/>
            <w:tcMar>
              <w:top w:w="120" w:type="dxa"/>
              <w:left w:w="120" w:type="dxa"/>
              <w:bottom w:w="120" w:type="dxa"/>
              <w:right w:w="120" w:type="dxa"/>
            </w:tcMar>
          </w:tcPr>
          <w:p w14:paraId="40111398" w14:textId="77777777" w:rsidR="00960999" w:rsidRDefault="00000000">
            <w:r>
              <w:rPr>
                <w:color w:val="000000"/>
                <w:sz w:val="24"/>
                <w:szCs w:val="24"/>
              </w:rPr>
              <w:t>Different times, places or people within the same study</w:t>
            </w:r>
          </w:p>
        </w:tc>
        <w:tc>
          <w:tcPr>
            <w:tcW w:w="3780" w:type="dxa"/>
            <w:tcMar>
              <w:top w:w="120" w:type="dxa"/>
              <w:left w:w="120" w:type="dxa"/>
              <w:bottom w:w="120" w:type="dxa"/>
              <w:right w:w="120" w:type="dxa"/>
            </w:tcMar>
          </w:tcPr>
          <w:p w14:paraId="6A298668" w14:textId="77777777" w:rsidR="00960999" w:rsidRDefault="00000000">
            <w:r>
              <w:rPr>
                <w:color w:val="000000"/>
                <w:sz w:val="24"/>
                <w:szCs w:val="24"/>
              </w:rPr>
              <w:t>Interviewing both frontline staff and managers about the same policy</w:t>
            </w:r>
          </w:p>
        </w:tc>
      </w:tr>
      <w:tr w:rsidR="00960999" w14:paraId="36222F07" w14:textId="77777777">
        <w:tblPrEx>
          <w:tblCellMar>
            <w:top w:w="0" w:type="dxa"/>
            <w:bottom w:w="0" w:type="dxa"/>
          </w:tblCellMar>
        </w:tblPrEx>
        <w:tc>
          <w:tcPr>
            <w:tcW w:w="1600" w:type="dxa"/>
            <w:tcMar>
              <w:top w:w="120" w:type="dxa"/>
              <w:left w:w="120" w:type="dxa"/>
              <w:bottom w:w="120" w:type="dxa"/>
              <w:right w:w="120" w:type="dxa"/>
            </w:tcMar>
          </w:tcPr>
          <w:p w14:paraId="2E075A0F" w14:textId="77777777" w:rsidR="00960999" w:rsidRDefault="00000000">
            <w:r>
              <w:rPr>
                <w:color w:val="000000"/>
                <w:sz w:val="24"/>
                <w:szCs w:val="24"/>
              </w:rPr>
              <w:t>Investigator</w:t>
            </w:r>
          </w:p>
        </w:tc>
        <w:tc>
          <w:tcPr>
            <w:tcW w:w="3980" w:type="dxa"/>
            <w:tcMar>
              <w:top w:w="120" w:type="dxa"/>
              <w:left w:w="120" w:type="dxa"/>
              <w:bottom w:w="120" w:type="dxa"/>
              <w:right w:w="120" w:type="dxa"/>
            </w:tcMar>
          </w:tcPr>
          <w:p w14:paraId="6B16B76E" w14:textId="77777777" w:rsidR="00960999" w:rsidRDefault="00000000">
            <w:r>
              <w:rPr>
                <w:color w:val="000000"/>
                <w:sz w:val="24"/>
                <w:szCs w:val="24"/>
              </w:rPr>
              <w:t>Two or more researchers independently collect or analyse the same material</w:t>
            </w:r>
          </w:p>
        </w:tc>
        <w:tc>
          <w:tcPr>
            <w:tcW w:w="3780" w:type="dxa"/>
            <w:tcMar>
              <w:top w:w="120" w:type="dxa"/>
              <w:left w:w="120" w:type="dxa"/>
              <w:bottom w:w="120" w:type="dxa"/>
              <w:right w:w="120" w:type="dxa"/>
            </w:tcMar>
          </w:tcPr>
          <w:p w14:paraId="6187E9D3" w14:textId="77777777" w:rsidR="00960999" w:rsidRDefault="00000000">
            <w:r>
              <w:rPr>
                <w:color w:val="000000"/>
                <w:sz w:val="24"/>
                <w:szCs w:val="24"/>
              </w:rPr>
              <w:t>Two coders independently coding the same transcripts, then comparing</w:t>
            </w:r>
          </w:p>
        </w:tc>
      </w:tr>
      <w:tr w:rsidR="00960999" w14:paraId="59D0F0E9" w14:textId="77777777">
        <w:tblPrEx>
          <w:tblCellMar>
            <w:top w:w="0" w:type="dxa"/>
            <w:bottom w:w="0" w:type="dxa"/>
          </w:tblCellMar>
        </w:tblPrEx>
        <w:tc>
          <w:tcPr>
            <w:tcW w:w="1600" w:type="dxa"/>
            <w:tcMar>
              <w:top w:w="120" w:type="dxa"/>
              <w:left w:w="120" w:type="dxa"/>
              <w:bottom w:w="120" w:type="dxa"/>
              <w:right w:w="120" w:type="dxa"/>
            </w:tcMar>
          </w:tcPr>
          <w:p w14:paraId="5872DE2F" w14:textId="77777777" w:rsidR="00960999" w:rsidRDefault="00000000">
            <w:r>
              <w:rPr>
                <w:color w:val="000000"/>
                <w:sz w:val="24"/>
                <w:szCs w:val="24"/>
              </w:rPr>
              <w:t>Theory</w:t>
            </w:r>
          </w:p>
        </w:tc>
        <w:tc>
          <w:tcPr>
            <w:tcW w:w="3980" w:type="dxa"/>
            <w:tcMar>
              <w:top w:w="120" w:type="dxa"/>
              <w:left w:w="120" w:type="dxa"/>
              <w:bottom w:w="120" w:type="dxa"/>
              <w:right w:w="120" w:type="dxa"/>
            </w:tcMar>
          </w:tcPr>
          <w:p w14:paraId="49C28538" w14:textId="77777777" w:rsidR="00960999" w:rsidRDefault="00000000">
            <w:r>
              <w:rPr>
                <w:color w:val="000000"/>
                <w:sz w:val="24"/>
                <w:szCs w:val="24"/>
              </w:rPr>
              <w:t>Applying more than one theoretical lens to the same data</w:t>
            </w:r>
          </w:p>
        </w:tc>
        <w:tc>
          <w:tcPr>
            <w:tcW w:w="3780" w:type="dxa"/>
            <w:tcMar>
              <w:top w:w="120" w:type="dxa"/>
              <w:left w:w="120" w:type="dxa"/>
              <w:bottom w:w="120" w:type="dxa"/>
              <w:right w:w="120" w:type="dxa"/>
            </w:tcMar>
          </w:tcPr>
          <w:p w14:paraId="467D8E82" w14:textId="77777777" w:rsidR="00960999" w:rsidRDefault="00000000">
            <w:r>
              <w:rPr>
                <w:color w:val="000000"/>
                <w:sz w:val="24"/>
                <w:szCs w:val="24"/>
              </w:rPr>
              <w:t>Reading the same interviews through both agency theory and stakeholder theory</w:t>
            </w:r>
          </w:p>
        </w:tc>
      </w:tr>
      <w:tr w:rsidR="00960999" w14:paraId="0A19AD5D" w14:textId="77777777">
        <w:tblPrEx>
          <w:tblCellMar>
            <w:top w:w="0" w:type="dxa"/>
            <w:bottom w:w="0" w:type="dxa"/>
          </w:tblCellMar>
        </w:tblPrEx>
        <w:tc>
          <w:tcPr>
            <w:tcW w:w="1600" w:type="dxa"/>
            <w:tcMar>
              <w:top w:w="120" w:type="dxa"/>
              <w:left w:w="120" w:type="dxa"/>
              <w:bottom w:w="120" w:type="dxa"/>
              <w:right w:w="120" w:type="dxa"/>
            </w:tcMar>
          </w:tcPr>
          <w:p w14:paraId="3FB6F2C3" w14:textId="77777777" w:rsidR="00960999" w:rsidRDefault="00000000">
            <w:r>
              <w:rPr>
                <w:color w:val="000000"/>
                <w:sz w:val="24"/>
                <w:szCs w:val="24"/>
              </w:rPr>
              <w:t>Methodological</w:t>
            </w:r>
          </w:p>
        </w:tc>
        <w:tc>
          <w:tcPr>
            <w:tcW w:w="3980" w:type="dxa"/>
            <w:tcMar>
              <w:top w:w="120" w:type="dxa"/>
              <w:left w:w="120" w:type="dxa"/>
              <w:bottom w:w="120" w:type="dxa"/>
              <w:right w:w="120" w:type="dxa"/>
            </w:tcMar>
          </w:tcPr>
          <w:p w14:paraId="688BEDB1" w14:textId="77777777" w:rsidR="00960999" w:rsidRDefault="00000000">
            <w:r>
              <w:rPr>
                <w:color w:val="000000"/>
                <w:sz w:val="24"/>
                <w:szCs w:val="24"/>
              </w:rPr>
              <w:t>Using more than one method to study the same phenomenon</w:t>
            </w:r>
          </w:p>
        </w:tc>
        <w:tc>
          <w:tcPr>
            <w:tcW w:w="3780" w:type="dxa"/>
            <w:tcMar>
              <w:top w:w="120" w:type="dxa"/>
              <w:left w:w="120" w:type="dxa"/>
              <w:bottom w:w="120" w:type="dxa"/>
              <w:right w:w="120" w:type="dxa"/>
            </w:tcMar>
          </w:tcPr>
          <w:p w14:paraId="5B2A8ABF" w14:textId="77777777" w:rsidR="00960999" w:rsidRDefault="00000000">
            <w:r>
              <w:rPr>
                <w:color w:val="000000"/>
                <w:sz w:val="24"/>
                <w:szCs w:val="24"/>
              </w:rPr>
              <w:t>Combining survey data with follow-up interviews</w:t>
            </w:r>
          </w:p>
        </w:tc>
      </w:tr>
    </w:tbl>
    <w:p w14:paraId="161C7273" w14:textId="77777777" w:rsidR="00960999" w:rsidRDefault="00000000">
      <w:pPr>
        <w:spacing w:after="160"/>
      </w:pPr>
      <w:r>
        <w:rPr>
          <w:color w:val="000000"/>
        </w:rPr>
        <w:t>After Denzin (1978). Data triangulation is often confused with simply having more participants. The distinguishing feature is a genuinely different vantage point, a different time, place, or type of person, not more of the same type. Denzin splits data triangulation into three sub-types: time, space, and person. Naming which sub-type you used makes a methodology chapter far more specific than the single sentence the study triangulated data.</w:t>
      </w:r>
    </w:p>
    <w:p w14:paraId="5C5F58F4" w14:textId="77777777" w:rsidR="00960999" w:rsidRDefault="00000000">
      <w:r>
        <w:br w:type="page"/>
      </w:r>
    </w:p>
    <w:p w14:paraId="50E464CD" w14:textId="77777777" w:rsidR="00960999" w:rsidRDefault="00000000">
      <w:pPr>
        <w:pStyle w:val="Heading1"/>
        <w:spacing w:before="320" w:after="160"/>
      </w:pPr>
      <w:r>
        <w:rPr>
          <w:b/>
          <w:bCs/>
          <w:color w:val="1C2B4A"/>
        </w:rPr>
        <w:lastRenderedPageBreak/>
        <w:t>The four types, worked</w:t>
      </w:r>
    </w:p>
    <w:p w14:paraId="64FBF658" w14:textId="77777777" w:rsidR="00960999" w:rsidRDefault="00000000">
      <w:pPr>
        <w:pStyle w:val="Heading2"/>
        <w:spacing w:before="260" w:after="120"/>
      </w:pPr>
      <w:r>
        <w:rPr>
          <w:b/>
          <w:bCs/>
          <w:color w:val="1C2B4A"/>
        </w:rPr>
        <w:t>Data triangulation</w:t>
      </w:r>
    </w:p>
    <w:p w14:paraId="3126810F" w14:textId="77777777" w:rsidR="00960999" w:rsidRDefault="00000000">
      <w:pPr>
        <w:spacing w:before="100" w:after="60"/>
        <w:ind w:left="360"/>
      </w:pPr>
      <w:r>
        <w:rPr>
          <w:b/>
          <w:bCs/>
          <w:color w:val="1C2B4A"/>
        </w:rPr>
        <w:t xml:space="preserve">Without triangulation: </w:t>
      </w:r>
      <w:r>
        <w:rPr>
          <w:i/>
          <w:iCs/>
          <w:color w:val="000000"/>
        </w:rPr>
        <w:t>The study draws on interviews with ten frontline employees to understand experiences of a new performance management system.</w:t>
      </w:r>
    </w:p>
    <w:p w14:paraId="2D31F64A" w14:textId="77777777" w:rsidR="00960999" w:rsidRDefault="00000000">
      <w:pPr>
        <w:spacing w:before="100" w:after="60"/>
        <w:ind w:left="360"/>
      </w:pPr>
      <w:r>
        <w:rPr>
          <w:b/>
          <w:bCs/>
          <w:color w:val="1C2B4A"/>
        </w:rPr>
        <w:t xml:space="preserve">With data triangulation: </w:t>
      </w:r>
      <w:r>
        <w:rPr>
          <w:i/>
          <w:iCs/>
          <w:color w:val="000000"/>
        </w:rPr>
        <w:t>The study draws on interviews with frontline employees, their line managers, and the HR policy documents describing the system as designed, comparing how the policy was intended to work, how managers believe they implement it, and how employees experience it in practice.</w:t>
      </w:r>
    </w:p>
    <w:p w14:paraId="70C2468D" w14:textId="77777777" w:rsidR="00960999" w:rsidRDefault="00000000">
      <w:pPr>
        <w:spacing w:after="160"/>
      </w:pPr>
      <w:r>
        <w:rPr>
          <w:color w:val="000000"/>
        </w:rPr>
        <w:t>This is person triangulation, one of Denzin's (1978) three data sub-types: three structurally different vantage points on one policy, not three times as many interviews with the same type of person.</w:t>
      </w:r>
    </w:p>
    <w:p w14:paraId="68198EF9" w14:textId="77777777" w:rsidR="00960999" w:rsidRDefault="00000000">
      <w:pPr>
        <w:pStyle w:val="Heading2"/>
        <w:spacing w:before="260" w:after="120"/>
      </w:pPr>
      <w:r>
        <w:rPr>
          <w:b/>
          <w:bCs/>
          <w:color w:val="1C2B4A"/>
        </w:rPr>
        <w:t>Investigator triangulation</w:t>
      </w:r>
    </w:p>
    <w:p w14:paraId="378EDB1F" w14:textId="77777777" w:rsidR="00960999" w:rsidRDefault="00000000">
      <w:pPr>
        <w:spacing w:before="100" w:after="60"/>
        <w:ind w:left="360"/>
      </w:pPr>
      <w:r>
        <w:rPr>
          <w:b/>
          <w:bCs/>
          <w:color w:val="1C2B4A"/>
        </w:rPr>
        <w:t xml:space="preserve">Without triangulation: </w:t>
      </w:r>
      <w:r>
        <w:rPr>
          <w:i/>
          <w:iCs/>
          <w:color w:val="000000"/>
        </w:rPr>
        <w:t>All interview transcripts were coded by the lead researcher using thematic analysis.</w:t>
      </w:r>
    </w:p>
    <w:p w14:paraId="7E7906FB" w14:textId="77777777" w:rsidR="00960999" w:rsidRDefault="00000000">
      <w:pPr>
        <w:spacing w:before="100" w:after="60"/>
        <w:ind w:left="360"/>
      </w:pPr>
      <w:r>
        <w:rPr>
          <w:b/>
          <w:bCs/>
          <w:color w:val="1C2B4A"/>
        </w:rPr>
        <w:t xml:space="preserve">With investigator triangulation: </w:t>
      </w:r>
      <w:r>
        <w:rPr>
          <w:i/>
          <w:iCs/>
          <w:color w:val="000000"/>
        </w:rPr>
        <w:t>All interview transcripts were independently coded by the lead researcher and a second coder using the same codebook, with disagreements discussed and resolved before the coding frame was finalised.</w:t>
      </w:r>
    </w:p>
    <w:p w14:paraId="040DB968" w14:textId="77777777" w:rsidR="00960999" w:rsidRDefault="00000000">
      <w:pPr>
        <w:spacing w:after="160"/>
      </w:pPr>
      <w:r>
        <w:rPr>
          <w:color w:val="000000"/>
        </w:rPr>
        <w:t>Investigator triangulation does not remove subjectivity from qualitative coding. It makes that subjectivity visible and checkable, which is why Denzin (1978) treats it as strengthening rather than eliminating researcher influence.</w:t>
      </w:r>
    </w:p>
    <w:p w14:paraId="1D8E85C1" w14:textId="77777777" w:rsidR="00960999" w:rsidRDefault="00000000">
      <w:pPr>
        <w:pStyle w:val="Heading2"/>
        <w:spacing w:before="260" w:after="120"/>
      </w:pPr>
      <w:r>
        <w:rPr>
          <w:b/>
          <w:bCs/>
          <w:color w:val="1C2B4A"/>
        </w:rPr>
        <w:t>Theory triangulation</w:t>
      </w:r>
    </w:p>
    <w:p w14:paraId="7FADEEB6" w14:textId="77777777" w:rsidR="00960999" w:rsidRDefault="00000000">
      <w:pPr>
        <w:spacing w:before="100" w:after="60"/>
        <w:ind w:left="360"/>
      </w:pPr>
      <w:r>
        <w:rPr>
          <w:b/>
          <w:bCs/>
          <w:color w:val="1C2B4A"/>
        </w:rPr>
        <w:t xml:space="preserve">Without triangulation: </w:t>
      </w:r>
      <w:r>
        <w:rPr>
          <w:i/>
          <w:iCs/>
          <w:color w:val="000000"/>
        </w:rPr>
        <w:t>Interview data on boardroom decision-making were analysed using stakeholder theory.</w:t>
      </w:r>
    </w:p>
    <w:p w14:paraId="4EABC5C3" w14:textId="77777777" w:rsidR="00960999" w:rsidRDefault="00000000">
      <w:pPr>
        <w:spacing w:before="100" w:after="60"/>
        <w:ind w:left="360"/>
      </w:pPr>
      <w:r>
        <w:rPr>
          <w:b/>
          <w:bCs/>
          <w:color w:val="1C2B4A"/>
        </w:rPr>
        <w:t xml:space="preserve">With theory triangulation: </w:t>
      </w:r>
      <w:r>
        <w:rPr>
          <w:i/>
          <w:iCs/>
          <w:color w:val="000000"/>
        </w:rPr>
        <w:t>Interview data on boardroom decision-making were analysed through both stakeholder theory and Bourdieu's concept of symbolic capital, comparing a formal-influence account of decision-making against an account grounded in status and networks.</w:t>
      </w:r>
    </w:p>
    <w:p w14:paraId="2ECE973E" w14:textId="77777777" w:rsidR="00960999" w:rsidRDefault="00000000">
      <w:pPr>
        <w:spacing w:after="160"/>
      </w:pPr>
      <w:r>
        <w:rPr>
          <w:color w:val="000000"/>
        </w:rPr>
        <w:t>Theory triangulation is not about identifying the correct theory. It is about seeing what each lens makes visible that the other does not.</w:t>
      </w:r>
    </w:p>
    <w:p w14:paraId="468CF15A" w14:textId="77777777" w:rsidR="00960999" w:rsidRDefault="00000000">
      <w:pPr>
        <w:pStyle w:val="Heading2"/>
        <w:spacing w:before="260" w:after="120"/>
      </w:pPr>
      <w:r>
        <w:rPr>
          <w:b/>
          <w:bCs/>
          <w:color w:val="1C2B4A"/>
        </w:rPr>
        <w:t>Methodological triangulation</w:t>
      </w:r>
    </w:p>
    <w:p w14:paraId="2813DCA5" w14:textId="77777777" w:rsidR="00960999" w:rsidRDefault="00000000">
      <w:pPr>
        <w:spacing w:before="100" w:after="60"/>
        <w:ind w:left="360"/>
      </w:pPr>
      <w:r>
        <w:rPr>
          <w:b/>
          <w:bCs/>
          <w:color w:val="1C2B4A"/>
        </w:rPr>
        <w:t xml:space="preserve">Without triangulation: </w:t>
      </w:r>
      <w:r>
        <w:rPr>
          <w:i/>
          <w:iCs/>
          <w:color w:val="000000"/>
        </w:rPr>
        <w:t>Employee wellbeing was measured through an annual engagement survey.</w:t>
      </w:r>
    </w:p>
    <w:p w14:paraId="1D045C58" w14:textId="77777777" w:rsidR="00960999" w:rsidRDefault="00000000">
      <w:pPr>
        <w:spacing w:before="100" w:after="60"/>
        <w:ind w:left="360"/>
      </w:pPr>
      <w:r>
        <w:rPr>
          <w:b/>
          <w:bCs/>
          <w:color w:val="1C2B4A"/>
        </w:rPr>
        <w:t xml:space="preserve">With methodological triangulation: </w:t>
      </w:r>
      <w:r>
        <w:rPr>
          <w:i/>
          <w:iCs/>
          <w:color w:val="000000"/>
        </w:rPr>
        <w:t>Employee wellbeing was measured through an annual engagement survey and a smaller set of follow-up interviews with survey respondents, checking whether the patterns the survey identified held up when respondents explained them in their own words.</w:t>
      </w:r>
    </w:p>
    <w:p w14:paraId="4B574A80" w14:textId="77777777" w:rsidR="00960999" w:rsidRDefault="00000000">
      <w:pPr>
        <w:spacing w:after="160"/>
      </w:pPr>
      <w:r>
        <w:rPr>
          <w:color w:val="000000"/>
        </w:rPr>
        <w:t>This is between-method triangulation, combining a quantitative and a qualitative method. Within-method triangulation would instead use two different instruments from the same tradition, for example two different survey scales.</w:t>
      </w:r>
    </w:p>
    <w:p w14:paraId="6ED1E29E" w14:textId="77777777" w:rsidR="00960999" w:rsidRDefault="00000000">
      <w:r>
        <w:br w:type="page"/>
      </w:r>
    </w:p>
    <w:p w14:paraId="04EFCA9A" w14:textId="77777777" w:rsidR="00960999" w:rsidRDefault="00000000">
      <w:pPr>
        <w:pStyle w:val="Heading1"/>
        <w:spacing w:before="320" w:after="160"/>
      </w:pPr>
      <w:r>
        <w:rPr>
          <w:b/>
          <w:bCs/>
          <w:color w:val="1C2B4A"/>
        </w:rPr>
        <w:t>Triangulation in practice: a worked example</w:t>
      </w:r>
    </w:p>
    <w:p w14:paraId="7E3C2B84" w14:textId="77777777" w:rsidR="00960999" w:rsidRDefault="00000000">
      <w:pPr>
        <w:spacing w:after="160"/>
      </w:pPr>
      <w:r>
        <w:rPr>
          <w:color w:val="000000"/>
        </w:rPr>
        <w:t>The extract below is adapted from real doctoral supervision practice. No named individuals or organisations appear, consistent with anonymisation requirements for real participant data.</w:t>
      </w:r>
    </w:p>
    <w:p w14:paraId="655E6248" w14:textId="77777777" w:rsidR="00960999" w:rsidRDefault="00000000">
      <w:pPr>
        <w:spacing w:before="100" w:after="60"/>
        <w:ind w:left="360"/>
      </w:pPr>
      <w:r>
        <w:rPr>
          <w:b/>
          <w:bCs/>
          <w:color w:val="1C2B4A"/>
        </w:rPr>
        <w:t xml:space="preserve">Adapted extract: </w:t>
      </w:r>
      <w:r>
        <w:rPr>
          <w:i/>
          <w:iCs/>
          <w:color w:val="000000"/>
        </w:rPr>
        <w:t>This study employs investigator and source triangulation by purposively selecting participants who occupy structurally distinct positions within the sector's governance landscape. Data were gathered from a shareholder activist, a market regulator, and a governance practitioner with direct boardroom access. This multi-stakeholder design reflects Denzin's (1978) principle that triangulation strengthens credibility by cross-referencing data across different vantage points rather than relying on a single informant type. Convergence across participants on themes of elite influence, information asymmetry, and political capital lends weight to the study's findings, whilst divergence, particularly on the role of culture, enriches rather than undermines the analysis, reflecting the complexity inherent in socially constructed governance environments.</w:t>
      </w:r>
    </w:p>
    <w:p w14:paraId="70ED63C2" w14:textId="77777777" w:rsidR="00960999" w:rsidRDefault="00000000">
      <w:pPr>
        <w:pStyle w:val="Heading2"/>
        <w:spacing w:before="260" w:after="120"/>
      </w:pPr>
      <w:r>
        <w:rPr>
          <w:b/>
          <w:bCs/>
          <w:color w:val="1C2B4A"/>
        </w:rPr>
        <w:t>What this example does well</w:t>
      </w:r>
    </w:p>
    <w:p w14:paraId="5E18F020" w14:textId="77777777" w:rsidR="00960999" w:rsidRDefault="00000000">
      <w:pPr>
        <w:pStyle w:val="ListParagraph"/>
        <w:numPr>
          <w:ilvl w:val="0"/>
          <w:numId w:val="1"/>
        </w:numPr>
        <w:spacing w:after="100"/>
      </w:pPr>
      <w:r>
        <w:rPr>
          <w:color w:val="000000"/>
        </w:rPr>
        <w:t>It names the specific type, source and investigator triangulation across three stakeholder positions, rather than asserting the study was triangulated</w:t>
      </w:r>
    </w:p>
    <w:p w14:paraId="7DC0F621" w14:textId="77777777" w:rsidR="00960999" w:rsidRDefault="00000000">
      <w:pPr>
        <w:pStyle w:val="ListParagraph"/>
        <w:numPr>
          <w:ilvl w:val="0"/>
          <w:numId w:val="1"/>
        </w:numPr>
        <w:spacing w:after="100"/>
      </w:pPr>
      <w:r>
        <w:rPr>
          <w:color w:val="000000"/>
        </w:rPr>
        <w:t>It cites Denzin (1978) to justify the design choice, not to decorate the paragraph after the fact</w:t>
      </w:r>
    </w:p>
    <w:p w14:paraId="6EAF4F84" w14:textId="77777777" w:rsidR="00960999" w:rsidRDefault="00000000">
      <w:pPr>
        <w:pStyle w:val="ListParagraph"/>
        <w:numPr>
          <w:ilvl w:val="0"/>
          <w:numId w:val="1"/>
        </w:numPr>
        <w:spacing w:after="100"/>
      </w:pPr>
      <w:r>
        <w:rPr>
          <w:color w:val="000000"/>
        </w:rPr>
        <w:t>It states exactly what converged, elite influence, information asymmetry, political capital, and what diverged, the role of culture, rather than reporting triangulation only in the abstract</w:t>
      </w:r>
    </w:p>
    <w:p w14:paraId="568A5AC9" w14:textId="77777777" w:rsidR="00960999" w:rsidRDefault="00000000">
      <w:pPr>
        <w:pStyle w:val="ListParagraph"/>
        <w:numPr>
          <w:ilvl w:val="0"/>
          <w:numId w:val="1"/>
        </w:numPr>
        <w:spacing w:after="100"/>
      </w:pPr>
      <w:r>
        <w:rPr>
          <w:color w:val="000000"/>
        </w:rPr>
        <w:t>It treats divergence as analytically productive rather than a problem to explain away, which matters because this is a socially constructed phenomenon, not a fixed fact being cross-checked</w:t>
      </w:r>
    </w:p>
    <w:p w14:paraId="14C9B726" w14:textId="77777777" w:rsidR="00960999" w:rsidRDefault="00000000">
      <w:pPr>
        <w:pStyle w:val="Heading1"/>
        <w:spacing w:before="320" w:after="160"/>
      </w:pPr>
      <w:r>
        <w:rPr>
          <w:b/>
          <w:bCs/>
          <w:color w:val="1C2B4A"/>
        </w:rPr>
        <w:t>When convergence is not the goal</w:t>
      </w:r>
    </w:p>
    <w:p w14:paraId="1983F663" w14:textId="77777777" w:rsidR="00960999" w:rsidRDefault="00000000">
      <w:pPr>
        <w:spacing w:after="160"/>
      </w:pPr>
      <w:r>
        <w:rPr>
          <w:color w:val="000000"/>
        </w:rPr>
        <w:t>A common assumption is that triangulation succeeds when every source agrees. This is a positivist assumption, and it sits awkwardly inside a design that claims an interpretivist or social constructionist paradigm. In a socially constructed phenomenon, different stakeholders are expected to hold different, equally legitimate perspectives. Divergence is data, not noise.</w:t>
      </w:r>
    </w:p>
    <w:p w14:paraId="768FF5AD" w14:textId="77777777" w:rsidR="00960999" w:rsidRDefault="00000000">
      <w:pPr>
        <w:spacing w:after="160"/>
      </w:pPr>
      <w:r>
        <w:rPr>
          <w:color w:val="000000"/>
        </w:rPr>
        <w:t>Lincoln and Guba (1985) do treat triangulation as a credibility strategy, but credibility in naturalistic inquiry means a believable, well-grounded account, not a single agreed-upon fact. The worked example above handles this correctly: convergence on structural themes builds confidence, and divergence on culture is treated as revealing complexity rather than as a flaw.</w:t>
      </w:r>
    </w:p>
    <w:p w14:paraId="0BD0D327" w14:textId="77777777" w:rsidR="00960999" w:rsidRDefault="00000000">
      <w:pPr>
        <w:pStyle w:val="Heading2"/>
        <w:spacing w:before="260" w:after="120"/>
      </w:pPr>
      <w:r>
        <w:rPr>
          <w:b/>
          <w:bCs/>
          <w:color w:val="1C2B4A"/>
        </w:rPr>
        <w:t>Crystallisation: an alternative worth knowing</w:t>
      </w:r>
    </w:p>
    <w:p w14:paraId="654148D2" w14:textId="77777777" w:rsidR="00960999" w:rsidRDefault="00000000">
      <w:pPr>
        <w:spacing w:after="160"/>
      </w:pPr>
      <w:r>
        <w:rPr>
          <w:color w:val="000000"/>
        </w:rPr>
        <w:t>Richardson (2000) proposes crystallisation as an alternative to triangulation for postmodern and strongly constructionist work. Triangulation assumes a fixed point can be located from multiple bearings. Crystallisation assumes the phenomenon has no single fixed point, only multiple facets that a crystal reflects differently depending on the angle of view. Most DBA theses are well served by triangulation rather than crystallisation, but knowing this alternative exists shows an examiner you understand what triangulation itself assumes, rather than using the term unreflectively.</w:t>
      </w:r>
    </w:p>
    <w:p w14:paraId="14938F56" w14:textId="77777777" w:rsidR="00960999" w:rsidRDefault="00000000">
      <w:r>
        <w:br w:type="page"/>
      </w:r>
    </w:p>
    <w:p w14:paraId="7BEE910F" w14:textId="77777777" w:rsidR="00960999" w:rsidRDefault="00000000">
      <w:pPr>
        <w:pStyle w:val="Heading1"/>
        <w:spacing w:before="320" w:after="160"/>
      </w:pPr>
      <w:r>
        <w:rPr>
          <w:b/>
          <w:bCs/>
          <w:color w:val="1C2B4A"/>
        </w:rPr>
        <w:t>Common failures in using triangulation</w:t>
      </w:r>
    </w:p>
    <w:p w14:paraId="0A3FDCD8" w14:textId="77777777" w:rsidR="00960999" w:rsidRDefault="00000000">
      <w:pPr>
        <w:pStyle w:val="Heading2"/>
        <w:spacing w:before="260" w:after="120"/>
      </w:pPr>
      <w:r>
        <w:rPr>
          <w:b/>
          <w:bCs/>
          <w:color w:val="1C2B4A"/>
        </w:rPr>
        <w:t>Failure 1: Triangulation by assertion</w:t>
      </w:r>
    </w:p>
    <w:p w14:paraId="4F080FA1" w14:textId="77777777" w:rsidR="00960999" w:rsidRDefault="00000000">
      <w:pPr>
        <w:spacing w:before="100" w:after="60"/>
        <w:ind w:left="360"/>
      </w:pPr>
      <w:r>
        <w:rPr>
          <w:b/>
          <w:bCs/>
          <w:color w:val="1C2B4A"/>
        </w:rPr>
        <w:t xml:space="preserve">The problem: </w:t>
      </w:r>
      <w:r>
        <w:rPr>
          <w:i/>
          <w:iCs/>
          <w:color w:val="000000"/>
        </w:rPr>
        <w:t>Stating that a study is triangulated without naming the type, without saying what was compared, and without reporting what converged or diverged.</w:t>
      </w:r>
    </w:p>
    <w:p w14:paraId="034C6012" w14:textId="77777777" w:rsidR="00960999" w:rsidRDefault="00000000">
      <w:pPr>
        <w:spacing w:before="100" w:after="60"/>
        <w:ind w:left="360"/>
      </w:pPr>
      <w:r>
        <w:rPr>
          <w:b/>
          <w:bCs/>
          <w:color w:val="1C2B4A"/>
        </w:rPr>
        <w:t xml:space="preserve">The flawed version: </w:t>
      </w:r>
      <w:r>
        <w:rPr>
          <w:i/>
          <w:iCs/>
          <w:color w:val="000000"/>
        </w:rPr>
        <w:t>This study is triangulated as data were collected from multiple sources, strengthening the validity of the findings.</w:t>
      </w:r>
    </w:p>
    <w:p w14:paraId="240E3815" w14:textId="77777777" w:rsidR="00960999" w:rsidRDefault="00000000">
      <w:pPr>
        <w:spacing w:before="100" w:after="60"/>
        <w:ind w:left="360"/>
      </w:pPr>
      <w:r>
        <w:rPr>
          <w:b/>
          <w:bCs/>
          <w:color w:val="1C2B4A"/>
        </w:rPr>
        <w:t xml:space="preserve">The fix: </w:t>
      </w:r>
      <w:r>
        <w:rPr>
          <w:i/>
          <w:iCs/>
          <w:color w:val="000000"/>
        </w:rPr>
        <w:t>This study source-triangulates data from three stakeholder groups occupying distinct positions in the governance landscape. Convergence across all three on the theme of elite influence indicates the finding is not an artefact of any single informant's position.</w:t>
      </w:r>
    </w:p>
    <w:p w14:paraId="508A312E" w14:textId="77777777" w:rsidR="00960999" w:rsidRDefault="00000000">
      <w:pPr>
        <w:spacing w:after="160"/>
      </w:pPr>
      <w:r>
        <w:rPr>
          <w:color w:val="000000"/>
        </w:rPr>
        <w:t>The fix names the type, states the comparison, and reports what actually converged. A sentence claiming triangulation without any of these three elements is asserting a method, not demonstrating one.</w:t>
      </w:r>
    </w:p>
    <w:p w14:paraId="608DA15A" w14:textId="77777777" w:rsidR="00960999" w:rsidRDefault="00000000">
      <w:pPr>
        <w:pStyle w:val="Heading2"/>
        <w:spacing w:before="260" w:after="120"/>
      </w:pPr>
      <w:r>
        <w:rPr>
          <w:b/>
          <w:bCs/>
          <w:color w:val="1C2B4A"/>
        </w:rPr>
        <w:t>Failure 2: Mistaking more data for triangulation</w:t>
      </w:r>
    </w:p>
    <w:p w14:paraId="3473EC43" w14:textId="77777777" w:rsidR="00960999" w:rsidRDefault="00000000">
      <w:pPr>
        <w:spacing w:before="100" w:after="60"/>
        <w:ind w:left="360"/>
      </w:pPr>
      <w:r>
        <w:rPr>
          <w:b/>
          <w:bCs/>
          <w:color w:val="1C2B4A"/>
        </w:rPr>
        <w:t xml:space="preserve">The problem: </w:t>
      </w:r>
      <w:r>
        <w:rPr>
          <w:i/>
          <w:iCs/>
          <w:color w:val="000000"/>
        </w:rPr>
        <w:t>Treating a larger sample of the same type of participant as triangulation.</w:t>
      </w:r>
    </w:p>
    <w:p w14:paraId="5E3B95C3" w14:textId="77777777" w:rsidR="00960999" w:rsidRDefault="00000000">
      <w:pPr>
        <w:spacing w:before="100" w:after="60"/>
        <w:ind w:left="360"/>
      </w:pPr>
      <w:r>
        <w:rPr>
          <w:b/>
          <w:bCs/>
          <w:color w:val="1C2B4A"/>
        </w:rPr>
        <w:t xml:space="preserve">The flawed version: </w:t>
      </w:r>
      <w:r>
        <w:rPr>
          <w:i/>
          <w:iCs/>
          <w:color w:val="000000"/>
        </w:rPr>
        <w:t>Data triangulation was achieved by interviewing fifteen employees rather than five.</w:t>
      </w:r>
    </w:p>
    <w:p w14:paraId="2EED485C" w14:textId="77777777" w:rsidR="00960999" w:rsidRDefault="00000000">
      <w:pPr>
        <w:spacing w:before="100" w:after="60"/>
        <w:ind w:left="360"/>
      </w:pPr>
      <w:r>
        <w:rPr>
          <w:b/>
          <w:bCs/>
          <w:color w:val="1C2B4A"/>
        </w:rPr>
        <w:t xml:space="preserve">The fix: </w:t>
      </w:r>
      <w:r>
        <w:rPr>
          <w:i/>
          <w:iCs/>
          <w:color w:val="000000"/>
        </w:rPr>
        <w:t>Data triangulation was achieved by interviewing employees, their line managers, and members of the HR team who designed the policy, three structurally distinct vantage points on the same policy.</w:t>
      </w:r>
    </w:p>
    <w:p w14:paraId="5FFDC830" w14:textId="77777777" w:rsidR="00960999" w:rsidRDefault="00000000">
      <w:pPr>
        <w:spacing w:after="160"/>
      </w:pPr>
      <w:r>
        <w:rPr>
          <w:color w:val="000000"/>
        </w:rPr>
        <w:t>A bigger sample of the same type of participant is a stronger sample. It is not triangulation, since Denzin's (1978) definition requires genuinely different vantage points, not more of the same one.</w:t>
      </w:r>
    </w:p>
    <w:p w14:paraId="25F5C051" w14:textId="77777777" w:rsidR="00960999" w:rsidRDefault="00000000">
      <w:pPr>
        <w:pStyle w:val="Heading2"/>
        <w:spacing w:before="260" w:after="120"/>
      </w:pPr>
      <w:r>
        <w:rPr>
          <w:b/>
          <w:bCs/>
          <w:color w:val="1C2B4A"/>
        </w:rPr>
        <w:t>Failure 3: Treating convergence as proof</w:t>
      </w:r>
    </w:p>
    <w:p w14:paraId="5FDFA5F6" w14:textId="77777777" w:rsidR="00960999" w:rsidRDefault="00000000">
      <w:pPr>
        <w:spacing w:before="100" w:after="60"/>
        <w:ind w:left="360"/>
      </w:pPr>
      <w:r>
        <w:rPr>
          <w:b/>
          <w:bCs/>
          <w:color w:val="1C2B4A"/>
        </w:rPr>
        <w:t xml:space="preserve">The problem: </w:t>
      </w:r>
      <w:r>
        <w:rPr>
          <w:i/>
          <w:iCs/>
          <w:color w:val="000000"/>
        </w:rPr>
        <w:t>Treating agreement across a small number of qualitative sources as proof, rather than as one form of evidence with its own limits.</w:t>
      </w:r>
    </w:p>
    <w:p w14:paraId="21EEB399" w14:textId="77777777" w:rsidR="00960999" w:rsidRDefault="00000000">
      <w:pPr>
        <w:spacing w:before="100" w:after="60"/>
        <w:ind w:left="360"/>
      </w:pPr>
      <w:r>
        <w:rPr>
          <w:b/>
          <w:bCs/>
          <w:color w:val="1C2B4A"/>
        </w:rPr>
        <w:t xml:space="preserve">The flawed version: </w:t>
      </w:r>
      <w:r>
        <w:rPr>
          <w:i/>
          <w:iCs/>
          <w:color w:val="000000"/>
        </w:rPr>
        <w:t>All three participants agreed that mentoring improved confidence, proving that mentoring improves confidence.</w:t>
      </w:r>
    </w:p>
    <w:p w14:paraId="5D6CB744" w14:textId="77777777" w:rsidR="00960999" w:rsidRDefault="00000000">
      <w:pPr>
        <w:spacing w:before="100" w:after="60"/>
        <w:ind w:left="360"/>
      </w:pPr>
      <w:r>
        <w:rPr>
          <w:b/>
          <w:bCs/>
          <w:color w:val="1C2B4A"/>
        </w:rPr>
        <w:t xml:space="preserve">The fix: </w:t>
      </w:r>
      <w:r>
        <w:rPr>
          <w:i/>
          <w:iCs/>
          <w:color w:val="000000"/>
        </w:rPr>
        <w:t>All three participants described mentoring as improving confidence, a convergence that strengthens confidence in the theme within this sample, though it does not prove a universal causal claim beyond what three accounts can establish.</w:t>
      </w:r>
    </w:p>
    <w:p w14:paraId="2EBF9EDF" w14:textId="77777777" w:rsidR="00960999" w:rsidRDefault="00000000">
      <w:pPr>
        <w:spacing w:after="160"/>
      </w:pPr>
      <w:r>
        <w:rPr>
          <w:color w:val="000000"/>
        </w:rPr>
        <w:t>The fix keeps the same evidence but scopes the claim to what convergence across three qualitative accounts can actually support.</w:t>
      </w:r>
    </w:p>
    <w:p w14:paraId="083E8B76" w14:textId="77777777" w:rsidR="00960999" w:rsidRDefault="00000000">
      <w:pPr>
        <w:pStyle w:val="Heading2"/>
        <w:spacing w:before="260" w:after="120"/>
      </w:pPr>
      <w:r>
        <w:rPr>
          <w:b/>
          <w:bCs/>
          <w:color w:val="1C2B4A"/>
        </w:rPr>
        <w:t>Failure 4: Discarding divergence instead of interpreting it</w:t>
      </w:r>
    </w:p>
    <w:p w14:paraId="6278D50E" w14:textId="77777777" w:rsidR="00960999" w:rsidRDefault="00000000">
      <w:pPr>
        <w:spacing w:before="100" w:after="60"/>
        <w:ind w:left="360"/>
      </w:pPr>
      <w:r>
        <w:rPr>
          <w:b/>
          <w:bCs/>
          <w:color w:val="1C2B4A"/>
        </w:rPr>
        <w:t xml:space="preserve">The problem: </w:t>
      </w:r>
      <w:r>
        <w:rPr>
          <w:i/>
          <w:iCs/>
          <w:color w:val="000000"/>
        </w:rPr>
        <w:t>Removing a divergent account rather than asking what it reveals, which discards exactly the complexity triangulation is meant to surface.</w:t>
      </w:r>
    </w:p>
    <w:p w14:paraId="509253D9" w14:textId="77777777" w:rsidR="00960999" w:rsidRDefault="00000000">
      <w:pPr>
        <w:spacing w:before="100" w:after="60"/>
        <w:ind w:left="360"/>
      </w:pPr>
      <w:r>
        <w:rPr>
          <w:b/>
          <w:bCs/>
          <w:color w:val="1C2B4A"/>
        </w:rPr>
        <w:t xml:space="preserve">The flawed version: </w:t>
      </w:r>
      <w:r>
        <w:rPr>
          <w:i/>
          <w:iCs/>
          <w:color w:val="000000"/>
        </w:rPr>
        <w:t>One participant's account did not fit the emerging pattern and was excluded from the analysis as an outlier.</w:t>
      </w:r>
    </w:p>
    <w:p w14:paraId="18A79CE7" w14:textId="77777777" w:rsidR="00960999" w:rsidRDefault="00000000">
      <w:pPr>
        <w:spacing w:before="100" w:after="60"/>
        <w:ind w:left="360"/>
      </w:pPr>
      <w:r>
        <w:rPr>
          <w:b/>
          <w:bCs/>
          <w:color w:val="1C2B4A"/>
        </w:rPr>
        <w:t xml:space="preserve">The fix: </w:t>
      </w:r>
      <w:r>
        <w:rPr>
          <w:i/>
          <w:iCs/>
          <w:color w:val="000000"/>
        </w:rPr>
        <w:t>One participant's account diverged from the emerging pattern. Rather than excluding it, the analysis considered what about that participant's structural position, a first-year employee rather than an established team member, might explain the difference.</w:t>
      </w:r>
    </w:p>
    <w:p w14:paraId="713B0110" w14:textId="77777777" w:rsidR="00960999" w:rsidRDefault="00000000">
      <w:pPr>
        <w:spacing w:after="160"/>
      </w:pPr>
      <w:r>
        <w:rPr>
          <w:color w:val="000000"/>
        </w:rPr>
        <w:t>This is the same discipline shown in the worked example earlier in this handbook: divergence gets interpreted, not deleted.</w:t>
      </w:r>
    </w:p>
    <w:p w14:paraId="7FA4B706" w14:textId="77777777" w:rsidR="00960999" w:rsidRDefault="00000000">
      <w:r>
        <w:br w:type="page"/>
      </w:r>
    </w:p>
    <w:p w14:paraId="6D0E56E4" w14:textId="77777777" w:rsidR="00960999" w:rsidRDefault="00000000">
      <w:pPr>
        <w:pStyle w:val="Heading1"/>
        <w:spacing w:before="320" w:after="160"/>
      </w:pPr>
      <w:r>
        <w:rPr>
          <w:b/>
          <w:bCs/>
          <w:color w:val="1C2B4A"/>
        </w:rPr>
        <w:t>Practice extracts</w:t>
      </w:r>
    </w:p>
    <w:p w14:paraId="5A285074" w14:textId="77777777" w:rsidR="00960999" w:rsidRDefault="00000000">
      <w:pPr>
        <w:spacing w:after="160"/>
      </w:pPr>
      <w:r>
        <w:rPr>
          <w:color w:val="000000"/>
        </w:rPr>
        <w:t>The first extract under each activity is used in the session. The second is for your independent practice afterwards, with a model answer beneath it so you can check your own attempt once you have tried it yourself. All extracts are constructed for teaching purposes and are not drawn from a named publication.</w:t>
      </w:r>
    </w:p>
    <w:p w14:paraId="57A35412" w14:textId="77777777" w:rsidR="00960999" w:rsidRDefault="00000000">
      <w:pPr>
        <w:pStyle w:val="Heading2"/>
        <w:spacing w:before="260" w:after="120"/>
      </w:pPr>
      <w:r>
        <w:rPr>
          <w:b/>
          <w:bCs/>
          <w:color w:val="1C2B4A"/>
        </w:rPr>
        <w:t>Activity 1 extracts: evaluating a triangulation claim</w:t>
      </w:r>
    </w:p>
    <w:p w14:paraId="2FDD1FE4" w14:textId="77777777" w:rsidR="00960999" w:rsidRDefault="00000000">
      <w:pPr>
        <w:spacing w:before="100" w:after="60"/>
        <w:ind w:left="360"/>
      </w:pPr>
      <w:r>
        <w:rPr>
          <w:b/>
          <w:bCs/>
          <w:color w:val="1C2B4A"/>
        </w:rPr>
        <w:t xml:space="preserve">Extract 1, used in the session: </w:t>
      </w:r>
      <w:r>
        <w:rPr>
          <w:i/>
          <w:iCs/>
          <w:color w:val="000000"/>
        </w:rPr>
        <w:t>This study achieved triangulation by conducting interviews with twelve customers, thereby strengthening the validity of the findings. All participants reported similar views on service quality, confirming the study's conclusions. One participant's response differed from the others and was treated as an anomaly.</w:t>
      </w:r>
    </w:p>
    <w:p w14:paraId="511D3024" w14:textId="77777777" w:rsidR="00960999" w:rsidRDefault="00000000">
      <w:pPr>
        <w:spacing w:before="100" w:after="60"/>
        <w:ind w:left="360"/>
      </w:pPr>
      <w:r>
        <w:rPr>
          <w:b/>
          <w:bCs/>
          <w:color w:val="1C2B4A"/>
        </w:rPr>
        <w:t xml:space="preserve">Extract 2, for independent practice: </w:t>
      </w:r>
      <w:r>
        <w:rPr>
          <w:i/>
          <w:iCs/>
          <w:color w:val="000000"/>
        </w:rPr>
        <w:t>This research triangulated its findings by reviewing company documents and interviewing two senior managers, giving a well-rounded and validated picture of the change programme. Both managers described the programme as successful.</w:t>
      </w:r>
    </w:p>
    <w:p w14:paraId="67CCA566" w14:textId="77777777" w:rsidR="00960999" w:rsidRDefault="00000000">
      <w:pPr>
        <w:spacing w:after="160"/>
      </w:pPr>
      <w:r>
        <w:rPr>
          <w:color w:val="000000"/>
        </w:rPr>
        <w:t>Attempt your own evaluation of Extract 2 before reading the model answer below.</w:t>
      </w:r>
    </w:p>
    <w:p w14:paraId="30F22F78" w14:textId="77777777" w:rsidR="00960999" w:rsidRDefault="00000000">
      <w:pPr>
        <w:spacing w:before="100" w:after="60"/>
        <w:ind w:left="360"/>
      </w:pPr>
      <w:r>
        <w:rPr>
          <w:b/>
          <w:bCs/>
          <w:color w:val="1C2B4A"/>
        </w:rPr>
        <w:t xml:space="preserve">Model answer: </w:t>
      </w:r>
      <w:r>
        <w:rPr>
          <w:i/>
          <w:iCs/>
          <w:color w:val="000000"/>
        </w:rPr>
        <w:t>Documents and interviews are genuinely different data types, so this could be methodological or data triangulation depending on how it is framed, but the extract never says which, and never states what the documents showed compared with what the managers said, only that the picture was well rounded and validated. Two managers from the same seniority level are also one vantage point, not two, since Denzin (1978) requires structurally different positions, not simply two individuals. A stronger version would name the type explicitly, report what the documents showed against what the interviews showed, and either interview a structurally different group, for example employees affected by the change, or acknowledge that only one stakeholder perspective is represented here.</w:t>
      </w:r>
    </w:p>
    <w:p w14:paraId="5613DA45" w14:textId="77777777" w:rsidR="00960999" w:rsidRDefault="00000000">
      <w:pPr>
        <w:pStyle w:val="Heading2"/>
        <w:spacing w:before="260" w:after="120"/>
      </w:pPr>
      <w:r>
        <w:rPr>
          <w:b/>
          <w:bCs/>
          <w:color w:val="1C2B4A"/>
        </w:rPr>
        <w:t>Activity 2 extracts: writing a triangulation section</w:t>
      </w:r>
    </w:p>
    <w:p w14:paraId="52A97470" w14:textId="77777777" w:rsidR="00960999" w:rsidRDefault="00000000">
      <w:pPr>
        <w:spacing w:before="100" w:after="60"/>
        <w:ind w:left="360"/>
      </w:pPr>
      <w:r>
        <w:rPr>
          <w:b/>
          <w:bCs/>
          <w:color w:val="1C2B4A"/>
        </w:rPr>
        <w:t xml:space="preserve">Extract 1, used in the session: </w:t>
      </w:r>
      <w:r>
        <w:rPr>
          <w:i/>
          <w:iCs/>
          <w:color w:val="000000"/>
        </w:rPr>
        <w:t>You are studying employee experiences of a return-to-office mandate. You have interview data from three groups: employees who returned full-time, employees on hybrid arrangements, and line managers responsible for enforcing the policy. Interviews with employees converge on frustration about commuting costs. Managers' accounts diverge sharply, describing enforcement as inconsistent and personally uncomfortable.</w:t>
      </w:r>
    </w:p>
    <w:p w14:paraId="49E4D1B1" w14:textId="77777777" w:rsidR="00960999" w:rsidRDefault="00000000">
      <w:pPr>
        <w:spacing w:before="100" w:after="60"/>
        <w:ind w:left="360"/>
      </w:pPr>
      <w:r>
        <w:rPr>
          <w:b/>
          <w:bCs/>
          <w:color w:val="1C2B4A"/>
        </w:rPr>
        <w:t xml:space="preserve">Extract 2, for independent practice: </w:t>
      </w:r>
      <w:r>
        <w:rPr>
          <w:i/>
          <w:iCs/>
          <w:color w:val="000000"/>
        </w:rPr>
        <w:t>You are studying the adoption of a new expense-reporting system. You have data from the system's usage logs, showing high adoption within the first month, and from interviews with staff, who describe the system as confusing and say they only use it because they have no choice. A survey conducted by the finance team reports high satisfaction scores.</w:t>
      </w:r>
    </w:p>
    <w:p w14:paraId="6A4D4771" w14:textId="77777777" w:rsidR="00960999" w:rsidRDefault="00000000">
      <w:pPr>
        <w:spacing w:after="160"/>
      </w:pPr>
      <w:r>
        <w:rPr>
          <w:color w:val="000000"/>
        </w:rPr>
        <w:t>Attempt your own triangulation section for Extract 2 before reading the model answer below.</w:t>
      </w:r>
    </w:p>
    <w:p w14:paraId="31BAB994" w14:textId="77777777" w:rsidR="00960999" w:rsidRDefault="00000000">
      <w:pPr>
        <w:spacing w:before="100" w:after="60"/>
        <w:ind w:left="360"/>
      </w:pPr>
      <w:r>
        <w:rPr>
          <w:b/>
          <w:bCs/>
          <w:color w:val="1C2B4A"/>
        </w:rPr>
        <w:t xml:space="preserve">Model answer: </w:t>
      </w:r>
      <w:r>
        <w:rPr>
          <w:i/>
          <w:iCs/>
          <w:color w:val="000000"/>
        </w:rPr>
        <w:t>This design methodologically triangulates system usage logs, staff interviews, and a finance-administered satisfaction survey (Denzin, 1978). The usage logs and the survey converge on a positive picture, high adoption and high reported satisfaction, but the interview data diverges sharply, describing the system as confusing and used only because staff have no alternative. This divergence is analytically significant rather than a measurement error to resolve: it suggests that compliance-driven adoption can coexist with genuine dissatisfaction, and that a finance-administered survey may be particularly prone to socially desirable responding given who is asking the question.</w:t>
      </w:r>
    </w:p>
    <w:p w14:paraId="636E4272" w14:textId="77777777" w:rsidR="00960999" w:rsidRDefault="00000000">
      <w:pPr>
        <w:pStyle w:val="Heading1"/>
        <w:spacing w:before="320" w:after="160"/>
      </w:pPr>
      <w:r>
        <w:rPr>
          <w:b/>
          <w:bCs/>
          <w:color w:val="1C2B4A"/>
        </w:rPr>
        <w:t>Session activities</w:t>
      </w:r>
    </w:p>
    <w:p w14:paraId="17F80DE5" w14:textId="77777777" w:rsidR="00960999" w:rsidRDefault="00000000">
      <w:pPr>
        <w:pStyle w:val="Heading2"/>
        <w:spacing w:before="260" w:after="120"/>
      </w:pPr>
      <w:r>
        <w:rPr>
          <w:b/>
          <w:bCs/>
          <w:color w:val="1C2B4A"/>
        </w:rPr>
        <w:t>Activity 1: Evaluating a triangulation claim</w:t>
      </w:r>
    </w:p>
    <w:p w14:paraId="2239D50C" w14:textId="77777777" w:rsidR="00960999" w:rsidRDefault="00000000">
      <w:pPr>
        <w:pStyle w:val="ListParagraph"/>
        <w:numPr>
          <w:ilvl w:val="0"/>
          <w:numId w:val="1"/>
        </w:numPr>
        <w:spacing w:after="100"/>
      </w:pPr>
      <w:r>
        <w:rPr>
          <w:color w:val="000000"/>
        </w:rPr>
        <w:t>In pairs, apply the four failure types above to Extract 1</w:t>
      </w:r>
    </w:p>
    <w:p w14:paraId="1FAEF272" w14:textId="77777777" w:rsidR="00960999" w:rsidRDefault="00000000">
      <w:pPr>
        <w:pStyle w:val="ListParagraph"/>
        <w:numPr>
          <w:ilvl w:val="0"/>
          <w:numId w:val="1"/>
        </w:numPr>
        <w:spacing w:after="100"/>
      </w:pPr>
      <w:r>
        <w:rPr>
          <w:color w:val="000000"/>
        </w:rPr>
        <w:t>Decide whether twelve customers represents one vantage point or several, and whether what is described meets Denzin's (1978) definition of triangulation at all</w:t>
      </w:r>
    </w:p>
    <w:p w14:paraId="1597C506" w14:textId="77777777" w:rsidR="00960999" w:rsidRDefault="00000000">
      <w:pPr>
        <w:pStyle w:val="ListParagraph"/>
        <w:numPr>
          <w:ilvl w:val="0"/>
          <w:numId w:val="1"/>
        </w:numPr>
        <w:spacing w:after="100"/>
      </w:pPr>
      <w:r>
        <w:rPr>
          <w:color w:val="000000"/>
        </w:rPr>
        <w:t>Identify the sentence that commits the convergence-as-proof failure, and the sentence that commits the discarding-divergence failure</w:t>
      </w:r>
    </w:p>
    <w:p w14:paraId="7A6E4733" w14:textId="77777777" w:rsidR="00960999" w:rsidRDefault="00000000">
      <w:pPr>
        <w:pStyle w:val="ListParagraph"/>
        <w:numPr>
          <w:ilvl w:val="0"/>
          <w:numId w:val="1"/>
        </w:numPr>
        <w:spacing w:after="100"/>
      </w:pPr>
      <w:r>
        <w:rPr>
          <w:color w:val="000000"/>
        </w:rPr>
        <w:t>Rewrite the extract so it either correctly names a type of triangulation genuinely present, or explains why what was done does not meet that definition</w:t>
      </w:r>
    </w:p>
    <w:p w14:paraId="73AE6F6D" w14:textId="77777777" w:rsidR="00960999" w:rsidRDefault="00000000">
      <w:pPr>
        <w:pStyle w:val="ListParagraph"/>
        <w:numPr>
          <w:ilvl w:val="0"/>
          <w:numId w:val="1"/>
        </w:numPr>
        <w:spacing w:after="100"/>
      </w:pPr>
      <w:r>
        <w:rPr>
          <w:color w:val="000000"/>
        </w:rPr>
        <w:t>After the session, attempt Extract 2 independently and check your evaluation against the model answer above</w:t>
      </w:r>
    </w:p>
    <w:p w14:paraId="05F5AB34" w14:textId="77777777" w:rsidR="00960999" w:rsidRDefault="00000000">
      <w:pPr>
        <w:pStyle w:val="Heading2"/>
        <w:spacing w:before="260" w:after="120"/>
      </w:pPr>
      <w:r>
        <w:rPr>
          <w:b/>
          <w:bCs/>
          <w:color w:val="1C2B4A"/>
        </w:rPr>
        <w:t>Activity 2: Writing a triangulation section</w:t>
      </w:r>
    </w:p>
    <w:p w14:paraId="3CB58E15" w14:textId="77777777" w:rsidR="00960999" w:rsidRDefault="00000000">
      <w:pPr>
        <w:pStyle w:val="ListParagraph"/>
        <w:numPr>
          <w:ilvl w:val="0"/>
          <w:numId w:val="1"/>
        </w:numPr>
        <w:spacing w:after="100"/>
      </w:pPr>
      <w:r>
        <w:rPr>
          <w:color w:val="000000"/>
        </w:rPr>
        <w:t>Using the material in Extract 1, write a short triangulation section, 100 to 150 words, that names the specific type of triangulation being used and cites Denzin (1978) appropriately</w:t>
      </w:r>
    </w:p>
    <w:p w14:paraId="1C188B35" w14:textId="77777777" w:rsidR="00960999" w:rsidRDefault="00000000">
      <w:pPr>
        <w:pStyle w:val="ListParagraph"/>
        <w:numPr>
          <w:ilvl w:val="0"/>
          <w:numId w:val="1"/>
        </w:numPr>
        <w:spacing w:after="100"/>
      </w:pPr>
      <w:r>
        <w:rPr>
          <w:color w:val="000000"/>
        </w:rPr>
        <w:t>State clearly what converged and what diverged across the three groups</w:t>
      </w:r>
    </w:p>
    <w:p w14:paraId="74A11FFB" w14:textId="77777777" w:rsidR="00960999" w:rsidRDefault="00000000">
      <w:pPr>
        <w:pStyle w:val="ListParagraph"/>
        <w:numPr>
          <w:ilvl w:val="0"/>
          <w:numId w:val="1"/>
        </w:numPr>
        <w:spacing w:after="100"/>
      </w:pPr>
      <w:r>
        <w:rPr>
          <w:color w:val="000000"/>
        </w:rPr>
        <w:t>Your section must treat the divergence between manager and employee accounts as analytically meaningful, not as a problem to be resolved</w:t>
      </w:r>
    </w:p>
    <w:p w14:paraId="6454D512" w14:textId="77777777" w:rsidR="00960999" w:rsidRDefault="00000000">
      <w:pPr>
        <w:pStyle w:val="ListParagraph"/>
        <w:numPr>
          <w:ilvl w:val="0"/>
          <w:numId w:val="1"/>
        </w:numPr>
        <w:spacing w:after="100"/>
      </w:pPr>
      <w:r>
        <w:rPr>
          <w:color w:val="000000"/>
        </w:rPr>
        <w:t>Exchange your section with a partner and check it against the self-assessment checklist below</w:t>
      </w:r>
    </w:p>
    <w:p w14:paraId="257EFB2B" w14:textId="77777777" w:rsidR="00960999" w:rsidRDefault="00000000">
      <w:pPr>
        <w:pStyle w:val="ListParagraph"/>
        <w:numPr>
          <w:ilvl w:val="0"/>
          <w:numId w:val="1"/>
        </w:numPr>
        <w:spacing w:after="100"/>
      </w:pPr>
      <w:r>
        <w:rPr>
          <w:color w:val="000000"/>
        </w:rPr>
        <w:t>After the session, attempt Extract 2 independently and check your section against the model answer above</w:t>
      </w:r>
    </w:p>
    <w:p w14:paraId="13765C1E" w14:textId="77777777" w:rsidR="00960999" w:rsidRDefault="00000000">
      <w:pPr>
        <w:pStyle w:val="Heading1"/>
        <w:spacing w:before="320" w:after="160"/>
      </w:pPr>
      <w:r>
        <w:rPr>
          <w:b/>
          <w:bCs/>
          <w:color w:val="1C2B4A"/>
        </w:rPr>
        <w:t>Self-assessment checklist</w:t>
      </w:r>
    </w:p>
    <w:p w14:paraId="3EB8A6EB" w14:textId="77777777" w:rsidR="00960999" w:rsidRDefault="00000000">
      <w:pPr>
        <w:spacing w:after="120"/>
      </w:pPr>
      <w:r>
        <w:t xml:space="preserve">☐  </w:t>
      </w:r>
      <w:r>
        <w:rPr>
          <w:color w:val="000000"/>
        </w:rPr>
        <w:t>Have I named the specific type of triangulation, data, investigator, theory, or methodological, rather than using the word triangulation alone</w:t>
      </w:r>
    </w:p>
    <w:p w14:paraId="4CE84BCE" w14:textId="77777777" w:rsidR="00960999" w:rsidRDefault="00000000">
      <w:pPr>
        <w:spacing w:after="120"/>
      </w:pPr>
      <w:r>
        <w:t xml:space="preserve">☐  </w:t>
      </w:r>
      <w:r>
        <w:rPr>
          <w:color w:val="000000"/>
        </w:rPr>
        <w:t>Have I cited Denzin (1978), or another named source, to justify why this counts as triangulation</w:t>
      </w:r>
    </w:p>
    <w:p w14:paraId="06B0EDCA" w14:textId="77777777" w:rsidR="00960999" w:rsidRDefault="00000000">
      <w:pPr>
        <w:spacing w:after="120"/>
      </w:pPr>
      <w:r>
        <w:t xml:space="preserve">☐  </w:t>
      </w:r>
      <w:r>
        <w:rPr>
          <w:color w:val="000000"/>
        </w:rPr>
        <w:t>Have I stated specifically what converged and what diverged, rather than reporting triangulation only in the abstract</w:t>
      </w:r>
    </w:p>
    <w:p w14:paraId="4C9F0A97" w14:textId="77777777" w:rsidR="00960999" w:rsidRDefault="00000000">
      <w:pPr>
        <w:spacing w:after="120"/>
      </w:pPr>
      <w:r>
        <w:t xml:space="preserve">☐  </w:t>
      </w:r>
      <w:r>
        <w:rPr>
          <w:color w:val="000000"/>
        </w:rPr>
        <w:t>If something diverged, have I interpreted it rather than treating it as an outlier to discard</w:t>
      </w:r>
    </w:p>
    <w:p w14:paraId="0C662324" w14:textId="77777777" w:rsidR="00960999" w:rsidRDefault="00000000">
      <w:pPr>
        <w:spacing w:after="120"/>
      </w:pPr>
      <w:r>
        <w:t xml:space="preserve">☐  </w:t>
      </w:r>
      <w:r>
        <w:rPr>
          <w:color w:val="000000"/>
        </w:rPr>
        <w:t>Would a reader know, from this section alone, why I chose this particular combination of sources, methods, investigators or theories</w:t>
      </w:r>
    </w:p>
    <w:p w14:paraId="455EDF37" w14:textId="77777777" w:rsidR="00960999" w:rsidRDefault="00000000">
      <w:r>
        <w:br w:type="page"/>
      </w:r>
    </w:p>
    <w:p w14:paraId="63A6113A" w14:textId="77777777" w:rsidR="00960999" w:rsidRDefault="00000000">
      <w:pPr>
        <w:pStyle w:val="Heading1"/>
        <w:spacing w:before="320" w:after="160"/>
      </w:pPr>
      <w:r>
        <w:rPr>
          <w:b/>
          <w:bCs/>
          <w:color w:val="1C2B4A"/>
        </w:rPr>
        <w:t>Reading list</w:t>
      </w:r>
    </w:p>
    <w:p w14:paraId="74EFCC83" w14:textId="77777777" w:rsidR="00960999" w:rsidRDefault="00000000">
      <w:pPr>
        <w:spacing w:after="160"/>
      </w:pPr>
      <w:r>
        <w:rPr>
          <w:color w:val="000000"/>
        </w:rPr>
        <w:t>All references below have been checked against library and publisher records.</w:t>
      </w:r>
    </w:p>
    <w:p w14:paraId="2E85B3C1" w14:textId="77777777" w:rsidR="00960999" w:rsidRDefault="00000000">
      <w:pPr>
        <w:spacing w:after="160"/>
        <w:ind w:left="360" w:hanging="360"/>
      </w:pPr>
      <w:r>
        <w:rPr>
          <w:color w:val="000000"/>
        </w:rPr>
        <w:t>Denzin, N.K. (1978) The Research Act: A Theoretical Introduction to Sociological Methods, 2nd ed., New York: McGraw-Hill.</w:t>
      </w:r>
    </w:p>
    <w:p w14:paraId="5A4DB7D2" w14:textId="77777777" w:rsidR="00960999" w:rsidRDefault="00000000">
      <w:pPr>
        <w:spacing w:after="160"/>
        <w:ind w:left="360" w:hanging="360"/>
      </w:pPr>
      <w:r>
        <w:rPr>
          <w:color w:val="000000"/>
        </w:rPr>
        <w:t>Lincoln, Y.S. and Guba, E.G. (1985) Naturalistic Inquiry, Beverly Hills: Sage.</w:t>
      </w:r>
    </w:p>
    <w:p w14:paraId="7291E2C8" w14:textId="77777777" w:rsidR="00960999" w:rsidRDefault="00000000">
      <w:pPr>
        <w:spacing w:after="160"/>
        <w:ind w:left="360" w:hanging="360"/>
      </w:pPr>
      <w:r>
        <w:rPr>
          <w:color w:val="000000"/>
        </w:rPr>
        <w:t>Patton, M.Q. (2015) Qualitative Research and Evaluation Methods: Integrating Theory and Practice, 4th ed., Thousand Oaks: Sage.</w:t>
      </w:r>
    </w:p>
    <w:p w14:paraId="61B5F749" w14:textId="77777777" w:rsidR="00960999" w:rsidRDefault="00000000">
      <w:pPr>
        <w:spacing w:after="160"/>
        <w:ind w:left="360" w:hanging="360"/>
      </w:pPr>
      <w:r>
        <w:rPr>
          <w:color w:val="000000"/>
        </w:rPr>
        <w:t>Richardson, L. (2000) Writing: A method of inquiry, in Denzin, N.K. and Lincoln, Y.S. (eds) Handbook of Qualitative Research, 2nd ed., Thousand Oaks: Sage, pp. 923 to 948.</w:t>
      </w:r>
    </w:p>
    <w:sectPr w:rsidR="0096099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F5AC7"/>
    <w:multiLevelType w:val="hybridMultilevel"/>
    <w:tmpl w:val="7582A1D8"/>
    <w:lvl w:ilvl="0" w:tplc="4E906DCA">
      <w:start w:val="1"/>
      <w:numFmt w:val="bullet"/>
      <w:lvlText w:val="●"/>
      <w:lvlJc w:val="left"/>
      <w:pPr>
        <w:ind w:left="720" w:hanging="360"/>
      </w:pPr>
    </w:lvl>
    <w:lvl w:ilvl="1" w:tplc="50146342">
      <w:start w:val="1"/>
      <w:numFmt w:val="bullet"/>
      <w:lvlText w:val="○"/>
      <w:lvlJc w:val="left"/>
      <w:pPr>
        <w:ind w:left="1440" w:hanging="360"/>
      </w:pPr>
    </w:lvl>
    <w:lvl w:ilvl="2" w:tplc="3B20C7B4">
      <w:start w:val="1"/>
      <w:numFmt w:val="bullet"/>
      <w:lvlText w:val="■"/>
      <w:lvlJc w:val="left"/>
      <w:pPr>
        <w:ind w:left="2160" w:hanging="360"/>
      </w:pPr>
    </w:lvl>
    <w:lvl w:ilvl="3" w:tplc="F530C644">
      <w:start w:val="1"/>
      <w:numFmt w:val="bullet"/>
      <w:lvlText w:val="●"/>
      <w:lvlJc w:val="left"/>
      <w:pPr>
        <w:ind w:left="2880" w:hanging="360"/>
      </w:pPr>
    </w:lvl>
    <w:lvl w:ilvl="4" w:tplc="DAE402A6">
      <w:start w:val="1"/>
      <w:numFmt w:val="bullet"/>
      <w:lvlText w:val="○"/>
      <w:lvlJc w:val="left"/>
      <w:pPr>
        <w:ind w:left="3600" w:hanging="360"/>
      </w:pPr>
    </w:lvl>
    <w:lvl w:ilvl="5" w:tplc="EAA43840">
      <w:start w:val="1"/>
      <w:numFmt w:val="bullet"/>
      <w:lvlText w:val="■"/>
      <w:lvlJc w:val="left"/>
      <w:pPr>
        <w:ind w:left="4320" w:hanging="360"/>
      </w:pPr>
    </w:lvl>
    <w:lvl w:ilvl="6" w:tplc="3AB22650">
      <w:start w:val="1"/>
      <w:numFmt w:val="bullet"/>
      <w:lvlText w:val="●"/>
      <w:lvlJc w:val="left"/>
      <w:pPr>
        <w:ind w:left="5040" w:hanging="360"/>
      </w:pPr>
    </w:lvl>
    <w:lvl w:ilvl="7" w:tplc="2D962E20">
      <w:start w:val="1"/>
      <w:numFmt w:val="bullet"/>
      <w:lvlText w:val="●"/>
      <w:lvlJc w:val="left"/>
      <w:pPr>
        <w:ind w:left="5760" w:hanging="360"/>
      </w:pPr>
    </w:lvl>
    <w:lvl w:ilvl="8" w:tplc="06DEF1E2">
      <w:start w:val="1"/>
      <w:numFmt w:val="bullet"/>
      <w:lvlText w:val="●"/>
      <w:lvlJc w:val="left"/>
      <w:pPr>
        <w:ind w:left="6480" w:hanging="360"/>
      </w:pPr>
    </w:lvl>
  </w:abstractNum>
  <w:num w:numId="1" w16cid:durableId="9626887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999"/>
    <w:rsid w:val="006768E4"/>
    <w:rsid w:val="00960999"/>
    <w:rsid w:val="00B275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BA9CC"/>
  <w15:docId w15:val="{EAA365F1-A780-4DA4-8B5B-005B1614E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8"/>
        <w:szCs w:val="28"/>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2618</Words>
  <Characters>14925</Characters>
  <Application>Microsoft Office Word</Application>
  <DocSecurity>0</DocSecurity>
  <Lines>124</Lines>
  <Paragraphs>35</Paragraphs>
  <ScaleCrop>false</ScaleCrop>
  <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Caroline Jawad</cp:lastModifiedBy>
  <cp:revision>2</cp:revision>
  <dcterms:created xsi:type="dcterms:W3CDTF">2026-09-20T14:56:00Z</dcterms:created>
  <dcterms:modified xsi:type="dcterms:W3CDTF">2026-09-20T14:56:00Z</dcterms:modified>
</cp:coreProperties>
</file>