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A28C5" w14:textId="58F2DEE9" w:rsidR="00C33B68" w:rsidRDefault="00C33B68" w:rsidP="00D55B0C">
      <w:pPr>
        <w:spacing w:line="360" w:lineRule="auto"/>
        <w:jc w:val="right"/>
        <w:rPr>
          <w:rFonts w:asciiTheme="majorBidi" w:hAnsiTheme="majorBidi" w:cstheme="majorBidi"/>
          <w:b/>
          <w:sz w:val="24"/>
          <w:szCs w:val="24"/>
        </w:rPr>
      </w:pPr>
      <w:r>
        <w:rPr>
          <w:rFonts w:asciiTheme="majorBidi" w:hAnsiTheme="majorBidi" w:cstheme="majorBidi"/>
          <w:b/>
          <w:noProof/>
          <w:sz w:val="24"/>
          <w:szCs w:val="24"/>
        </w:rPr>
        <w:drawing>
          <wp:inline distT="0" distB="0" distL="0" distR="0" wp14:anchorId="78CF6CEE" wp14:editId="6E3C6BE0">
            <wp:extent cx="1057275" cy="1057275"/>
            <wp:effectExtent l="0" t="0" r="9525" b="9525"/>
            <wp:docPr id="908280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275" cy="1057275"/>
                    </a:xfrm>
                    <a:prstGeom prst="rect">
                      <a:avLst/>
                    </a:prstGeom>
                    <a:noFill/>
                  </pic:spPr>
                </pic:pic>
              </a:graphicData>
            </a:graphic>
          </wp:inline>
        </w:drawing>
      </w:r>
    </w:p>
    <w:p w14:paraId="4225EF50" w14:textId="4DADC48D"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BA (Hons) Leadership and Management Skills for the Workplace</w:t>
      </w:r>
    </w:p>
    <w:p w14:paraId="445AAE53" w14:textId="77777777"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 xml:space="preserve">Module: </w:t>
      </w:r>
      <w:r w:rsidRPr="00C33B68">
        <w:rPr>
          <w:rFonts w:asciiTheme="majorBidi" w:hAnsiTheme="majorBidi" w:cstheme="majorBidi"/>
          <w:sz w:val="24"/>
          <w:szCs w:val="24"/>
        </w:rPr>
        <w:t>Developing and Managing Individuals and Teams</w:t>
      </w:r>
    </w:p>
    <w:p w14:paraId="65DE6CF5" w14:textId="77777777"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sz w:val="24"/>
          <w:szCs w:val="24"/>
        </w:rPr>
        <w:t>(LCLM5002)</w:t>
      </w:r>
    </w:p>
    <w:p w14:paraId="2106E5CC" w14:textId="77777777"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 xml:space="preserve">Assignment Title: </w:t>
      </w:r>
      <w:r w:rsidRPr="00C33B68">
        <w:rPr>
          <w:rFonts w:asciiTheme="majorBidi" w:hAnsiTheme="majorBidi" w:cstheme="majorBidi"/>
          <w:sz w:val="24"/>
          <w:szCs w:val="24"/>
        </w:rPr>
        <w:t>Component 2- Individual Report</w:t>
      </w:r>
    </w:p>
    <w:p w14:paraId="20AA8114" w14:textId="77777777" w:rsidR="00C33B68" w:rsidRPr="00C33B68" w:rsidRDefault="00C33B68" w:rsidP="00C33B68">
      <w:pPr>
        <w:spacing w:line="360" w:lineRule="auto"/>
        <w:jc w:val="center"/>
        <w:rPr>
          <w:rFonts w:asciiTheme="majorBidi" w:hAnsiTheme="majorBidi" w:cstheme="majorBidi"/>
          <w:bCs/>
          <w:i/>
          <w:iCs/>
          <w:sz w:val="24"/>
          <w:szCs w:val="24"/>
        </w:rPr>
      </w:pPr>
      <w:r w:rsidRPr="00C33B68">
        <w:rPr>
          <w:rFonts w:asciiTheme="majorBidi" w:hAnsiTheme="majorBidi" w:cstheme="majorBidi"/>
          <w:bCs/>
          <w:i/>
          <w:iCs/>
          <w:sz w:val="24"/>
          <w:szCs w:val="24"/>
        </w:rPr>
        <w:t>Contemporary HR Challenges and Practices at</w:t>
      </w:r>
    </w:p>
    <w:p w14:paraId="0BA44F58" w14:textId="6A2C7A24" w:rsidR="00C33B68" w:rsidRPr="00C33B68" w:rsidRDefault="00C33B68" w:rsidP="00C33B68">
      <w:pPr>
        <w:spacing w:line="360" w:lineRule="auto"/>
        <w:jc w:val="center"/>
        <w:rPr>
          <w:rFonts w:asciiTheme="majorBidi" w:hAnsiTheme="majorBidi" w:cstheme="majorBidi"/>
          <w:sz w:val="24"/>
          <w:szCs w:val="24"/>
        </w:rPr>
      </w:pPr>
      <w:proofErr w:type="spellStart"/>
      <w:r w:rsidRPr="00C33B68">
        <w:rPr>
          <w:rFonts w:asciiTheme="majorBidi" w:hAnsiTheme="majorBidi" w:cstheme="majorBidi"/>
          <w:bCs/>
          <w:i/>
          <w:iCs/>
          <w:sz w:val="24"/>
          <w:szCs w:val="24"/>
        </w:rPr>
        <w:t>Moorfields</w:t>
      </w:r>
      <w:proofErr w:type="spellEnd"/>
      <w:r w:rsidRPr="00C33B68">
        <w:rPr>
          <w:rFonts w:asciiTheme="majorBidi" w:hAnsiTheme="majorBidi" w:cstheme="majorBidi"/>
          <w:bCs/>
          <w:i/>
          <w:iCs/>
          <w:sz w:val="24"/>
          <w:szCs w:val="24"/>
        </w:rPr>
        <w:t xml:space="preserve"> Eye Hospital NHS </w:t>
      </w:r>
      <w:proofErr w:type="spellStart"/>
      <w:r w:rsidRPr="00C33B68">
        <w:rPr>
          <w:rFonts w:asciiTheme="majorBidi" w:hAnsiTheme="majorBidi" w:cstheme="majorBidi"/>
          <w:bCs/>
          <w:i/>
          <w:iCs/>
          <w:sz w:val="24"/>
          <w:szCs w:val="24"/>
        </w:rPr>
        <w:t>FoundationTrust</w:t>
      </w:r>
      <w:proofErr w:type="spellEnd"/>
    </w:p>
    <w:p w14:paraId="398498EB" w14:textId="77777777" w:rsidR="00C33B68" w:rsidRPr="00C33B68" w:rsidRDefault="00C33B68" w:rsidP="00C33B68">
      <w:pPr>
        <w:spacing w:line="360" w:lineRule="auto"/>
        <w:jc w:val="center"/>
        <w:rPr>
          <w:rFonts w:asciiTheme="majorBidi" w:hAnsiTheme="majorBidi" w:cstheme="majorBidi"/>
          <w:sz w:val="24"/>
          <w:szCs w:val="24"/>
        </w:rPr>
      </w:pPr>
    </w:p>
    <w:p w14:paraId="2EEB40D2" w14:textId="77777777"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 xml:space="preserve">Student Name: </w:t>
      </w:r>
      <w:r w:rsidRPr="00C33B68">
        <w:rPr>
          <w:rFonts w:asciiTheme="majorBidi" w:hAnsiTheme="majorBidi" w:cstheme="majorBidi"/>
          <w:sz w:val="24"/>
          <w:szCs w:val="24"/>
        </w:rPr>
        <w:t>Winston hall</w:t>
      </w:r>
    </w:p>
    <w:p w14:paraId="12227CC7" w14:textId="77777777"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 xml:space="preserve">Student Number: </w:t>
      </w:r>
      <w:r w:rsidRPr="00C33B68">
        <w:rPr>
          <w:rFonts w:asciiTheme="majorBidi" w:hAnsiTheme="majorBidi" w:cstheme="majorBidi"/>
          <w:sz w:val="24"/>
          <w:szCs w:val="24"/>
        </w:rPr>
        <w:t>2422871</w:t>
      </w:r>
    </w:p>
    <w:p w14:paraId="50199284" w14:textId="77777777" w:rsidR="00C33B68" w:rsidRPr="00C33B68"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 xml:space="preserve">Lecturer Name: </w:t>
      </w:r>
      <w:r w:rsidRPr="00C33B68">
        <w:rPr>
          <w:rFonts w:asciiTheme="majorBidi" w:hAnsiTheme="majorBidi" w:cstheme="majorBidi"/>
          <w:sz w:val="24"/>
          <w:szCs w:val="24"/>
        </w:rPr>
        <w:t xml:space="preserve">Doreen Nyaa </w:t>
      </w:r>
      <w:proofErr w:type="spellStart"/>
      <w:r w:rsidRPr="00C33B68">
        <w:rPr>
          <w:rFonts w:asciiTheme="majorBidi" w:hAnsiTheme="majorBidi" w:cstheme="majorBidi"/>
          <w:sz w:val="24"/>
          <w:szCs w:val="24"/>
        </w:rPr>
        <w:t>Amundam</w:t>
      </w:r>
      <w:proofErr w:type="spellEnd"/>
    </w:p>
    <w:p w14:paraId="7E4F0C3B" w14:textId="0016C2F3" w:rsidR="007A686F" w:rsidRDefault="00C33B68" w:rsidP="00C33B68">
      <w:pPr>
        <w:spacing w:line="360" w:lineRule="auto"/>
        <w:jc w:val="center"/>
        <w:rPr>
          <w:rFonts w:asciiTheme="majorBidi" w:hAnsiTheme="majorBidi" w:cstheme="majorBidi"/>
          <w:sz w:val="24"/>
          <w:szCs w:val="24"/>
        </w:rPr>
      </w:pPr>
      <w:r w:rsidRPr="00C33B68">
        <w:rPr>
          <w:rFonts w:asciiTheme="majorBidi" w:hAnsiTheme="majorBidi" w:cstheme="majorBidi"/>
          <w:b/>
          <w:sz w:val="24"/>
          <w:szCs w:val="24"/>
        </w:rPr>
        <w:t xml:space="preserve">Word Count: </w:t>
      </w:r>
      <w:r w:rsidRPr="00C33B68">
        <w:rPr>
          <w:rFonts w:asciiTheme="majorBidi" w:hAnsiTheme="majorBidi" w:cstheme="majorBidi"/>
          <w:sz w:val="24"/>
          <w:szCs w:val="24"/>
        </w:rPr>
        <w:t>2125</w:t>
      </w:r>
    </w:p>
    <w:p w14:paraId="29CE5E47" w14:textId="77777777" w:rsidR="007A686F" w:rsidRDefault="007A686F">
      <w:pPr>
        <w:rPr>
          <w:rFonts w:asciiTheme="majorBidi" w:hAnsiTheme="majorBidi" w:cstheme="majorBidi"/>
          <w:sz w:val="24"/>
          <w:szCs w:val="24"/>
        </w:rPr>
      </w:pPr>
      <w:r>
        <w:rPr>
          <w:rFonts w:asciiTheme="majorBidi" w:hAnsiTheme="majorBidi" w:cstheme="majorBidi"/>
          <w:sz w:val="24"/>
          <w:szCs w:val="24"/>
        </w:rPr>
        <w:br w:type="page"/>
      </w:r>
    </w:p>
    <w:sdt>
      <w:sdtPr>
        <w:rPr>
          <w:rFonts w:asciiTheme="majorBidi" w:hAnsiTheme="majorBidi" w:cstheme="majorBidi"/>
          <w:sz w:val="24"/>
          <w:szCs w:val="24"/>
        </w:rPr>
        <w:id w:val="-1761673812"/>
        <w:docPartObj>
          <w:docPartGallery w:val="Table of Contents"/>
          <w:docPartUnique/>
        </w:docPartObj>
      </w:sdtPr>
      <w:sdtEndPr>
        <w:rPr>
          <w:rFonts w:ascii="Arial" w:hAnsi="Arial" w:cstheme="minorBidi"/>
          <w:b/>
          <w:bCs/>
          <w:noProof/>
          <w:sz w:val="22"/>
          <w:szCs w:val="22"/>
        </w:rPr>
      </w:sdtEndPr>
      <w:sdtContent>
        <w:p w14:paraId="4D60A08C" w14:textId="768AB551" w:rsidR="007A686F" w:rsidRPr="007A686F" w:rsidRDefault="007A686F" w:rsidP="007A686F">
          <w:pPr>
            <w:spacing w:line="480" w:lineRule="auto"/>
            <w:jc w:val="center"/>
            <w:rPr>
              <w:rFonts w:asciiTheme="majorBidi" w:hAnsiTheme="majorBidi" w:cstheme="majorBidi"/>
              <w:b/>
              <w:bCs/>
              <w:sz w:val="28"/>
              <w:szCs w:val="28"/>
            </w:rPr>
          </w:pPr>
          <w:r w:rsidRPr="007A686F">
            <w:rPr>
              <w:rFonts w:asciiTheme="majorBidi" w:hAnsiTheme="majorBidi" w:cstheme="majorBidi"/>
              <w:b/>
              <w:bCs/>
              <w:sz w:val="28"/>
              <w:szCs w:val="28"/>
            </w:rPr>
            <w:t>Contents</w:t>
          </w:r>
        </w:p>
        <w:p w14:paraId="486511A0" w14:textId="4DEC3BDA" w:rsidR="007A686F" w:rsidRPr="007A686F" w:rsidRDefault="007A686F" w:rsidP="007A686F">
          <w:pPr>
            <w:pStyle w:val="TOC1"/>
            <w:tabs>
              <w:tab w:val="left" w:pos="48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r w:rsidRPr="007A686F">
            <w:rPr>
              <w:rFonts w:asciiTheme="majorBidi" w:hAnsiTheme="majorBidi" w:cstheme="majorBidi"/>
              <w:sz w:val="24"/>
              <w:szCs w:val="24"/>
            </w:rPr>
            <w:fldChar w:fldCharType="begin"/>
          </w:r>
          <w:r w:rsidRPr="007A686F">
            <w:rPr>
              <w:rFonts w:asciiTheme="majorBidi" w:hAnsiTheme="majorBidi" w:cstheme="majorBidi"/>
              <w:sz w:val="24"/>
              <w:szCs w:val="24"/>
            </w:rPr>
            <w:instrText xml:space="preserve"> TOC \o "1-3" \h \z \u </w:instrText>
          </w:r>
          <w:r w:rsidRPr="007A686F">
            <w:rPr>
              <w:rFonts w:asciiTheme="majorBidi" w:hAnsiTheme="majorBidi" w:cstheme="majorBidi"/>
              <w:sz w:val="24"/>
              <w:szCs w:val="24"/>
            </w:rPr>
            <w:fldChar w:fldCharType="separate"/>
          </w:r>
          <w:hyperlink w:anchor="_Toc224676060" w:history="1">
            <w:r w:rsidRPr="007A686F">
              <w:rPr>
                <w:rStyle w:val="Hyperlink"/>
                <w:rFonts w:asciiTheme="majorBidi" w:hAnsiTheme="majorBidi" w:cstheme="majorBidi"/>
                <w:noProof/>
                <w:sz w:val="24"/>
                <w:szCs w:val="24"/>
              </w:rPr>
              <w:t>1.</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Introduction</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_Toc224676060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3</w:t>
            </w:r>
            <w:r w:rsidRPr="007A686F">
              <w:rPr>
                <w:rFonts w:asciiTheme="majorBidi" w:hAnsiTheme="majorBidi" w:cstheme="majorBidi"/>
                <w:noProof/>
                <w:webHidden/>
                <w:sz w:val="24"/>
                <w:szCs w:val="24"/>
              </w:rPr>
              <w:fldChar w:fldCharType="end"/>
            </w:r>
          </w:hyperlink>
        </w:p>
        <w:p w14:paraId="6861F56C" w14:textId="2581804B" w:rsidR="007A686F" w:rsidRPr="007A686F" w:rsidRDefault="007A686F" w:rsidP="007A686F">
          <w:pPr>
            <w:pStyle w:val="TOC1"/>
            <w:tabs>
              <w:tab w:val="left" w:pos="48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1" w:history="1">
            <w:r w:rsidRPr="007A686F">
              <w:rPr>
                <w:rStyle w:val="Hyperlink"/>
                <w:rFonts w:asciiTheme="majorBidi" w:hAnsiTheme="majorBidi" w:cstheme="majorBidi"/>
                <w:noProof/>
                <w:sz w:val="24"/>
                <w:szCs w:val="24"/>
              </w:rPr>
              <w:t>2.</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Specific factors affecting the organisation</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_Toc224676061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3</w:t>
            </w:r>
            <w:r w:rsidRPr="007A686F">
              <w:rPr>
                <w:rFonts w:asciiTheme="majorBidi" w:hAnsiTheme="majorBidi" w:cstheme="majorBidi"/>
                <w:noProof/>
                <w:webHidden/>
                <w:sz w:val="24"/>
                <w:szCs w:val="24"/>
              </w:rPr>
              <w:fldChar w:fldCharType="end"/>
            </w:r>
          </w:hyperlink>
        </w:p>
        <w:p w14:paraId="11112952" w14:textId="1684A16E" w:rsidR="007A686F" w:rsidRPr="007A686F" w:rsidRDefault="007A686F" w:rsidP="007A686F">
          <w:pPr>
            <w:pStyle w:val="TOC2"/>
            <w:tabs>
              <w:tab w:val="left" w:pos="96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2" w:history="1">
            <w:r w:rsidRPr="007A686F">
              <w:rPr>
                <w:rStyle w:val="Hyperlink"/>
                <w:rFonts w:asciiTheme="majorBidi" w:hAnsiTheme="majorBidi" w:cstheme="majorBidi"/>
                <w:noProof/>
                <w:sz w:val="24"/>
                <w:szCs w:val="24"/>
              </w:rPr>
              <w:t>2.1.</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Meeting up with technological advancement</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_Toc224676062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3</w:t>
            </w:r>
            <w:r w:rsidRPr="007A686F">
              <w:rPr>
                <w:rFonts w:asciiTheme="majorBidi" w:hAnsiTheme="majorBidi" w:cstheme="majorBidi"/>
                <w:noProof/>
                <w:webHidden/>
                <w:sz w:val="24"/>
                <w:szCs w:val="24"/>
              </w:rPr>
              <w:fldChar w:fldCharType="end"/>
            </w:r>
          </w:hyperlink>
        </w:p>
        <w:p w14:paraId="5A6AF6A5" w14:textId="1E8ABD71" w:rsidR="007A686F" w:rsidRPr="007A686F" w:rsidRDefault="007A686F" w:rsidP="007A686F">
          <w:pPr>
            <w:pStyle w:val="TOC2"/>
            <w:tabs>
              <w:tab w:val="left" w:pos="96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3" w:history="1">
            <w:r w:rsidRPr="007A686F">
              <w:rPr>
                <w:rStyle w:val="Hyperlink"/>
                <w:rFonts w:asciiTheme="majorBidi" w:hAnsiTheme="majorBidi" w:cstheme="majorBidi"/>
                <w:noProof/>
                <w:sz w:val="24"/>
                <w:szCs w:val="24"/>
              </w:rPr>
              <w:t>2.2.</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Talent acquisition and retention</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_Toc224676063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4</w:t>
            </w:r>
            <w:r w:rsidRPr="007A686F">
              <w:rPr>
                <w:rFonts w:asciiTheme="majorBidi" w:hAnsiTheme="majorBidi" w:cstheme="majorBidi"/>
                <w:noProof/>
                <w:webHidden/>
                <w:sz w:val="24"/>
                <w:szCs w:val="24"/>
              </w:rPr>
              <w:fldChar w:fldCharType="end"/>
            </w:r>
          </w:hyperlink>
        </w:p>
        <w:p w14:paraId="5484F933" w14:textId="02D83976" w:rsidR="007A686F" w:rsidRPr="007A686F" w:rsidRDefault="007A686F" w:rsidP="007A686F">
          <w:pPr>
            <w:pStyle w:val="TOC2"/>
            <w:tabs>
              <w:tab w:val="left" w:pos="96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4" w:history="1">
            <w:r w:rsidRPr="007A686F">
              <w:rPr>
                <w:rStyle w:val="Hyperlink"/>
                <w:rFonts w:asciiTheme="majorBidi" w:hAnsiTheme="majorBidi" w:cstheme="majorBidi"/>
                <w:noProof/>
                <w:sz w:val="24"/>
                <w:szCs w:val="24"/>
              </w:rPr>
              <w:t>2.3.</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Diversity, equity and inclusion</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_Toc224676064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5</w:t>
            </w:r>
            <w:r w:rsidRPr="007A686F">
              <w:rPr>
                <w:rFonts w:asciiTheme="majorBidi" w:hAnsiTheme="majorBidi" w:cstheme="majorBidi"/>
                <w:noProof/>
                <w:webHidden/>
                <w:sz w:val="24"/>
                <w:szCs w:val="24"/>
              </w:rPr>
              <w:fldChar w:fldCharType="end"/>
            </w:r>
          </w:hyperlink>
        </w:p>
        <w:p w14:paraId="0C58EA87" w14:textId="2D611EF1" w:rsidR="007A686F" w:rsidRPr="007A686F" w:rsidRDefault="007A686F" w:rsidP="007A686F">
          <w:pPr>
            <w:pStyle w:val="TOC1"/>
            <w:tabs>
              <w:tab w:val="left" w:pos="48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5" w:history="1">
            <w:r w:rsidRPr="007A686F">
              <w:rPr>
                <w:rStyle w:val="Hyperlink"/>
                <w:rFonts w:asciiTheme="majorBidi" w:hAnsiTheme="majorBidi" w:cstheme="majorBidi"/>
                <w:noProof/>
                <w:sz w:val="24"/>
                <w:szCs w:val="24"/>
              </w:rPr>
              <w:t>3.</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Evaluation of contemporary HR practices</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_Toc224676065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6</w:t>
            </w:r>
            <w:r w:rsidRPr="007A686F">
              <w:rPr>
                <w:rFonts w:asciiTheme="majorBidi" w:hAnsiTheme="majorBidi" w:cstheme="majorBidi"/>
                <w:noProof/>
                <w:webHidden/>
                <w:sz w:val="24"/>
                <w:szCs w:val="24"/>
              </w:rPr>
              <w:fldChar w:fldCharType="end"/>
            </w:r>
          </w:hyperlink>
        </w:p>
        <w:p w14:paraId="4A29FE15" w14:textId="00103D60" w:rsidR="007A686F" w:rsidRPr="007A686F" w:rsidRDefault="007A686F" w:rsidP="007A686F">
          <w:pPr>
            <w:pStyle w:val="TOC2"/>
            <w:tabs>
              <w:tab w:val="left" w:pos="96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6" w:history="1">
            <w:r w:rsidRPr="007A686F">
              <w:rPr>
                <w:rStyle w:val="Hyperlink"/>
                <w:rFonts w:asciiTheme="majorBidi" w:hAnsiTheme="majorBidi" w:cstheme="majorBidi"/>
                <w:noProof/>
                <w:sz w:val="24"/>
                <w:szCs w:val="24"/>
              </w:rPr>
              <w:t>3.1.</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Contemporary practices for technological advancement</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_Toc224676066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6</w:t>
            </w:r>
            <w:r w:rsidRPr="007A686F">
              <w:rPr>
                <w:rFonts w:asciiTheme="majorBidi" w:hAnsiTheme="majorBidi" w:cstheme="majorBidi"/>
                <w:noProof/>
                <w:webHidden/>
                <w:sz w:val="24"/>
                <w:szCs w:val="24"/>
              </w:rPr>
              <w:fldChar w:fldCharType="end"/>
            </w:r>
          </w:hyperlink>
        </w:p>
        <w:p w14:paraId="48053895" w14:textId="671E30E6" w:rsidR="007A686F" w:rsidRPr="007A686F" w:rsidRDefault="007A686F" w:rsidP="007A686F">
          <w:pPr>
            <w:pStyle w:val="TOC2"/>
            <w:tabs>
              <w:tab w:val="left" w:pos="96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7" w:history="1">
            <w:r w:rsidRPr="007A686F">
              <w:rPr>
                <w:rStyle w:val="Hyperlink"/>
                <w:rFonts w:asciiTheme="majorBidi" w:hAnsiTheme="majorBidi" w:cstheme="majorBidi"/>
                <w:noProof/>
                <w:sz w:val="24"/>
                <w:szCs w:val="24"/>
              </w:rPr>
              <w:t>3.2.</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Contemporary practices for talent acquisition and retention</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_Toc224676067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6</w:t>
            </w:r>
            <w:r w:rsidRPr="007A686F">
              <w:rPr>
                <w:rFonts w:asciiTheme="majorBidi" w:hAnsiTheme="majorBidi" w:cstheme="majorBidi"/>
                <w:noProof/>
                <w:webHidden/>
                <w:sz w:val="24"/>
                <w:szCs w:val="24"/>
              </w:rPr>
              <w:fldChar w:fldCharType="end"/>
            </w:r>
          </w:hyperlink>
        </w:p>
        <w:p w14:paraId="0B587483" w14:textId="5D2A385C" w:rsidR="007A686F" w:rsidRPr="007A686F" w:rsidRDefault="007A686F" w:rsidP="007A686F">
          <w:pPr>
            <w:pStyle w:val="TOC2"/>
            <w:tabs>
              <w:tab w:val="left" w:pos="96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8" w:history="1">
            <w:r w:rsidRPr="007A686F">
              <w:rPr>
                <w:rStyle w:val="Hyperlink"/>
                <w:rFonts w:asciiTheme="majorBidi" w:hAnsiTheme="majorBidi" w:cstheme="majorBidi"/>
                <w:noProof/>
                <w:sz w:val="24"/>
                <w:szCs w:val="24"/>
              </w:rPr>
              <w:t>3.3.</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Contemporary practices for DEI</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_Toc224676068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7</w:t>
            </w:r>
            <w:r w:rsidRPr="007A686F">
              <w:rPr>
                <w:rFonts w:asciiTheme="majorBidi" w:hAnsiTheme="majorBidi" w:cstheme="majorBidi"/>
                <w:noProof/>
                <w:webHidden/>
                <w:sz w:val="24"/>
                <w:szCs w:val="24"/>
              </w:rPr>
              <w:fldChar w:fldCharType="end"/>
            </w:r>
          </w:hyperlink>
        </w:p>
        <w:p w14:paraId="5B7A8AE6" w14:textId="01162477" w:rsidR="007A686F" w:rsidRPr="007A686F" w:rsidRDefault="007A686F" w:rsidP="007A686F">
          <w:pPr>
            <w:pStyle w:val="TOC1"/>
            <w:tabs>
              <w:tab w:val="left" w:pos="48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69" w:history="1">
            <w:r w:rsidRPr="007A686F">
              <w:rPr>
                <w:rStyle w:val="Hyperlink"/>
                <w:rFonts w:asciiTheme="majorBidi" w:hAnsiTheme="majorBidi" w:cstheme="majorBidi"/>
                <w:noProof/>
                <w:sz w:val="24"/>
                <w:szCs w:val="24"/>
              </w:rPr>
              <w:t>4.</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How departmental managers can ensure urgent implementation</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_Toc224676069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8</w:t>
            </w:r>
            <w:r w:rsidRPr="007A686F">
              <w:rPr>
                <w:rFonts w:asciiTheme="majorBidi" w:hAnsiTheme="majorBidi" w:cstheme="majorBidi"/>
                <w:noProof/>
                <w:webHidden/>
                <w:sz w:val="24"/>
                <w:szCs w:val="24"/>
              </w:rPr>
              <w:fldChar w:fldCharType="end"/>
            </w:r>
          </w:hyperlink>
        </w:p>
        <w:p w14:paraId="072F7412" w14:textId="30E1CF26" w:rsidR="007A686F" w:rsidRPr="007A686F" w:rsidRDefault="007A686F" w:rsidP="007A686F">
          <w:pPr>
            <w:pStyle w:val="TOC1"/>
            <w:tabs>
              <w:tab w:val="left" w:pos="480"/>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70" w:history="1">
            <w:r w:rsidRPr="007A686F">
              <w:rPr>
                <w:rStyle w:val="Hyperlink"/>
                <w:rFonts w:asciiTheme="majorBidi" w:hAnsiTheme="majorBidi" w:cstheme="majorBidi"/>
                <w:noProof/>
                <w:sz w:val="24"/>
                <w:szCs w:val="24"/>
              </w:rPr>
              <w:t>5.</w:t>
            </w:r>
            <w:r w:rsidRPr="007A686F">
              <w:rPr>
                <w:rFonts w:asciiTheme="majorBidi" w:eastAsiaTheme="minorEastAsia" w:hAnsiTheme="majorBidi" w:cstheme="majorBidi"/>
                <w:noProof/>
                <w:kern w:val="2"/>
                <w:sz w:val="24"/>
                <w:szCs w:val="24"/>
                <w14:ligatures w14:val="standardContextual"/>
              </w:rPr>
              <w:tab/>
            </w:r>
            <w:r w:rsidRPr="007A686F">
              <w:rPr>
                <w:rStyle w:val="Hyperlink"/>
                <w:rFonts w:asciiTheme="majorBidi" w:hAnsiTheme="majorBidi" w:cstheme="majorBidi"/>
                <w:noProof/>
                <w:sz w:val="24"/>
                <w:szCs w:val="24"/>
              </w:rPr>
              <w:t>Conclusion and recommendations</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_Toc224676070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9</w:t>
            </w:r>
            <w:r w:rsidRPr="007A686F">
              <w:rPr>
                <w:rFonts w:asciiTheme="majorBidi" w:hAnsiTheme="majorBidi" w:cstheme="majorBidi"/>
                <w:noProof/>
                <w:webHidden/>
                <w:sz w:val="24"/>
                <w:szCs w:val="24"/>
              </w:rPr>
              <w:fldChar w:fldCharType="end"/>
            </w:r>
          </w:hyperlink>
        </w:p>
        <w:p w14:paraId="42849A33" w14:textId="32F16B1A" w:rsidR="007A686F" w:rsidRPr="007A686F" w:rsidRDefault="007A686F" w:rsidP="007A686F">
          <w:pPr>
            <w:pStyle w:val="TOC1"/>
            <w:tabs>
              <w:tab w:val="right" w:leader="dot" w:pos="9638"/>
            </w:tabs>
            <w:spacing w:line="480" w:lineRule="auto"/>
            <w:jc w:val="center"/>
            <w:rPr>
              <w:rFonts w:asciiTheme="majorBidi" w:eastAsiaTheme="minorEastAsia" w:hAnsiTheme="majorBidi" w:cstheme="majorBidi"/>
              <w:noProof/>
              <w:kern w:val="2"/>
              <w:sz w:val="24"/>
              <w:szCs w:val="24"/>
              <w14:ligatures w14:val="standardContextual"/>
            </w:rPr>
          </w:pPr>
          <w:hyperlink w:anchor="_Toc224676071" w:history="1">
            <w:r w:rsidRPr="007A686F">
              <w:rPr>
                <w:rStyle w:val="Hyperlink"/>
                <w:rFonts w:asciiTheme="majorBidi" w:hAnsiTheme="majorBidi" w:cstheme="majorBidi"/>
                <w:noProof/>
                <w:sz w:val="24"/>
                <w:szCs w:val="24"/>
              </w:rPr>
              <w:t>References</w:t>
            </w:r>
            <w:r w:rsidRPr="007A686F">
              <w:rPr>
                <w:rFonts w:asciiTheme="majorBidi" w:hAnsiTheme="majorBidi" w:cstheme="majorBidi"/>
                <w:noProof/>
                <w:webHidden/>
                <w:sz w:val="24"/>
                <w:szCs w:val="24"/>
              </w:rPr>
              <w:tab/>
            </w:r>
            <w:r w:rsidRPr="007A686F">
              <w:rPr>
                <w:rFonts w:asciiTheme="majorBidi" w:hAnsiTheme="majorBidi" w:cstheme="majorBidi"/>
                <w:noProof/>
                <w:webHidden/>
                <w:sz w:val="24"/>
                <w:szCs w:val="24"/>
              </w:rPr>
              <w:fldChar w:fldCharType="begin"/>
            </w:r>
            <w:r w:rsidRPr="007A686F">
              <w:rPr>
                <w:rFonts w:asciiTheme="majorBidi" w:hAnsiTheme="majorBidi" w:cstheme="majorBidi"/>
                <w:noProof/>
                <w:webHidden/>
                <w:sz w:val="24"/>
                <w:szCs w:val="24"/>
              </w:rPr>
              <w:instrText xml:space="preserve"> PAGEREF _Toc224676071 \h </w:instrText>
            </w:r>
            <w:r w:rsidRPr="007A686F">
              <w:rPr>
                <w:rFonts w:asciiTheme="majorBidi" w:hAnsiTheme="majorBidi" w:cstheme="majorBidi"/>
                <w:noProof/>
                <w:webHidden/>
                <w:sz w:val="24"/>
                <w:szCs w:val="24"/>
              </w:rPr>
            </w:r>
            <w:r w:rsidRPr="007A686F">
              <w:rPr>
                <w:rFonts w:asciiTheme="majorBidi" w:hAnsiTheme="majorBidi" w:cstheme="majorBidi"/>
                <w:noProof/>
                <w:webHidden/>
                <w:sz w:val="24"/>
                <w:szCs w:val="24"/>
              </w:rPr>
              <w:fldChar w:fldCharType="separate"/>
            </w:r>
            <w:r w:rsidR="007E4FFD">
              <w:rPr>
                <w:rFonts w:asciiTheme="majorBidi" w:hAnsiTheme="majorBidi" w:cstheme="majorBidi"/>
                <w:noProof/>
                <w:webHidden/>
                <w:sz w:val="24"/>
                <w:szCs w:val="24"/>
              </w:rPr>
              <w:t>10</w:t>
            </w:r>
            <w:r w:rsidRPr="007A686F">
              <w:rPr>
                <w:rFonts w:asciiTheme="majorBidi" w:hAnsiTheme="majorBidi" w:cstheme="majorBidi"/>
                <w:noProof/>
                <w:webHidden/>
                <w:sz w:val="24"/>
                <w:szCs w:val="24"/>
              </w:rPr>
              <w:fldChar w:fldCharType="end"/>
            </w:r>
          </w:hyperlink>
        </w:p>
        <w:p w14:paraId="0EFC07F5" w14:textId="741C7130" w:rsidR="007A686F" w:rsidRDefault="007A686F" w:rsidP="007A686F">
          <w:pPr>
            <w:spacing w:line="480" w:lineRule="auto"/>
            <w:jc w:val="center"/>
          </w:pPr>
          <w:r w:rsidRPr="007A686F">
            <w:rPr>
              <w:rFonts w:asciiTheme="majorBidi" w:hAnsiTheme="majorBidi" w:cstheme="majorBidi"/>
              <w:b/>
              <w:bCs/>
              <w:noProof/>
              <w:sz w:val="24"/>
              <w:szCs w:val="24"/>
            </w:rPr>
            <w:fldChar w:fldCharType="end"/>
          </w:r>
        </w:p>
      </w:sdtContent>
    </w:sdt>
    <w:p w14:paraId="30ED51C8" w14:textId="3995258D" w:rsidR="00CB35FD" w:rsidRPr="00FE4517" w:rsidRDefault="009318B1" w:rsidP="00FE4517">
      <w:pPr>
        <w:spacing w:line="360" w:lineRule="auto"/>
        <w:jc w:val="both"/>
        <w:rPr>
          <w:rFonts w:asciiTheme="majorBidi" w:hAnsiTheme="majorBidi" w:cstheme="majorBidi"/>
          <w:sz w:val="24"/>
          <w:szCs w:val="24"/>
        </w:rPr>
      </w:pPr>
      <w:r w:rsidRPr="00FE4517">
        <w:rPr>
          <w:rFonts w:asciiTheme="majorBidi" w:hAnsiTheme="majorBidi" w:cstheme="majorBidi"/>
          <w:sz w:val="24"/>
          <w:szCs w:val="24"/>
        </w:rPr>
        <w:br w:type="page"/>
      </w:r>
    </w:p>
    <w:p w14:paraId="1B674199" w14:textId="3E4520F1" w:rsidR="00CB35FD" w:rsidRPr="00541CEC" w:rsidRDefault="009318B1" w:rsidP="00541CEC">
      <w:pPr>
        <w:pStyle w:val="Heading1"/>
      </w:pPr>
      <w:bookmarkStart w:id="0" w:name="_Toc224676060"/>
      <w:r w:rsidRPr="00541CEC">
        <w:lastRenderedPageBreak/>
        <w:t>Introduction</w:t>
      </w:r>
      <w:bookmarkEnd w:id="0"/>
    </w:p>
    <w:p w14:paraId="5CC95768" w14:textId="37946442" w:rsidR="00B34250" w:rsidRPr="00B34250" w:rsidRDefault="00B34250" w:rsidP="00B34250">
      <w:pPr>
        <w:spacing w:after="120" w:line="480" w:lineRule="auto"/>
        <w:jc w:val="both"/>
        <w:rPr>
          <w:rFonts w:asciiTheme="majorBidi" w:hAnsiTheme="majorBidi" w:cstheme="majorBidi"/>
          <w:sz w:val="24"/>
          <w:szCs w:val="24"/>
        </w:rPr>
      </w:pPr>
      <w:r w:rsidRPr="00B34250">
        <w:rPr>
          <w:rFonts w:asciiTheme="majorBidi" w:hAnsiTheme="majorBidi" w:cstheme="majorBidi"/>
          <w:sz w:val="24"/>
          <w:szCs w:val="24"/>
        </w:rPr>
        <w:t xml:space="preserve">This report evaluates how </w:t>
      </w:r>
      <w:proofErr w:type="spellStart"/>
      <w:r w:rsidRPr="00B34250">
        <w:rPr>
          <w:rFonts w:asciiTheme="majorBidi" w:hAnsiTheme="majorBidi" w:cstheme="majorBidi"/>
          <w:sz w:val="24"/>
          <w:szCs w:val="24"/>
        </w:rPr>
        <w:t>Moorfields</w:t>
      </w:r>
      <w:proofErr w:type="spellEnd"/>
      <w:r w:rsidRPr="00B34250">
        <w:rPr>
          <w:rFonts w:asciiTheme="majorBidi" w:hAnsiTheme="majorBidi" w:cstheme="majorBidi"/>
          <w:sz w:val="24"/>
          <w:szCs w:val="24"/>
        </w:rPr>
        <w:t xml:space="preserve"> Eye Hospital NHS Foundation Trust should respond to three interrelated human resource challenges: technological advancement, talent acquisition and retention, and diversity, equity and inclusion. The uploaded presentation provides useful operational context by identifying the Band 5 Staff Nurse as a key frontline role and highlighting job analysis, values-based recruitment, structured onboarding and preceptorship. However, a strong report must go beyond presentation material and assess these issues against </w:t>
      </w:r>
      <w:proofErr w:type="spellStart"/>
      <w:r w:rsidRPr="00B34250">
        <w:rPr>
          <w:rFonts w:asciiTheme="majorBidi" w:hAnsiTheme="majorBidi" w:cstheme="majorBidi"/>
          <w:sz w:val="24"/>
          <w:szCs w:val="24"/>
        </w:rPr>
        <w:t>organisational</w:t>
      </w:r>
      <w:proofErr w:type="spellEnd"/>
      <w:r w:rsidRPr="00B34250">
        <w:rPr>
          <w:rFonts w:asciiTheme="majorBidi" w:hAnsiTheme="majorBidi" w:cstheme="majorBidi"/>
          <w:sz w:val="24"/>
          <w:szCs w:val="24"/>
        </w:rPr>
        <w:t xml:space="preserve"> evidence, NHS policy and recent academic research.</w:t>
      </w:r>
    </w:p>
    <w:p w14:paraId="7E3ABF86" w14:textId="332B091F" w:rsidR="00CB35FD" w:rsidRPr="00B34250" w:rsidRDefault="00B34250" w:rsidP="00B34250">
      <w:pPr>
        <w:spacing w:after="120" w:line="480" w:lineRule="auto"/>
        <w:jc w:val="both"/>
        <w:rPr>
          <w:rFonts w:asciiTheme="majorBidi" w:hAnsiTheme="majorBidi" w:cstheme="majorBidi"/>
          <w:sz w:val="24"/>
          <w:szCs w:val="24"/>
        </w:rPr>
      </w:pPr>
      <w:proofErr w:type="spellStart"/>
      <w:r w:rsidRPr="00B34250">
        <w:rPr>
          <w:rFonts w:asciiTheme="majorBidi" w:hAnsiTheme="majorBidi" w:cstheme="majorBidi"/>
          <w:sz w:val="24"/>
          <w:szCs w:val="24"/>
        </w:rPr>
        <w:t>Moorfields</w:t>
      </w:r>
      <w:proofErr w:type="spellEnd"/>
      <w:r w:rsidRPr="00B34250">
        <w:rPr>
          <w:rFonts w:asciiTheme="majorBidi" w:hAnsiTheme="majorBidi" w:cstheme="majorBidi"/>
          <w:sz w:val="24"/>
          <w:szCs w:val="24"/>
        </w:rPr>
        <w:t xml:space="preserve"> is an appropriate case because it operates in a specialist, safety-critical healthcare environment where workforce capability directly affects patient flow, continuity of care and clinical safety. Its 2024/25 annual report confirms that the MEDITECH Expanse electronic patient record will be introduced in early 2026 and warns that weak digital resilience could disrupt access to patient data and service delivery. At the same time, staff survey results reveal persistent concerns around bullying, transparency, </w:t>
      </w:r>
      <w:proofErr w:type="spellStart"/>
      <w:r w:rsidRPr="00B34250">
        <w:rPr>
          <w:rFonts w:asciiTheme="majorBidi" w:hAnsiTheme="majorBidi" w:cstheme="majorBidi"/>
          <w:sz w:val="24"/>
          <w:szCs w:val="24"/>
        </w:rPr>
        <w:t>favouritism</w:t>
      </w:r>
      <w:proofErr w:type="spellEnd"/>
      <w:r w:rsidRPr="00B34250">
        <w:rPr>
          <w:rFonts w:asciiTheme="majorBidi" w:hAnsiTheme="majorBidi" w:cstheme="majorBidi"/>
          <w:sz w:val="24"/>
          <w:szCs w:val="24"/>
        </w:rPr>
        <w:t xml:space="preserve"> and leadership diversity.</w:t>
      </w:r>
    </w:p>
    <w:p w14:paraId="2ED276C2" w14:textId="7132DDC6" w:rsidR="00CB35FD" w:rsidRPr="00541CEC" w:rsidRDefault="009318B1" w:rsidP="00541CEC">
      <w:pPr>
        <w:pStyle w:val="Heading1"/>
      </w:pPr>
      <w:bookmarkStart w:id="1" w:name="_Toc224676061"/>
      <w:r w:rsidRPr="00541CEC">
        <w:t xml:space="preserve">Specific factors affecting the </w:t>
      </w:r>
      <w:bookmarkEnd w:id="1"/>
      <w:r w:rsidR="00AF4CAC" w:rsidRPr="00541CEC">
        <w:t>organization</w:t>
      </w:r>
    </w:p>
    <w:p w14:paraId="5B22CCB6" w14:textId="7EFC0540" w:rsidR="00CB35FD" w:rsidRPr="00541CEC" w:rsidRDefault="009318B1" w:rsidP="00541CEC">
      <w:pPr>
        <w:pStyle w:val="Heading2"/>
      </w:pPr>
      <w:bookmarkStart w:id="2" w:name="_Toc224676062"/>
      <w:r w:rsidRPr="00541CEC">
        <w:t>Meeting up with technological advancement</w:t>
      </w:r>
      <w:bookmarkEnd w:id="2"/>
    </w:p>
    <w:p w14:paraId="0C7D2C9C" w14:textId="01E691FA" w:rsidR="000C2D24"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 strategic need of an </w:t>
      </w:r>
      <w:r w:rsidR="00541CEC" w:rsidRPr="00541CEC">
        <w:rPr>
          <w:rFonts w:asciiTheme="majorBidi" w:hAnsiTheme="majorBidi" w:cstheme="majorBidi"/>
          <w:sz w:val="24"/>
          <w:szCs w:val="24"/>
        </w:rPr>
        <w:t>organization</w:t>
      </w:r>
      <w:r w:rsidRPr="00541CEC">
        <w:rPr>
          <w:rFonts w:asciiTheme="majorBidi" w:hAnsiTheme="majorBidi" w:cstheme="majorBidi"/>
          <w:sz w:val="24"/>
          <w:szCs w:val="24"/>
        </w:rPr>
        <w:t xml:space="preserve"> is technological advancement and not an optional </w:t>
      </w:r>
      <w:r w:rsidR="00541CEC" w:rsidRPr="00541CEC">
        <w:rPr>
          <w:rFonts w:asciiTheme="majorBidi" w:hAnsiTheme="majorBidi" w:cstheme="majorBidi"/>
          <w:sz w:val="24"/>
          <w:szCs w:val="24"/>
        </w:rPr>
        <w:t>modernization</w:t>
      </w:r>
      <w:r w:rsidRPr="00541CEC">
        <w:rPr>
          <w:rFonts w:asciiTheme="majorBidi" w:hAnsiTheme="majorBidi" w:cstheme="majorBidi"/>
          <w:sz w:val="24"/>
          <w:szCs w:val="24"/>
        </w:rPr>
        <w:t xml:space="preserve"> project of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The Trust is undergoing a significant electronic patient record deployment and has made it very clear that poor digital resilience poses a risk to the quality of treatment and patient throughput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2025a). In the case of a Band 5 Staff Nurse, this has an impact on documentation, escalation, handover, and patient tracking and correctness of clinical records. The latest studies in the field of healthcare indicate that the ability of workforce and </w:t>
      </w:r>
      <w:r w:rsidR="00541CEC" w:rsidRPr="00541CEC">
        <w:rPr>
          <w:rFonts w:asciiTheme="majorBidi" w:hAnsiTheme="majorBidi" w:cstheme="majorBidi"/>
          <w:sz w:val="24"/>
          <w:szCs w:val="24"/>
        </w:rPr>
        <w:t>organizational</w:t>
      </w:r>
      <w:r w:rsidRPr="00541CEC">
        <w:rPr>
          <w:rFonts w:asciiTheme="majorBidi" w:hAnsiTheme="majorBidi" w:cstheme="majorBidi"/>
          <w:sz w:val="24"/>
          <w:szCs w:val="24"/>
        </w:rPr>
        <w:t xml:space="preserve"> competence are crucial factors in successful digital transformation. According to </w:t>
      </w:r>
      <w:r w:rsidR="00541CEC" w:rsidRPr="00541CEC">
        <w:rPr>
          <w:rFonts w:asciiTheme="majorBidi" w:hAnsiTheme="majorBidi" w:cstheme="majorBidi"/>
          <w:sz w:val="24"/>
          <w:szCs w:val="24"/>
        </w:rPr>
        <w:t xml:space="preserve">Malinconico, </w:t>
      </w:r>
      <w:r w:rsidR="00541CEC">
        <w:rPr>
          <w:rFonts w:asciiTheme="majorBidi" w:hAnsiTheme="majorBidi" w:cstheme="majorBidi"/>
          <w:sz w:val="24"/>
          <w:szCs w:val="24"/>
        </w:rPr>
        <w:t>et al.</w:t>
      </w:r>
      <w:r w:rsidR="00541CEC" w:rsidRPr="00541CEC">
        <w:rPr>
          <w:rFonts w:asciiTheme="majorBidi" w:hAnsiTheme="majorBidi" w:cstheme="majorBidi"/>
          <w:sz w:val="24"/>
          <w:szCs w:val="24"/>
        </w:rPr>
        <w:t xml:space="preserve"> (2025)</w:t>
      </w:r>
      <w:r w:rsidRPr="00541CEC">
        <w:rPr>
          <w:rFonts w:asciiTheme="majorBidi" w:hAnsiTheme="majorBidi" w:cstheme="majorBidi"/>
          <w:sz w:val="24"/>
          <w:szCs w:val="24"/>
        </w:rPr>
        <w:t xml:space="preserve">, the most significant predictors of the successful digital </w:t>
      </w:r>
      <w:r w:rsidRPr="00541CEC">
        <w:rPr>
          <w:rFonts w:asciiTheme="majorBidi" w:hAnsiTheme="majorBidi" w:cstheme="majorBidi"/>
          <w:sz w:val="24"/>
          <w:szCs w:val="24"/>
        </w:rPr>
        <w:lastRenderedPageBreak/>
        <w:t xml:space="preserve">transformation of healthcare managerial processes were skills and competencies of the employees. Janes et al. (2025) also find that nurses and midwives have the potential to be great digital health </w:t>
      </w:r>
      <w:r w:rsidR="00541CEC" w:rsidRPr="00541CEC">
        <w:rPr>
          <w:rFonts w:asciiTheme="majorBidi" w:hAnsiTheme="majorBidi" w:cstheme="majorBidi"/>
          <w:sz w:val="24"/>
          <w:szCs w:val="24"/>
        </w:rPr>
        <w:t>leaders,</w:t>
      </w:r>
      <w:r w:rsidRPr="00541CEC">
        <w:rPr>
          <w:rFonts w:asciiTheme="majorBidi" w:hAnsiTheme="majorBidi" w:cstheme="majorBidi"/>
          <w:sz w:val="24"/>
          <w:szCs w:val="24"/>
        </w:rPr>
        <w:t xml:space="preserve"> but the role is not well developed yet unless </w:t>
      </w:r>
      <w:r w:rsidR="00541CEC" w:rsidRPr="00541CEC">
        <w:rPr>
          <w:rFonts w:asciiTheme="majorBidi" w:hAnsiTheme="majorBidi" w:cstheme="majorBidi"/>
          <w:sz w:val="24"/>
          <w:szCs w:val="24"/>
        </w:rPr>
        <w:t>organizations</w:t>
      </w:r>
      <w:r w:rsidRPr="00541CEC">
        <w:rPr>
          <w:rFonts w:asciiTheme="majorBidi" w:hAnsiTheme="majorBidi" w:cstheme="majorBidi"/>
          <w:sz w:val="24"/>
          <w:szCs w:val="24"/>
        </w:rPr>
        <w:t xml:space="preserve"> are vigorous in promoting it. What it means to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is that there can be no IT delegation of digital implementation nor a one-off training of the same.</w:t>
      </w:r>
    </w:p>
    <w:p w14:paraId="63BF6FF9" w14:textId="1608FFC1" w:rsidR="00CB35FD"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There is also a critical risk. In the short run, technology tends to add to workload, particularly in cases where the systems are new or ill-integrated. Dima et al. (2024) demonstrate that AI and digital HR technologies are able to automate the processes and enhance the usage of data, yet they also transform the work, change the role of managers and raise </w:t>
      </w:r>
      <w:r w:rsidR="00541CEC" w:rsidRPr="00541CEC">
        <w:rPr>
          <w:rFonts w:asciiTheme="majorBidi" w:hAnsiTheme="majorBidi" w:cstheme="majorBidi"/>
          <w:sz w:val="24"/>
          <w:szCs w:val="24"/>
        </w:rPr>
        <w:t>ethical</w:t>
      </w:r>
      <w:r w:rsidRPr="00541CEC">
        <w:rPr>
          <w:rFonts w:asciiTheme="majorBidi" w:hAnsiTheme="majorBidi" w:cstheme="majorBidi"/>
          <w:sz w:val="24"/>
          <w:szCs w:val="24"/>
        </w:rPr>
        <w:t xml:space="preserve"> issues. New systems will not be perceived as a step forward by the staff when they make them feel as a slow clinic, more workarounds or less time with patients.</w:t>
      </w:r>
    </w:p>
    <w:p w14:paraId="42377DAC" w14:textId="77777777" w:rsidR="00CB35FD" w:rsidRPr="00541CEC" w:rsidRDefault="009318B1" w:rsidP="00541CEC">
      <w:pPr>
        <w:pStyle w:val="Heading2"/>
      </w:pPr>
      <w:bookmarkStart w:id="3" w:name="_Toc224676063"/>
      <w:r w:rsidRPr="00541CEC">
        <w:t>Talent acquisition and retention</w:t>
      </w:r>
      <w:bookmarkEnd w:id="3"/>
    </w:p>
    <w:p w14:paraId="7FB39586" w14:textId="2218E2CA" w:rsidR="000C2D24"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 second major factor is talent acquisition and </w:t>
      </w:r>
      <w:r w:rsidR="00541CEC" w:rsidRPr="00541CEC">
        <w:rPr>
          <w:rFonts w:asciiTheme="majorBidi" w:hAnsiTheme="majorBidi" w:cstheme="majorBidi"/>
          <w:sz w:val="24"/>
          <w:szCs w:val="24"/>
        </w:rPr>
        <w:t>retention;</w:t>
      </w:r>
      <w:r w:rsidRPr="00541CEC">
        <w:rPr>
          <w:rFonts w:asciiTheme="majorBidi" w:hAnsiTheme="majorBidi" w:cstheme="majorBidi"/>
          <w:sz w:val="24"/>
          <w:szCs w:val="24"/>
        </w:rPr>
        <w:t xml:space="preserve"> </w:t>
      </w:r>
      <w:r w:rsidR="00541CEC" w:rsidRPr="00541CEC">
        <w:rPr>
          <w:rFonts w:asciiTheme="majorBidi" w:hAnsiTheme="majorBidi" w:cstheme="majorBidi"/>
          <w:sz w:val="24"/>
          <w:szCs w:val="24"/>
        </w:rPr>
        <w:t>however,</w:t>
      </w:r>
      <w:r w:rsidRPr="00541CEC">
        <w:rPr>
          <w:rFonts w:asciiTheme="majorBidi" w:hAnsiTheme="majorBidi" w:cstheme="majorBidi"/>
          <w:sz w:val="24"/>
          <w:szCs w:val="24"/>
        </w:rPr>
        <w:t xml:space="preserve"> it cannot be diminished to vacancy filling. The </w:t>
      </w:r>
      <w:r w:rsidR="00541CEC" w:rsidRPr="00541CEC">
        <w:rPr>
          <w:rFonts w:asciiTheme="majorBidi" w:hAnsiTheme="majorBidi" w:cstheme="majorBidi"/>
          <w:sz w:val="24"/>
          <w:szCs w:val="24"/>
        </w:rPr>
        <w:t>Long-Term</w:t>
      </w:r>
      <w:r w:rsidRPr="00541CEC">
        <w:rPr>
          <w:rFonts w:asciiTheme="majorBidi" w:hAnsiTheme="majorBidi" w:cstheme="majorBidi"/>
          <w:sz w:val="24"/>
          <w:szCs w:val="24"/>
        </w:rPr>
        <w:t xml:space="preserve"> Workforce Plan by NHS England demonstrates that the NHS needs to both retain its employees and hire new ones since the service demand and the vacancy pressures cannot be addressed solely through recruitment (NHS England, 2023a). This is particularly applicable to Band 5 nursing positions where staffing is influenced by shortage, discharge workload and workload of the multidisciplinary team at large.</w:t>
      </w:r>
    </w:p>
    <w:p w14:paraId="277C38A8" w14:textId="18729B2C" w:rsidR="000C2D24"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This worry is backed by the local evidence of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w:t>
      </w:r>
      <w:r w:rsidR="00541CEC" w:rsidRPr="00541CEC">
        <w:rPr>
          <w:rFonts w:asciiTheme="majorBidi" w:hAnsiTheme="majorBidi" w:cstheme="majorBidi"/>
          <w:sz w:val="24"/>
          <w:szCs w:val="24"/>
        </w:rPr>
        <w:t>Even though</w:t>
      </w:r>
      <w:r w:rsidRPr="00541CEC">
        <w:rPr>
          <w:rFonts w:asciiTheme="majorBidi" w:hAnsiTheme="majorBidi" w:cstheme="majorBidi"/>
          <w:sz w:val="24"/>
          <w:szCs w:val="24"/>
        </w:rPr>
        <w:t xml:space="preserve"> most of the staff feel proud of the </w:t>
      </w:r>
      <w:proofErr w:type="spellStart"/>
      <w:r w:rsidRPr="00541CEC">
        <w:rPr>
          <w:rFonts w:asciiTheme="majorBidi" w:hAnsiTheme="majorBidi" w:cstheme="majorBidi"/>
          <w:sz w:val="24"/>
          <w:szCs w:val="24"/>
        </w:rPr>
        <w:t>organisation</w:t>
      </w:r>
      <w:proofErr w:type="spellEnd"/>
      <w:r w:rsidRPr="00541CEC">
        <w:rPr>
          <w:rFonts w:asciiTheme="majorBidi" w:hAnsiTheme="majorBidi" w:cstheme="majorBidi"/>
          <w:sz w:val="24"/>
          <w:szCs w:val="24"/>
        </w:rPr>
        <w:t xml:space="preserve"> and respect of supportive local teams, the results of the staff survey are below the benchmark in all themes of the People Promise and are repeatedly associated with the management, communication and culture themes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2025a). That is, the attraction is not the sole problem. </w:t>
      </w:r>
      <w:r w:rsidR="00541CEC" w:rsidRPr="00541CEC">
        <w:rPr>
          <w:rFonts w:asciiTheme="majorBidi" w:hAnsiTheme="majorBidi" w:cstheme="majorBidi"/>
          <w:sz w:val="24"/>
          <w:szCs w:val="24"/>
        </w:rPr>
        <w:t>Retention</w:t>
      </w:r>
      <w:r w:rsidRPr="00541CEC">
        <w:rPr>
          <w:rFonts w:asciiTheme="majorBidi" w:hAnsiTheme="majorBidi" w:cstheme="majorBidi"/>
          <w:sz w:val="24"/>
          <w:szCs w:val="24"/>
        </w:rPr>
        <w:t xml:space="preserve"> is prone in cases where the daily work experience is unequal.</w:t>
      </w:r>
    </w:p>
    <w:p w14:paraId="61479F19" w14:textId="63964BFD" w:rsidR="00CB35FD"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lastRenderedPageBreak/>
        <w:t xml:space="preserve">This structural perspective has been endorsed by academic literature. According to Williamson et al. (2022), they include leadership, support, professional development, work setting and scheduling, as the recurring factors affecting nursing recruitment and retention. The same is discovered by De Vries et al. (2023), who identify that job satisfaction, career opportunities, work-life balance and supportive management instead of salary are determinants of retention. More importantly, </w:t>
      </w:r>
      <w:proofErr w:type="spellStart"/>
      <w:r w:rsidRPr="00541CEC">
        <w:rPr>
          <w:rFonts w:asciiTheme="majorBidi" w:hAnsiTheme="majorBidi" w:cstheme="majorBidi"/>
          <w:sz w:val="24"/>
          <w:szCs w:val="24"/>
        </w:rPr>
        <w:t>Moscelli</w:t>
      </w:r>
      <w:proofErr w:type="spellEnd"/>
      <w:r w:rsidRPr="00541CEC">
        <w:rPr>
          <w:rFonts w:asciiTheme="majorBidi" w:hAnsiTheme="majorBidi" w:cstheme="majorBidi"/>
          <w:sz w:val="24"/>
          <w:szCs w:val="24"/>
        </w:rPr>
        <w:t xml:space="preserve"> et al. (2024) demonstrate that the reduced turnover of nurses and doctors in English NHS hospitals is linked to improved patient outcomes. Retention is a component of service quality, and not an HR efficiency concern.</w:t>
      </w:r>
    </w:p>
    <w:p w14:paraId="13AF6298" w14:textId="77777777" w:rsidR="00CB35FD" w:rsidRPr="00541CEC" w:rsidRDefault="009318B1" w:rsidP="00541CEC">
      <w:pPr>
        <w:pStyle w:val="Heading2"/>
      </w:pPr>
      <w:bookmarkStart w:id="4" w:name="_Toc224676064"/>
      <w:r w:rsidRPr="00541CEC">
        <w:t>Diversity, equity and inclusion</w:t>
      </w:r>
      <w:bookmarkEnd w:id="4"/>
    </w:p>
    <w:p w14:paraId="390A8F47" w14:textId="77777777" w:rsidR="000C2D24"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 third factor is diversity, equity and inclusion which should not be considered distinct to recruitment and retention. The EDI Improvement Plan by NHS England conceptualizes the aspect of inclusion as being central in the sense of belonging, work experience, and sustainability of the workforce (NHS England, 2023b). Local evidence of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supports that line of reasoning. According to the Trust (2025) WRES and WDES report, there were improvements in the areas such as the strong ethnic representation, although the relative likelihood of White staff being hired after shortlisting remained unfavorable, the board representation among ethnic minority staff decreased to zero, and the disabled applicants remained at a disadvantage when it comes to getting hired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2025b). In a more drastic way, 26% of disabled staff members only felt valued and the participation of disabled staff was lower than that of non-disabled employees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2025b).</w:t>
      </w:r>
    </w:p>
    <w:p w14:paraId="48EFC571" w14:textId="437CA1A3" w:rsidR="00CB35FD" w:rsidRPr="00541CEC" w:rsidRDefault="000C2D24"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Such findings are important as being represented does not mean being included. A Trust may seem heterogeneous, </w:t>
      </w:r>
      <w:r w:rsidR="00541CEC" w:rsidRPr="00541CEC">
        <w:rPr>
          <w:rFonts w:asciiTheme="majorBidi" w:hAnsiTheme="majorBidi" w:cstheme="majorBidi"/>
          <w:sz w:val="24"/>
          <w:szCs w:val="24"/>
        </w:rPr>
        <w:t>but</w:t>
      </w:r>
      <w:r w:rsidRPr="00541CEC">
        <w:rPr>
          <w:rFonts w:asciiTheme="majorBidi" w:hAnsiTheme="majorBidi" w:cstheme="majorBidi"/>
          <w:sz w:val="24"/>
          <w:szCs w:val="24"/>
        </w:rPr>
        <w:t xml:space="preserve"> it will reproduce unequal access to appointment, promotion and voice. The staff survey confirms that fear, and the free-text responses mention that there is discrimination in relation to ethnicity and that there is a lack of diversity in senior staff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w:t>
      </w:r>
      <w:r w:rsidRPr="00541CEC">
        <w:rPr>
          <w:rFonts w:asciiTheme="majorBidi" w:hAnsiTheme="majorBidi" w:cstheme="majorBidi"/>
          <w:sz w:val="24"/>
          <w:szCs w:val="24"/>
        </w:rPr>
        <w:lastRenderedPageBreak/>
        <w:t xml:space="preserve">Foundation Trust, 2025a). DEI is not a branding problem then. It is a challenge </w:t>
      </w:r>
      <w:r w:rsidR="00541CEC" w:rsidRPr="00541CEC">
        <w:rPr>
          <w:rFonts w:asciiTheme="majorBidi" w:hAnsiTheme="majorBidi" w:cstheme="majorBidi"/>
          <w:sz w:val="24"/>
          <w:szCs w:val="24"/>
        </w:rPr>
        <w:t>to</w:t>
      </w:r>
      <w:r w:rsidRPr="00541CEC">
        <w:rPr>
          <w:rFonts w:asciiTheme="majorBidi" w:hAnsiTheme="majorBidi" w:cstheme="majorBidi"/>
          <w:sz w:val="24"/>
          <w:szCs w:val="24"/>
        </w:rPr>
        <w:t xml:space="preserve"> whether </w:t>
      </w:r>
      <w:proofErr w:type="spellStart"/>
      <w:r w:rsidRPr="00541CEC">
        <w:rPr>
          <w:rFonts w:asciiTheme="majorBidi" w:hAnsiTheme="majorBidi" w:cstheme="majorBidi"/>
          <w:sz w:val="24"/>
          <w:szCs w:val="24"/>
        </w:rPr>
        <w:t>organisational</w:t>
      </w:r>
      <w:proofErr w:type="spellEnd"/>
      <w:r w:rsidRPr="00541CEC">
        <w:rPr>
          <w:rFonts w:asciiTheme="majorBidi" w:hAnsiTheme="majorBidi" w:cstheme="majorBidi"/>
          <w:sz w:val="24"/>
          <w:szCs w:val="24"/>
        </w:rPr>
        <w:t xml:space="preserve"> systems are just enough to attract, retain and listen to staffs across various groups.</w:t>
      </w:r>
    </w:p>
    <w:p w14:paraId="31764942" w14:textId="77777777" w:rsidR="00CB35FD" w:rsidRPr="00541CEC" w:rsidRDefault="009318B1" w:rsidP="00541CEC">
      <w:pPr>
        <w:pStyle w:val="Heading1"/>
      </w:pPr>
      <w:bookmarkStart w:id="5" w:name="_Toc224676065"/>
      <w:r w:rsidRPr="00541CEC">
        <w:t>Evaluation of contemporary HR practices</w:t>
      </w:r>
      <w:bookmarkEnd w:id="5"/>
    </w:p>
    <w:p w14:paraId="21E52E36" w14:textId="77777777" w:rsidR="00CB35FD" w:rsidRPr="00541CEC" w:rsidRDefault="009318B1" w:rsidP="00541CEC">
      <w:pPr>
        <w:pStyle w:val="Heading2"/>
      </w:pPr>
      <w:bookmarkStart w:id="6" w:name="_Toc224676066"/>
      <w:r w:rsidRPr="00541CEC">
        <w:t>Contemporary practices for technological advancement</w:t>
      </w:r>
      <w:bookmarkEnd w:id="6"/>
    </w:p>
    <w:p w14:paraId="05A70B29" w14:textId="1FFA91D4" w:rsidR="00541CEC"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Capability-based digital workforce development is the most applicable HR practice as far as technological advancement is concerned. These consist of role-specific digital skills mapping, digital induction, shielded learning time, super-user or digital champion models, simulation and enhanced support in go-live times. This is more powerful than generic mandatory training since it uses digital competence as a role performance, and not as a background administration. It is also consistent with the national preceptorship framework which </w:t>
      </w:r>
      <w:proofErr w:type="spellStart"/>
      <w:r w:rsidRPr="00541CEC">
        <w:rPr>
          <w:rFonts w:asciiTheme="majorBidi" w:hAnsiTheme="majorBidi" w:cstheme="majorBidi"/>
          <w:sz w:val="24"/>
          <w:szCs w:val="24"/>
        </w:rPr>
        <w:t>emphasises</w:t>
      </w:r>
      <w:proofErr w:type="spellEnd"/>
      <w:r w:rsidRPr="00541CEC">
        <w:rPr>
          <w:rFonts w:asciiTheme="majorBidi" w:hAnsiTheme="majorBidi" w:cstheme="majorBidi"/>
          <w:sz w:val="24"/>
          <w:szCs w:val="24"/>
        </w:rPr>
        <w:t xml:space="preserve"> the structured support, </w:t>
      </w:r>
      <w:proofErr w:type="spellStart"/>
      <w:r w:rsidRPr="00541CEC">
        <w:rPr>
          <w:rFonts w:asciiTheme="majorBidi" w:hAnsiTheme="majorBidi" w:cstheme="majorBidi"/>
          <w:sz w:val="24"/>
          <w:szCs w:val="24"/>
        </w:rPr>
        <w:t>organisational</w:t>
      </w:r>
      <w:proofErr w:type="spellEnd"/>
      <w:r w:rsidRPr="00541CEC">
        <w:rPr>
          <w:rFonts w:asciiTheme="majorBidi" w:hAnsiTheme="majorBidi" w:cstheme="majorBidi"/>
          <w:sz w:val="24"/>
          <w:szCs w:val="24"/>
        </w:rPr>
        <w:t xml:space="preserve"> culture and quality oversight when it comes to the professional transition (NHS England, 2022). In the case of Band 5 nurses who are newly hired, this is important when there is an EPR rollout.</w:t>
      </w:r>
    </w:p>
    <w:p w14:paraId="2E75900A" w14:textId="7463E335" w:rsidR="00CB35FD"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 boundaries are however grave. Completion data of training may produce illusion of preparedness. The staff can pass through modules but in practice, they can be unsafe, slow or workaround-dependent. There are also warning signs of AI and automation literature stating that </w:t>
      </w:r>
      <w:proofErr w:type="spellStart"/>
      <w:r w:rsidRPr="00541CEC">
        <w:rPr>
          <w:rFonts w:asciiTheme="majorBidi" w:hAnsiTheme="majorBidi" w:cstheme="majorBidi"/>
          <w:sz w:val="24"/>
          <w:szCs w:val="24"/>
        </w:rPr>
        <w:t>digitalisation</w:t>
      </w:r>
      <w:proofErr w:type="spellEnd"/>
      <w:r w:rsidRPr="00541CEC">
        <w:rPr>
          <w:rFonts w:asciiTheme="majorBidi" w:hAnsiTheme="majorBidi" w:cstheme="majorBidi"/>
          <w:sz w:val="24"/>
          <w:szCs w:val="24"/>
        </w:rPr>
        <w:t xml:space="preserve"> will conceal responsibility in case managers are not aware of which systems they should operate in (Dima et al., 2024). Digital HR practices thus only become useful in cases where they are supported with local coaching, troubleshooting, as well as workload protection.</w:t>
      </w:r>
    </w:p>
    <w:p w14:paraId="6F23AA12" w14:textId="77777777" w:rsidR="00CB35FD" w:rsidRPr="00541CEC" w:rsidRDefault="009318B1" w:rsidP="00541CEC">
      <w:pPr>
        <w:pStyle w:val="Heading2"/>
      </w:pPr>
      <w:bookmarkStart w:id="7" w:name="_Toc224676067"/>
      <w:r w:rsidRPr="00541CEC">
        <w:t>Contemporary practices for talent acquisition and retention</w:t>
      </w:r>
      <w:bookmarkEnd w:id="7"/>
    </w:p>
    <w:p w14:paraId="43461F15" w14:textId="77777777" w:rsidR="00541CEC"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In the case of talent acquisition and retention, the modern practice shifted to the direction of bundled interventions. These are values-based recruitment, realistic job previewing, management of candidate experience, structured onboarding, preceptorship, flexible working, wellbeing, career pathways and stay interview. This approach is consistent with the focus of the presentation on job analysis, </w:t>
      </w:r>
      <w:r w:rsidRPr="00541CEC">
        <w:rPr>
          <w:rFonts w:asciiTheme="majorBidi" w:hAnsiTheme="majorBidi" w:cstheme="majorBidi"/>
          <w:sz w:val="24"/>
          <w:szCs w:val="24"/>
        </w:rPr>
        <w:lastRenderedPageBreak/>
        <w:t>systematic selection and day-one-to-month-six onboarding process. The use of values-based recruitment is especially applicable to NHS contexts since it associates the choice with the NHS Constitution and the possibility of assessing the reaction of the applicants to situations related to compassion, collaboration, and patient safety (NHS Employers, 2024).</w:t>
      </w:r>
    </w:p>
    <w:p w14:paraId="2D6D4128" w14:textId="3FBBFD95" w:rsidR="00CB35FD"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But these practices are not idealized. The value-based recruitment process can enhance behavioral fitness, yet it will never be able to counteract a bad ward culture and bad line management. Realistic job preview can both minimize early mismatch but can also demoralize applicants when departments are conspicuously overworked. The national NHS guidance will be indispensable to preceptorship, but it will not be effective where senior employees are over-stressed to offer regular mentorship (NHS England, 2022). </w:t>
      </w:r>
    </w:p>
    <w:p w14:paraId="53695453" w14:textId="77777777" w:rsidR="00CB35FD" w:rsidRPr="00541CEC" w:rsidRDefault="009318B1" w:rsidP="00541CEC">
      <w:pPr>
        <w:pStyle w:val="Heading2"/>
      </w:pPr>
      <w:bookmarkStart w:id="8" w:name="_Toc224676068"/>
      <w:r w:rsidRPr="00541CEC">
        <w:t>Contemporary practices for DEI</w:t>
      </w:r>
      <w:bookmarkEnd w:id="8"/>
    </w:p>
    <w:p w14:paraId="59CBB530" w14:textId="7BC49603" w:rsidR="00541CEC"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In the case of DEI, inclusive recruitment format, open progression guidelines, equity dashboard, staff networks, targeted growth paths and enhanced speaking-up plans are the most powerful modern practices. The CIPD guidance can work since it focuses on redesigning the processes instead of fostering awareness. This can be seen in things like eliminating bias language in adverts, using a structured method of scoring, making related adjustments at each step and tracking shortlisting and appointment rates based on protected characteristics (CIPD, 2024a). </w:t>
      </w:r>
    </w:p>
    <w:p w14:paraId="24DD6DAF" w14:textId="6869446F" w:rsidR="00CB35FD"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 drawback is that most </w:t>
      </w:r>
      <w:proofErr w:type="spellStart"/>
      <w:r w:rsidRPr="00541CEC">
        <w:rPr>
          <w:rFonts w:asciiTheme="majorBidi" w:hAnsiTheme="majorBidi" w:cstheme="majorBidi"/>
          <w:sz w:val="24"/>
          <w:szCs w:val="24"/>
        </w:rPr>
        <w:t>organisations</w:t>
      </w:r>
      <w:proofErr w:type="spellEnd"/>
      <w:r w:rsidRPr="00541CEC">
        <w:rPr>
          <w:rFonts w:asciiTheme="majorBidi" w:hAnsiTheme="majorBidi" w:cstheme="majorBidi"/>
          <w:sz w:val="24"/>
          <w:szCs w:val="24"/>
        </w:rPr>
        <w:t xml:space="preserve"> mistake activity with impact. Staff networks may be useful in the sense that voice is created, however, it cannot replace more just decision making by managers. Dashboards can reveal differences but not clarify them. The training of EDI may enhance the level of awareness, but the presence of discriminatory or exclusionary experience may be provided as attitude is not invariably influenced. This gap is depicted by the local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data, where the Trust has EDI working streams, but disabled staff valuation and engagement is poor, and the patterns of ethnic </w:t>
      </w:r>
      <w:r w:rsidRPr="00541CEC">
        <w:rPr>
          <w:rFonts w:asciiTheme="majorBidi" w:hAnsiTheme="majorBidi" w:cstheme="majorBidi"/>
          <w:sz w:val="24"/>
          <w:szCs w:val="24"/>
        </w:rPr>
        <w:lastRenderedPageBreak/>
        <w:t>minority appointment have deteriorated at shortlisting-to-appointment point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2025b).</w:t>
      </w:r>
    </w:p>
    <w:p w14:paraId="5DC59509" w14:textId="77777777" w:rsidR="00CB35FD" w:rsidRPr="00541CEC" w:rsidRDefault="009318B1" w:rsidP="00541CEC">
      <w:pPr>
        <w:pStyle w:val="Heading1"/>
      </w:pPr>
      <w:bookmarkStart w:id="9" w:name="_Toc224676069"/>
      <w:r w:rsidRPr="00541CEC">
        <w:t>How departmental managers can ensure urgent implementation</w:t>
      </w:r>
      <w:bookmarkEnd w:id="9"/>
    </w:p>
    <w:p w14:paraId="35E9F4C9" w14:textId="10D9B610" w:rsidR="00541CEC"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The make-or-buy factor is departmental managers since most of the modern HR practice can only be actualized through local supervision, scheduling, feedback and culture. The activity of CIPD on devolved people management is quite applicable here: recruitment, learning and conflict management are increasingly being delegated to line managers, and managers do not always have the time, confidence and support to make them work (CIPD, 2024b). In a specialist NHS Trust this is a more critical weakness since operational workload displaces developmental work.</w:t>
      </w:r>
    </w:p>
    <w:p w14:paraId="6B609FDA" w14:textId="2FC3C62F" w:rsidR="00541CEC"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There are three methods of ensuring urgency by managers. To begin with, they must have clear responsibility in </w:t>
      </w:r>
      <w:r w:rsidR="007A686F" w:rsidRPr="00541CEC">
        <w:rPr>
          <w:rFonts w:asciiTheme="majorBidi" w:hAnsiTheme="majorBidi" w:cstheme="majorBidi"/>
          <w:sz w:val="24"/>
          <w:szCs w:val="24"/>
        </w:rPr>
        <w:t>people’s</w:t>
      </w:r>
      <w:r w:rsidRPr="00541CEC">
        <w:rPr>
          <w:rFonts w:asciiTheme="majorBidi" w:hAnsiTheme="majorBidi" w:cstheme="majorBidi"/>
          <w:sz w:val="24"/>
          <w:szCs w:val="24"/>
        </w:rPr>
        <w:t xml:space="preserve"> outcomes and not output of services. Practically, it implies time to hire, 6 months retention, preceptorship achievement, digital fluency, speaking-up self-confidence and gap in recruitment or development. The rationale behind this is that patient outcomes are associated with retention and culture, and not peripheral HR (</w:t>
      </w:r>
      <w:proofErr w:type="spellStart"/>
      <w:r w:rsidRPr="00541CEC">
        <w:rPr>
          <w:rFonts w:asciiTheme="majorBidi" w:hAnsiTheme="majorBidi" w:cstheme="majorBidi"/>
          <w:sz w:val="24"/>
          <w:szCs w:val="24"/>
        </w:rPr>
        <w:t>Moscelli</w:t>
      </w:r>
      <w:proofErr w:type="spellEnd"/>
      <w:r w:rsidRPr="00541CEC">
        <w:rPr>
          <w:rFonts w:asciiTheme="majorBidi" w:hAnsiTheme="majorBidi" w:cstheme="majorBidi"/>
          <w:sz w:val="24"/>
          <w:szCs w:val="24"/>
        </w:rPr>
        <w:t xml:space="preserve"> et al., 2024).</w:t>
      </w:r>
    </w:p>
    <w:p w14:paraId="74E1706B" w14:textId="5858396E" w:rsidR="00541CEC"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Second, there should be the conversion of policy to local routines by the managers. In case of digital change, then that entails secured learning hours, instant troubleshooting and observable managerial application of new systems. In recruitment, this implies systemized short listing, written reasons and timely response by the candidate. In the case of DEI, it would be to act on bullying, make sure the modifications are provided, confront favoritism and distribute opportunities in a transparent manner. According to the own staff survey of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this is the lowest implementation level, since the complaints of the staff are on the </w:t>
      </w:r>
      <w:proofErr w:type="spellStart"/>
      <w:r w:rsidRPr="00541CEC">
        <w:rPr>
          <w:rFonts w:asciiTheme="majorBidi" w:hAnsiTheme="majorBidi" w:cstheme="majorBidi"/>
          <w:sz w:val="24"/>
          <w:szCs w:val="24"/>
        </w:rPr>
        <w:t>behaviour</w:t>
      </w:r>
      <w:proofErr w:type="spellEnd"/>
      <w:r w:rsidRPr="00541CEC">
        <w:rPr>
          <w:rFonts w:asciiTheme="majorBidi" w:hAnsiTheme="majorBidi" w:cstheme="majorBidi"/>
          <w:sz w:val="24"/>
          <w:szCs w:val="24"/>
        </w:rPr>
        <w:t xml:space="preserve"> of the management, transparency and support and not policy lack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2025a).</w:t>
      </w:r>
    </w:p>
    <w:p w14:paraId="55511BFB" w14:textId="07A2AD63" w:rsidR="00CB35FD"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Third, the short-cycle review needs to be used by the managers instead of yearly statements. In case of urgency in the implementation, it can be monitored quarterly or monthly.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currently </w:t>
      </w:r>
      <w:r w:rsidRPr="00541CEC">
        <w:rPr>
          <w:rFonts w:asciiTheme="majorBidi" w:hAnsiTheme="majorBidi" w:cstheme="majorBidi"/>
          <w:sz w:val="24"/>
          <w:szCs w:val="24"/>
        </w:rPr>
        <w:lastRenderedPageBreak/>
        <w:t>possesses data related to staff surveys, WRES, WDES and quality governance; the question is whether the data prompt departmental action as fast. Where the indicators deteriorate, including disabled employees feeling less appreciated or minority ethnic candidates being less likely to get an appointment, the managers must be made to generate remedial action instead of waiting until the next annual cycle.</w:t>
      </w:r>
    </w:p>
    <w:p w14:paraId="23AB4A38" w14:textId="77777777" w:rsidR="00CB35FD" w:rsidRPr="00541CEC" w:rsidRDefault="009318B1" w:rsidP="00541CEC">
      <w:pPr>
        <w:pStyle w:val="Heading1"/>
      </w:pPr>
      <w:bookmarkStart w:id="10" w:name="_Toc224676070"/>
      <w:r w:rsidRPr="00541CEC">
        <w:t>Conclusion and recommendations</w:t>
      </w:r>
      <w:bookmarkEnd w:id="10"/>
    </w:p>
    <w:p w14:paraId="7D4B1E9B" w14:textId="1E801A5F" w:rsidR="00CB35FD"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This report has presented that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is experiencing a related group of HR issues in digital transformation, retention and inclusion. The best conclusion is that the Trust does not majorly lack a policy deficit. It experiences shortfall in implementation. It has also demonstrated professional pride and certain areas of improvement, though less-than-benchmark staff experience, bullying and transparency concerns, and enduring inequalities in appointment, valuation and voice, make up its own evidence.</w:t>
      </w:r>
    </w:p>
    <w:p w14:paraId="45E21F76" w14:textId="1621858B" w:rsidR="00CB35FD" w:rsidRPr="00541CEC" w:rsidRDefault="00541CEC" w:rsidP="00541CEC">
      <w:pPr>
        <w:spacing w:after="120" w:line="480" w:lineRule="auto"/>
        <w:jc w:val="both"/>
        <w:rPr>
          <w:rFonts w:asciiTheme="majorBidi" w:hAnsiTheme="majorBidi" w:cstheme="majorBidi"/>
          <w:sz w:val="24"/>
          <w:szCs w:val="24"/>
        </w:rPr>
      </w:pPr>
      <w:r w:rsidRPr="00541CEC">
        <w:rPr>
          <w:rFonts w:asciiTheme="majorBidi" w:hAnsiTheme="majorBidi" w:cstheme="majorBidi"/>
          <w:sz w:val="24"/>
          <w:szCs w:val="24"/>
        </w:rPr>
        <w:t xml:space="preserve">There are three recommendations that follow. To begin with,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needs to re-design the Band 5 nursing employment pathway as a single process, job analysis to six-month preceptorship, with digital competence, designed support and realistic workload expectations embedded. Second, instead of operational throughput, first-year retention, digital readiness and DEI outcomes should be formally accountable to the departmental managers. Third, the Trust ought to consider EDI as an operational management system by auditing the shortlisted, appointed, developed and heard at departmental level and intervene swiftly where differences are manifested. Not a table or figure has been added as the report would better be presented in the prose style of analysis and that pictorial illustrations would only replicate the argument instead of consolidating it.</w:t>
      </w:r>
    </w:p>
    <w:p w14:paraId="4E95AFF8" w14:textId="77777777" w:rsidR="00541CEC" w:rsidRPr="00541CEC" w:rsidRDefault="00541CEC" w:rsidP="00541CEC">
      <w:pPr>
        <w:spacing w:line="480" w:lineRule="auto"/>
        <w:rPr>
          <w:rFonts w:asciiTheme="majorBidi" w:eastAsiaTheme="majorEastAsia" w:hAnsiTheme="majorBidi" w:cstheme="majorBidi"/>
          <w:b/>
          <w:bCs/>
          <w:sz w:val="24"/>
          <w:szCs w:val="24"/>
        </w:rPr>
      </w:pPr>
      <w:r w:rsidRPr="00541CEC">
        <w:rPr>
          <w:rFonts w:asciiTheme="majorBidi" w:hAnsiTheme="majorBidi"/>
          <w:sz w:val="24"/>
          <w:szCs w:val="24"/>
        </w:rPr>
        <w:br w:type="page"/>
      </w:r>
    </w:p>
    <w:p w14:paraId="0EDDD527" w14:textId="098FE347" w:rsidR="00CB35FD" w:rsidRPr="00541CEC" w:rsidRDefault="009318B1" w:rsidP="007A686F">
      <w:pPr>
        <w:pStyle w:val="Heading1"/>
        <w:numPr>
          <w:ilvl w:val="0"/>
          <w:numId w:val="0"/>
        </w:numPr>
        <w:ind w:left="360" w:hanging="360"/>
      </w:pPr>
      <w:bookmarkStart w:id="11" w:name="_Toc224676071"/>
      <w:r w:rsidRPr="00541CEC">
        <w:lastRenderedPageBreak/>
        <w:t>Reference</w:t>
      </w:r>
      <w:r w:rsidR="00541CEC" w:rsidRPr="00541CEC">
        <w:t>s</w:t>
      </w:r>
      <w:bookmarkEnd w:id="11"/>
    </w:p>
    <w:p w14:paraId="5FC51F82"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CIPD (2024a) People manager guide: inclusive recruitment. London: Chartered Institute of Personnel and Development.</w:t>
      </w:r>
      <w:r>
        <w:rPr>
          <w:rFonts w:asciiTheme="majorBidi" w:hAnsiTheme="majorBidi" w:cstheme="majorBidi"/>
          <w:sz w:val="24"/>
          <w:szCs w:val="24"/>
        </w:rPr>
        <w:t xml:space="preserve"> Available at: </w:t>
      </w:r>
      <w:hyperlink r:id="rId9" w:history="1">
        <w:r w:rsidRPr="007E5245">
          <w:rPr>
            <w:rStyle w:val="Hyperlink"/>
            <w:rFonts w:asciiTheme="majorBidi" w:hAnsiTheme="majorBidi" w:cstheme="majorBidi"/>
            <w:sz w:val="24"/>
            <w:szCs w:val="24"/>
          </w:rPr>
          <w:t>https://www.cipd.org/en/knowledge/guides/inclusive-recruitment-guidance-for-managers/</w:t>
        </w:r>
      </w:hyperlink>
      <w:r>
        <w:rPr>
          <w:rFonts w:asciiTheme="majorBidi" w:hAnsiTheme="majorBidi" w:cstheme="majorBidi"/>
          <w:sz w:val="24"/>
          <w:szCs w:val="24"/>
        </w:rPr>
        <w:t xml:space="preserve"> </w:t>
      </w:r>
    </w:p>
    <w:p w14:paraId="2856B2F7" w14:textId="77777777" w:rsidR="00222784" w:rsidRPr="00541CEC" w:rsidRDefault="00222784" w:rsidP="00541CEC">
      <w:pPr>
        <w:spacing w:after="60" w:line="480" w:lineRule="auto"/>
        <w:ind w:left="360" w:hanging="360"/>
        <w:jc w:val="both"/>
      </w:pPr>
      <w:r w:rsidRPr="00541CEC">
        <w:rPr>
          <w:rFonts w:asciiTheme="majorBidi" w:hAnsiTheme="majorBidi" w:cstheme="majorBidi"/>
          <w:sz w:val="24"/>
          <w:szCs w:val="24"/>
        </w:rPr>
        <w:t>CIPD (2024b) Devolving HR management to people managers. London: Chartered Institute of Personnel and Development.</w:t>
      </w:r>
      <w:r>
        <w:rPr>
          <w:rFonts w:asciiTheme="majorBidi" w:hAnsiTheme="majorBidi" w:cstheme="majorBidi"/>
          <w:sz w:val="24"/>
          <w:szCs w:val="24"/>
        </w:rPr>
        <w:t xml:space="preserve"> Available at: </w:t>
      </w:r>
      <w:hyperlink r:id="rId10" w:history="1">
        <w:r w:rsidRPr="007E5245">
          <w:rPr>
            <w:rStyle w:val="Hyperlink"/>
            <w:rFonts w:asciiTheme="majorBidi" w:hAnsiTheme="majorBidi" w:cstheme="majorBidi"/>
            <w:sz w:val="24"/>
            <w:szCs w:val="24"/>
          </w:rPr>
          <w:t>https://www.cipd.org/en/views-and-insights/thought-leadership/insight/devolving-hr-management/</w:t>
        </w:r>
      </w:hyperlink>
      <w:r>
        <w:rPr>
          <w:rFonts w:asciiTheme="majorBidi" w:hAnsiTheme="majorBidi" w:cstheme="majorBidi"/>
          <w:sz w:val="24"/>
          <w:szCs w:val="24"/>
        </w:rPr>
        <w:t xml:space="preserve"> </w:t>
      </w:r>
      <w:r>
        <w:t xml:space="preserve"> </w:t>
      </w:r>
    </w:p>
    <w:p w14:paraId="211C876C"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lang w:val="da-DK"/>
        </w:rPr>
        <w:t xml:space="preserve">De Vries, N., Boone, A., Godderis, L., Bouman, J., Szemik, S., Matranga, D., &amp; De Winter, P. (2023). </w:t>
      </w:r>
      <w:r w:rsidRPr="00541CEC">
        <w:rPr>
          <w:rFonts w:asciiTheme="majorBidi" w:hAnsiTheme="majorBidi" w:cstheme="majorBidi"/>
          <w:sz w:val="24"/>
          <w:szCs w:val="24"/>
        </w:rPr>
        <w:t>The race to retain healthcare workers: a systematic review on factors that impact retention of nurses and physicians in hospitals. </w:t>
      </w:r>
      <w:r w:rsidRPr="00541CEC">
        <w:rPr>
          <w:rFonts w:asciiTheme="majorBidi" w:hAnsiTheme="majorBidi" w:cstheme="majorBidi"/>
          <w:i/>
          <w:iCs/>
          <w:sz w:val="24"/>
          <w:szCs w:val="24"/>
        </w:rPr>
        <w:t>INQUIRY: The Journal of Health Care Organization, Provision, and Financing</w:t>
      </w:r>
      <w:r w:rsidRPr="00541CEC">
        <w:rPr>
          <w:rFonts w:asciiTheme="majorBidi" w:hAnsiTheme="majorBidi" w:cstheme="majorBidi"/>
          <w:sz w:val="24"/>
          <w:szCs w:val="24"/>
        </w:rPr>
        <w:t>, </w:t>
      </w:r>
      <w:r w:rsidRPr="00541CEC">
        <w:rPr>
          <w:rFonts w:asciiTheme="majorBidi" w:hAnsiTheme="majorBidi" w:cstheme="majorBidi"/>
          <w:i/>
          <w:iCs/>
          <w:sz w:val="24"/>
          <w:szCs w:val="24"/>
        </w:rPr>
        <w:t>60</w:t>
      </w:r>
      <w:r w:rsidRPr="00541CEC">
        <w:rPr>
          <w:rFonts w:asciiTheme="majorBidi" w:hAnsiTheme="majorBidi" w:cstheme="majorBidi"/>
          <w:sz w:val="24"/>
          <w:szCs w:val="24"/>
        </w:rPr>
        <w:t>, 00469580231159318.</w:t>
      </w:r>
    </w:p>
    <w:p w14:paraId="5E83FDF8"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lang w:val="de-DE"/>
        </w:rPr>
        <w:t xml:space="preserve">Dima, J., Gilbert, M. H., Dextras-Gauthier, J., &amp; Giraud, L. (2024). </w:t>
      </w:r>
      <w:r w:rsidRPr="00541CEC">
        <w:rPr>
          <w:rFonts w:asciiTheme="majorBidi" w:hAnsiTheme="majorBidi" w:cstheme="majorBidi"/>
          <w:sz w:val="24"/>
          <w:szCs w:val="24"/>
        </w:rPr>
        <w:t>The effects of artificial intelligence on human resource activities and the roles of the human resource triad: opportunities and challenges. </w:t>
      </w:r>
      <w:r w:rsidRPr="00541CEC">
        <w:rPr>
          <w:rFonts w:asciiTheme="majorBidi" w:hAnsiTheme="majorBidi" w:cstheme="majorBidi"/>
          <w:i/>
          <w:iCs/>
          <w:sz w:val="24"/>
          <w:szCs w:val="24"/>
        </w:rPr>
        <w:t>Frontiers in Psychology</w:t>
      </w:r>
      <w:r w:rsidRPr="00541CEC">
        <w:rPr>
          <w:rFonts w:asciiTheme="majorBidi" w:hAnsiTheme="majorBidi" w:cstheme="majorBidi"/>
          <w:sz w:val="24"/>
          <w:szCs w:val="24"/>
        </w:rPr>
        <w:t>, </w:t>
      </w:r>
      <w:r w:rsidRPr="00541CEC">
        <w:rPr>
          <w:rFonts w:asciiTheme="majorBidi" w:hAnsiTheme="majorBidi" w:cstheme="majorBidi"/>
          <w:i/>
          <w:iCs/>
          <w:sz w:val="24"/>
          <w:szCs w:val="24"/>
        </w:rPr>
        <w:t>15</w:t>
      </w:r>
      <w:r w:rsidRPr="00541CEC">
        <w:rPr>
          <w:rFonts w:asciiTheme="majorBidi" w:hAnsiTheme="majorBidi" w:cstheme="majorBidi"/>
          <w:sz w:val="24"/>
          <w:szCs w:val="24"/>
        </w:rPr>
        <w:t>, 1360401.</w:t>
      </w:r>
    </w:p>
    <w:p w14:paraId="08B2F4BB"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Janes, G., Chesterton, L., Heaslip, V., Reid, J., Lüdemann, B., Gentil, J., ... &amp; Shannon, M. (2024). Current nursing and midwifery contribution to leading digital health policy and practice: an integrative review. </w:t>
      </w:r>
      <w:r w:rsidRPr="00541CEC">
        <w:rPr>
          <w:rFonts w:asciiTheme="majorBidi" w:hAnsiTheme="majorBidi" w:cstheme="majorBidi"/>
          <w:i/>
          <w:iCs/>
          <w:sz w:val="24"/>
          <w:szCs w:val="24"/>
        </w:rPr>
        <w:t>Journal of advanced nursing</w:t>
      </w:r>
      <w:r w:rsidRPr="00541CEC">
        <w:rPr>
          <w:rFonts w:asciiTheme="majorBidi" w:hAnsiTheme="majorBidi" w:cstheme="majorBidi"/>
          <w:sz w:val="24"/>
          <w:szCs w:val="24"/>
        </w:rPr>
        <w:t>, </w:t>
      </w:r>
      <w:r w:rsidRPr="00541CEC">
        <w:rPr>
          <w:rFonts w:asciiTheme="majorBidi" w:hAnsiTheme="majorBidi" w:cstheme="majorBidi"/>
          <w:i/>
          <w:iCs/>
          <w:sz w:val="24"/>
          <w:szCs w:val="24"/>
        </w:rPr>
        <w:t>81</w:t>
      </w:r>
      <w:r w:rsidRPr="00541CEC">
        <w:rPr>
          <w:rFonts w:asciiTheme="majorBidi" w:hAnsiTheme="majorBidi" w:cstheme="majorBidi"/>
          <w:sz w:val="24"/>
          <w:szCs w:val="24"/>
        </w:rPr>
        <w:t>(1), 116.</w:t>
      </w:r>
    </w:p>
    <w:p w14:paraId="5463510C"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 xml:space="preserve">Malinconico, S., </w:t>
      </w:r>
      <w:proofErr w:type="spellStart"/>
      <w:r w:rsidRPr="00541CEC">
        <w:rPr>
          <w:rFonts w:asciiTheme="majorBidi" w:hAnsiTheme="majorBidi" w:cstheme="majorBidi"/>
          <w:sz w:val="24"/>
          <w:szCs w:val="24"/>
        </w:rPr>
        <w:t>Paglietti</w:t>
      </w:r>
      <w:proofErr w:type="spellEnd"/>
      <w:r w:rsidRPr="00541CEC">
        <w:rPr>
          <w:rFonts w:asciiTheme="majorBidi" w:hAnsiTheme="majorBidi" w:cstheme="majorBidi"/>
          <w:sz w:val="24"/>
          <w:szCs w:val="24"/>
        </w:rPr>
        <w:t xml:space="preserve">, F., Bellagamba, S., De Simone, P., Grunwald Romera, U., </w:t>
      </w:r>
      <w:proofErr w:type="spellStart"/>
      <w:r w:rsidRPr="00541CEC">
        <w:rPr>
          <w:rFonts w:asciiTheme="majorBidi" w:hAnsiTheme="majorBidi" w:cstheme="majorBidi"/>
          <w:sz w:val="24"/>
          <w:szCs w:val="24"/>
        </w:rPr>
        <w:t>Serranti</w:t>
      </w:r>
      <w:proofErr w:type="spellEnd"/>
      <w:r w:rsidRPr="00541CEC">
        <w:rPr>
          <w:rFonts w:asciiTheme="majorBidi" w:hAnsiTheme="majorBidi" w:cstheme="majorBidi"/>
          <w:sz w:val="24"/>
          <w:szCs w:val="24"/>
        </w:rPr>
        <w:t xml:space="preserve">, S., &amp; Bonifazi, G. (2025). Technologies and procedures for the removal of </w:t>
      </w:r>
      <w:proofErr w:type="spellStart"/>
      <w:r w:rsidRPr="00541CEC">
        <w:rPr>
          <w:rFonts w:asciiTheme="majorBidi" w:hAnsiTheme="majorBidi" w:cstheme="majorBidi"/>
          <w:sz w:val="24"/>
          <w:szCs w:val="24"/>
        </w:rPr>
        <w:t>asbestoscement</w:t>
      </w:r>
      <w:proofErr w:type="spellEnd"/>
      <w:r w:rsidRPr="00541CEC">
        <w:rPr>
          <w:rFonts w:asciiTheme="majorBidi" w:hAnsiTheme="majorBidi" w:cstheme="majorBidi"/>
          <w:sz w:val="24"/>
          <w:szCs w:val="24"/>
        </w:rPr>
        <w:t xml:space="preserve"> pipes. In </w:t>
      </w:r>
      <w:r w:rsidRPr="00541CEC">
        <w:rPr>
          <w:rFonts w:asciiTheme="majorBidi" w:hAnsiTheme="majorBidi" w:cstheme="majorBidi"/>
          <w:i/>
          <w:iCs/>
          <w:sz w:val="24"/>
          <w:szCs w:val="24"/>
        </w:rPr>
        <w:t>Conference proceedings: ICSI 2025 International Conference on Safety &amp; Innovation</w:t>
      </w:r>
      <w:r w:rsidRPr="00541CEC">
        <w:rPr>
          <w:rFonts w:asciiTheme="majorBidi" w:hAnsiTheme="majorBidi" w:cstheme="majorBidi"/>
          <w:sz w:val="24"/>
          <w:szCs w:val="24"/>
        </w:rPr>
        <w:t> (pp. 34-45). INAIL-</w:t>
      </w:r>
      <w:proofErr w:type="spellStart"/>
      <w:r w:rsidRPr="00541CEC">
        <w:rPr>
          <w:rFonts w:asciiTheme="majorBidi" w:hAnsiTheme="majorBidi" w:cstheme="majorBidi"/>
          <w:sz w:val="24"/>
          <w:szCs w:val="24"/>
        </w:rPr>
        <w:t>Direzione</w:t>
      </w:r>
      <w:proofErr w:type="spellEnd"/>
      <w:r w:rsidRPr="00541CEC">
        <w:rPr>
          <w:rFonts w:asciiTheme="majorBidi" w:hAnsiTheme="majorBidi" w:cstheme="majorBidi"/>
          <w:sz w:val="24"/>
          <w:szCs w:val="24"/>
        </w:rPr>
        <w:t xml:space="preserve"> centrale </w:t>
      </w:r>
      <w:proofErr w:type="spellStart"/>
      <w:r w:rsidRPr="00541CEC">
        <w:rPr>
          <w:rFonts w:asciiTheme="majorBidi" w:hAnsiTheme="majorBidi" w:cstheme="majorBidi"/>
          <w:sz w:val="24"/>
          <w:szCs w:val="24"/>
        </w:rPr>
        <w:t>pianificazione</w:t>
      </w:r>
      <w:proofErr w:type="spellEnd"/>
      <w:r w:rsidRPr="00541CEC">
        <w:rPr>
          <w:rFonts w:asciiTheme="majorBidi" w:hAnsiTheme="majorBidi" w:cstheme="majorBidi"/>
          <w:sz w:val="24"/>
          <w:szCs w:val="24"/>
        </w:rPr>
        <w:t xml:space="preserve"> e </w:t>
      </w:r>
      <w:proofErr w:type="spellStart"/>
      <w:r w:rsidRPr="00541CEC">
        <w:rPr>
          <w:rFonts w:asciiTheme="majorBidi" w:hAnsiTheme="majorBidi" w:cstheme="majorBidi"/>
          <w:sz w:val="24"/>
          <w:szCs w:val="24"/>
        </w:rPr>
        <w:t>comunicazione</w:t>
      </w:r>
      <w:proofErr w:type="spellEnd"/>
      <w:r w:rsidRPr="00541CEC">
        <w:rPr>
          <w:rFonts w:asciiTheme="majorBidi" w:hAnsiTheme="majorBidi" w:cstheme="majorBidi"/>
          <w:sz w:val="24"/>
          <w:szCs w:val="24"/>
        </w:rPr>
        <w:t>.</w:t>
      </w:r>
    </w:p>
    <w:p w14:paraId="01290C29"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 (2025a) Annual report and accounts 2024/25. London: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w:t>
      </w:r>
      <w:r>
        <w:rPr>
          <w:rFonts w:asciiTheme="majorBidi" w:hAnsiTheme="majorBidi" w:cstheme="majorBidi"/>
          <w:sz w:val="24"/>
          <w:szCs w:val="24"/>
        </w:rPr>
        <w:t xml:space="preserve"> Available at: </w:t>
      </w:r>
      <w:hyperlink r:id="rId11" w:history="1">
        <w:r w:rsidRPr="00DE16C7">
          <w:rPr>
            <w:rStyle w:val="Hyperlink"/>
            <w:rFonts w:asciiTheme="majorBidi" w:hAnsiTheme="majorBidi" w:cstheme="majorBidi"/>
            <w:sz w:val="24"/>
            <w:szCs w:val="24"/>
          </w:rPr>
          <w:t>https://moorfields.nhs.uk/mediaLocal/4nidww33/moorfields-eye-hospital-nhs-ft-ara-24-25.pdf</w:t>
        </w:r>
      </w:hyperlink>
      <w:r>
        <w:rPr>
          <w:rFonts w:asciiTheme="majorBidi" w:hAnsiTheme="majorBidi" w:cstheme="majorBidi"/>
          <w:sz w:val="24"/>
          <w:szCs w:val="24"/>
        </w:rPr>
        <w:t xml:space="preserve"> </w:t>
      </w:r>
    </w:p>
    <w:p w14:paraId="1EC4295C"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proofErr w:type="spellStart"/>
      <w:r w:rsidRPr="00541CEC">
        <w:rPr>
          <w:rFonts w:asciiTheme="majorBidi" w:hAnsiTheme="majorBidi" w:cstheme="majorBidi"/>
          <w:sz w:val="24"/>
          <w:szCs w:val="24"/>
        </w:rPr>
        <w:lastRenderedPageBreak/>
        <w:t>Moorfields</w:t>
      </w:r>
      <w:proofErr w:type="spellEnd"/>
      <w:r w:rsidRPr="00541CEC">
        <w:rPr>
          <w:rFonts w:asciiTheme="majorBidi" w:hAnsiTheme="majorBidi" w:cstheme="majorBidi"/>
          <w:sz w:val="24"/>
          <w:szCs w:val="24"/>
        </w:rPr>
        <w:t xml:space="preserve"> Eye Hospital NHS Foundation Trust (2025b) WRES and WDES data 2025. London: </w:t>
      </w:r>
      <w:proofErr w:type="spellStart"/>
      <w:r w:rsidRPr="00541CEC">
        <w:rPr>
          <w:rFonts w:asciiTheme="majorBidi" w:hAnsiTheme="majorBidi" w:cstheme="majorBidi"/>
          <w:sz w:val="24"/>
          <w:szCs w:val="24"/>
        </w:rPr>
        <w:t>Moorfields</w:t>
      </w:r>
      <w:proofErr w:type="spellEnd"/>
      <w:r w:rsidRPr="00541CEC">
        <w:rPr>
          <w:rFonts w:asciiTheme="majorBidi" w:hAnsiTheme="majorBidi" w:cstheme="majorBidi"/>
          <w:sz w:val="24"/>
          <w:szCs w:val="24"/>
        </w:rPr>
        <w:t xml:space="preserve"> Eye Hospital NHS Foundation Trust.</w:t>
      </w:r>
      <w:r>
        <w:rPr>
          <w:rFonts w:asciiTheme="majorBidi" w:hAnsiTheme="majorBidi" w:cstheme="majorBidi"/>
          <w:sz w:val="24"/>
          <w:szCs w:val="24"/>
        </w:rPr>
        <w:t xml:space="preserve"> Available at: </w:t>
      </w:r>
      <w:hyperlink r:id="rId12" w:history="1">
        <w:r w:rsidRPr="00DE16C7">
          <w:rPr>
            <w:rStyle w:val="Hyperlink"/>
            <w:rFonts w:asciiTheme="majorBidi" w:hAnsiTheme="majorBidi" w:cstheme="majorBidi"/>
            <w:sz w:val="24"/>
            <w:szCs w:val="24"/>
          </w:rPr>
          <w:t>https://www.moorfields.nhs.uk/about-us/our-organisation/corporate-publications/wdes-and-wres</w:t>
        </w:r>
      </w:hyperlink>
      <w:r>
        <w:rPr>
          <w:rFonts w:asciiTheme="majorBidi" w:hAnsiTheme="majorBidi" w:cstheme="majorBidi"/>
          <w:sz w:val="24"/>
          <w:szCs w:val="24"/>
        </w:rPr>
        <w:t xml:space="preserve"> </w:t>
      </w:r>
    </w:p>
    <w:p w14:paraId="66736532"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Moscelli, G., Mello, M., Sayli, M., &amp; Boyle, A. (2024). Nurse and doctor turnover and patient outcomes in NHS acute trusts in England: retrospective longitudinal study. </w:t>
      </w:r>
      <w:proofErr w:type="spellStart"/>
      <w:r w:rsidRPr="00541CEC">
        <w:rPr>
          <w:rFonts w:asciiTheme="majorBidi" w:hAnsiTheme="majorBidi" w:cstheme="majorBidi"/>
          <w:i/>
          <w:iCs/>
          <w:sz w:val="24"/>
          <w:szCs w:val="24"/>
        </w:rPr>
        <w:t>bmj</w:t>
      </w:r>
      <w:proofErr w:type="spellEnd"/>
      <w:r w:rsidRPr="00541CEC">
        <w:rPr>
          <w:rFonts w:asciiTheme="majorBidi" w:hAnsiTheme="majorBidi" w:cstheme="majorBidi"/>
          <w:sz w:val="24"/>
          <w:szCs w:val="24"/>
        </w:rPr>
        <w:t>, </w:t>
      </w:r>
      <w:r w:rsidRPr="00541CEC">
        <w:rPr>
          <w:rFonts w:asciiTheme="majorBidi" w:hAnsiTheme="majorBidi" w:cstheme="majorBidi"/>
          <w:i/>
          <w:iCs/>
          <w:sz w:val="24"/>
          <w:szCs w:val="24"/>
        </w:rPr>
        <w:t>387</w:t>
      </w:r>
      <w:r w:rsidRPr="00541CEC">
        <w:rPr>
          <w:rFonts w:asciiTheme="majorBidi" w:hAnsiTheme="majorBidi" w:cstheme="majorBidi"/>
          <w:sz w:val="24"/>
          <w:szCs w:val="24"/>
        </w:rPr>
        <w:t>.</w:t>
      </w:r>
    </w:p>
    <w:p w14:paraId="73FE0C09"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NHS Employers (2024) Values-based recruitment. London: NHS Employers.</w:t>
      </w:r>
      <w:r>
        <w:rPr>
          <w:rFonts w:asciiTheme="majorBidi" w:hAnsiTheme="majorBidi" w:cstheme="majorBidi"/>
          <w:sz w:val="24"/>
          <w:szCs w:val="24"/>
        </w:rPr>
        <w:t xml:space="preserve"> Available at: </w:t>
      </w:r>
      <w:hyperlink r:id="rId13" w:history="1">
        <w:r w:rsidRPr="00DE16C7">
          <w:rPr>
            <w:rStyle w:val="Hyperlink"/>
            <w:rFonts w:asciiTheme="majorBidi" w:hAnsiTheme="majorBidi" w:cstheme="majorBidi"/>
            <w:sz w:val="24"/>
            <w:szCs w:val="24"/>
          </w:rPr>
          <w:t>https://www.nhsemployers.org/articles/values-based-recruitment</w:t>
        </w:r>
      </w:hyperlink>
      <w:r>
        <w:rPr>
          <w:rFonts w:asciiTheme="majorBidi" w:hAnsiTheme="majorBidi" w:cstheme="majorBidi"/>
          <w:sz w:val="24"/>
          <w:szCs w:val="24"/>
        </w:rPr>
        <w:t xml:space="preserve"> </w:t>
      </w:r>
    </w:p>
    <w:p w14:paraId="7420A7C2" w14:textId="77777777" w:rsidR="00222784" w:rsidRPr="007A686F" w:rsidRDefault="00222784" w:rsidP="00541CEC">
      <w:pPr>
        <w:spacing w:after="60" w:line="480" w:lineRule="auto"/>
        <w:ind w:left="360" w:hanging="360"/>
        <w:jc w:val="both"/>
      </w:pPr>
      <w:r w:rsidRPr="00541CEC">
        <w:rPr>
          <w:rFonts w:asciiTheme="majorBidi" w:hAnsiTheme="majorBidi" w:cstheme="majorBidi"/>
          <w:sz w:val="24"/>
          <w:szCs w:val="24"/>
        </w:rPr>
        <w:t>NHS England (2022) National preceptorship framework for nursing. Leeds: NHS England.</w:t>
      </w:r>
      <w:r>
        <w:rPr>
          <w:rFonts w:asciiTheme="majorBidi" w:hAnsiTheme="majorBidi" w:cstheme="majorBidi"/>
          <w:sz w:val="24"/>
          <w:szCs w:val="24"/>
        </w:rPr>
        <w:t xml:space="preserve"> Available at: </w:t>
      </w:r>
      <w:hyperlink r:id="rId14" w:history="1">
        <w:r w:rsidRPr="00DE16C7">
          <w:rPr>
            <w:rStyle w:val="Hyperlink"/>
            <w:rFonts w:asciiTheme="majorBidi" w:hAnsiTheme="majorBidi" w:cstheme="majorBidi"/>
            <w:sz w:val="24"/>
            <w:szCs w:val="24"/>
          </w:rPr>
          <w:t>https://www.england.nhs.uk/wp-content/uploads/2022/10/B1918_i_National-preceptorship-framework-for-nursing-10-October-2022.pdf</w:t>
        </w:r>
      </w:hyperlink>
      <w:r>
        <w:t xml:space="preserve"> </w:t>
      </w:r>
    </w:p>
    <w:p w14:paraId="23D0AC4C"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NHS England (2023a) NHS Long Term Workforce Plan. Leeds: NHS England.</w:t>
      </w:r>
      <w:r>
        <w:rPr>
          <w:rFonts w:asciiTheme="majorBidi" w:hAnsiTheme="majorBidi" w:cstheme="majorBidi"/>
          <w:sz w:val="24"/>
          <w:szCs w:val="24"/>
        </w:rPr>
        <w:t xml:space="preserve"> Available at: </w:t>
      </w:r>
      <w:hyperlink r:id="rId15" w:history="1">
        <w:r w:rsidRPr="00DE16C7">
          <w:rPr>
            <w:rStyle w:val="Hyperlink"/>
            <w:rFonts w:asciiTheme="majorBidi" w:hAnsiTheme="majorBidi" w:cstheme="majorBidi"/>
            <w:sz w:val="24"/>
            <w:szCs w:val="24"/>
          </w:rPr>
          <w:t>https://www.england.nhs.uk/publication/nhs-long-term-workforce-plan/</w:t>
        </w:r>
      </w:hyperlink>
      <w:r>
        <w:rPr>
          <w:rFonts w:asciiTheme="majorBidi" w:hAnsiTheme="majorBidi" w:cstheme="majorBidi"/>
          <w:sz w:val="24"/>
          <w:szCs w:val="24"/>
        </w:rPr>
        <w:t xml:space="preserve"> </w:t>
      </w:r>
    </w:p>
    <w:p w14:paraId="176EABF7" w14:textId="77777777" w:rsidR="00222784" w:rsidRPr="00541CEC" w:rsidRDefault="00222784" w:rsidP="00541CEC">
      <w:pPr>
        <w:spacing w:after="60" w:line="480" w:lineRule="auto"/>
        <w:ind w:left="360" w:hanging="360"/>
        <w:jc w:val="both"/>
        <w:rPr>
          <w:rFonts w:asciiTheme="majorBidi" w:hAnsiTheme="majorBidi" w:cstheme="majorBidi"/>
          <w:sz w:val="24"/>
          <w:szCs w:val="24"/>
        </w:rPr>
      </w:pPr>
      <w:r w:rsidRPr="00541CEC">
        <w:rPr>
          <w:rFonts w:asciiTheme="majorBidi" w:hAnsiTheme="majorBidi" w:cstheme="majorBidi"/>
          <w:sz w:val="24"/>
          <w:szCs w:val="24"/>
        </w:rPr>
        <w:t>NHS England (2023b) NHS equality, diversity and inclusion improvement plan. Leeds: NHS England.</w:t>
      </w:r>
      <w:r>
        <w:rPr>
          <w:rFonts w:asciiTheme="majorBidi" w:hAnsiTheme="majorBidi" w:cstheme="majorBidi"/>
          <w:sz w:val="24"/>
          <w:szCs w:val="24"/>
        </w:rPr>
        <w:t xml:space="preserve"> Available at: </w:t>
      </w:r>
      <w:hyperlink r:id="rId16" w:history="1">
        <w:r w:rsidRPr="00DE16C7">
          <w:rPr>
            <w:rStyle w:val="Hyperlink"/>
            <w:rFonts w:asciiTheme="majorBidi" w:hAnsiTheme="majorBidi" w:cstheme="majorBidi"/>
            <w:sz w:val="24"/>
            <w:szCs w:val="24"/>
          </w:rPr>
          <w:t>https://www.england.nhs.uk/long-read/nhs-equality-diversity-and-inclusion-improvement-plan/</w:t>
        </w:r>
      </w:hyperlink>
      <w:r>
        <w:rPr>
          <w:rFonts w:asciiTheme="majorBidi" w:hAnsiTheme="majorBidi" w:cstheme="majorBidi"/>
          <w:sz w:val="24"/>
          <w:szCs w:val="24"/>
        </w:rPr>
        <w:t xml:space="preserve"> </w:t>
      </w:r>
    </w:p>
    <w:p w14:paraId="0BC7D9BB" w14:textId="77777777" w:rsidR="00222784" w:rsidRPr="00FE4517" w:rsidRDefault="00222784" w:rsidP="007A686F">
      <w:pPr>
        <w:spacing w:after="60" w:line="480" w:lineRule="auto"/>
        <w:ind w:left="360" w:hanging="360"/>
        <w:jc w:val="both"/>
        <w:rPr>
          <w:rFonts w:asciiTheme="majorBidi" w:hAnsiTheme="majorBidi" w:cstheme="majorBidi"/>
          <w:sz w:val="24"/>
          <w:szCs w:val="24"/>
        </w:rPr>
      </w:pPr>
      <w:r w:rsidRPr="007A686F">
        <w:rPr>
          <w:rFonts w:asciiTheme="majorBidi" w:hAnsiTheme="majorBidi" w:cstheme="majorBidi"/>
          <w:sz w:val="24"/>
          <w:szCs w:val="24"/>
        </w:rPr>
        <w:t xml:space="preserve">Williamson, L., </w:t>
      </w:r>
      <w:proofErr w:type="spellStart"/>
      <w:r w:rsidRPr="007A686F">
        <w:rPr>
          <w:rFonts w:asciiTheme="majorBidi" w:hAnsiTheme="majorBidi" w:cstheme="majorBidi"/>
          <w:sz w:val="24"/>
          <w:szCs w:val="24"/>
        </w:rPr>
        <w:t>Burog</w:t>
      </w:r>
      <w:proofErr w:type="spellEnd"/>
      <w:r w:rsidRPr="007A686F">
        <w:rPr>
          <w:rFonts w:asciiTheme="majorBidi" w:hAnsiTheme="majorBidi" w:cstheme="majorBidi"/>
          <w:sz w:val="24"/>
          <w:szCs w:val="24"/>
        </w:rPr>
        <w:t>, W., &amp; Taylor, R. M. (2022). A scoping review of strategies used to recruit and retain nurses in the health care workforce. </w:t>
      </w:r>
      <w:r w:rsidRPr="007A686F">
        <w:rPr>
          <w:rFonts w:asciiTheme="majorBidi" w:hAnsiTheme="majorBidi" w:cstheme="majorBidi"/>
          <w:i/>
          <w:iCs/>
          <w:sz w:val="24"/>
          <w:szCs w:val="24"/>
        </w:rPr>
        <w:t>Journal of Nursing Management</w:t>
      </w:r>
      <w:r w:rsidRPr="007A686F">
        <w:rPr>
          <w:rFonts w:asciiTheme="majorBidi" w:hAnsiTheme="majorBidi" w:cstheme="majorBidi"/>
          <w:sz w:val="24"/>
          <w:szCs w:val="24"/>
        </w:rPr>
        <w:t>, </w:t>
      </w:r>
      <w:r w:rsidRPr="007A686F">
        <w:rPr>
          <w:rFonts w:asciiTheme="majorBidi" w:hAnsiTheme="majorBidi" w:cstheme="majorBidi"/>
          <w:i/>
          <w:iCs/>
          <w:sz w:val="24"/>
          <w:szCs w:val="24"/>
        </w:rPr>
        <w:t>30</w:t>
      </w:r>
      <w:r w:rsidRPr="007A686F">
        <w:rPr>
          <w:rFonts w:asciiTheme="majorBidi" w:hAnsiTheme="majorBidi" w:cstheme="majorBidi"/>
          <w:sz w:val="24"/>
          <w:szCs w:val="24"/>
        </w:rPr>
        <w:t>(7), 2845-2853.</w:t>
      </w:r>
    </w:p>
    <w:sectPr w:rsidR="00222784" w:rsidRPr="00FE4517" w:rsidSect="00034616">
      <w:headerReference w:type="default" r:id="rId17"/>
      <w:footerReference w:type="default" r:id="rId18"/>
      <w:pgSz w:w="12240" w:h="15840"/>
      <w:pgMar w:top="1152" w:right="1296" w:bottom="1008"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9125C" w14:textId="77777777" w:rsidR="00A14DF6" w:rsidRDefault="00A14DF6">
      <w:pPr>
        <w:spacing w:after="0" w:line="240" w:lineRule="auto"/>
      </w:pPr>
      <w:r>
        <w:separator/>
      </w:r>
    </w:p>
  </w:endnote>
  <w:endnote w:type="continuationSeparator" w:id="0">
    <w:p w14:paraId="2828721D" w14:textId="77777777" w:rsidR="00A14DF6" w:rsidRDefault="00A14D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FD7BF" w14:textId="77777777" w:rsidR="00CB35FD" w:rsidRDefault="009318B1">
    <w:pPr>
      <w:pStyle w:val="Footer"/>
      <w:jc w:val="center"/>
    </w:pPr>
    <w:r>
      <w:rPr>
        <w:sz w:val="18"/>
      </w:rPr>
      <w:t xml:space="preserve">Page </w:t>
    </w:r>
    <w:r>
      <w:fldChar w:fldCharType="begin"/>
    </w:r>
    <w:r>
      <w:instrText>PAGE</w:instrText>
    </w:r>
    <w:r>
      <w:fldChar w:fldCharType="separate"/>
    </w:r>
    <w:r w:rsidR="006E38CA">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38AA01" w14:textId="77777777" w:rsidR="00A14DF6" w:rsidRDefault="00A14DF6">
      <w:pPr>
        <w:spacing w:after="0" w:line="240" w:lineRule="auto"/>
      </w:pPr>
      <w:r>
        <w:separator/>
      </w:r>
    </w:p>
  </w:footnote>
  <w:footnote w:type="continuationSeparator" w:id="0">
    <w:p w14:paraId="2F90B948" w14:textId="77777777" w:rsidR="00A14DF6" w:rsidRDefault="00A14D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A6824" w14:textId="1E4690C1" w:rsidR="00CB35FD" w:rsidRDefault="00CB35F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BBF4DC3"/>
    <w:multiLevelType w:val="multilevel"/>
    <w:tmpl w:val="221E505E"/>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num w:numId="1" w16cid:durableId="232156330">
    <w:abstractNumId w:val="8"/>
  </w:num>
  <w:num w:numId="2" w16cid:durableId="1498109745">
    <w:abstractNumId w:val="6"/>
  </w:num>
  <w:num w:numId="3" w16cid:durableId="1304502013">
    <w:abstractNumId w:val="5"/>
  </w:num>
  <w:num w:numId="4" w16cid:durableId="2023626412">
    <w:abstractNumId w:val="4"/>
  </w:num>
  <w:num w:numId="5" w16cid:durableId="1516113603">
    <w:abstractNumId w:val="7"/>
  </w:num>
  <w:num w:numId="6" w16cid:durableId="1834829325">
    <w:abstractNumId w:val="3"/>
  </w:num>
  <w:num w:numId="7" w16cid:durableId="1346784994">
    <w:abstractNumId w:val="2"/>
  </w:num>
  <w:num w:numId="8" w16cid:durableId="402413906">
    <w:abstractNumId w:val="1"/>
  </w:num>
  <w:num w:numId="9" w16cid:durableId="1060520378">
    <w:abstractNumId w:val="0"/>
  </w:num>
  <w:num w:numId="10" w16cid:durableId="12662926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A7F"/>
    <w:rsid w:val="0001203F"/>
    <w:rsid w:val="00034616"/>
    <w:rsid w:val="00055ACF"/>
    <w:rsid w:val="0006063C"/>
    <w:rsid w:val="000C2D24"/>
    <w:rsid w:val="0015074B"/>
    <w:rsid w:val="001A1BE8"/>
    <w:rsid w:val="001C3EE2"/>
    <w:rsid w:val="00222784"/>
    <w:rsid w:val="0029639D"/>
    <w:rsid w:val="00315588"/>
    <w:rsid w:val="00326F90"/>
    <w:rsid w:val="0037135D"/>
    <w:rsid w:val="00472780"/>
    <w:rsid w:val="00541CEC"/>
    <w:rsid w:val="0056776B"/>
    <w:rsid w:val="006E38CA"/>
    <w:rsid w:val="007A686F"/>
    <w:rsid w:val="007E4FFD"/>
    <w:rsid w:val="00825380"/>
    <w:rsid w:val="00885B54"/>
    <w:rsid w:val="009318B1"/>
    <w:rsid w:val="00980373"/>
    <w:rsid w:val="00A0469E"/>
    <w:rsid w:val="00A12FDF"/>
    <w:rsid w:val="00A14DF6"/>
    <w:rsid w:val="00A15E63"/>
    <w:rsid w:val="00AA1D8D"/>
    <w:rsid w:val="00AF4CAC"/>
    <w:rsid w:val="00B34250"/>
    <w:rsid w:val="00B36BEB"/>
    <w:rsid w:val="00B47730"/>
    <w:rsid w:val="00B730D5"/>
    <w:rsid w:val="00B96588"/>
    <w:rsid w:val="00C33B68"/>
    <w:rsid w:val="00C441F4"/>
    <w:rsid w:val="00CB0664"/>
    <w:rsid w:val="00CB35FD"/>
    <w:rsid w:val="00D336C6"/>
    <w:rsid w:val="00D55B0C"/>
    <w:rsid w:val="00E009C5"/>
    <w:rsid w:val="00E31351"/>
    <w:rsid w:val="00ED7CC4"/>
    <w:rsid w:val="00FC6368"/>
    <w:rsid w:val="00FC693F"/>
    <w:rsid w:val="00FE45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E8F8879"/>
  <w14:defaultImageDpi w14:val="300"/>
  <w15:docId w15:val="{EFA309CD-F98C-4183-ABAF-7F9A799F0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541CEC"/>
    <w:pPr>
      <w:keepNext/>
      <w:keepLines/>
      <w:numPr>
        <w:numId w:val="10"/>
      </w:numPr>
      <w:spacing w:before="200" w:after="80" w:line="480" w:lineRule="auto"/>
      <w:jc w:val="both"/>
      <w:outlineLvl w:val="0"/>
    </w:pPr>
    <w:rPr>
      <w:rFonts w:asciiTheme="majorBidi" w:eastAsiaTheme="majorEastAsia" w:hAnsiTheme="majorBidi" w:cstheme="majorBidi"/>
      <w:b/>
      <w:bCs/>
      <w:sz w:val="24"/>
      <w:szCs w:val="24"/>
    </w:rPr>
  </w:style>
  <w:style w:type="paragraph" w:styleId="Heading2">
    <w:name w:val="heading 2"/>
    <w:basedOn w:val="Normal"/>
    <w:next w:val="Normal"/>
    <w:link w:val="Heading2Char"/>
    <w:uiPriority w:val="9"/>
    <w:unhideWhenUsed/>
    <w:qFormat/>
    <w:rsid w:val="00541CEC"/>
    <w:pPr>
      <w:keepNext/>
      <w:keepLines/>
      <w:numPr>
        <w:ilvl w:val="1"/>
        <w:numId w:val="10"/>
      </w:numPr>
      <w:spacing w:before="120" w:after="80" w:line="480" w:lineRule="auto"/>
      <w:jc w:val="both"/>
      <w:outlineLvl w:val="1"/>
    </w:pPr>
    <w:rPr>
      <w:rFonts w:asciiTheme="majorBidi" w:eastAsiaTheme="majorEastAsia" w:hAnsiTheme="majorBidi" w:cstheme="majorBidi"/>
      <w:b/>
      <w:bCs/>
      <w:i/>
      <w:iCs/>
      <w:sz w:val="24"/>
      <w:szCs w:val="24"/>
    </w:rPr>
  </w:style>
  <w:style w:type="paragraph" w:styleId="Heading3">
    <w:name w:val="heading 3"/>
    <w:basedOn w:val="Normal"/>
    <w:next w:val="Normal"/>
    <w:link w:val="Heading3Char"/>
    <w:uiPriority w:val="9"/>
    <w:unhideWhenUsed/>
    <w:qFormat/>
    <w:rsid w:val="00FC693F"/>
    <w:pPr>
      <w:keepNext/>
      <w:keepLines/>
      <w:spacing w:before="120" w:after="80"/>
      <w:outlineLvl w:val="2"/>
    </w:pPr>
    <w:rPr>
      <w:rFonts w:asciiTheme="majorHAnsi" w:eastAsiaTheme="majorEastAsia" w:hAnsiTheme="majorHAnsi" w:cstheme="majorBidi"/>
      <w:b/>
      <w:bCs/>
      <w:color w:val="18376D"/>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541CEC"/>
    <w:rPr>
      <w:rFonts w:asciiTheme="majorBidi" w:eastAsiaTheme="majorEastAsia" w:hAnsiTheme="majorBidi" w:cstheme="majorBidi"/>
      <w:b/>
      <w:bCs/>
      <w:sz w:val="24"/>
      <w:szCs w:val="24"/>
    </w:rPr>
  </w:style>
  <w:style w:type="character" w:customStyle="1" w:styleId="Heading2Char">
    <w:name w:val="Heading 2 Char"/>
    <w:basedOn w:val="DefaultParagraphFont"/>
    <w:link w:val="Heading2"/>
    <w:uiPriority w:val="9"/>
    <w:rsid w:val="00541CEC"/>
    <w:rPr>
      <w:rFonts w:asciiTheme="majorBidi" w:eastAsiaTheme="majorEastAsia" w:hAnsiTheme="majorBidi" w:cstheme="majorBidi"/>
      <w:b/>
      <w:bCs/>
      <w:i/>
      <w:iCs/>
      <w:sz w:val="24"/>
      <w:szCs w:val="24"/>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41CEC"/>
    <w:rPr>
      <w:color w:val="0000FF" w:themeColor="hyperlink"/>
      <w:u w:val="single"/>
    </w:rPr>
  </w:style>
  <w:style w:type="character" w:styleId="UnresolvedMention">
    <w:name w:val="Unresolved Mention"/>
    <w:basedOn w:val="DefaultParagraphFont"/>
    <w:uiPriority w:val="99"/>
    <w:semiHidden/>
    <w:unhideWhenUsed/>
    <w:rsid w:val="00541CEC"/>
    <w:rPr>
      <w:color w:val="605E5C"/>
      <w:shd w:val="clear" w:color="auto" w:fill="E1DFDD"/>
    </w:rPr>
  </w:style>
  <w:style w:type="paragraph" w:styleId="TOC2">
    <w:name w:val="toc 2"/>
    <w:basedOn w:val="Normal"/>
    <w:next w:val="Normal"/>
    <w:autoRedefine/>
    <w:uiPriority w:val="39"/>
    <w:unhideWhenUsed/>
    <w:rsid w:val="007A686F"/>
    <w:pPr>
      <w:spacing w:after="100"/>
      <w:ind w:left="220"/>
    </w:pPr>
  </w:style>
  <w:style w:type="paragraph" w:styleId="TOC1">
    <w:name w:val="toc 1"/>
    <w:basedOn w:val="Normal"/>
    <w:next w:val="Normal"/>
    <w:autoRedefine/>
    <w:uiPriority w:val="39"/>
    <w:unhideWhenUsed/>
    <w:rsid w:val="007A686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employers.org/articles/values-based-recruit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oorfields.nhs.uk/about-us/our-organisation/corporate-publications/wdes-and-wres"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ngland.nhs.uk/long-read/nhs-equality-diversity-and-inclusion-improvement-pla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oorfields.nhs.uk/mediaLocal/4nidww33/moorfields-eye-hospital-nhs-ft-ara-24-25.pdf" TargetMode="External"/><Relationship Id="rId5" Type="http://schemas.openxmlformats.org/officeDocument/2006/relationships/webSettings" Target="webSettings.xml"/><Relationship Id="rId15" Type="http://schemas.openxmlformats.org/officeDocument/2006/relationships/hyperlink" Target="https://www.england.nhs.uk/publication/nhs-long-term-workforce-plan/" TargetMode="External"/><Relationship Id="rId10" Type="http://schemas.openxmlformats.org/officeDocument/2006/relationships/hyperlink" Target="https://www.cipd.org/en/views-and-insights/thought-leadership/insight/devolving-hr-managemen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ipd.org/en/knowledge/guides/inclusive-recruitment-guidance-for-managers/" TargetMode="External"/><Relationship Id="rId14" Type="http://schemas.openxmlformats.org/officeDocument/2006/relationships/hyperlink" Target="https://www.england.nhs.uk/wp-content/uploads/2022/10/B1918_i_National-preceptorship-framework-for-nursing-10-October-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3009</Words>
  <Characters>17154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20123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Saaid Jameel</dc:creator>
  <cp:keywords/>
  <cp:lastModifiedBy>shanine mclarty</cp:lastModifiedBy>
  <cp:revision>2</cp:revision>
  <dcterms:created xsi:type="dcterms:W3CDTF">2026-03-25T20:31:00Z</dcterms:created>
  <dcterms:modified xsi:type="dcterms:W3CDTF">2026-03-25T20:31:00Z</dcterms:modified>
  <cp:category/>
</cp:coreProperties>
</file>