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center"/>
        <w:rPr>
          <w:b/>
          <w:bCs/>
          <w:sz w:val="28"/>
          <w:szCs w:val="28"/>
        </w:rPr>
      </w:pPr>
      <w:r>
        <w:rPr>
          <w:b/>
          <w:bCs/>
          <w:sz w:val="28"/>
          <w:szCs w:val="28"/>
        </w:rPr>
        <w:t>Dissertation Proposal: Evaluating Customer Experience in Personal Banking of Lloyds Bank's Digital Services</w:t>
      </w:r>
    </w:p>
    <w:p>
      <w:pPr>
        <w:pStyle w:val="style0"/>
        <w:rPr>
          <w:b/>
          <w:bCs/>
        </w:rPr>
      </w:pPr>
      <w:r>
        <w:rPr>
          <w:b/>
          <w:bCs/>
        </w:rPr>
        <w:t>Introduction</w:t>
      </w:r>
    </w:p>
    <w:p>
      <w:pPr>
        <w:pStyle w:val="style0"/>
        <w:spacing w:lineRule="auto" w:line="360"/>
        <w:jc w:val="both"/>
        <w:rPr/>
      </w:pPr>
      <w:r>
        <w:t>In recent years there has been a paradigm shift in the way banks have continued to deliver services to its customers due to the digital revolution. Lloyds Banking Group being one of the UK’s largest retailers in the banking sector has over the recent years embarked on expansion and upgrade of digital banking platforms to improve the convenience and ease of its consumers and their operations (Lloyds Banking Group, 2023). Such change is characteristic of the financial services industry as banking services are quickly shifting from traditional forms and relying on digital platforms to satisfy customers’ demands (Deloitte, 2023).</w:t>
      </w:r>
    </w:p>
    <w:p>
      <w:pPr>
        <w:pStyle w:val="style0"/>
        <w:spacing w:lineRule="auto" w:line="360"/>
        <w:jc w:val="both"/>
        <w:rPr/>
      </w:pPr>
      <w:r>
        <w:t>The value of this study is therefore derived from identifying how optimally these digital changes meet customers’ needs especially with increasing influx towards online banking. According to King (2018) more than scoring a digital achievement, banking must strive to create a genuinely appealing customer-facing digital future. The research of the present work is based on customer satisfaction with Lloyds Bank’s Personal Banking Digital Channels which mainly consist of the mobile and Online Banking.</w:t>
      </w:r>
    </w:p>
    <w:p>
      <w:pPr>
        <w:pStyle w:val="style0"/>
        <w:spacing w:lineRule="auto" w:line="360"/>
        <w:jc w:val="both"/>
        <w:rPr>
          <w:b/>
          <w:bCs/>
        </w:rPr>
      </w:pPr>
      <w:r>
        <w:rPr>
          <w:b/>
          <w:bCs/>
        </w:rPr>
        <w:t>Aim, Objectives &amp; Research questions</w:t>
      </w:r>
    </w:p>
    <w:p>
      <w:pPr>
        <w:pStyle w:val="style0"/>
        <w:spacing w:lineRule="auto" w:line="360"/>
        <w:jc w:val="both"/>
        <w:rPr/>
      </w:pPr>
      <w:r>
        <w:t>Research Aim</w:t>
      </w:r>
      <w:r>
        <w:t xml:space="preserve">: </w:t>
      </w:r>
      <w:r>
        <w:t xml:space="preserve"> </w:t>
      </w:r>
      <w:r>
        <w:t>To</w:t>
      </w:r>
      <w:r>
        <w:t xml:space="preserve"> assess the match of Lloyds Bank’s Internet banking services with the needs and preferences of customers and to reveal various aspects of the customer services that requires improvement. </w:t>
      </w:r>
    </w:p>
    <w:p>
      <w:pPr>
        <w:pStyle w:val="style0"/>
        <w:spacing w:lineRule="auto" w:line="360"/>
        <w:jc w:val="both"/>
        <w:rPr>
          <w:b/>
          <w:bCs/>
        </w:rPr>
      </w:pPr>
      <w:r>
        <w:rPr>
          <w:b/>
          <w:bCs/>
        </w:rPr>
        <w:t xml:space="preserve">Research Objectives </w:t>
      </w:r>
    </w:p>
    <w:p>
      <w:pPr>
        <w:pStyle w:val="style179"/>
        <w:numPr>
          <w:ilvl w:val="0"/>
          <w:numId w:val="1"/>
        </w:numPr>
        <w:spacing w:lineRule="auto" w:line="360"/>
        <w:jc w:val="both"/>
        <w:rPr/>
      </w:pPr>
      <w:r>
        <w:t>To compare the current levels of customer satisfaction with the particular aspects of Lloyds Bank digital banking services: mobile application and Internet banking; among various demographics</w:t>
      </w:r>
    </w:p>
    <w:p>
      <w:pPr>
        <w:pStyle w:val="style179"/>
        <w:numPr>
          <w:ilvl w:val="0"/>
          <w:numId w:val="1"/>
        </w:numPr>
        <w:spacing w:lineRule="auto" w:line="360"/>
        <w:jc w:val="both"/>
        <w:rPr/>
      </w:pPr>
      <w:r>
        <w:t>To evaluate the relationship between digital banking service quality attributes (ease of use, accessibility, reliability, security) and overall customer satisfaction with Lloyds Bank's digital banking experience</w:t>
      </w:r>
    </w:p>
    <w:p>
      <w:pPr>
        <w:pStyle w:val="style0"/>
        <w:spacing w:lineRule="auto" w:line="360"/>
        <w:jc w:val="both"/>
        <w:rPr/>
      </w:pPr>
    </w:p>
    <w:p>
      <w:pPr>
        <w:pStyle w:val="style0"/>
        <w:spacing w:lineRule="auto" w:line="360"/>
        <w:jc w:val="both"/>
        <w:rPr/>
      </w:pPr>
    </w:p>
    <w:p>
      <w:pPr>
        <w:pStyle w:val="style0"/>
        <w:spacing w:lineRule="auto" w:line="360"/>
        <w:jc w:val="both"/>
        <w:rPr/>
      </w:pPr>
      <w:r>
        <w:rPr>
          <w:b/>
          <w:bCs/>
        </w:rPr>
        <w:t>Research Questions</w:t>
      </w:r>
      <w:r>
        <w:t xml:space="preserve"> </w:t>
      </w:r>
    </w:p>
    <w:p>
      <w:pPr>
        <w:pStyle w:val="style179"/>
        <w:numPr>
          <w:ilvl w:val="0"/>
          <w:numId w:val="11"/>
        </w:numPr>
        <w:spacing w:lineRule="auto" w:line="360"/>
        <w:jc w:val="both"/>
        <w:rPr/>
      </w:pPr>
      <w:r>
        <w:t>How effectively do Lloyds Bank's digital banking services meet customer expectations in terms of usability, security, and functionality?</w:t>
      </w:r>
    </w:p>
    <w:p>
      <w:pPr>
        <w:pStyle w:val="style179"/>
        <w:numPr>
          <w:ilvl w:val="0"/>
          <w:numId w:val="11"/>
        </w:numPr>
        <w:spacing w:lineRule="auto" w:line="360"/>
        <w:jc w:val="both"/>
        <w:rPr/>
      </w:pPr>
      <w:r>
        <w:t>What are the primary factors that impact customer satisfaction and loyalty in relation to Lloyds Bank's digital banking platforms?</w:t>
      </w:r>
    </w:p>
    <w:p>
      <w:pPr>
        <w:pStyle w:val="style0"/>
        <w:spacing w:lineRule="auto" w:line="360"/>
        <w:jc w:val="both"/>
        <w:rPr>
          <w:b/>
          <w:bCs/>
        </w:rPr>
      </w:pPr>
      <w:r>
        <w:rPr>
          <w:b/>
          <w:bCs/>
        </w:rPr>
        <w:t>Methodology</w:t>
      </w:r>
    </w:p>
    <w:p>
      <w:pPr>
        <w:pStyle w:val="style0"/>
        <w:spacing w:lineRule="auto" w:line="360"/>
        <w:jc w:val="both"/>
        <w:rPr/>
      </w:pPr>
      <w:r>
        <w:t>This research uses an online survey to gather data which is based on prior theories in the literature on digital banking research (Mbama &amp; Ezepue, 2018; Chan et al., 2022). To achieve the objective, the study recruits at least 30 respondents using convenience sampling, who are active Lloyds Bank digital banking customers (Smith, 202</w:t>
      </w:r>
      <w:r>
        <w:t>4</w:t>
      </w:r>
      <w:r>
        <w:t>).</w:t>
      </w:r>
    </w:p>
    <w:p>
      <w:pPr>
        <w:pStyle w:val="style0"/>
        <w:spacing w:lineRule="auto" w:line="360"/>
        <w:jc w:val="both"/>
        <w:rPr/>
      </w:pPr>
      <w:r>
        <w:t>Because of the participants’ diverse schedules, data collection will be through online self-administered questionnaires using Google Forms; the questionnaire will contain statements that measure satisfaction with specific service attributes on a Likert scale of 1 – 5. The touchpoints and the measurement of customer satisfactions in terms of usability, security and functionality and demographics and usage pattern data will be collected in the survey (</w:t>
      </w:r>
      <w:r>
        <w:t>Mbama &amp; Ezepue</w:t>
      </w:r>
      <w:r>
        <w:t>, 20</w:t>
      </w:r>
      <w:r>
        <w:t>18</w:t>
      </w:r>
      <w:r>
        <w:t>).</w:t>
      </w:r>
    </w:p>
    <w:p>
      <w:pPr>
        <w:pStyle w:val="style0"/>
        <w:spacing w:lineRule="auto" w:line="360"/>
        <w:jc w:val="both"/>
        <w:rPr/>
      </w:pPr>
      <w:r>
        <w:t>The analytical framework employs Excel Data toolkit for statistical analysis (</w:t>
      </w:r>
      <w:r>
        <w:t>Chauhan et al.</w:t>
      </w:r>
      <w:r>
        <w:t>, 202</w:t>
      </w:r>
      <w:r>
        <w:t>2</w:t>
      </w:r>
      <w:r>
        <w:t>), encompassing three main components: Descriptive statistics for demographic description and testing parametric assumption for, inferential statistics comprising of regression and correlation analysis to test hypotheses on relationships between service features and satisfaction, and between variance analysis using ANOVA test to test for satisfaction difference across different user type. This holistic approach guarantees rigorous analysis of the degree of digital banking CX at the same time employing systematic integration of statistical methods.</w:t>
      </w:r>
    </w:p>
    <w:p>
      <w:pPr>
        <w:pStyle w:val="style0"/>
        <w:spacing w:lineRule="auto" w:line="360"/>
        <w:jc w:val="both"/>
        <w:rPr>
          <w:b/>
          <w:bCs/>
        </w:rPr>
      </w:pPr>
      <w:r>
        <w:rPr>
          <w:b/>
          <w:bCs/>
        </w:rPr>
        <w:t>Literature review</w:t>
      </w:r>
    </w:p>
    <w:p>
      <w:pPr>
        <w:pStyle w:val="style0"/>
        <w:spacing w:lineRule="auto" w:line="360"/>
        <w:jc w:val="both"/>
        <w:rPr/>
      </w:pPr>
      <w:r>
        <w:t>The literature review will focus on three key areas:</w:t>
      </w:r>
    </w:p>
    <w:p>
      <w:pPr>
        <w:pStyle w:val="style0"/>
        <w:spacing w:lineRule="auto" w:line="360"/>
        <w:jc w:val="both"/>
        <w:rPr/>
      </w:pPr>
      <w:r>
        <w:rPr>
          <w:b/>
          <w:bCs/>
        </w:rPr>
        <w:t xml:space="preserve">Digital Banking Transformation: </w:t>
      </w:r>
      <w:r>
        <w:t>New publications of King (20</w:t>
      </w:r>
      <w:r>
        <w:t>18</w:t>
      </w:r>
      <w:r>
        <w:t xml:space="preserve">) and </w:t>
      </w:r>
      <w:r>
        <w:t>Lappeman</w:t>
      </w:r>
      <w:r>
        <w:t xml:space="preserve"> et al., (2023) describe trends in digital services and their potential influence on customers. The review will also explore the impact and effect of digital transformation in reshaping the existing and conventional banking services.</w:t>
      </w:r>
    </w:p>
    <w:p>
      <w:pPr>
        <w:pStyle w:val="style0"/>
        <w:spacing w:lineRule="auto" w:line="360"/>
        <w:jc w:val="both"/>
        <w:rPr/>
      </w:pPr>
      <w:r>
        <w:t xml:space="preserve">Customer Experience in the Digital Banking Context Recent studies by </w:t>
      </w:r>
      <w:r>
        <w:t>Mbama</w:t>
      </w:r>
      <w:r>
        <w:t xml:space="preserve"> and </w:t>
      </w:r>
      <w:r>
        <w:t>Ezepue</w:t>
      </w:r>
      <w:r>
        <w:t xml:space="preserve"> (20</w:t>
      </w:r>
      <w:r>
        <w:t>18</w:t>
      </w:r>
      <w:r>
        <w:t xml:space="preserve">) show that the user experience is a crucial factor affecting the implementation of digital banking. This section will look at more detailed approaches for analysing the customer experience within digital Banking. Security and Trust of Digital Banking. </w:t>
      </w:r>
    </w:p>
    <w:p>
      <w:pPr>
        <w:pStyle w:val="style0"/>
        <w:spacing w:lineRule="auto" w:line="360"/>
        <w:jc w:val="both"/>
        <w:rPr/>
      </w:pPr>
      <w:r>
        <w:t>Security and Trust of Digital Banking</w:t>
      </w:r>
      <w:r>
        <w:t>:</w:t>
      </w:r>
      <w:r>
        <w:t xml:space="preserve"> </w:t>
      </w:r>
      <w:r>
        <w:t>Hanif &amp; Lallie</w:t>
      </w:r>
      <w:r>
        <w:t xml:space="preserve"> (202</w:t>
      </w:r>
      <w:r>
        <w:t>1</w:t>
      </w:r>
      <w:r>
        <w:t xml:space="preserve">) and </w:t>
      </w:r>
      <w:r>
        <w:t>Chan</w:t>
      </w:r>
      <w:r>
        <w:t xml:space="preserve"> </w:t>
      </w:r>
      <w:r>
        <w:t>et al.,</w:t>
      </w:r>
      <w:r>
        <w:t>(2022) articles on digital banking security perceptions will be reviewed to determine the impact of security perceptions on experience.</w:t>
      </w:r>
    </w:p>
    <w:p>
      <w:pPr>
        <w:pStyle w:val="style0"/>
        <w:spacing w:lineRule="auto" w:line="360"/>
        <w:jc w:val="both"/>
        <w:rPr/>
      </w:pPr>
      <w:r>
        <w:t xml:space="preserve">There are certain limits in this research that the authors decided to mention. A limitation of this research concerning convenience sampling is that the results may not be generalized. Further, exclusion of business banking insights from personal banking realizes the neglect of useful experiences in the industry. The mode used in the online survey might not include all customers especially those with low Internet experience. </w:t>
      </w:r>
      <w:r>
        <w:t>T</w:t>
      </w:r>
      <w:r>
        <w:t>here are also limitations in the amount as well as the quality of details regarding the statistics which can be handled in a given period of time.</w:t>
      </w:r>
    </w:p>
    <w:p>
      <w:pPr>
        <w:pStyle w:val="style0"/>
        <w:spacing w:lineRule="auto" w:line="360"/>
        <w:jc w:val="both"/>
        <w:rPr>
          <w:b/>
          <w:bCs/>
        </w:rPr>
      </w:pPr>
      <w:r>
        <w:rPr>
          <w:b/>
          <w:bCs/>
        </w:rPr>
        <w:t>Ethical Considerations</w:t>
      </w:r>
    </w:p>
    <w:p>
      <w:pPr>
        <w:pStyle w:val="style0"/>
        <w:spacing w:lineRule="auto" w:line="360"/>
        <w:jc w:val="both"/>
        <w:rPr/>
      </w:pPr>
      <w:r>
        <w:t>The research is conducted under the ethical principles of UWTSD. Some aspects of the process are to get approval from the Ethics Committee, to use only participant code numbers or aliases and guarantee the confidentiality of collected data. Informed written consent from all participants will be sought before participation and data collection will start only after the Ethical Committee has granted written consent.</w:t>
      </w:r>
    </w:p>
    <w:p>
      <w:pPr>
        <w:pStyle w:val="style0"/>
        <w:spacing w:lineRule="auto" w:line="360"/>
        <w:jc w:val="both"/>
        <w:rPr>
          <w:b/>
          <w:bCs/>
        </w:rPr>
      </w:pPr>
      <w:r>
        <w:rPr>
          <w:b/>
          <w:bCs/>
        </w:rPr>
        <w:t>Timeframe</w:t>
      </w:r>
    </w:p>
    <w:p>
      <w:pPr>
        <w:pStyle w:val="style0"/>
        <w:spacing w:lineRule="auto" w:line="360"/>
        <w:jc w:val="both"/>
        <w:rPr>
          <w:b/>
          <w:bCs/>
        </w:rPr>
      </w:pPr>
      <w:r>
        <w:rPr>
          <w:b/>
          <w:bCs/>
          <w:noProof/>
        </w:rPr>
        <w:drawing>
          <wp:inline distL="0" distT="0" distB="0" distR="0">
            <wp:extent cx="5731510" cy="2651760"/>
            <wp:effectExtent l="0" t="0" r="2540" b="0"/>
            <wp:docPr id="1026" name="Picture 1" descr="A screenshot of a computer&#10;&#10;Description automatically generate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5731510" cy="2651760"/>
                    </a:xfrm>
                    <a:prstGeom prst="rect"/>
                  </pic:spPr>
                </pic:pic>
              </a:graphicData>
            </a:graphic>
          </wp:inline>
        </w:drawing>
      </w:r>
    </w:p>
    <w:p>
      <w:pPr>
        <w:pStyle w:val="style0"/>
        <w:spacing w:lineRule="auto" w:line="360"/>
        <w:jc w:val="both"/>
        <w:rPr>
          <w:b/>
          <w:bCs/>
        </w:rPr>
      </w:pPr>
      <w:r>
        <w:rPr>
          <w:b/>
          <w:bCs/>
        </w:rPr>
        <w:t>Conclusion</w:t>
      </w:r>
    </w:p>
    <w:p>
      <w:pPr>
        <w:pStyle w:val="style0"/>
        <w:spacing w:lineRule="auto" w:line="360"/>
        <w:jc w:val="both"/>
        <w:rPr/>
      </w:pPr>
      <w:r>
        <w:t xml:space="preserve">I have decided to select the existing digital banking service quality attributes that affect the customer satisfaction in Lloyds Bank personal banking services because it was identified that understanding major satisfaction factors will have tremendous consequences for developing new digital banking services and maintaining customer loyalty. This </w:t>
      </w:r>
      <w:r>
        <w:t>research</w:t>
      </w:r>
      <w:r>
        <w:t xml:space="preserve"> will use a quantitative research approach making it easier to establish how subcomponents of digital banking services affect the experience of the </w:t>
      </w:r>
      <w:r>
        <w:t>customers.</w:t>
      </w:r>
      <w:r>
        <w:tab/>
      </w:r>
    </w:p>
    <w:p>
      <w:pPr>
        <w:pStyle w:val="style0"/>
        <w:spacing w:lineRule="auto" w:line="360"/>
        <w:jc w:val="both"/>
        <w:rPr/>
      </w:pPr>
      <w:r>
        <w:t>After having identified the limitations of previous studies in this field, particularly their focus on general banking services rather than specific digital platforms, I have worked on producing a methodology that will avoid these same pitfalls by:</w:t>
      </w:r>
      <w:r>
        <w:t xml:space="preserve"> </w:t>
      </w:r>
      <w:r>
        <w:t>The research questions of this investigation are shaped around critical elements of digital banking services and evaluate customer satisfaction. Therefore, to offer practical knowledge for enhancing digital banking services offered by Lloyds Bank, this research will adopt a quantitative method and focus on the digital aspects of the bank. These insights should be useful for banking institutions looking for ways to improve their digital services in a modernizing industry.</w:t>
      </w:r>
    </w:p>
    <w:p>
      <w:pPr>
        <w:pStyle w:val="style0"/>
        <w:spacing w:lineRule="auto" w:line="360"/>
        <w:jc w:val="both"/>
        <w:rPr/>
      </w:pPr>
      <w:r>
        <w:t xml:space="preserve">Consequently, I believe that the study will demonstrate high positive associations between selected digital service characteristics and cumulative customer satisfaction, which will spur more research on the enhancement of the digital banking experience. </w:t>
      </w: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pPr>
    </w:p>
    <w:p>
      <w:pPr>
        <w:pStyle w:val="style0"/>
        <w:spacing w:lineRule="auto" w:line="360"/>
        <w:jc w:val="both"/>
        <w:rPr>
          <w:rFonts w:ascii="Arial" w:cs="Arial" w:hAnsi="Arial"/>
          <w:color w:val="222222"/>
          <w:sz w:val="20"/>
          <w:szCs w:val="20"/>
          <w:shd w:val="clear" w:color="auto" w:fill="ffffff"/>
        </w:rPr>
      </w:pPr>
      <w:r>
        <w:rPr>
          <w:b/>
          <w:bCs/>
        </w:rPr>
        <w:t>References</w:t>
      </w:r>
      <w:r>
        <w:rPr>
          <w:rFonts w:ascii="Arial" w:cs="Arial" w:hAnsi="Arial"/>
          <w:color w:val="222222"/>
          <w:sz w:val="20"/>
          <w:szCs w:val="20"/>
          <w:shd w:val="clear" w:color="auto" w:fill="ffffff"/>
        </w:rPr>
        <w:t xml:space="preserve"> </w:t>
      </w:r>
    </w:p>
    <w:p>
      <w:pPr>
        <w:pStyle w:val="style0"/>
        <w:spacing w:lineRule="auto" w:line="360"/>
        <w:jc w:val="both"/>
        <w:rPr/>
      </w:pPr>
      <w:r>
        <w:t>Chan, R., Troshani, I., Rao Hill, S. and Hoffmann, A., 2022. Towards an understanding of consumers’ FinTech adoption: The case of Open Banking. </w:t>
      </w:r>
      <w:r>
        <w:rPr>
          <w:i/>
          <w:iCs/>
        </w:rPr>
        <w:t>International Journal of Bank Marketing</w:t>
      </w:r>
      <w:r>
        <w:t>, </w:t>
      </w:r>
      <w:r>
        <w:rPr>
          <w:i/>
          <w:iCs/>
        </w:rPr>
        <w:t>40</w:t>
      </w:r>
      <w:r>
        <w:t>(4), pp.886-917.</w:t>
      </w:r>
    </w:p>
    <w:p>
      <w:pPr>
        <w:pStyle w:val="style0"/>
        <w:spacing w:lineRule="auto" w:line="360"/>
        <w:jc w:val="both"/>
        <w:rPr/>
      </w:pPr>
      <w:r>
        <w:t>Chauhan, S., Akhtar, A. and Gupta, A., 2022. Customer experience in digital banking: A review and future research directions. </w:t>
      </w:r>
      <w:r>
        <w:rPr>
          <w:i/>
          <w:iCs/>
        </w:rPr>
        <w:t>International Journal of Quality and Service Sciences</w:t>
      </w:r>
      <w:r>
        <w:t>, </w:t>
      </w:r>
      <w:r>
        <w:rPr>
          <w:i/>
          <w:iCs/>
        </w:rPr>
        <w:t>14</w:t>
      </w:r>
      <w:r>
        <w:t>(2), pp.311-348.</w:t>
      </w:r>
    </w:p>
    <w:bookmarkStart w:id="0" w:name="_Hlk181282017"/>
    <w:p>
      <w:pPr>
        <w:pStyle w:val="style0"/>
        <w:spacing w:lineRule="auto" w:line="360"/>
        <w:rPr/>
      </w:pPr>
      <w:r>
        <w:t>Deloitte</w:t>
      </w:r>
      <w:r>
        <w:t>, 202</w:t>
      </w:r>
      <w:r>
        <w:t>3</w:t>
      </w:r>
      <w:r>
        <w:t>.</w:t>
      </w:r>
      <w:r>
        <w:rPr>
          <w:i/>
          <w:iCs/>
        </w:rPr>
        <w:t xml:space="preserve"> </w:t>
      </w:r>
      <w:r>
        <w:rPr>
          <w:i/>
          <w:iCs/>
        </w:rPr>
        <w:t>Digital Banking Maturity 2023</w:t>
      </w:r>
      <w:r>
        <w:rPr>
          <w:i/>
          <w:iCs/>
        </w:rPr>
        <w:t xml:space="preserve">. </w:t>
      </w:r>
      <w:r>
        <w:rPr>
          <w:i/>
          <w:iCs/>
        </w:rPr>
        <w:t xml:space="preserve">[online] Available at: </w:t>
      </w:r>
      <w:r>
        <w:rPr>
          <w:u w:val="single"/>
        </w:rPr>
        <w:t xml:space="preserve">https://www2.deloitte.com/in/en/pages/financial-services/articles/digital-banking-maturity.html </w:t>
      </w:r>
      <w:r>
        <w:t xml:space="preserve">[Accessed </w:t>
      </w:r>
      <w:r>
        <w:rPr>
          <w:lang w:val="en-US"/>
        </w:rPr>
        <w:t xml:space="preserve">24 October </w:t>
      </w:r>
      <w:r>
        <w:t>2024].</w:t>
      </w:r>
    </w:p>
    <w:p>
      <w:pPr>
        <w:pStyle w:val="style0"/>
        <w:spacing w:lineRule="auto" w:line="360"/>
        <w:rPr/>
      </w:pPr>
      <w:r>
        <w:t>Hanif, Y. and Lallie, H.S., 2021. Security factors on the intention to use mobile banking applications in the UK older generation (55+). A mixed-method study using modified UTAUT and MTAM-with perceived cyber security, risk, and trust. </w:t>
      </w:r>
      <w:r>
        <w:rPr>
          <w:i/>
          <w:iCs/>
        </w:rPr>
        <w:t>Technology in Society</w:t>
      </w:r>
      <w:r>
        <w:t>, </w:t>
      </w:r>
      <w:r>
        <w:rPr>
          <w:i/>
          <w:iCs/>
        </w:rPr>
        <w:t>67</w:t>
      </w:r>
      <w:r>
        <w:t>, p.101693.</w:t>
      </w:r>
    </w:p>
    <w:p>
      <w:pPr>
        <w:pStyle w:val="style0"/>
        <w:spacing w:lineRule="auto" w:line="360"/>
        <w:rPr/>
      </w:pPr>
      <w:r>
        <w:t>King, B., 2018. </w:t>
      </w:r>
      <w:r>
        <w:rPr>
          <w:i/>
          <w:iCs/>
        </w:rPr>
        <w:t>Bank 4.0: Banking everywhere, never at a bank</w:t>
      </w:r>
      <w:r>
        <w:t>. John Wiley &amp; Sons.</w:t>
      </w:r>
    </w:p>
    <w:p>
      <w:pPr>
        <w:pStyle w:val="style0"/>
        <w:spacing w:lineRule="auto" w:line="360"/>
        <w:rPr/>
      </w:pPr>
      <w:r>
        <w:t>Lappeman, J., Marlie, S., Johnson, T. and Poggenpoel, S., 2023. Trust and digital privacy: willingness to disclose personal information to banking chatbot services. </w:t>
      </w:r>
      <w:r>
        <w:rPr>
          <w:i/>
          <w:iCs/>
        </w:rPr>
        <w:t>Journal of Financial Services Marketing</w:t>
      </w:r>
      <w:r>
        <w:t>, </w:t>
      </w:r>
      <w:r>
        <w:rPr>
          <w:i/>
          <w:iCs/>
        </w:rPr>
        <w:t>28</w:t>
      </w:r>
      <w:r>
        <w:t>(2), p.337.</w:t>
      </w:r>
    </w:p>
    <w:p>
      <w:pPr>
        <w:pStyle w:val="style0"/>
        <w:spacing w:lineRule="auto" w:line="360"/>
        <w:rPr/>
      </w:pPr>
      <w:r>
        <w:t>Lloyds Banking Group</w:t>
      </w:r>
      <w:r>
        <w:t>, 202</w:t>
      </w:r>
      <w:r>
        <w:t>3</w:t>
      </w:r>
      <w:r>
        <w:t>.</w:t>
      </w:r>
      <w:r>
        <w:rPr>
          <w:i/>
          <w:iCs/>
        </w:rPr>
        <w:t xml:space="preserve"> </w:t>
      </w:r>
      <w:r>
        <w:rPr>
          <w:i/>
          <w:iCs/>
        </w:rPr>
        <w:t>Annual Digital Banking Report 2023</w:t>
      </w:r>
      <w:r>
        <w:rPr>
          <w:i/>
          <w:iCs/>
        </w:rPr>
        <w:t xml:space="preserve">. </w:t>
      </w:r>
      <w:r>
        <w:rPr>
          <w:i/>
          <w:iCs/>
        </w:rPr>
        <w:t xml:space="preserve">[online] Available at: </w:t>
      </w:r>
      <w:r>
        <w:rPr>
          <w:u w:val="single"/>
        </w:rPr>
        <w:t xml:space="preserve">https://www.lloydsbankinggroup.com/assets/pdfs/investors/financial-performance/lloyds-banking-group-plc/2023/q4/2023-lbg-annual-report.pdf </w:t>
      </w:r>
      <w:r>
        <w:t xml:space="preserve">[Accessed </w:t>
      </w:r>
      <w:r>
        <w:rPr>
          <w:lang w:val="en-US"/>
        </w:rPr>
        <w:t>28 October 2024</w:t>
      </w:r>
      <w:r>
        <w:t>].</w:t>
      </w:r>
    </w:p>
    <w:p>
      <w:pPr>
        <w:pStyle w:val="style0"/>
        <w:spacing w:lineRule="auto" w:line="360"/>
        <w:rPr/>
      </w:pPr>
      <w:r>
        <w:t>Mbama, C.I. and Ezepue, P.O., 2018. Digital banking, customer experience and bank financial performance: UK customers’ perceptions. </w:t>
      </w:r>
      <w:r>
        <w:rPr>
          <w:i/>
          <w:iCs/>
        </w:rPr>
        <w:t>International journal of bank marketing</w:t>
      </w:r>
      <w:r>
        <w:t>, </w:t>
      </w:r>
      <w:r>
        <w:rPr>
          <w:i/>
          <w:iCs/>
        </w:rPr>
        <w:t>36</w:t>
      </w:r>
      <w:r>
        <w:t>(2), pp.230-255.</w:t>
      </w:r>
    </w:p>
    <w:p>
      <w:pPr>
        <w:pStyle w:val="style0"/>
        <w:spacing w:lineRule="auto" w:line="360"/>
        <w:rPr/>
      </w:pPr>
      <w:r>
        <w:t>Smith, R.C., 2024. </w:t>
      </w:r>
      <w:r>
        <w:rPr>
          <w:i/>
          <w:iCs/>
        </w:rPr>
        <w:t>Uncertainty quantification: theory, implementation, and applications</w:t>
      </w:r>
      <w:r>
        <w:t>. Society for Industrial and Applied Mathematics.</w:t>
      </w:r>
    </w:p>
    <w:p>
      <w:pPr>
        <w:pStyle w:val="style0"/>
        <w:spacing w:lineRule="auto" w:line="360"/>
        <w:rPr/>
      </w:pPr>
    </w:p>
    <w:bookmarkEnd w:id="0"/>
    <w:p>
      <w:pPr>
        <w:pStyle w:val="style0"/>
        <w:spacing w:lineRule="auto" w:line="360"/>
        <w:jc w:val="both"/>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ptos Display">
    <w:altName w:val="Aptos Display"/>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EB82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C002C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84F8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6400E5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0000004"/>
    <w:multiLevelType w:val="hybridMultilevel"/>
    <w:tmpl w:val="FCAA9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09F8D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EA5E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EABCD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9F702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2088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7F160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0"/>
  </w:num>
  <w:num w:numId="4">
    <w:abstractNumId w:val="2"/>
  </w:num>
  <w:num w:numId="5">
    <w:abstractNumId w:val="7"/>
  </w:num>
  <w:num w:numId="6">
    <w:abstractNumId w:val="0"/>
  </w:num>
  <w:num w:numId="7">
    <w:abstractNumId w:val="1"/>
  </w:num>
  <w:num w:numId="8">
    <w:abstractNumId w:val="4"/>
  </w:num>
  <w:num w:numId="9">
    <w:abstractNumId w:val="8"/>
  </w:num>
  <w:num w:numId="10">
    <w:abstractNumId w:val="6"/>
  </w:num>
  <w:num w:numId="11">
    <w:abstractNumId w:val="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ptos" w:hAnsi="Times New Roman"/>
        <w:kern w:val="2"/>
        <w:sz w:val="24"/>
        <w:szCs w:val="24"/>
        <w:lang w:val="en-GB" w:bidi="ar-SA" w:eastAsia="en-US"/>
        <w14:ligatures xmlns:w14="http://schemas.microsoft.com/office/word/2010/wordml" w14:val="standardContextual"/>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Aptos Display" w:cs="宋体" w:eastAsia="宋体"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宋体" w:eastAsia="宋体"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ascii="Aptos" w:cs="宋体" w:eastAsia="宋体" w:hAnsi="Aptos"/>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ascii="Aptos" w:cs="宋体" w:eastAsia="宋体" w:hAnsi="Aptos"/>
      <w:i/>
      <w:iCs/>
      <w:color w:val="0f4761"/>
    </w:rPr>
  </w:style>
  <w:style w:type="paragraph" w:styleId="style5">
    <w:name w:val="heading 5"/>
    <w:basedOn w:val="style0"/>
    <w:next w:val="style0"/>
    <w:link w:val="style4101"/>
    <w:qFormat/>
    <w:uiPriority w:val="9"/>
    <w:pPr>
      <w:keepNext/>
      <w:keepLines/>
      <w:spacing w:before="80" w:after="40"/>
      <w:outlineLvl w:val="4"/>
    </w:pPr>
    <w:rPr>
      <w:rFonts w:ascii="Aptos" w:cs="宋体" w:eastAsia="宋体" w:hAnsi="Aptos"/>
      <w:color w:val="0f4761"/>
    </w:rPr>
  </w:style>
  <w:style w:type="paragraph" w:styleId="style6">
    <w:name w:val="heading 6"/>
    <w:basedOn w:val="style0"/>
    <w:next w:val="style0"/>
    <w:link w:val="style4102"/>
    <w:qFormat/>
    <w:uiPriority w:val="9"/>
    <w:pPr>
      <w:keepNext/>
      <w:keepLines/>
      <w:spacing w:before="40" w:after="0"/>
      <w:outlineLvl w:val="5"/>
    </w:pPr>
    <w:rPr>
      <w:rFonts w:ascii="Aptos" w:cs="宋体" w:eastAsia="宋体"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宋体" w:eastAsia="宋体" w:hAnsi="Aptos"/>
      <w:color w:val="595959"/>
    </w:rPr>
  </w:style>
  <w:style w:type="paragraph" w:styleId="style8">
    <w:name w:val="heading 8"/>
    <w:basedOn w:val="style0"/>
    <w:next w:val="style0"/>
    <w:link w:val="style4104"/>
    <w:qFormat/>
    <w:uiPriority w:val="9"/>
    <w:pPr>
      <w:keepNext/>
      <w:keepLines/>
      <w:spacing w:after="0"/>
      <w:outlineLvl w:val="7"/>
    </w:pPr>
    <w:rPr>
      <w:rFonts w:ascii="Aptos" w:cs="宋体" w:eastAsia="宋体" w:hAnsi="Aptos"/>
      <w:i/>
      <w:iCs/>
      <w:color w:val="272727"/>
    </w:rPr>
  </w:style>
  <w:style w:type="paragraph" w:styleId="style9">
    <w:name w:val="heading 9"/>
    <w:basedOn w:val="style0"/>
    <w:next w:val="style0"/>
    <w:link w:val="style4105"/>
    <w:qFormat/>
    <w:uiPriority w:val="9"/>
    <w:pPr>
      <w:keepNext/>
      <w:keepLines/>
      <w:spacing w:after="0"/>
      <w:outlineLvl w:val="8"/>
    </w:pPr>
    <w:rPr>
      <w:rFonts w:ascii="Aptos" w:cs="宋体"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ad1e8836-62b9-48a8-98e3-15cc6799c306"/>
    <w:basedOn w:val="style65"/>
    <w:next w:val="style4097"/>
    <w:link w:val="style1"/>
    <w:uiPriority w:val="9"/>
    <w:rPr>
      <w:rFonts w:ascii="Aptos Display" w:cs="宋体" w:eastAsia="宋体" w:hAnsi="Aptos Display"/>
      <w:color w:val="0f4761"/>
      <w:sz w:val="40"/>
      <w:szCs w:val="40"/>
    </w:rPr>
  </w:style>
  <w:style w:type="character" w:customStyle="1" w:styleId="style4098">
    <w:name w:val="Heading 2 Char_07410b16-3684-4730-89df-f61ee6698906"/>
    <w:basedOn w:val="style65"/>
    <w:next w:val="style4098"/>
    <w:link w:val="style2"/>
    <w:uiPriority w:val="9"/>
    <w:rPr>
      <w:rFonts w:ascii="Aptos Display" w:cs="宋体" w:eastAsia="宋体" w:hAnsi="Aptos Display"/>
      <w:color w:val="0f4761"/>
      <w:sz w:val="32"/>
      <w:szCs w:val="32"/>
    </w:rPr>
  </w:style>
  <w:style w:type="character" w:customStyle="1" w:styleId="style4099">
    <w:name w:val="Heading 3 Char_a8bdd526-dccd-4470-b312-b139b2aa1c0f"/>
    <w:basedOn w:val="style65"/>
    <w:next w:val="style4099"/>
    <w:link w:val="style3"/>
    <w:uiPriority w:val="9"/>
    <w:rPr>
      <w:rFonts w:ascii="Aptos" w:cs="宋体" w:eastAsia="宋体" w:hAnsi="Aptos"/>
      <w:color w:val="0f4761"/>
      <w:sz w:val="28"/>
      <w:szCs w:val="28"/>
    </w:rPr>
  </w:style>
  <w:style w:type="character" w:customStyle="1" w:styleId="style4100">
    <w:name w:val="Heading 4 Char_84ae1d5f-4081-45dd-a5ea-a2be79cb8ffc"/>
    <w:basedOn w:val="style65"/>
    <w:next w:val="style4100"/>
    <w:link w:val="style4"/>
    <w:uiPriority w:val="9"/>
    <w:rPr>
      <w:rFonts w:ascii="Aptos" w:cs="宋体" w:eastAsia="宋体" w:hAnsi="Aptos"/>
      <w:i/>
      <w:iCs/>
      <w:color w:val="0f4761"/>
    </w:rPr>
  </w:style>
  <w:style w:type="character" w:customStyle="1" w:styleId="style4101">
    <w:name w:val="Heading 5 Char_9ac9e4b6-0c22-4f25-a0f6-f3f0721eca0f"/>
    <w:basedOn w:val="style65"/>
    <w:next w:val="style4101"/>
    <w:link w:val="style5"/>
    <w:uiPriority w:val="9"/>
    <w:rPr>
      <w:rFonts w:ascii="Aptos" w:cs="宋体" w:eastAsia="宋体" w:hAnsi="Aptos"/>
      <w:color w:val="0f4761"/>
    </w:rPr>
  </w:style>
  <w:style w:type="character" w:customStyle="1" w:styleId="style4102">
    <w:name w:val="Heading 6 Char_ca70390b-1413-4766-97bc-234ebed5e4ae"/>
    <w:basedOn w:val="style65"/>
    <w:next w:val="style4102"/>
    <w:link w:val="style6"/>
    <w:uiPriority w:val="9"/>
    <w:rPr>
      <w:rFonts w:ascii="Aptos" w:cs="宋体" w:eastAsia="宋体" w:hAnsi="Aptos"/>
      <w:i/>
      <w:iCs/>
      <w:color w:val="595959"/>
    </w:rPr>
  </w:style>
  <w:style w:type="character" w:customStyle="1" w:styleId="style4103">
    <w:name w:val="Heading 7 Char_590296d8-eb66-40fa-a79a-d4783494ae60"/>
    <w:basedOn w:val="style65"/>
    <w:next w:val="style4103"/>
    <w:link w:val="style7"/>
    <w:uiPriority w:val="9"/>
    <w:rPr>
      <w:rFonts w:ascii="Aptos" w:cs="宋体" w:eastAsia="宋体" w:hAnsi="Aptos"/>
      <w:color w:val="595959"/>
    </w:rPr>
  </w:style>
  <w:style w:type="character" w:customStyle="1" w:styleId="style4104">
    <w:name w:val="Heading 8 Char_2c1cd1f1-a42b-40f1-972b-14116fad4ccf"/>
    <w:basedOn w:val="style65"/>
    <w:next w:val="style4104"/>
    <w:link w:val="style8"/>
    <w:uiPriority w:val="9"/>
    <w:rPr>
      <w:rFonts w:ascii="Aptos" w:cs="宋体" w:eastAsia="宋体" w:hAnsi="Aptos"/>
      <w:i/>
      <w:iCs/>
      <w:color w:val="272727"/>
    </w:rPr>
  </w:style>
  <w:style w:type="character" w:customStyle="1" w:styleId="style4105">
    <w:name w:val="Heading 9 Char_ae28b71f-0a20-4c5c-989c-2cdcbe30d536"/>
    <w:basedOn w:val="style65"/>
    <w:next w:val="style4105"/>
    <w:link w:val="style9"/>
    <w:uiPriority w:val="9"/>
    <w:rPr>
      <w:rFonts w:ascii="Aptos" w:cs="宋体" w:eastAsia="宋体" w:hAnsi="Aptos"/>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6cfafbb6-311c-4a3b-93b5-160bb85014e7"/>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spacing w:after="160"/>
    </w:pPr>
    <w:rPr>
      <w:rFonts w:ascii="Aptos" w:cs="宋体" w:eastAsia="宋体" w:hAnsi="Aptos"/>
      <w:color w:val="595959"/>
      <w:spacing w:val="15"/>
      <w:sz w:val="28"/>
      <w:szCs w:val="28"/>
    </w:rPr>
  </w:style>
  <w:style w:type="character" w:customStyle="1" w:styleId="style4107">
    <w:name w:val="Subtitle Char"/>
    <w:basedOn w:val="style65"/>
    <w:next w:val="style4107"/>
    <w:link w:val="style74"/>
    <w:uiPriority w:val="11"/>
    <w:rPr>
      <w:rFonts w:ascii="Aptos" w:cs="宋体" w:eastAsia="宋体" w:hAnsi="Aptos"/>
      <w:color w:val="595959"/>
      <w:spacing w:val="15"/>
      <w:sz w:val="28"/>
      <w:szCs w:val="28"/>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d817cf8e-790b-4930-8cde-81c92e8e2f57"/>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82fc302b-b885-45f8-9d8f-e4cb703aa207"/>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Words>1244</Words>
  <Pages>5</Pages>
  <Characters>7681</Characters>
  <Application>WPS Office</Application>
  <DocSecurity>0</DocSecurity>
  <Paragraphs>53</Paragraphs>
  <ScaleCrop>false</ScaleCrop>
  <LinksUpToDate>false</LinksUpToDate>
  <CharactersWithSpaces>8895</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2024-10-31T22:25:00Z</dcterms:created>
  <dc:creator>Priyanka Joseph Vemula</dc:creator>
  <lastModifiedBy>CPH2527</lastModifiedBy>
  <dcterms:modified xsi:type="dcterms:W3CDTF">2024-11-07T19:10:11Z</dcterms:modified>
  <revision>17</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405e58415c3c473fa1cea31e9011057a</vt:lpwstr>
  </property>
</Properties>
</file>