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480F" w:rsidRDefault="0039480F" w:rsidP="00CC1C92">
      <w:pPr>
        <w:spacing w:line="360" w:lineRule="auto"/>
        <w:jc w:val="center"/>
        <w:rPr>
          <w:rFonts w:ascii="Arial" w:hAnsi="Arial" w:cs="Arial"/>
          <w:b/>
          <w:u w:val="single"/>
        </w:rPr>
      </w:pPr>
      <w:r w:rsidRPr="00FC133C">
        <w:rPr>
          <w:rFonts w:ascii="Arial" w:hAnsi="Arial" w:cs="Arial"/>
          <w:b/>
          <w:noProof/>
          <w:lang w:eastAsia="en-GB"/>
        </w:rPr>
        <w:drawing>
          <wp:inline distT="0" distB="0" distL="0" distR="0">
            <wp:extent cx="3171825" cy="903970"/>
            <wp:effectExtent l="0" t="0" r="0" b="0"/>
            <wp:docPr id="3" name="Picture 1" descr="Image result for university of wales saint trinity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saint trinity david"/>
                    <pic:cNvPicPr>
                      <a:picLocks noChangeAspect="1" noChangeArrowheads="1"/>
                    </pic:cNvPicPr>
                  </pic:nvPicPr>
                  <pic:blipFill>
                    <a:blip r:embed="rId7" cstate="print"/>
                    <a:srcRect/>
                    <a:stretch>
                      <a:fillRect/>
                    </a:stretch>
                  </pic:blipFill>
                  <pic:spPr bwMode="auto">
                    <a:xfrm>
                      <a:off x="0" y="0"/>
                      <a:ext cx="3191082" cy="909458"/>
                    </a:xfrm>
                    <a:prstGeom prst="rect">
                      <a:avLst/>
                    </a:prstGeom>
                    <a:noFill/>
                    <a:ln w="9525">
                      <a:noFill/>
                      <a:miter lim="800000"/>
                      <a:headEnd/>
                      <a:tailEnd/>
                    </a:ln>
                  </pic:spPr>
                </pic:pic>
              </a:graphicData>
            </a:graphic>
          </wp:inline>
        </w:drawing>
      </w: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Pr="0039480F" w:rsidRDefault="0039480F" w:rsidP="0039480F">
      <w:pPr>
        <w:spacing w:after="0" w:line="360" w:lineRule="auto"/>
        <w:jc w:val="center"/>
        <w:rPr>
          <w:rFonts w:ascii="Arial" w:eastAsia="Times New Roman" w:hAnsi="Arial" w:cs="Arial"/>
          <w:b/>
          <w:sz w:val="48"/>
          <w:szCs w:val="48"/>
          <w:u w:val="single"/>
        </w:rPr>
      </w:pPr>
      <w:r w:rsidRPr="0039480F">
        <w:rPr>
          <w:rFonts w:ascii="Arial" w:hAnsi="Arial" w:cs="Arial"/>
          <w:b/>
          <w:sz w:val="48"/>
          <w:szCs w:val="48"/>
          <w:u w:val="single"/>
        </w:rPr>
        <w:t>Management and Leadership –</w:t>
      </w:r>
      <w:r w:rsidR="00FA0651">
        <w:rPr>
          <w:rFonts w:ascii="Arial" w:hAnsi="Arial" w:cs="Arial"/>
          <w:b/>
          <w:sz w:val="48"/>
          <w:szCs w:val="48"/>
          <w:u w:val="single"/>
        </w:rPr>
        <w:t xml:space="preserve"> </w:t>
      </w:r>
      <w:r w:rsidRPr="0039480F">
        <w:rPr>
          <w:rFonts w:ascii="Arial" w:hAnsi="Arial" w:cs="Arial"/>
          <w:b/>
          <w:sz w:val="48"/>
          <w:szCs w:val="48"/>
          <w:u w:val="single"/>
        </w:rPr>
        <w:t>Skills for the Workplace</w:t>
      </w:r>
    </w:p>
    <w:p w:rsidR="0039480F" w:rsidRDefault="0039480F" w:rsidP="0039480F">
      <w:pPr>
        <w:spacing w:after="0" w:line="360" w:lineRule="auto"/>
        <w:rPr>
          <w:rFonts w:ascii="Arial" w:eastAsia="Times New Roman" w:hAnsi="Arial" w:cs="Arial"/>
        </w:rPr>
      </w:pPr>
    </w:p>
    <w:p w:rsidR="0039480F" w:rsidRDefault="0039480F" w:rsidP="0039480F">
      <w:pPr>
        <w:spacing w:after="0" w:line="360" w:lineRule="auto"/>
        <w:jc w:val="center"/>
        <w:rPr>
          <w:rFonts w:ascii="Arial" w:eastAsia="Times New Roman" w:hAnsi="Arial" w:cs="Arial"/>
        </w:rPr>
      </w:pPr>
    </w:p>
    <w:p w:rsidR="0039480F" w:rsidRDefault="0039480F" w:rsidP="0039480F">
      <w:pPr>
        <w:spacing w:after="0" w:line="360" w:lineRule="auto"/>
        <w:jc w:val="center"/>
        <w:rPr>
          <w:rFonts w:ascii="Arial" w:hAnsi="Arial" w:cs="Arial"/>
          <w:sz w:val="40"/>
          <w:szCs w:val="40"/>
        </w:rPr>
      </w:pPr>
      <w:r w:rsidRPr="001A010C">
        <w:rPr>
          <w:rFonts w:ascii="Arial" w:hAnsi="Arial" w:cs="Arial"/>
          <w:sz w:val="40"/>
          <w:szCs w:val="40"/>
        </w:rPr>
        <w:t xml:space="preserve">Module: </w:t>
      </w:r>
      <w:r w:rsidRPr="0039480F">
        <w:rPr>
          <w:rFonts w:ascii="Arial" w:hAnsi="Arial" w:cs="Arial"/>
          <w:sz w:val="40"/>
          <w:szCs w:val="40"/>
        </w:rPr>
        <w:t>Developing Relationships and Workplace Achievement</w:t>
      </w:r>
    </w:p>
    <w:p w:rsidR="0039480F" w:rsidRPr="001A010C" w:rsidRDefault="0039480F" w:rsidP="0039480F">
      <w:pPr>
        <w:spacing w:after="0" w:line="360" w:lineRule="auto"/>
        <w:jc w:val="center"/>
        <w:rPr>
          <w:rFonts w:ascii="Arial" w:hAnsi="Arial" w:cs="Arial"/>
          <w:sz w:val="40"/>
          <w:szCs w:val="40"/>
        </w:rPr>
      </w:pPr>
    </w:p>
    <w:p w:rsidR="0039480F" w:rsidRPr="001A010C" w:rsidRDefault="0039480F" w:rsidP="0039480F">
      <w:pPr>
        <w:spacing w:after="0" w:line="360" w:lineRule="auto"/>
        <w:jc w:val="center"/>
        <w:rPr>
          <w:rFonts w:ascii="Arial" w:eastAsia="Times New Roman" w:hAnsi="Arial" w:cs="Arial"/>
          <w:sz w:val="40"/>
          <w:szCs w:val="40"/>
        </w:rPr>
      </w:pPr>
      <w:r>
        <w:rPr>
          <w:rFonts w:ascii="Arial" w:hAnsi="Arial" w:cs="Arial"/>
          <w:sz w:val="40"/>
          <w:szCs w:val="40"/>
        </w:rPr>
        <w:t>Module code: BMSW5102</w:t>
      </w:r>
    </w:p>
    <w:p w:rsidR="0039480F" w:rsidRPr="001A010C" w:rsidRDefault="0039480F" w:rsidP="0039480F">
      <w:pPr>
        <w:spacing w:after="0" w:line="360" w:lineRule="auto"/>
        <w:rPr>
          <w:rFonts w:ascii="Arial" w:eastAsia="Times New Roman" w:hAnsi="Arial" w:cs="Arial"/>
          <w:sz w:val="40"/>
          <w:szCs w:val="40"/>
        </w:rPr>
      </w:pPr>
    </w:p>
    <w:p w:rsidR="0039480F" w:rsidRPr="001A010C" w:rsidRDefault="0039480F" w:rsidP="0039480F">
      <w:pPr>
        <w:spacing w:after="0" w:line="360" w:lineRule="auto"/>
        <w:jc w:val="center"/>
        <w:rPr>
          <w:rFonts w:ascii="Arial" w:eastAsia="Times New Roman" w:hAnsi="Arial" w:cs="Arial"/>
          <w:sz w:val="40"/>
          <w:szCs w:val="40"/>
        </w:rPr>
      </w:pPr>
      <w:r w:rsidRPr="001A010C">
        <w:rPr>
          <w:rFonts w:ascii="Arial" w:hAnsi="Arial" w:cs="Arial"/>
          <w:sz w:val="40"/>
          <w:szCs w:val="40"/>
        </w:rPr>
        <w:t xml:space="preserve">Module </w:t>
      </w:r>
      <w:r w:rsidRPr="008A1049">
        <w:rPr>
          <w:rFonts w:ascii="Arial" w:hAnsi="Arial" w:cs="Arial"/>
          <w:sz w:val="40"/>
          <w:szCs w:val="40"/>
        </w:rPr>
        <w:t xml:space="preserve">Coordinator: </w:t>
      </w:r>
      <w:r w:rsidR="008A1049" w:rsidRPr="008A1049">
        <w:rPr>
          <w:rStyle w:val="marky6k9n6vvm"/>
          <w:rFonts w:ascii="Arial" w:hAnsi="Arial" w:cs="Arial"/>
          <w:sz w:val="40"/>
          <w:szCs w:val="40"/>
        </w:rPr>
        <w:t>Isaiah</w:t>
      </w:r>
      <w:r w:rsidR="008A1049" w:rsidRPr="008A1049">
        <w:rPr>
          <w:rFonts w:ascii="Arial" w:hAnsi="Arial" w:cs="Arial"/>
          <w:sz w:val="40"/>
          <w:szCs w:val="40"/>
        </w:rPr>
        <w:t xml:space="preserve"> </w:t>
      </w:r>
      <w:r w:rsidR="008A1049" w:rsidRPr="008A1049">
        <w:rPr>
          <w:rStyle w:val="markmztkgqco3"/>
          <w:rFonts w:ascii="Arial" w:hAnsi="Arial" w:cs="Arial"/>
          <w:sz w:val="40"/>
          <w:szCs w:val="40"/>
        </w:rPr>
        <w:t>Oino</w:t>
      </w:r>
    </w:p>
    <w:p w:rsidR="0039480F" w:rsidRPr="001A010C" w:rsidRDefault="0039480F" w:rsidP="0039480F">
      <w:pPr>
        <w:spacing w:after="0" w:line="360" w:lineRule="auto"/>
        <w:contextualSpacing/>
        <w:jc w:val="center"/>
        <w:rPr>
          <w:rFonts w:ascii="Arial" w:hAnsi="Arial" w:cs="Arial"/>
          <w:sz w:val="40"/>
          <w:szCs w:val="40"/>
        </w:rPr>
      </w:pPr>
    </w:p>
    <w:p w:rsidR="0039480F" w:rsidRDefault="0039480F" w:rsidP="0039480F">
      <w:pPr>
        <w:spacing w:after="0" w:line="360" w:lineRule="auto"/>
        <w:contextualSpacing/>
        <w:jc w:val="center"/>
        <w:rPr>
          <w:rFonts w:ascii="Arial" w:hAnsi="Arial" w:cs="Arial"/>
          <w:sz w:val="40"/>
          <w:szCs w:val="40"/>
        </w:rPr>
      </w:pPr>
      <w:r w:rsidRPr="001A010C">
        <w:rPr>
          <w:rFonts w:ascii="Arial" w:hAnsi="Arial" w:cs="Arial"/>
          <w:sz w:val="40"/>
          <w:szCs w:val="40"/>
        </w:rPr>
        <w:t>Student’s Name</w:t>
      </w:r>
      <w:r>
        <w:rPr>
          <w:rFonts w:ascii="Arial" w:hAnsi="Arial" w:cs="Arial"/>
          <w:sz w:val="40"/>
          <w:szCs w:val="40"/>
        </w:rPr>
        <w:t>: Shareen Shakil</w:t>
      </w:r>
    </w:p>
    <w:p w:rsidR="0039480F" w:rsidRPr="001A010C" w:rsidRDefault="0039480F" w:rsidP="0039480F">
      <w:pPr>
        <w:spacing w:after="0" w:line="360" w:lineRule="auto"/>
        <w:contextualSpacing/>
        <w:jc w:val="center"/>
        <w:rPr>
          <w:rFonts w:ascii="Arial" w:hAnsi="Arial" w:cs="Arial"/>
          <w:sz w:val="40"/>
          <w:szCs w:val="40"/>
        </w:rPr>
      </w:pPr>
      <w:r>
        <w:rPr>
          <w:rFonts w:ascii="Arial" w:hAnsi="Arial" w:cs="Arial"/>
          <w:sz w:val="40"/>
          <w:szCs w:val="40"/>
        </w:rPr>
        <w:t>(1808235)</w:t>
      </w: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AA71D7" w:rsidRDefault="00AA71D7" w:rsidP="00A452C7">
      <w:pPr>
        <w:spacing w:line="360" w:lineRule="auto"/>
        <w:jc w:val="center"/>
        <w:rPr>
          <w:rFonts w:ascii="Arial" w:hAnsi="Arial" w:cs="Arial"/>
          <w:b/>
          <w:u w:val="single"/>
        </w:rPr>
      </w:pPr>
      <w:r>
        <w:rPr>
          <w:rFonts w:ascii="Arial" w:hAnsi="Arial" w:cs="Arial"/>
          <w:b/>
          <w:u w:val="single"/>
        </w:rPr>
        <w:lastRenderedPageBreak/>
        <w:t>Content Page</w:t>
      </w:r>
    </w:p>
    <w:p w:rsidR="00AA71D7" w:rsidRDefault="00AA71D7" w:rsidP="006C2C06">
      <w:pPr>
        <w:spacing w:line="720" w:lineRule="auto"/>
        <w:rPr>
          <w:rFonts w:ascii="Arial" w:hAnsi="Arial" w:cs="Arial"/>
          <w:b/>
          <w:u w:val="single"/>
        </w:rPr>
      </w:pPr>
    </w:p>
    <w:p w:rsidR="00AA71D7" w:rsidRPr="00A452C7" w:rsidRDefault="00AA71D7" w:rsidP="006C2C06">
      <w:pPr>
        <w:pStyle w:val="ListParagraph"/>
        <w:numPr>
          <w:ilvl w:val="0"/>
          <w:numId w:val="13"/>
        </w:numPr>
        <w:spacing w:line="720" w:lineRule="auto"/>
        <w:rPr>
          <w:rFonts w:ascii="Arial" w:hAnsi="Arial" w:cs="Arial"/>
          <w:b/>
        </w:rPr>
      </w:pPr>
      <w:r w:rsidRPr="00A452C7">
        <w:rPr>
          <w:rFonts w:ascii="Arial" w:hAnsi="Arial" w:cs="Arial"/>
          <w:b/>
        </w:rPr>
        <w:t>Introduction……………………………………………………</w:t>
      </w:r>
      <w:r w:rsidR="006C2C06">
        <w:rPr>
          <w:rFonts w:ascii="Arial" w:hAnsi="Arial" w:cs="Arial"/>
          <w:b/>
        </w:rPr>
        <w:t xml:space="preserve">………………………... </w:t>
      </w:r>
      <w:r w:rsidRPr="00A452C7">
        <w:rPr>
          <w:rFonts w:ascii="Arial" w:hAnsi="Arial" w:cs="Arial"/>
          <w:b/>
        </w:rPr>
        <w:t>3</w:t>
      </w:r>
    </w:p>
    <w:p w:rsidR="00AA71D7" w:rsidRPr="00A452C7" w:rsidRDefault="00AA71D7" w:rsidP="006C2C06">
      <w:pPr>
        <w:pStyle w:val="ListParagraph"/>
        <w:numPr>
          <w:ilvl w:val="0"/>
          <w:numId w:val="13"/>
        </w:numPr>
        <w:spacing w:line="720" w:lineRule="auto"/>
        <w:rPr>
          <w:rFonts w:ascii="Arial" w:hAnsi="Arial" w:cs="Arial"/>
          <w:b/>
        </w:rPr>
      </w:pPr>
      <w:r w:rsidRPr="00A452C7">
        <w:rPr>
          <w:rFonts w:ascii="Arial" w:hAnsi="Arial" w:cs="Arial"/>
          <w:b/>
        </w:rPr>
        <w:t xml:space="preserve">Three Development </w:t>
      </w:r>
      <w:r w:rsidR="006C2C06">
        <w:rPr>
          <w:rFonts w:ascii="Arial" w:hAnsi="Arial" w:cs="Arial"/>
          <w:b/>
        </w:rPr>
        <w:t>Vehicles……………………………………...………………</w:t>
      </w:r>
      <w:r w:rsidRPr="00A452C7">
        <w:rPr>
          <w:rFonts w:ascii="Arial" w:hAnsi="Arial" w:cs="Arial"/>
          <w:b/>
        </w:rPr>
        <w:t>…</w:t>
      </w:r>
      <w:r w:rsidR="006C2C06">
        <w:rPr>
          <w:rFonts w:ascii="Arial" w:hAnsi="Arial" w:cs="Arial"/>
          <w:b/>
        </w:rPr>
        <w:t>.</w:t>
      </w:r>
      <w:r w:rsidRPr="00A452C7">
        <w:rPr>
          <w:rFonts w:ascii="Arial" w:hAnsi="Arial" w:cs="Arial"/>
          <w:b/>
        </w:rPr>
        <w:t xml:space="preserve"> 3</w:t>
      </w:r>
    </w:p>
    <w:p w:rsidR="00AA71D7" w:rsidRDefault="00AA71D7" w:rsidP="006C2C06">
      <w:pPr>
        <w:pStyle w:val="ListParagraph"/>
        <w:numPr>
          <w:ilvl w:val="0"/>
          <w:numId w:val="12"/>
        </w:numPr>
        <w:spacing w:line="720" w:lineRule="auto"/>
        <w:rPr>
          <w:rFonts w:ascii="Arial" w:hAnsi="Arial" w:cs="Arial"/>
          <w:b/>
        </w:rPr>
      </w:pPr>
      <w:r w:rsidRPr="001F275B">
        <w:rPr>
          <w:rFonts w:ascii="Arial" w:hAnsi="Arial" w:cs="Arial"/>
        </w:rPr>
        <w:t>Feedback &amp; Rewards</w:t>
      </w:r>
      <w:r w:rsidR="001F275B">
        <w:rPr>
          <w:rFonts w:ascii="Arial" w:hAnsi="Arial" w:cs="Arial"/>
          <w:b/>
        </w:rPr>
        <w:t>………………………………………</w:t>
      </w:r>
      <w:r w:rsidR="006C2C06">
        <w:rPr>
          <w:rFonts w:ascii="Arial" w:hAnsi="Arial" w:cs="Arial"/>
          <w:b/>
        </w:rPr>
        <w:t>............</w:t>
      </w:r>
      <w:r w:rsidR="001F275B">
        <w:rPr>
          <w:rFonts w:ascii="Arial" w:hAnsi="Arial" w:cs="Arial"/>
          <w:b/>
        </w:rPr>
        <w:t>….</w:t>
      </w:r>
      <w:r w:rsidR="006C2C06">
        <w:rPr>
          <w:rFonts w:ascii="Arial" w:hAnsi="Arial" w:cs="Arial"/>
          <w:b/>
        </w:rPr>
        <w:t>.</w:t>
      </w:r>
      <w:r w:rsidR="001F275B">
        <w:rPr>
          <w:rFonts w:ascii="Arial" w:hAnsi="Arial" w:cs="Arial"/>
          <w:b/>
        </w:rPr>
        <w:t xml:space="preserve"> 4</w:t>
      </w:r>
    </w:p>
    <w:p w:rsidR="001F275B" w:rsidRPr="001F275B" w:rsidRDefault="001F275B" w:rsidP="006C2C06">
      <w:pPr>
        <w:pStyle w:val="ListParagraph"/>
        <w:numPr>
          <w:ilvl w:val="0"/>
          <w:numId w:val="12"/>
        </w:numPr>
        <w:spacing w:line="720" w:lineRule="auto"/>
        <w:rPr>
          <w:rFonts w:ascii="Arial" w:hAnsi="Arial" w:cs="Arial"/>
        </w:rPr>
      </w:pPr>
      <w:r w:rsidRPr="001F275B">
        <w:rPr>
          <w:rFonts w:ascii="Arial" w:hAnsi="Arial" w:cs="Arial"/>
        </w:rPr>
        <w:t>Employee Engagement</w:t>
      </w:r>
      <w:r w:rsidRPr="001F275B">
        <w:rPr>
          <w:rFonts w:ascii="Arial" w:hAnsi="Arial" w:cs="Arial"/>
          <w:b/>
        </w:rPr>
        <w:t>.............................................</w:t>
      </w:r>
      <w:r w:rsidR="006C2C06">
        <w:rPr>
          <w:rFonts w:ascii="Arial" w:hAnsi="Arial" w:cs="Arial"/>
          <w:b/>
        </w:rPr>
        <w:t>...........</w:t>
      </w:r>
      <w:r w:rsidRPr="001F275B">
        <w:rPr>
          <w:rFonts w:ascii="Arial" w:hAnsi="Arial" w:cs="Arial"/>
          <w:b/>
        </w:rPr>
        <w:t>......</w:t>
      </w:r>
      <w:r w:rsidR="006C2C06">
        <w:rPr>
          <w:rFonts w:ascii="Arial" w:hAnsi="Arial" w:cs="Arial"/>
          <w:b/>
        </w:rPr>
        <w:t>.</w:t>
      </w:r>
      <w:r w:rsidRPr="001F275B">
        <w:rPr>
          <w:rFonts w:ascii="Arial" w:hAnsi="Arial" w:cs="Arial"/>
          <w:b/>
        </w:rPr>
        <w:t>.......</w:t>
      </w:r>
      <w:r w:rsidR="006C2C06">
        <w:rPr>
          <w:rFonts w:ascii="Arial" w:hAnsi="Arial" w:cs="Arial"/>
          <w:b/>
        </w:rPr>
        <w:t>.</w:t>
      </w:r>
      <w:r w:rsidRPr="001F275B">
        <w:rPr>
          <w:rFonts w:ascii="Arial" w:hAnsi="Arial" w:cs="Arial"/>
          <w:b/>
        </w:rPr>
        <w:t>5</w:t>
      </w:r>
    </w:p>
    <w:p w:rsidR="00A452C7" w:rsidRPr="00A452C7" w:rsidRDefault="001F275B" w:rsidP="006C2C06">
      <w:pPr>
        <w:pStyle w:val="ListParagraph"/>
        <w:numPr>
          <w:ilvl w:val="0"/>
          <w:numId w:val="12"/>
        </w:numPr>
        <w:spacing w:line="720" w:lineRule="auto"/>
        <w:rPr>
          <w:rFonts w:ascii="Arial" w:hAnsi="Arial" w:cs="Arial"/>
        </w:rPr>
      </w:pPr>
      <w:r>
        <w:rPr>
          <w:rFonts w:ascii="Arial" w:hAnsi="Arial" w:cs="Arial"/>
          <w:b/>
        </w:rPr>
        <w:t>T</w:t>
      </w:r>
      <w:r w:rsidRPr="001F275B">
        <w:rPr>
          <w:rFonts w:ascii="Arial" w:hAnsi="Arial" w:cs="Arial"/>
        </w:rPr>
        <w:t>raining</w:t>
      </w:r>
      <w:r>
        <w:rPr>
          <w:rFonts w:ascii="Arial" w:hAnsi="Arial" w:cs="Arial"/>
          <w:b/>
        </w:rPr>
        <w:t>.......................................................................</w:t>
      </w:r>
      <w:r w:rsidR="006C2C06">
        <w:rPr>
          <w:rFonts w:ascii="Arial" w:hAnsi="Arial" w:cs="Arial"/>
          <w:b/>
        </w:rPr>
        <w:t>...........</w:t>
      </w:r>
      <w:r>
        <w:rPr>
          <w:rFonts w:ascii="Arial" w:hAnsi="Arial" w:cs="Arial"/>
          <w:b/>
        </w:rPr>
        <w:t>.....</w:t>
      </w:r>
      <w:r w:rsidR="006C2C06">
        <w:rPr>
          <w:rFonts w:ascii="Arial" w:hAnsi="Arial" w:cs="Arial"/>
          <w:b/>
        </w:rPr>
        <w:t>.</w:t>
      </w:r>
      <w:r>
        <w:rPr>
          <w:rFonts w:ascii="Arial" w:hAnsi="Arial" w:cs="Arial"/>
          <w:b/>
        </w:rPr>
        <w:t>.......</w:t>
      </w:r>
      <w:r w:rsidR="006C2C06">
        <w:rPr>
          <w:rFonts w:ascii="Arial" w:hAnsi="Arial" w:cs="Arial"/>
          <w:b/>
        </w:rPr>
        <w:t>.</w:t>
      </w:r>
      <w:r>
        <w:rPr>
          <w:rFonts w:ascii="Arial" w:hAnsi="Arial" w:cs="Arial"/>
          <w:b/>
        </w:rPr>
        <w:t>6</w:t>
      </w:r>
    </w:p>
    <w:p w:rsidR="00AA71D7" w:rsidRPr="00A452C7" w:rsidRDefault="00A452C7" w:rsidP="006C2C06">
      <w:pPr>
        <w:pStyle w:val="ListParagraph"/>
        <w:numPr>
          <w:ilvl w:val="0"/>
          <w:numId w:val="13"/>
        </w:numPr>
        <w:spacing w:line="720" w:lineRule="auto"/>
        <w:rPr>
          <w:rFonts w:ascii="Arial" w:hAnsi="Arial" w:cs="Arial"/>
          <w:b/>
        </w:rPr>
      </w:pPr>
      <w:r w:rsidRPr="00A452C7">
        <w:rPr>
          <w:rFonts w:ascii="Arial" w:hAnsi="Arial" w:cs="Arial"/>
          <w:b/>
        </w:rPr>
        <w:t>Potential benefits an organisation gets from development vehicles........….</w:t>
      </w:r>
      <w:r w:rsidR="006C2C06">
        <w:rPr>
          <w:rFonts w:ascii="Arial" w:hAnsi="Arial" w:cs="Arial"/>
          <w:b/>
        </w:rPr>
        <w:t>…..</w:t>
      </w:r>
      <w:r w:rsidRPr="00A452C7">
        <w:rPr>
          <w:rFonts w:ascii="Arial" w:hAnsi="Arial" w:cs="Arial"/>
          <w:b/>
        </w:rPr>
        <w:t>6</w:t>
      </w:r>
    </w:p>
    <w:p w:rsidR="00AA71D7" w:rsidRPr="00A452C7" w:rsidRDefault="00A452C7" w:rsidP="006C2C06">
      <w:pPr>
        <w:pStyle w:val="ListParagraph"/>
        <w:numPr>
          <w:ilvl w:val="0"/>
          <w:numId w:val="13"/>
        </w:numPr>
        <w:spacing w:line="720" w:lineRule="auto"/>
        <w:rPr>
          <w:rFonts w:ascii="Arial" w:hAnsi="Arial" w:cs="Arial"/>
          <w:b/>
          <w:color w:val="000000" w:themeColor="text1"/>
        </w:rPr>
      </w:pPr>
      <w:r w:rsidRPr="00A452C7">
        <w:rPr>
          <w:rFonts w:ascii="Arial" w:hAnsi="Arial" w:cs="Arial"/>
          <w:b/>
          <w:color w:val="000000" w:themeColor="text1"/>
        </w:rPr>
        <w:t>Design a plan to meet identified development needs.........</w:t>
      </w:r>
      <w:r w:rsidRPr="00A452C7">
        <w:rPr>
          <w:rFonts w:ascii="Arial" w:hAnsi="Arial" w:cs="Arial"/>
          <w:b/>
        </w:rPr>
        <w:t>…………………….... 8</w:t>
      </w:r>
    </w:p>
    <w:p w:rsidR="00AA71D7" w:rsidRPr="00A452C7" w:rsidRDefault="00AA71D7" w:rsidP="006C2C06">
      <w:pPr>
        <w:pStyle w:val="ListParagraph"/>
        <w:numPr>
          <w:ilvl w:val="0"/>
          <w:numId w:val="13"/>
        </w:numPr>
        <w:spacing w:line="720" w:lineRule="auto"/>
        <w:rPr>
          <w:rFonts w:ascii="Arial" w:hAnsi="Arial" w:cs="Arial"/>
          <w:b/>
        </w:rPr>
      </w:pPr>
      <w:r w:rsidRPr="00A452C7">
        <w:rPr>
          <w:rFonts w:ascii="Arial" w:hAnsi="Arial" w:cs="Arial"/>
          <w:b/>
        </w:rPr>
        <w:t>Conclusion…</w:t>
      </w:r>
      <w:r w:rsidR="00A452C7">
        <w:rPr>
          <w:rFonts w:ascii="Arial" w:hAnsi="Arial" w:cs="Arial"/>
          <w:b/>
        </w:rPr>
        <w:t>…………………….</w:t>
      </w:r>
      <w:r w:rsidR="00A452C7" w:rsidRPr="00A452C7">
        <w:rPr>
          <w:rFonts w:ascii="Arial" w:hAnsi="Arial" w:cs="Arial"/>
          <w:b/>
        </w:rPr>
        <w:t>…………………………………………</w:t>
      </w:r>
      <w:r w:rsidR="00A452C7">
        <w:rPr>
          <w:rFonts w:ascii="Arial" w:hAnsi="Arial" w:cs="Arial"/>
          <w:b/>
        </w:rPr>
        <w:t>..</w:t>
      </w:r>
      <w:r w:rsidR="00A452C7" w:rsidRPr="00A452C7">
        <w:rPr>
          <w:rFonts w:ascii="Arial" w:hAnsi="Arial" w:cs="Arial"/>
          <w:b/>
        </w:rPr>
        <w:t>…………… 10</w:t>
      </w:r>
    </w:p>
    <w:p w:rsidR="00AA71D7" w:rsidRPr="00A452C7" w:rsidRDefault="00AA71D7" w:rsidP="006C2C06">
      <w:pPr>
        <w:pStyle w:val="ListParagraph"/>
        <w:numPr>
          <w:ilvl w:val="0"/>
          <w:numId w:val="13"/>
        </w:numPr>
        <w:spacing w:line="720" w:lineRule="auto"/>
        <w:rPr>
          <w:rFonts w:ascii="Arial" w:hAnsi="Arial" w:cs="Arial"/>
          <w:b/>
        </w:rPr>
      </w:pPr>
      <w:r w:rsidRPr="00A452C7">
        <w:rPr>
          <w:rFonts w:ascii="Arial" w:hAnsi="Arial" w:cs="Arial"/>
          <w:b/>
        </w:rPr>
        <w:t>Reference……</w:t>
      </w:r>
      <w:r w:rsidR="00A452C7" w:rsidRPr="00A452C7">
        <w:rPr>
          <w:rFonts w:ascii="Arial" w:hAnsi="Arial" w:cs="Arial"/>
          <w:b/>
        </w:rPr>
        <w:t>……………………………………………………………………………. 12</w:t>
      </w:r>
    </w:p>
    <w:p w:rsidR="00A452C7" w:rsidRPr="00A452C7" w:rsidRDefault="00A452C7" w:rsidP="006C2C06">
      <w:pPr>
        <w:pStyle w:val="ListParagraph"/>
        <w:numPr>
          <w:ilvl w:val="0"/>
          <w:numId w:val="13"/>
        </w:numPr>
        <w:spacing w:line="720" w:lineRule="auto"/>
        <w:rPr>
          <w:rFonts w:ascii="Arial" w:hAnsi="Arial" w:cs="Arial"/>
          <w:b/>
        </w:rPr>
      </w:pPr>
      <w:r w:rsidRPr="00A452C7">
        <w:rPr>
          <w:rFonts w:ascii="Arial" w:hAnsi="Arial" w:cs="Arial"/>
          <w:b/>
        </w:rPr>
        <w:t>Bibliography…...…………………………………………………………………………. 13</w:t>
      </w:r>
    </w:p>
    <w:p w:rsidR="00A452C7" w:rsidRDefault="00A452C7" w:rsidP="006C2C06">
      <w:pPr>
        <w:spacing w:line="720" w:lineRule="auto"/>
        <w:jc w:val="both"/>
        <w:rPr>
          <w:rFonts w:ascii="Arial" w:hAnsi="Arial" w:cs="Arial"/>
          <w:b/>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39480F" w:rsidRDefault="0039480F" w:rsidP="00CC1C92">
      <w:pPr>
        <w:spacing w:line="360" w:lineRule="auto"/>
        <w:jc w:val="center"/>
        <w:rPr>
          <w:rFonts w:ascii="Arial" w:hAnsi="Arial" w:cs="Arial"/>
          <w:b/>
          <w:u w:val="single"/>
        </w:rPr>
      </w:pPr>
    </w:p>
    <w:p w:rsidR="00AA71D7" w:rsidRDefault="00AA71D7" w:rsidP="00AA71D7">
      <w:pPr>
        <w:spacing w:line="360" w:lineRule="auto"/>
        <w:rPr>
          <w:rFonts w:ascii="Arial" w:hAnsi="Arial" w:cs="Arial"/>
          <w:b/>
          <w:u w:val="single"/>
        </w:rPr>
      </w:pPr>
    </w:p>
    <w:p w:rsidR="00FC133C" w:rsidRPr="00CC1C92" w:rsidRDefault="00FC133C" w:rsidP="00FC133C">
      <w:pPr>
        <w:spacing w:line="360" w:lineRule="auto"/>
        <w:jc w:val="center"/>
        <w:rPr>
          <w:rFonts w:ascii="Arial" w:hAnsi="Arial" w:cs="Arial"/>
          <w:b/>
          <w:u w:val="single"/>
        </w:rPr>
      </w:pPr>
      <w:r w:rsidRPr="00CC1C92">
        <w:rPr>
          <w:rFonts w:ascii="Arial" w:hAnsi="Arial" w:cs="Arial"/>
          <w:b/>
          <w:u w:val="single"/>
        </w:rPr>
        <w:lastRenderedPageBreak/>
        <w:t>Developing Relationships and Workplace Achievement</w:t>
      </w:r>
    </w:p>
    <w:p w:rsidR="00FC133C" w:rsidRPr="00CC1C92" w:rsidRDefault="00FC133C" w:rsidP="00FC133C">
      <w:pPr>
        <w:pStyle w:val="ListParagraph"/>
        <w:numPr>
          <w:ilvl w:val="0"/>
          <w:numId w:val="4"/>
        </w:numPr>
        <w:spacing w:line="360" w:lineRule="auto"/>
        <w:jc w:val="both"/>
        <w:rPr>
          <w:rFonts w:ascii="Arial" w:hAnsi="Arial" w:cs="Arial"/>
          <w:b/>
        </w:rPr>
      </w:pPr>
      <w:r w:rsidRPr="00CC1C92">
        <w:rPr>
          <w:rFonts w:ascii="Arial" w:hAnsi="Arial" w:cs="Arial"/>
          <w:b/>
        </w:rPr>
        <w:t>Introduction</w:t>
      </w:r>
    </w:p>
    <w:p w:rsidR="00FC133C" w:rsidRPr="00CC1C92" w:rsidRDefault="00FC133C" w:rsidP="00FC133C">
      <w:pPr>
        <w:spacing w:line="360" w:lineRule="auto"/>
        <w:ind w:firstLine="720"/>
        <w:jc w:val="both"/>
        <w:rPr>
          <w:rFonts w:ascii="Arial" w:hAnsi="Arial" w:cs="Arial"/>
        </w:rPr>
      </w:pPr>
      <w:r w:rsidRPr="00CC1C92">
        <w:rPr>
          <w:rFonts w:ascii="Arial" w:hAnsi="Arial" w:cs="Arial"/>
        </w:rPr>
        <w:t xml:space="preserve">Relationship and acknowledging workplace achievement is important in any organisation. It is therefore important for an organisation to ensure that it acknowledges any workplace achievement for its employees as well as maintaining a healthy work relationship </w:t>
      </w:r>
      <w:r w:rsidRPr="00CC1C92">
        <w:rPr>
          <w:rFonts w:ascii="Arial" w:hAnsi="Arial" w:cs="Arial"/>
          <w:noProof/>
        </w:rPr>
        <w:t>(Nankervis et al. 2016)</w:t>
      </w:r>
      <w:r w:rsidRPr="00CC1C92">
        <w:rPr>
          <w:rFonts w:ascii="Arial" w:hAnsi="Arial" w:cs="Arial"/>
        </w:rPr>
        <w:t xml:space="preserve">. These enable an organisation to motivate its workforce in that they are involved in day to day activities. An organisations performance often depends on the relationship of its employees and their ability to interrelate with their seniors, juniors and co-workers and therefore a healthy relationship between members of an organisation is very vital </w:t>
      </w:r>
      <w:r w:rsidRPr="00CC1C92">
        <w:rPr>
          <w:rFonts w:ascii="Arial" w:eastAsia="Times New Roman" w:hAnsi="Arial" w:cs="Arial"/>
          <w:lang w:eastAsia="en-GB"/>
        </w:rPr>
        <w:t>(</w:t>
      </w:r>
      <w:r w:rsidRPr="00CC1C92">
        <w:rPr>
          <w:rFonts w:ascii="Arial" w:hAnsi="Arial" w:cs="Arial"/>
          <w:noProof/>
        </w:rPr>
        <w:t>Rawlins, 2008)</w:t>
      </w:r>
      <w:r w:rsidRPr="00CC1C92">
        <w:rPr>
          <w:rFonts w:ascii="Arial" w:hAnsi="Arial" w:cs="Arial"/>
        </w:rPr>
        <w:t xml:space="preserve">. According to Morrision (2009) largely most organisations that fail have people issues rather than business issues. Hence a healthy relationship between employer and employees is basically influenced by the communication strategy that is adopted. The relationship among the employers is based on the work culture that has been developed. For instance, a culture that embraces diversity results to a workforce that is able to co-exist hence healthy relationship. </w:t>
      </w:r>
    </w:p>
    <w:p w:rsidR="00FC133C" w:rsidRPr="00CC1C92" w:rsidRDefault="00FC133C" w:rsidP="00FC133C">
      <w:pPr>
        <w:spacing w:line="360" w:lineRule="auto"/>
        <w:ind w:firstLine="720"/>
        <w:jc w:val="both"/>
        <w:rPr>
          <w:rFonts w:ascii="Arial" w:hAnsi="Arial" w:cs="Arial"/>
        </w:rPr>
      </w:pPr>
      <w:r w:rsidRPr="00CC1C92">
        <w:rPr>
          <w:rFonts w:ascii="Arial" w:hAnsi="Arial" w:cs="Arial"/>
        </w:rPr>
        <w:t xml:space="preserve">People’s achievement at workplace should be acknowledged and rewarded regardless of however small they may be. This motivates people to work even harder since their efforts are being recognized. It is therefore important for an organisation to determine the best way to implement workplace achievement depending on the preferences of its workforce. The aim of the report is to analyse three development vehicles in an organisation, potential benefits that it achieve and a plan on how to meet the identified development needs as well as expectations of an individual. </w:t>
      </w:r>
    </w:p>
    <w:p w:rsidR="00FC133C" w:rsidRPr="00CC1C92" w:rsidRDefault="00FC133C" w:rsidP="00FC133C">
      <w:pPr>
        <w:spacing w:line="360" w:lineRule="auto"/>
        <w:ind w:firstLine="720"/>
        <w:jc w:val="both"/>
        <w:rPr>
          <w:rFonts w:ascii="Arial" w:hAnsi="Arial" w:cs="Arial"/>
        </w:rPr>
      </w:pPr>
    </w:p>
    <w:p w:rsidR="00FC133C" w:rsidRPr="00CC1C92" w:rsidRDefault="00FC133C" w:rsidP="00FC133C">
      <w:pPr>
        <w:pStyle w:val="ListParagraph"/>
        <w:numPr>
          <w:ilvl w:val="0"/>
          <w:numId w:val="4"/>
        </w:numPr>
        <w:spacing w:line="360" w:lineRule="auto"/>
        <w:jc w:val="both"/>
        <w:rPr>
          <w:rFonts w:ascii="Arial" w:hAnsi="Arial" w:cs="Arial"/>
          <w:b/>
        </w:rPr>
      </w:pPr>
      <w:r w:rsidRPr="00CC1C92">
        <w:rPr>
          <w:rFonts w:ascii="Arial" w:hAnsi="Arial" w:cs="Arial"/>
          <w:b/>
        </w:rPr>
        <w:t xml:space="preserve">Three development vehicles </w:t>
      </w:r>
    </w:p>
    <w:p w:rsidR="00FC133C" w:rsidRPr="00CC1C92" w:rsidRDefault="00FC133C" w:rsidP="00FC133C">
      <w:pPr>
        <w:pStyle w:val="Bibliography"/>
        <w:spacing w:line="360" w:lineRule="auto"/>
        <w:ind w:firstLine="720"/>
        <w:jc w:val="both"/>
        <w:rPr>
          <w:rFonts w:ascii="Arial" w:hAnsi="Arial" w:cs="Arial"/>
        </w:rPr>
      </w:pPr>
      <w:r w:rsidRPr="00CC1C92">
        <w:rPr>
          <w:rFonts w:ascii="Arial" w:hAnsi="Arial" w:cs="Arial"/>
        </w:rPr>
        <w:t xml:space="preserve">There are various development vehicles that are appropriate for development needs of an individual in workplace settings. As an individual who has worked as a Teacher assistant (TA) in local school funded by the local authority. Usually the decision making in funded schools always takes much longer, unlike in private schools where decision making process is faster as there are less people involved </w:t>
      </w:r>
    </w:p>
    <w:p w:rsidR="00FC133C" w:rsidRDefault="00FC133C" w:rsidP="00FC133C">
      <w:pPr>
        <w:spacing w:line="360" w:lineRule="auto"/>
        <w:rPr>
          <w:rFonts w:ascii="Arial" w:hAnsi="Arial" w:cs="Arial"/>
        </w:rPr>
      </w:pPr>
    </w:p>
    <w:p w:rsidR="00FC133C" w:rsidRPr="00CC1C92" w:rsidRDefault="00FC133C" w:rsidP="00FC133C">
      <w:pPr>
        <w:spacing w:line="360" w:lineRule="auto"/>
        <w:rPr>
          <w:rFonts w:ascii="Arial" w:hAnsi="Arial" w:cs="Arial"/>
        </w:rPr>
      </w:pPr>
    </w:p>
    <w:p w:rsidR="00FC133C" w:rsidRPr="00CC1C92" w:rsidRDefault="00FC133C" w:rsidP="00FC133C">
      <w:pPr>
        <w:spacing w:line="360" w:lineRule="auto"/>
        <w:rPr>
          <w:rFonts w:ascii="Arial" w:hAnsi="Arial" w:cs="Arial"/>
        </w:rPr>
      </w:pPr>
    </w:p>
    <w:p w:rsidR="00FC133C" w:rsidRPr="00CC1C92" w:rsidRDefault="00FC133C" w:rsidP="00FC133C">
      <w:pPr>
        <w:pStyle w:val="ListParagraph"/>
        <w:numPr>
          <w:ilvl w:val="0"/>
          <w:numId w:val="8"/>
        </w:numPr>
        <w:spacing w:line="360" w:lineRule="auto"/>
        <w:rPr>
          <w:rFonts w:ascii="Arial" w:hAnsi="Arial" w:cs="Arial"/>
          <w:b/>
        </w:rPr>
      </w:pPr>
      <w:r w:rsidRPr="00CC1C92">
        <w:rPr>
          <w:rFonts w:ascii="Arial" w:hAnsi="Arial" w:cs="Arial"/>
          <w:b/>
        </w:rPr>
        <w:lastRenderedPageBreak/>
        <w:t>Feedback &amp; Reward</w:t>
      </w:r>
    </w:p>
    <w:p w:rsidR="00FC133C" w:rsidRPr="00CC1C92" w:rsidRDefault="00FC133C" w:rsidP="00FC133C">
      <w:pPr>
        <w:spacing w:line="360" w:lineRule="auto"/>
        <w:ind w:firstLine="720"/>
        <w:jc w:val="both"/>
        <w:rPr>
          <w:rFonts w:ascii="Arial" w:hAnsi="Arial" w:cs="Arial"/>
        </w:rPr>
      </w:pPr>
      <w:r w:rsidRPr="00CC1C92">
        <w:rPr>
          <w:rFonts w:ascii="Arial" w:hAnsi="Arial" w:cs="Arial"/>
        </w:rPr>
        <w:t xml:space="preserve">Rewarding &amp; feedback of employee performance is a development vehicle that promotes recognition of workplace achievement </w:t>
      </w:r>
      <w:r w:rsidRPr="00CC1C92">
        <w:rPr>
          <w:rFonts w:ascii="Arial" w:hAnsi="Arial" w:cs="Arial"/>
          <w:noProof/>
        </w:rPr>
        <w:t>(Harter, et al. 2002)</w:t>
      </w:r>
      <w:r w:rsidRPr="00CC1C92">
        <w:rPr>
          <w:rFonts w:ascii="Arial" w:hAnsi="Arial" w:cs="Arial"/>
        </w:rPr>
        <w:t xml:space="preserve">. Organisation are faced with the problem of rigid competition for talent something that can be improved with an effective reward program. In the past years, rewards were only targeted on financial rewards but this has changed. This is because employees needs have changed and some are motivated through non-financial rewards. Rewarding of employees enables an organisation to develop its employees. Giving employees a sense of accomplishment affects their performance and this is achieved through reward programs and feedback. </w:t>
      </w:r>
    </w:p>
    <w:p w:rsidR="00FC133C" w:rsidRPr="00CC1C92" w:rsidRDefault="00FC133C" w:rsidP="00FC133C">
      <w:pPr>
        <w:spacing w:line="360" w:lineRule="auto"/>
        <w:ind w:firstLine="720"/>
        <w:jc w:val="both"/>
        <w:rPr>
          <w:rFonts w:ascii="Arial" w:hAnsi="Arial" w:cs="Arial"/>
        </w:rPr>
      </w:pPr>
      <w:r w:rsidRPr="00CC1C92">
        <w:rPr>
          <w:rFonts w:ascii="Arial" w:hAnsi="Arial" w:cs="Arial"/>
        </w:rPr>
        <w:t xml:space="preserve">Feedback plays a very crucial role in a development of an individual but feedback can have both positive and negative impact. According to Hegarty (1974) frequent communication and open door policy can greatly enhance an organisations performance, hence leading to willingness to share both positive and negative feedback. Organisations that do not have such policies of open feedback and communication can suffer severely due to quality of decision making and the development of individuals and the whole of </w:t>
      </w:r>
      <w:r w:rsidRPr="00EB6D9E">
        <w:rPr>
          <w:rFonts w:ascii="Arial" w:hAnsi="Arial" w:cs="Arial"/>
        </w:rPr>
        <w:t>organisation (Winne and Butler, 1994)</w:t>
      </w:r>
      <w:r>
        <w:rPr>
          <w:rFonts w:ascii="Arial" w:hAnsi="Arial" w:cs="Arial"/>
        </w:rPr>
        <w:t>.</w:t>
      </w:r>
    </w:p>
    <w:p w:rsidR="00FC133C" w:rsidRPr="00CC1C92" w:rsidRDefault="00FC133C" w:rsidP="00FC133C">
      <w:pPr>
        <w:spacing w:line="360" w:lineRule="auto"/>
        <w:ind w:firstLine="720"/>
        <w:jc w:val="both"/>
        <w:rPr>
          <w:rFonts w:ascii="Arial" w:hAnsi="Arial" w:cs="Arial"/>
        </w:rPr>
      </w:pPr>
      <w:r w:rsidRPr="00CC1C92">
        <w:rPr>
          <w:rFonts w:ascii="Arial" w:hAnsi="Arial" w:cs="Arial"/>
        </w:rPr>
        <w:t xml:space="preserve">Well-established organisations are able to offer not only competitive packages but also financial rewards and still they are not able to secure loyalty of its workforce </w:t>
      </w:r>
      <w:r w:rsidRPr="00CC1C92">
        <w:rPr>
          <w:rFonts w:ascii="Arial" w:hAnsi="Arial" w:cs="Arial"/>
          <w:noProof/>
        </w:rPr>
        <w:t>(Harter, et al. 2002)</w:t>
      </w:r>
      <w:r w:rsidRPr="00CC1C92">
        <w:rPr>
          <w:rFonts w:ascii="Arial" w:hAnsi="Arial" w:cs="Arial"/>
        </w:rPr>
        <w:t xml:space="preserve">. It is therefore important to ensure that an organisation is able to offer employee reward package that meets their desired needs which in return can enable to reduce the rate of employee dissatisfaction. </w:t>
      </w:r>
    </w:p>
    <w:p w:rsidR="00FC133C" w:rsidRPr="00CC1C92" w:rsidRDefault="00FC133C" w:rsidP="00FC133C">
      <w:pPr>
        <w:spacing w:line="360" w:lineRule="auto"/>
        <w:ind w:firstLine="720"/>
        <w:jc w:val="both"/>
        <w:rPr>
          <w:rFonts w:ascii="Arial" w:hAnsi="Arial" w:cs="Arial"/>
        </w:rPr>
      </w:pPr>
      <w:r w:rsidRPr="00CC1C92">
        <w:rPr>
          <w:rFonts w:ascii="Arial" w:hAnsi="Arial" w:cs="Arial"/>
        </w:rPr>
        <w:t xml:space="preserve">Government schools are public institutions and therefore decisions on reward packages that meet an individual’s needs are slower than expected. This is one of the reasons for the loss of talent to private institutions who are able to offer better rewards to their workforce. It is therefore recommended that government schools adopt rewarding of employees as its development vehicle. This will enable them to meet the needs of teachers for acknowledging their achievements. It also greatly motivates the workforce to achieve their individual as well as overall goals of an organisation. Rewards that can be given to employees at government schools include pay rise, bonuses, verbal recognition or paid vacations. Apart from financial rewards, non-financial rewards such as recognition instil sense of pride in employees making them work harder to achieve goals </w:t>
      </w:r>
      <w:r w:rsidRPr="00CC1C92">
        <w:rPr>
          <w:rFonts w:ascii="Arial" w:eastAsia="Times New Roman" w:hAnsi="Arial" w:cs="Arial"/>
          <w:lang w:eastAsia="en-GB"/>
        </w:rPr>
        <w:t>(</w:t>
      </w:r>
      <w:r w:rsidRPr="00CC1C92">
        <w:rPr>
          <w:rFonts w:ascii="Arial" w:hAnsi="Arial" w:cs="Arial"/>
          <w:noProof/>
        </w:rPr>
        <w:t>Lee &amp; Bruvold, 2003)</w:t>
      </w:r>
      <w:r w:rsidRPr="00CC1C92">
        <w:rPr>
          <w:rFonts w:ascii="Arial" w:hAnsi="Arial" w:cs="Arial"/>
        </w:rPr>
        <w:t xml:space="preserve">. It also meets their needs to feel that their efforts are appreciated at the workplace. This development vehicle is not largely used by the government schools but it is recommended that the institutions consider implementing it due to its benefits. </w:t>
      </w:r>
    </w:p>
    <w:p w:rsidR="00FC133C" w:rsidRPr="00CC1C92" w:rsidRDefault="00FC133C" w:rsidP="00FC133C">
      <w:pPr>
        <w:spacing w:line="360" w:lineRule="auto"/>
        <w:ind w:firstLine="720"/>
        <w:jc w:val="both"/>
        <w:rPr>
          <w:rFonts w:ascii="Arial" w:hAnsi="Arial" w:cs="Arial"/>
        </w:rPr>
      </w:pPr>
    </w:p>
    <w:p w:rsidR="00FC133C" w:rsidRPr="00CC1C92" w:rsidRDefault="00FC133C" w:rsidP="00FC133C">
      <w:pPr>
        <w:pStyle w:val="ListParagraph"/>
        <w:numPr>
          <w:ilvl w:val="0"/>
          <w:numId w:val="8"/>
        </w:numPr>
        <w:spacing w:line="360" w:lineRule="auto"/>
        <w:jc w:val="both"/>
        <w:rPr>
          <w:rFonts w:ascii="Arial" w:hAnsi="Arial" w:cs="Arial"/>
          <w:b/>
          <w:u w:val="single"/>
        </w:rPr>
      </w:pPr>
      <w:r w:rsidRPr="00CC1C92">
        <w:rPr>
          <w:rFonts w:ascii="Arial" w:hAnsi="Arial" w:cs="Arial"/>
          <w:b/>
          <w:u w:val="single"/>
        </w:rPr>
        <w:lastRenderedPageBreak/>
        <w:t>Employee engagement</w:t>
      </w:r>
    </w:p>
    <w:p w:rsidR="00FC133C" w:rsidRPr="00CC1C92" w:rsidRDefault="00FC133C" w:rsidP="00FC133C">
      <w:pPr>
        <w:spacing w:line="360" w:lineRule="auto"/>
        <w:ind w:firstLine="720"/>
        <w:jc w:val="both"/>
        <w:rPr>
          <w:rFonts w:ascii="Arial" w:hAnsi="Arial" w:cs="Arial"/>
        </w:rPr>
      </w:pPr>
      <w:r w:rsidRPr="00CC1C92">
        <w:rPr>
          <w:rFonts w:ascii="Arial" w:hAnsi="Arial" w:cs="Arial"/>
        </w:rPr>
        <w:t>Employee engagement is where employees are passionate about their work and are also committed to the organisation. Employee engagement can be divided in to two categories Job engagement or organisational engagement. When an employee is engaged he is motivated, satisfied and feel a sense of prides in his job and organisation (Macey &amp; Schneider, 2008).</w:t>
      </w:r>
    </w:p>
    <w:p w:rsidR="00FC133C" w:rsidRPr="00CC1C92" w:rsidRDefault="00FC133C" w:rsidP="00FC133C">
      <w:pPr>
        <w:spacing w:line="360" w:lineRule="auto"/>
        <w:ind w:firstLine="720"/>
        <w:jc w:val="both"/>
        <w:rPr>
          <w:rFonts w:ascii="Arial" w:hAnsi="Arial" w:cs="Arial"/>
        </w:rPr>
      </w:pPr>
      <w:r w:rsidRPr="00CC1C92">
        <w:rPr>
          <w:rFonts w:ascii="Arial" w:hAnsi="Arial" w:cs="Arial"/>
        </w:rPr>
        <w:t xml:space="preserve">Employee engagement is an important development vehicle as it can reduce employee rate of turnover, retain customers and greatly improve productivity. An organisation that is able to maintain employee engagement benefits from a well-rounded workforce </w:t>
      </w:r>
      <w:r w:rsidRPr="00CC1C92">
        <w:rPr>
          <w:rFonts w:ascii="Arial" w:eastAsia="Times New Roman" w:hAnsi="Arial" w:cs="Arial"/>
          <w:lang w:eastAsia="en-GB"/>
        </w:rPr>
        <w:t>(</w:t>
      </w:r>
      <w:r w:rsidRPr="00CC1C92">
        <w:rPr>
          <w:rFonts w:ascii="Arial" w:hAnsi="Arial" w:cs="Arial"/>
          <w:noProof/>
        </w:rPr>
        <w:t>Mayo, 2000)</w:t>
      </w:r>
      <w:r w:rsidRPr="00CC1C92">
        <w:rPr>
          <w:rFonts w:ascii="Arial" w:hAnsi="Arial" w:cs="Arial"/>
        </w:rPr>
        <w:t>. In bid to ensure that an organisation benefits from its workforce, there is need to ensure that employee engagement is constantly improved.</w:t>
      </w:r>
    </w:p>
    <w:p w:rsidR="00FC133C" w:rsidRPr="00CC1C92" w:rsidRDefault="00FC133C" w:rsidP="00FC133C">
      <w:pPr>
        <w:spacing w:line="360" w:lineRule="auto"/>
        <w:ind w:firstLine="720"/>
        <w:jc w:val="both"/>
        <w:rPr>
          <w:rFonts w:ascii="Arial" w:hAnsi="Arial" w:cs="Arial"/>
        </w:rPr>
      </w:pPr>
      <w:r w:rsidRPr="00CC1C92">
        <w:rPr>
          <w:rFonts w:ascii="Arial" w:hAnsi="Arial" w:cs="Arial"/>
        </w:rPr>
        <w:t xml:space="preserve">Employee engagement as a development vehicle will enable government schools to achieve work and life balance for its employees </w:t>
      </w:r>
      <w:r w:rsidRPr="00CC1C92">
        <w:rPr>
          <w:rFonts w:ascii="Arial" w:hAnsi="Arial" w:cs="Arial"/>
          <w:noProof/>
        </w:rPr>
        <w:t>(Rees &amp; Smith, 2017)</w:t>
      </w:r>
      <w:r w:rsidRPr="00CC1C92">
        <w:rPr>
          <w:rFonts w:ascii="Arial" w:hAnsi="Arial" w:cs="Arial"/>
        </w:rPr>
        <w:t xml:space="preserve">. Decisions such as work schedules can be made taking into consideration employees as they are directly affected by them. An employee engagement survey can be used by an organisation to get opinions on areas where employees should be more engaged. This is to avoid implementing employee engagement in areas that are likely to bring in undesirable outcome. Focusing engagement on all employees also enable an organisation to gain overall benefits. Both the management and junior employees should be engaged in matters that affect them. Working closely with employees in employee engagement will help in developing and maintaining healthy relationship. Employee engagement enables employees to be familiar with the organisation’s systems, processes, customers and products </w:t>
      </w:r>
      <w:r w:rsidRPr="00CC1C92">
        <w:rPr>
          <w:rFonts w:ascii="Arial" w:hAnsi="Arial" w:cs="Arial"/>
          <w:noProof/>
        </w:rPr>
        <w:t>(Cooper &amp; Kurland, 2002)</w:t>
      </w:r>
      <w:r w:rsidRPr="00CC1C92">
        <w:rPr>
          <w:rFonts w:ascii="Arial" w:hAnsi="Arial" w:cs="Arial"/>
        </w:rPr>
        <w:t xml:space="preserve">. In case of the government schools, employee engagement will improve familiarity of teachers towards the needs of the students and parents. This development vehicle at the government schools can greatly contribute towards promotion of work, life balance, teacher’s morale and a positive learning environment. </w:t>
      </w:r>
    </w:p>
    <w:p w:rsidR="00FC133C" w:rsidRPr="00CC1C92" w:rsidRDefault="00FC133C" w:rsidP="00FC133C">
      <w:pPr>
        <w:spacing w:line="360" w:lineRule="auto"/>
        <w:ind w:firstLine="720"/>
        <w:jc w:val="both"/>
        <w:rPr>
          <w:rFonts w:ascii="Arial" w:hAnsi="Arial" w:cs="Arial"/>
        </w:rPr>
      </w:pPr>
      <w:r w:rsidRPr="00CC1C92">
        <w:rPr>
          <w:rFonts w:ascii="Arial" w:hAnsi="Arial" w:cs="Arial"/>
        </w:rPr>
        <w:t xml:space="preserve"> Employees at government schools are usually surrounded by students and work tends to be repetitive. Usually, repetitiveness at workplace is undesirable as it tends to create boredom which might result to high rate of staff not turning up to work or turning up to work de motivated. To avoid this, there is need for schools to engage employees more in decision making to ensure that that they share their views. Activities outside school’s curriculum such as team building greatly improve employee engagement. </w:t>
      </w:r>
    </w:p>
    <w:p w:rsidR="00FC133C" w:rsidRPr="00CC1C92" w:rsidRDefault="00FC133C" w:rsidP="00FC133C">
      <w:pPr>
        <w:spacing w:line="360" w:lineRule="auto"/>
        <w:ind w:firstLine="720"/>
        <w:jc w:val="both"/>
        <w:rPr>
          <w:rFonts w:ascii="Arial" w:hAnsi="Arial" w:cs="Arial"/>
        </w:rPr>
      </w:pPr>
    </w:p>
    <w:p w:rsidR="00FC133C" w:rsidRPr="00CC1C92" w:rsidRDefault="00FC133C" w:rsidP="00FC133C">
      <w:pPr>
        <w:spacing w:line="360" w:lineRule="auto"/>
        <w:ind w:firstLine="720"/>
        <w:jc w:val="both"/>
        <w:rPr>
          <w:rFonts w:ascii="Arial" w:hAnsi="Arial" w:cs="Arial"/>
        </w:rPr>
      </w:pPr>
    </w:p>
    <w:p w:rsidR="00FC133C" w:rsidRPr="00CC1C92" w:rsidRDefault="00FC133C" w:rsidP="00FC133C">
      <w:pPr>
        <w:pStyle w:val="Bibliography"/>
        <w:numPr>
          <w:ilvl w:val="0"/>
          <w:numId w:val="8"/>
        </w:numPr>
        <w:spacing w:line="360" w:lineRule="auto"/>
        <w:jc w:val="both"/>
        <w:rPr>
          <w:rFonts w:ascii="Arial" w:hAnsi="Arial" w:cs="Arial"/>
          <w:b/>
        </w:rPr>
      </w:pPr>
      <w:r w:rsidRPr="00CC1C92">
        <w:rPr>
          <w:rFonts w:ascii="Arial" w:hAnsi="Arial" w:cs="Arial"/>
          <w:b/>
        </w:rPr>
        <w:lastRenderedPageBreak/>
        <w:t>Training</w:t>
      </w:r>
    </w:p>
    <w:p w:rsidR="00FC133C" w:rsidRPr="00CC1C92" w:rsidRDefault="00FC133C" w:rsidP="00FC133C">
      <w:pPr>
        <w:spacing w:line="360" w:lineRule="auto"/>
        <w:ind w:firstLine="720"/>
        <w:jc w:val="both"/>
        <w:rPr>
          <w:rFonts w:ascii="Arial" w:hAnsi="Arial" w:cs="Arial"/>
        </w:rPr>
      </w:pPr>
      <w:r w:rsidRPr="00CC1C92">
        <w:rPr>
          <w:rFonts w:ascii="Arial" w:hAnsi="Arial" w:cs="Arial"/>
        </w:rPr>
        <w:t xml:space="preserve">In current environment organisations have realised that knowledge and skills of their members is important in gaining advantage over its rivals and also realising that the employees are an asset not a cost to the organisation (Mahoney and Kor, 2015). Competency is greatly improved when training is incorporated as a development vehicle in an organisation; this is because it makes an organisation reliable in services or products that it is offering (Hameed and Waheed, 2011). For instance, training of teachers makes them more aware of how to interact with the students hence improved academic performance. Also, there is reduced rate of employee turnover as the employees are aware of what is expected of them. One of the current needs of employees is training and development which enables them to develop in their careers </w:t>
      </w:r>
      <w:r w:rsidRPr="00CC1C92">
        <w:rPr>
          <w:rFonts w:ascii="Arial" w:hAnsi="Arial" w:cs="Arial"/>
          <w:noProof/>
        </w:rPr>
        <w:t>(Brewster et al. 2018)</w:t>
      </w:r>
      <w:r w:rsidRPr="00CC1C92">
        <w:rPr>
          <w:rFonts w:ascii="Arial" w:hAnsi="Arial" w:cs="Arial"/>
        </w:rPr>
        <w:t xml:space="preserve">. An organisation that offers training and development as one of its development vehicles is more likely to attract and retain the best talents, unlike an organisation where training and development is not part of its development vehicles as it does not give room for growth. </w:t>
      </w:r>
    </w:p>
    <w:p w:rsidR="00FC133C" w:rsidRPr="00CC1C92" w:rsidRDefault="00FC133C" w:rsidP="00FC133C">
      <w:pPr>
        <w:pStyle w:val="Bibliography"/>
        <w:spacing w:line="360" w:lineRule="auto"/>
        <w:ind w:firstLine="720"/>
        <w:jc w:val="both"/>
        <w:rPr>
          <w:rFonts w:ascii="Arial" w:eastAsia="Times New Roman" w:hAnsi="Arial" w:cs="Arial"/>
          <w:color w:val="FF0000"/>
          <w:lang w:eastAsia="en-GB"/>
        </w:rPr>
      </w:pPr>
      <w:r w:rsidRPr="00CC1C92">
        <w:rPr>
          <w:rFonts w:ascii="Arial" w:hAnsi="Arial" w:cs="Arial"/>
          <w:color w:val="FF0000"/>
        </w:rPr>
        <w:t xml:space="preserve">. </w:t>
      </w:r>
      <w:r w:rsidRPr="00CC1C92">
        <w:rPr>
          <w:rFonts w:ascii="Arial" w:hAnsi="Arial" w:cs="Arial"/>
        </w:rPr>
        <w:t xml:space="preserve">An important development vehicle that is needed at schools is training. Usually, teachers come in with the knowledge they have gained from their education as well as teaching practices. However, teaching needs are constantly changing hence the need to ensure that training is incorporated. Training in dealing with students needs to be incorporated to ensure that teachers are in the same page with students. Training is one of the ways to develop skills of employees and ensure that needs in an organisation are met </w:t>
      </w:r>
      <w:r w:rsidRPr="00CC1C92">
        <w:rPr>
          <w:rFonts w:ascii="Arial" w:eastAsia="Times New Roman" w:hAnsi="Arial" w:cs="Arial"/>
          <w:lang w:eastAsia="en-GB"/>
        </w:rPr>
        <w:t>(</w:t>
      </w:r>
      <w:r w:rsidRPr="00CC1C92">
        <w:rPr>
          <w:rFonts w:ascii="Arial" w:hAnsi="Arial" w:cs="Arial"/>
          <w:noProof/>
        </w:rPr>
        <w:t xml:space="preserve">Macey &amp; </w:t>
      </w:r>
      <w:r w:rsidRPr="00CC1C92">
        <w:rPr>
          <w:rFonts w:ascii="Arial" w:hAnsi="Arial" w:cs="Arial"/>
        </w:rPr>
        <w:t>Schneider</w:t>
      </w:r>
      <w:r w:rsidRPr="00CC1C92">
        <w:rPr>
          <w:rFonts w:ascii="Arial" w:hAnsi="Arial" w:cs="Arial"/>
          <w:noProof/>
        </w:rPr>
        <w:t>, 2008)</w:t>
      </w:r>
      <w:r w:rsidRPr="00CC1C92">
        <w:rPr>
          <w:rFonts w:ascii="Arial" w:hAnsi="Arial" w:cs="Arial"/>
        </w:rPr>
        <w:t>. Identifying the shortcomings and needs is the first step that should be implemented when deciding on training that is needed. Diversity in schools means that there are many needs that ought to be met and therefore a procedure to ensure that each is being met is needed.</w:t>
      </w:r>
    </w:p>
    <w:p w:rsidR="00FC133C" w:rsidRPr="00CC1C92" w:rsidRDefault="00FC133C" w:rsidP="00FC133C">
      <w:pPr>
        <w:spacing w:line="360" w:lineRule="auto"/>
        <w:ind w:firstLine="720"/>
        <w:jc w:val="both"/>
        <w:rPr>
          <w:rFonts w:ascii="Arial" w:hAnsi="Arial" w:cs="Arial"/>
        </w:rPr>
      </w:pPr>
    </w:p>
    <w:p w:rsidR="00FC133C" w:rsidRPr="0039480F" w:rsidRDefault="00FC133C" w:rsidP="00FC133C">
      <w:pPr>
        <w:pStyle w:val="ListParagraph"/>
        <w:numPr>
          <w:ilvl w:val="0"/>
          <w:numId w:val="4"/>
        </w:numPr>
        <w:spacing w:line="360" w:lineRule="auto"/>
        <w:jc w:val="both"/>
        <w:rPr>
          <w:rFonts w:ascii="Arial" w:hAnsi="Arial" w:cs="Arial"/>
          <w:b/>
        </w:rPr>
      </w:pPr>
      <w:r w:rsidRPr="0039480F">
        <w:rPr>
          <w:rFonts w:ascii="Arial" w:hAnsi="Arial" w:cs="Arial"/>
          <w:b/>
        </w:rPr>
        <w:t>Potential benefits an organisation gets from development vehicles</w:t>
      </w:r>
    </w:p>
    <w:p w:rsidR="00FC133C" w:rsidRPr="00CC1C92" w:rsidRDefault="00FC133C" w:rsidP="00FC133C">
      <w:pPr>
        <w:spacing w:line="360" w:lineRule="auto"/>
        <w:ind w:firstLine="720"/>
        <w:jc w:val="both"/>
        <w:rPr>
          <w:rFonts w:ascii="Arial" w:hAnsi="Arial" w:cs="Arial"/>
        </w:rPr>
      </w:pPr>
      <w:r w:rsidRPr="00CC1C92">
        <w:rPr>
          <w:rFonts w:ascii="Arial" w:hAnsi="Arial" w:cs="Arial"/>
        </w:rPr>
        <w:t>There are various benefits that an organisation accrues from implementing the various development vehicles. According to Saks (2006) employees are an asset to an organization and maintaining a healthy relationship as well as acknowledging their achievement leads to organizational growth, productivity and profit. Employees play a vital role towards an organizations success hence an organisation should ensure that their achievements are acknowledged.</w:t>
      </w:r>
    </w:p>
    <w:p w:rsidR="00FC133C" w:rsidRPr="00CC1C92" w:rsidRDefault="00FC133C" w:rsidP="00FC133C">
      <w:pPr>
        <w:spacing w:line="360" w:lineRule="auto"/>
        <w:ind w:firstLine="720"/>
        <w:jc w:val="both"/>
        <w:rPr>
          <w:rFonts w:ascii="Arial" w:hAnsi="Arial" w:cs="Arial"/>
        </w:rPr>
      </w:pPr>
      <w:r w:rsidRPr="00CC1C92">
        <w:rPr>
          <w:rFonts w:ascii="Arial" w:hAnsi="Arial" w:cs="Arial"/>
        </w:rPr>
        <w:t xml:space="preserve">Developing of individuals in an organization through training improves performance. Government schools are an institution that is constantly looking for ways to improve the level </w:t>
      </w:r>
      <w:r w:rsidRPr="00CC1C92">
        <w:rPr>
          <w:rFonts w:ascii="Arial" w:hAnsi="Arial" w:cs="Arial"/>
        </w:rPr>
        <w:lastRenderedPageBreak/>
        <w:t xml:space="preserve">of education that students receive. Training as a development vehicle enhances the quality of skills that teachers already posses as well as preparing them for new challenges.  Local authority schools are not on profitability but their aims and objectives are to provide an enhanced level of education. Understanding the needs of the students and how to approach their needs is enhanced when teachers skills and knowledge is constantly being developed </w:t>
      </w:r>
      <w:r w:rsidRPr="00CC1C92">
        <w:rPr>
          <w:rFonts w:ascii="Arial" w:hAnsi="Arial" w:cs="Arial"/>
          <w:noProof/>
        </w:rPr>
        <w:t>(</w:t>
      </w:r>
      <w:r w:rsidRPr="00CC1C92">
        <w:rPr>
          <w:rFonts w:ascii="Arial" w:hAnsi="Arial" w:cs="Arial"/>
        </w:rPr>
        <w:t xml:space="preserve">(Elena, 2000) Training builds the confidence of employees in the tasks that they perform. This is also seen in the level of performance that is portrayed. In organisations where training is not provided in developing skills of the employees, there are usually many issues that are occurred and also, the level of confidence among the employees is low as they are not aware of what is expected of them (Hawang, 2003). It is therefore advisable that government school continually develop employees through training in order to boost the level of performance. Growth in an organisation is desirable and this cannot be achieved without enhancing skills and knowledge of employees. Doing this leads to increased productivity of the employees as well as profitability and growth of the organisation. </w:t>
      </w:r>
    </w:p>
    <w:p w:rsidR="00FC133C" w:rsidRPr="00CC1C92" w:rsidRDefault="00FC133C" w:rsidP="00FC133C">
      <w:pPr>
        <w:spacing w:line="360" w:lineRule="auto"/>
        <w:ind w:firstLine="720"/>
        <w:jc w:val="both"/>
        <w:rPr>
          <w:rFonts w:ascii="Arial" w:hAnsi="Arial" w:cs="Arial"/>
        </w:rPr>
      </w:pPr>
      <w:r w:rsidRPr="00CC1C92">
        <w:rPr>
          <w:rFonts w:ascii="Arial" w:hAnsi="Arial" w:cs="Arial"/>
        </w:rPr>
        <w:t xml:space="preserve">Employee turnover is an aspect that affects the ability of an organisation to maintain a positive growth. High rate of employee turnover is undesirable as an organisation is constantly losing its experienced staff; hence time and money are lost through the process of recruitment and training </w:t>
      </w:r>
      <w:r w:rsidRPr="00CC1C92">
        <w:rPr>
          <w:rFonts w:ascii="Arial" w:eastAsia="Times New Roman" w:hAnsi="Arial" w:cs="Arial"/>
          <w:lang w:eastAsia="en-GB"/>
        </w:rPr>
        <w:t>(</w:t>
      </w:r>
      <w:r w:rsidRPr="00CC1C92">
        <w:rPr>
          <w:rFonts w:ascii="Arial" w:hAnsi="Arial" w:cs="Arial"/>
          <w:noProof/>
        </w:rPr>
        <w:t>Stewart &amp; Brown, 2019)</w:t>
      </w:r>
      <w:r w:rsidRPr="00CC1C92">
        <w:rPr>
          <w:rFonts w:ascii="Arial" w:hAnsi="Arial" w:cs="Arial"/>
        </w:rPr>
        <w:t xml:space="preserve">. When an organisation tends to the needs of individuals needs, there is reduced employee turnover since employees feel that they are valued asset. Unlike an organisation where there is no individual development, employees tend to look for work elsewhere. The recruitment cost of an organisation goes down when there is reduced employee turnover hence the money can be used in more productive activities. In current environment competition among organisations has resulted in demand for best talents. When an organisation is unable to retain its employees, it constantly loses them to its competitors. To avoid this, organisations are becoming committed towards developing its individual. Development vehicles such as employee engagement, rewards and training greatly contribute towards employee retention </w:t>
      </w:r>
      <w:r w:rsidRPr="00CC1C92">
        <w:rPr>
          <w:rFonts w:ascii="Arial" w:eastAsia="Times New Roman" w:hAnsi="Arial" w:cs="Arial"/>
          <w:lang w:eastAsia="en-GB"/>
        </w:rPr>
        <w:t>(</w:t>
      </w:r>
      <w:r w:rsidRPr="00CC1C92">
        <w:rPr>
          <w:rFonts w:ascii="Arial" w:hAnsi="Arial" w:cs="Arial"/>
          <w:noProof/>
        </w:rPr>
        <w:t>Stewart &amp; Brown, 2019)</w:t>
      </w:r>
      <w:r w:rsidRPr="00CC1C92">
        <w:rPr>
          <w:rFonts w:ascii="Arial" w:hAnsi="Arial" w:cs="Arial"/>
        </w:rPr>
        <w:t xml:space="preserve">. It is therefore essential to ensure that an organisation adopts these development vehicles to enable them to retain experience staff and build on their experience hence reduced employee turnover, motivated staff and a successful organisation. </w:t>
      </w:r>
    </w:p>
    <w:p w:rsidR="00FC133C" w:rsidRPr="001F0FF4" w:rsidRDefault="00FC133C" w:rsidP="00FC133C">
      <w:pPr>
        <w:spacing w:line="360" w:lineRule="auto"/>
        <w:ind w:firstLine="720"/>
        <w:jc w:val="both"/>
        <w:rPr>
          <w:rFonts w:ascii="Arial" w:hAnsi="Arial" w:cs="Arial"/>
        </w:rPr>
      </w:pPr>
      <w:r w:rsidRPr="00CC1C92">
        <w:rPr>
          <w:rFonts w:ascii="Arial" w:hAnsi="Arial" w:cs="Arial"/>
        </w:rPr>
        <w:t xml:space="preserve">Developing employees to avoid dissatisfaction entails carrying out activities that will enable employees to be part of the organisation. Employee satisfaction enables an organisation to benefit from the skills and knowledge of workforce in that they work in efficient and effective manner. In government schools, employee satisfaction is achieved through designing roles in such a way that motivate and satisfy employees. Departments have the responsibility to ensure that employees in such an institution constantly feel </w:t>
      </w:r>
      <w:r w:rsidRPr="00CC1C92">
        <w:rPr>
          <w:rFonts w:ascii="Arial" w:hAnsi="Arial" w:cs="Arial"/>
        </w:rPr>
        <w:lastRenderedPageBreak/>
        <w:t xml:space="preserve">appreciated challenged and satisfied. Individual development programs are aimed at incorporating opinions of employees in activities that are carried out. Employees have a variety of needs and being able to harmonize the needs to ensure that each of them is involved is needed </w:t>
      </w:r>
      <w:r w:rsidRPr="00CC1C92">
        <w:rPr>
          <w:rFonts w:ascii="Arial" w:hAnsi="Arial" w:cs="Arial"/>
          <w:noProof/>
        </w:rPr>
        <w:t>(Jha, 2016)</w:t>
      </w:r>
      <w:r w:rsidRPr="00CC1C92">
        <w:rPr>
          <w:rFonts w:ascii="Arial" w:hAnsi="Arial" w:cs="Arial"/>
        </w:rPr>
        <w:t xml:space="preserve">. For instance, there are those employees whose needs are to progress in their careers while others is to improve their skills and knowledge. Planning </w:t>
      </w:r>
      <w:r w:rsidRPr="001F0FF4">
        <w:rPr>
          <w:rFonts w:ascii="Arial" w:hAnsi="Arial" w:cs="Arial"/>
        </w:rPr>
        <w:t xml:space="preserve">development programs should consider all the needs of an individual. </w:t>
      </w:r>
    </w:p>
    <w:p w:rsidR="00FC133C" w:rsidRPr="001F0FF4" w:rsidRDefault="00FC133C" w:rsidP="00FC133C">
      <w:pPr>
        <w:spacing w:line="360" w:lineRule="auto"/>
        <w:ind w:firstLine="720"/>
        <w:jc w:val="both"/>
        <w:rPr>
          <w:rFonts w:ascii="Arial" w:hAnsi="Arial" w:cs="Arial"/>
        </w:rPr>
      </w:pPr>
      <w:r w:rsidRPr="001F0FF4">
        <w:rPr>
          <w:rFonts w:ascii="Arial" w:hAnsi="Arial" w:cs="Arial"/>
        </w:rPr>
        <w:t>Creativity and innovation is desirable in any organisation and especially in a teaching and learning environment. One of the potential benefits of developing individuals through development vehicles is that it aids increase creativity and innovation</w:t>
      </w:r>
      <w:r w:rsidRPr="001F0FF4">
        <w:rPr>
          <w:rFonts w:ascii="Arial" w:eastAsia="Times New Roman" w:hAnsi="Arial" w:cs="Arial"/>
          <w:lang w:eastAsia="en-GB"/>
        </w:rPr>
        <w:t xml:space="preserve"> (</w:t>
      </w:r>
      <w:r w:rsidRPr="001F0FF4">
        <w:rPr>
          <w:rFonts w:ascii="Arial" w:hAnsi="Arial" w:cs="Arial"/>
          <w:noProof/>
        </w:rPr>
        <w:t>Lee &amp; Bruvold, 2003)</w:t>
      </w:r>
      <w:r w:rsidRPr="001F0FF4">
        <w:rPr>
          <w:rFonts w:ascii="Arial" w:hAnsi="Arial" w:cs="Arial"/>
        </w:rPr>
        <w:t xml:space="preserve">. For instance, training enables teachers to impact more knowledge to their students and guide them on how to become creative. Training is a development vehicle that enables employees at government schools to be gain knowledge on how to enable the students to be creative. Development vehicles increase employee’s productivity by giving them an opportunity to enhance their skills and knowledge. Government schools face competition for best talents from their counterparts, private schools. </w:t>
      </w:r>
    </w:p>
    <w:p w:rsidR="00FC133C" w:rsidRPr="001F0FF4" w:rsidRDefault="00FC133C" w:rsidP="00FC133C">
      <w:pPr>
        <w:spacing w:line="360" w:lineRule="auto"/>
        <w:ind w:firstLine="720"/>
        <w:jc w:val="both"/>
        <w:rPr>
          <w:rFonts w:ascii="Arial" w:hAnsi="Arial" w:cs="Arial"/>
        </w:rPr>
      </w:pPr>
      <w:r w:rsidRPr="001F0FF4">
        <w:rPr>
          <w:rFonts w:ascii="Arial" w:hAnsi="Arial" w:cs="Arial"/>
        </w:rPr>
        <w:t xml:space="preserve">Conformity to the set standards helps an organisation to be able to meet a particular quality standard in services that it offers to its customers </w:t>
      </w:r>
      <w:r w:rsidRPr="001F0FF4">
        <w:rPr>
          <w:rFonts w:ascii="Arial" w:eastAsia="Times New Roman" w:hAnsi="Arial" w:cs="Arial"/>
          <w:lang w:eastAsia="en-GB"/>
        </w:rPr>
        <w:t>(</w:t>
      </w:r>
      <w:r w:rsidRPr="001F0FF4">
        <w:rPr>
          <w:rFonts w:ascii="Arial" w:hAnsi="Arial" w:cs="Arial"/>
          <w:noProof/>
        </w:rPr>
        <w:t>Nguyen et al. 2017)</w:t>
      </w:r>
      <w:r w:rsidRPr="001F0FF4">
        <w:rPr>
          <w:rFonts w:ascii="Arial" w:hAnsi="Arial" w:cs="Arial"/>
        </w:rPr>
        <w:t xml:space="preserve">. In a school setting, it is important for teaching and non-teaching staff to adhere to the set standards. Doing so ensures that all students uniformly benefit from a particular set standard. Developing individual through development vehicles have the potential benefit of improving conformity to quality standards as well as increased productivity. The ability of employees to boost performance and at the same time confirm to the set standards is an aspect that many organisation are still struggling with. However, this can be achieved by developing individual skills and knowledge. Development vehicle such as rewards and employee engagement enables an organisation to be able to achieve healthy workplace relationship and at the same time recognize achievement </w:t>
      </w:r>
      <w:r w:rsidRPr="001F0FF4">
        <w:rPr>
          <w:rFonts w:ascii="Arial" w:eastAsia="Times New Roman" w:hAnsi="Arial" w:cs="Arial"/>
          <w:lang w:eastAsia="en-GB"/>
        </w:rPr>
        <w:t>(</w:t>
      </w:r>
      <w:r w:rsidRPr="001F0FF4">
        <w:rPr>
          <w:rFonts w:ascii="Arial" w:hAnsi="Arial" w:cs="Arial"/>
          <w:noProof/>
        </w:rPr>
        <w:t>Wilton, 2016)</w:t>
      </w:r>
      <w:r w:rsidRPr="001F0FF4">
        <w:rPr>
          <w:rFonts w:ascii="Arial" w:hAnsi="Arial" w:cs="Arial"/>
        </w:rPr>
        <w:t xml:space="preserve">. </w:t>
      </w:r>
    </w:p>
    <w:p w:rsidR="00FC133C" w:rsidRDefault="00FC133C" w:rsidP="00FC133C">
      <w:pPr>
        <w:spacing w:line="360" w:lineRule="auto"/>
        <w:ind w:firstLine="720"/>
        <w:jc w:val="both"/>
        <w:rPr>
          <w:rFonts w:ascii="Arial" w:hAnsi="Arial" w:cs="Arial"/>
        </w:rPr>
      </w:pPr>
    </w:p>
    <w:p w:rsidR="00FC133C" w:rsidRPr="0039480F" w:rsidRDefault="00FC133C" w:rsidP="00FC133C">
      <w:pPr>
        <w:pStyle w:val="ListParagraph"/>
        <w:numPr>
          <w:ilvl w:val="0"/>
          <w:numId w:val="4"/>
        </w:numPr>
        <w:spacing w:line="360" w:lineRule="auto"/>
        <w:jc w:val="both"/>
        <w:rPr>
          <w:rFonts w:ascii="Arial" w:hAnsi="Arial" w:cs="Arial"/>
          <w:b/>
          <w:color w:val="000000" w:themeColor="text1"/>
        </w:rPr>
      </w:pPr>
      <w:r w:rsidRPr="0039480F">
        <w:rPr>
          <w:rFonts w:ascii="Arial" w:hAnsi="Arial" w:cs="Arial"/>
          <w:b/>
          <w:color w:val="000000" w:themeColor="text1"/>
        </w:rPr>
        <w:t>Design a plan to meet identified development needs</w:t>
      </w:r>
    </w:p>
    <w:p w:rsidR="00FC133C" w:rsidRDefault="00FC133C" w:rsidP="00FC133C">
      <w:pPr>
        <w:spacing w:line="360" w:lineRule="auto"/>
        <w:ind w:firstLine="720"/>
        <w:jc w:val="both"/>
        <w:rPr>
          <w:rFonts w:ascii="Arial" w:hAnsi="Arial" w:cs="Arial"/>
          <w:color w:val="000000" w:themeColor="text1"/>
        </w:rPr>
      </w:pPr>
      <w:r w:rsidRPr="00AF3A42">
        <w:rPr>
          <w:rFonts w:ascii="Arial" w:hAnsi="Arial" w:cs="Arial"/>
          <w:color w:val="000000" w:themeColor="text1"/>
        </w:rPr>
        <w:t xml:space="preserve">To increase productivity and performance, there is need for an organisation to plan on how to develop individual needs. The development plan should be based on learning, values, awareness and reflection. Both long term and short-term goals should be aimed towards instilling employees with skills and knowledge that will help them carry out their roles </w:t>
      </w:r>
      <w:r w:rsidRPr="00AF3A42">
        <w:rPr>
          <w:rFonts w:ascii="Arial" w:eastAsia="Times New Roman" w:hAnsi="Arial" w:cs="Arial"/>
          <w:color w:val="000000" w:themeColor="text1"/>
          <w:lang w:eastAsia="en-GB"/>
        </w:rPr>
        <w:t>(</w:t>
      </w:r>
      <w:r w:rsidRPr="00AF3A42">
        <w:rPr>
          <w:rFonts w:ascii="Arial" w:hAnsi="Arial" w:cs="Arial"/>
          <w:noProof/>
          <w:color w:val="000000" w:themeColor="text1"/>
        </w:rPr>
        <w:t>Lee &amp; Bruvold, 2003)</w:t>
      </w:r>
      <w:r w:rsidRPr="00AF3A42">
        <w:rPr>
          <w:rFonts w:ascii="Arial" w:hAnsi="Arial" w:cs="Arial"/>
          <w:color w:val="000000" w:themeColor="text1"/>
        </w:rPr>
        <w:t xml:space="preserve">. Individual development plan identifies needs and the expectations of individuals which guides the management on how to achieve them. One of the benefit of preparing a development plan is that it gives employees confidence in their </w:t>
      </w:r>
      <w:r w:rsidRPr="00AF3A42">
        <w:rPr>
          <w:rFonts w:ascii="Arial" w:hAnsi="Arial" w:cs="Arial"/>
          <w:color w:val="000000" w:themeColor="text1"/>
        </w:rPr>
        <w:lastRenderedPageBreak/>
        <w:t xml:space="preserve">roles as they are involved in the decision making. It also makes them competitive against the competitors since they have confidence in their skills and ability to carry out their work. Teaching and non-teaching staff at schools have different job description. It is therefore important to ensure that each department is involved in development plan to involve all the parties. While implementing development plan, there is need to ensure that diversity is embraced and at the same time maintain a common work culture. Working as school might be challenging since students comes from diverse background </w:t>
      </w:r>
      <w:r w:rsidRPr="00AF3A42">
        <w:rPr>
          <w:rFonts w:ascii="Arial" w:eastAsia="Times New Roman" w:hAnsi="Arial" w:cs="Arial"/>
          <w:color w:val="000000" w:themeColor="text1"/>
          <w:lang w:eastAsia="en-GB"/>
        </w:rPr>
        <w:t>(</w:t>
      </w:r>
      <w:r w:rsidRPr="00AF3A42">
        <w:rPr>
          <w:rFonts w:ascii="Arial" w:hAnsi="Arial" w:cs="Arial"/>
          <w:noProof/>
          <w:color w:val="000000" w:themeColor="text1"/>
        </w:rPr>
        <w:t>Hurtz</w:t>
      </w:r>
      <w:r>
        <w:rPr>
          <w:rFonts w:ascii="Arial" w:hAnsi="Arial" w:cs="Arial"/>
          <w:noProof/>
          <w:color w:val="000000" w:themeColor="text1"/>
        </w:rPr>
        <w:t xml:space="preserve"> </w:t>
      </w:r>
      <w:r w:rsidRPr="00AF3A42">
        <w:rPr>
          <w:rFonts w:ascii="Arial" w:hAnsi="Arial" w:cs="Arial"/>
          <w:noProof/>
          <w:color w:val="000000" w:themeColor="text1"/>
        </w:rPr>
        <w:t>&amp; Williams, 2009)</w:t>
      </w:r>
      <w:r w:rsidRPr="00AF3A42">
        <w:rPr>
          <w:rFonts w:ascii="Arial" w:hAnsi="Arial" w:cs="Arial"/>
          <w:color w:val="000000" w:themeColor="text1"/>
        </w:rPr>
        <w:t xml:space="preserve">. However, development plan gives employees the knowledge on how to handle the students. </w:t>
      </w:r>
    </w:p>
    <w:p w:rsidR="00FC133C" w:rsidRPr="00AA6772" w:rsidRDefault="00FC133C" w:rsidP="00FC133C">
      <w:pPr>
        <w:spacing w:line="360" w:lineRule="auto"/>
        <w:ind w:firstLine="720"/>
        <w:jc w:val="both"/>
        <w:rPr>
          <w:rFonts w:ascii="Arial" w:hAnsi="Arial" w:cs="Arial"/>
          <w:color w:val="000000" w:themeColor="text1"/>
        </w:rPr>
      </w:pPr>
      <w:r w:rsidRPr="00AA6772">
        <w:rPr>
          <w:rFonts w:ascii="Arial" w:hAnsi="Arial" w:cs="Arial"/>
          <w:color w:val="000000" w:themeColor="text1"/>
        </w:rPr>
        <w:t xml:space="preserve">The first step of preparing a development plan is to establish its purpose. An organisation such as schools has to identify the purpose and analyse why there is need to create an individual development plan </w:t>
      </w:r>
      <w:r w:rsidRPr="00AA6772">
        <w:rPr>
          <w:rFonts w:ascii="Arial" w:hAnsi="Arial" w:cs="Arial"/>
          <w:noProof/>
          <w:color w:val="000000" w:themeColor="text1"/>
        </w:rPr>
        <w:t>(Cooper &amp; Kurland, 2002)</w:t>
      </w:r>
      <w:r w:rsidRPr="00AA6772">
        <w:rPr>
          <w:rFonts w:ascii="Arial" w:hAnsi="Arial" w:cs="Arial"/>
          <w:color w:val="000000" w:themeColor="text1"/>
        </w:rPr>
        <w:t xml:space="preserve">. There is need to understand current and future needs of the staff and evaluate activities or development vehicles that will include growth of the skills. Linking the objectives of the organisation to the objectives and goals of employees ensure that all parties are working towards a common purpose. </w:t>
      </w:r>
    </w:p>
    <w:p w:rsidR="00FC133C" w:rsidRPr="00AA6772" w:rsidRDefault="00FC133C" w:rsidP="00FC133C">
      <w:pPr>
        <w:spacing w:line="360" w:lineRule="auto"/>
        <w:ind w:firstLine="720"/>
        <w:jc w:val="both"/>
        <w:rPr>
          <w:rFonts w:ascii="Arial" w:hAnsi="Arial" w:cs="Arial"/>
          <w:color w:val="000000" w:themeColor="text1"/>
        </w:rPr>
      </w:pPr>
      <w:r w:rsidRPr="00AA6772">
        <w:rPr>
          <w:rFonts w:ascii="Arial" w:hAnsi="Arial" w:cs="Arial"/>
          <w:color w:val="000000" w:themeColor="text1"/>
        </w:rPr>
        <w:t xml:space="preserve">Identifying development needs is the second step in preparing development plan. Upon deciding the purpose for a development plan, need for development of a respective plan should be identified </w:t>
      </w:r>
      <w:r w:rsidRPr="00AA6772">
        <w:rPr>
          <w:rFonts w:ascii="Arial" w:hAnsi="Arial" w:cs="Arial"/>
          <w:noProof/>
          <w:color w:val="000000" w:themeColor="text1"/>
        </w:rPr>
        <w:t>(Nankervis et al. 2016)</w:t>
      </w:r>
      <w:r w:rsidRPr="00AA6772">
        <w:rPr>
          <w:rFonts w:ascii="Arial" w:hAnsi="Arial" w:cs="Arial"/>
          <w:color w:val="000000" w:themeColor="text1"/>
        </w:rPr>
        <w:t xml:space="preserve">. Departmental managers at schools should be able to discuss tasks and responsibilities of each employee and factors that are likely to bring dissatisfaction. This helps in making plans and strategies that will enable employees to carry out their roles effectively. In government schools, development plan should be based on the career goals of each member of staff and also include the goals of students that are attending the school. This is to enable the department to engage every employee in the decision making and also achieving the standards set by the local authority. </w:t>
      </w:r>
    </w:p>
    <w:p w:rsidR="00FC133C" w:rsidRDefault="00FC133C" w:rsidP="00FC133C">
      <w:pPr>
        <w:spacing w:line="360" w:lineRule="auto"/>
        <w:ind w:firstLine="720"/>
        <w:jc w:val="both"/>
        <w:rPr>
          <w:rFonts w:ascii="Arial" w:hAnsi="Arial" w:cs="Arial"/>
          <w:color w:val="000000" w:themeColor="text1"/>
        </w:rPr>
      </w:pPr>
      <w:r w:rsidRPr="00AA6772">
        <w:rPr>
          <w:rFonts w:ascii="Arial" w:hAnsi="Arial" w:cs="Arial"/>
          <w:color w:val="000000" w:themeColor="text1"/>
        </w:rPr>
        <w:t xml:space="preserve">Seeking development opportunities is the third step in preparing development plan. Development opportunities can be in form training and development strategies. Also, workshops, mentoring and benchmarking will encourage employees to carry out their roles in efficient and effective manner. </w:t>
      </w:r>
      <w:r w:rsidRPr="00AA6772">
        <w:rPr>
          <w:rFonts w:ascii="Arial" w:eastAsia="Times New Roman" w:hAnsi="Arial" w:cs="Arial"/>
          <w:color w:val="000000" w:themeColor="text1"/>
          <w:lang w:eastAsia="en-GB"/>
        </w:rPr>
        <w:t xml:space="preserve">According to </w:t>
      </w:r>
      <w:r w:rsidRPr="00AA6772">
        <w:rPr>
          <w:rFonts w:ascii="Arial" w:hAnsi="Arial" w:cs="Arial"/>
          <w:noProof/>
          <w:color w:val="000000" w:themeColor="text1"/>
        </w:rPr>
        <w:t>Stewart &amp; Brown (2019)</w:t>
      </w:r>
      <w:r w:rsidRPr="00AA6772">
        <w:rPr>
          <w:rFonts w:ascii="Arial" w:hAnsi="Arial" w:cs="Arial"/>
          <w:color w:val="000000" w:themeColor="text1"/>
        </w:rPr>
        <w:t xml:space="preserve"> schools should be open in adopting strategies that continually develop the skills of teaching and non-teaching staff.  Doing this ensures that teachers are being continually updated as the environment they work in is for ever changing.  Training can be on the job or off the job to ensure that all teaches and the support staffs gets the opportunity to develop their skills and knowledge</w:t>
      </w:r>
      <w:r>
        <w:rPr>
          <w:rFonts w:ascii="Arial" w:hAnsi="Arial" w:cs="Arial"/>
          <w:color w:val="000000" w:themeColor="text1"/>
        </w:rPr>
        <w:t>.</w:t>
      </w:r>
    </w:p>
    <w:p w:rsidR="00FC133C" w:rsidRDefault="00FC133C" w:rsidP="00FC133C">
      <w:pPr>
        <w:spacing w:line="360" w:lineRule="auto"/>
        <w:ind w:firstLine="720"/>
        <w:jc w:val="both"/>
        <w:rPr>
          <w:rFonts w:ascii="Arial" w:hAnsi="Arial" w:cs="Arial"/>
          <w:color w:val="000000" w:themeColor="text1"/>
        </w:rPr>
      </w:pPr>
      <w:r w:rsidRPr="00F8676A">
        <w:rPr>
          <w:rFonts w:ascii="Arial" w:hAnsi="Arial" w:cs="Arial"/>
          <w:color w:val="000000" w:themeColor="text1"/>
        </w:rPr>
        <w:t xml:space="preserve">Formulate action plan is the next step in development plan. The plan should be specific, measurable, achievable, realistic and timely. The plan should also be able to satisfy the needs of the employees and be challenging to ensure that creativity is emphasized. The </w:t>
      </w:r>
      <w:r w:rsidRPr="00F8676A">
        <w:rPr>
          <w:rFonts w:ascii="Arial" w:hAnsi="Arial" w:cs="Arial"/>
          <w:color w:val="000000" w:themeColor="text1"/>
        </w:rPr>
        <w:lastRenderedPageBreak/>
        <w:t xml:space="preserve">strategies should be realistic in nature and should be based on the immediate need of the organisation </w:t>
      </w:r>
      <w:r w:rsidRPr="00F8676A">
        <w:rPr>
          <w:rFonts w:ascii="Arial" w:hAnsi="Arial" w:cs="Arial"/>
          <w:noProof/>
          <w:color w:val="000000" w:themeColor="text1"/>
        </w:rPr>
        <w:t>(Jha, 2016</w:t>
      </w:r>
      <w:r>
        <w:rPr>
          <w:rFonts w:ascii="Arial" w:hAnsi="Arial" w:cs="Arial"/>
          <w:noProof/>
          <w:color w:val="000000" w:themeColor="text1"/>
        </w:rPr>
        <w:t>)</w:t>
      </w:r>
      <w:r w:rsidRPr="00F8676A">
        <w:rPr>
          <w:rFonts w:ascii="Arial" w:hAnsi="Arial" w:cs="Arial"/>
          <w:noProof/>
          <w:color w:val="000000" w:themeColor="text1"/>
        </w:rPr>
        <w:t>.</w:t>
      </w:r>
      <w:r w:rsidRPr="00F8676A">
        <w:rPr>
          <w:rFonts w:ascii="Arial" w:hAnsi="Arial" w:cs="Arial"/>
          <w:color w:val="000000" w:themeColor="text1"/>
        </w:rPr>
        <w:t xml:space="preserve"> Undertaking development is entails keeping the plan in action. Usually, an organisation might come up with employee development plans but fail in implementing it. Local authority schools are culprit of such development plans due to cut backs in funding and resources. Schools can implement such plans through rotation of individual job, training courses, networking and placements. Creating an appropriate work environment contributes towards undertaking such development. For instance, workshops help employees to gain skills that are unique to the organisation. Skills such as good time management and communication are vital in work of teachers and therefore being able to instil them in employees is important. </w:t>
      </w:r>
    </w:p>
    <w:p w:rsidR="00FC133C" w:rsidRDefault="00FC133C" w:rsidP="00FC133C">
      <w:pPr>
        <w:spacing w:line="360" w:lineRule="auto"/>
        <w:ind w:firstLine="720"/>
        <w:jc w:val="both"/>
        <w:rPr>
          <w:rFonts w:ascii="Arial" w:hAnsi="Arial" w:cs="Arial"/>
          <w:color w:val="000000" w:themeColor="text1"/>
        </w:rPr>
      </w:pPr>
      <w:r w:rsidRPr="00544213">
        <w:rPr>
          <w:rFonts w:ascii="Arial" w:hAnsi="Arial" w:cs="Arial"/>
          <w:color w:val="000000" w:themeColor="text1"/>
        </w:rPr>
        <w:t xml:space="preserve">Educational institutes must record the outcome of development plans and is an important step in preparing development plan. Record keeping is an important element of any plan. This is because it helps an organisation to determine how the plan is being implemented and if the objectives are being met. A record also helps the organisation to determine activities or areas that need to be developed or innovate </w:t>
      </w:r>
      <w:r w:rsidRPr="00544213">
        <w:rPr>
          <w:rFonts w:ascii="Arial" w:hAnsi="Arial" w:cs="Arial"/>
          <w:noProof/>
          <w:color w:val="000000" w:themeColor="text1"/>
        </w:rPr>
        <w:t>(Vita et al. 2019)</w:t>
      </w:r>
      <w:r w:rsidRPr="00544213">
        <w:rPr>
          <w:rFonts w:ascii="Arial" w:hAnsi="Arial" w:cs="Arial"/>
          <w:color w:val="000000" w:themeColor="text1"/>
        </w:rPr>
        <w:t xml:space="preserve">. This enables schools to acknowledge staff at all levels had the opportunity in development in the areas that need improvement or those that have not been achieved. New strategies that are needed are identified when an organisation has the needed data and information. </w:t>
      </w:r>
    </w:p>
    <w:p w:rsidR="00FC133C" w:rsidRDefault="00FC133C" w:rsidP="00FC133C">
      <w:pPr>
        <w:spacing w:line="360" w:lineRule="auto"/>
        <w:ind w:firstLine="720"/>
        <w:jc w:val="both"/>
        <w:rPr>
          <w:rFonts w:ascii="Arial" w:hAnsi="Arial" w:cs="Arial"/>
          <w:color w:val="000000" w:themeColor="text1"/>
        </w:rPr>
      </w:pPr>
      <w:r w:rsidRPr="00160456">
        <w:rPr>
          <w:rFonts w:ascii="Arial" w:hAnsi="Arial" w:cs="Arial"/>
          <w:color w:val="000000" w:themeColor="text1"/>
        </w:rPr>
        <w:t>Reviewing and evaluating is the last step in preparing and completing the development plan. After formulating development plan, undertaking the necessary steps and recording all the data, the last step is to review and evaluate whether the goals have been achieved. Reviewing entails looking whether the strategies have been implemented and if the goals have been met. Evaluating is a self -development cycles which focuses on issues and also reflect various aspects. Local authority schools need evaluate and review development plans for its entire staff not just the teachers as Government legislations regarding health and safety, child protection, confidentiality etc. are forever updating.</w:t>
      </w:r>
    </w:p>
    <w:p w:rsidR="00FC133C" w:rsidRPr="00160456" w:rsidRDefault="00FC133C" w:rsidP="00FC133C">
      <w:pPr>
        <w:spacing w:line="360" w:lineRule="auto"/>
        <w:ind w:firstLine="720"/>
        <w:jc w:val="both"/>
        <w:rPr>
          <w:rFonts w:ascii="Arial" w:hAnsi="Arial" w:cs="Arial"/>
          <w:color w:val="000000" w:themeColor="text1"/>
        </w:rPr>
      </w:pPr>
    </w:p>
    <w:p w:rsidR="00FC133C" w:rsidRPr="0039480F" w:rsidRDefault="00FC133C" w:rsidP="00FC133C">
      <w:pPr>
        <w:pStyle w:val="ListParagraph"/>
        <w:numPr>
          <w:ilvl w:val="0"/>
          <w:numId w:val="4"/>
        </w:numPr>
        <w:spacing w:line="360" w:lineRule="auto"/>
        <w:jc w:val="both"/>
        <w:rPr>
          <w:rFonts w:ascii="Arial" w:hAnsi="Arial" w:cs="Arial"/>
          <w:b/>
          <w:color w:val="000000" w:themeColor="text1"/>
        </w:rPr>
      </w:pPr>
      <w:r w:rsidRPr="0039480F">
        <w:rPr>
          <w:rFonts w:ascii="Arial" w:hAnsi="Arial" w:cs="Arial"/>
          <w:b/>
          <w:color w:val="000000" w:themeColor="text1"/>
        </w:rPr>
        <w:t>Conclusion</w:t>
      </w:r>
    </w:p>
    <w:p w:rsidR="00FC133C" w:rsidRPr="00160456" w:rsidRDefault="00FC133C" w:rsidP="00FC133C">
      <w:pPr>
        <w:spacing w:line="360" w:lineRule="auto"/>
        <w:ind w:firstLine="720"/>
        <w:jc w:val="both"/>
        <w:rPr>
          <w:rFonts w:ascii="Arial" w:hAnsi="Arial" w:cs="Arial"/>
          <w:color w:val="000000" w:themeColor="text1"/>
        </w:rPr>
      </w:pPr>
      <w:r w:rsidRPr="00160456">
        <w:rPr>
          <w:rFonts w:ascii="Arial" w:hAnsi="Arial" w:cs="Arial"/>
          <w:color w:val="000000" w:themeColor="text1"/>
        </w:rPr>
        <w:t>In conclusion, the report has analysed three development vehicles that can be used in developing s</w:t>
      </w:r>
      <w:r>
        <w:rPr>
          <w:rFonts w:ascii="Arial" w:hAnsi="Arial" w:cs="Arial"/>
          <w:color w:val="000000" w:themeColor="text1"/>
        </w:rPr>
        <w:t>ta</w:t>
      </w:r>
      <w:r w:rsidRPr="00160456">
        <w:rPr>
          <w:rFonts w:ascii="Arial" w:hAnsi="Arial" w:cs="Arial"/>
          <w:color w:val="000000" w:themeColor="text1"/>
        </w:rPr>
        <w:t xml:space="preserve">ff at government schools. The three include employee rewards and feedback, training and employee engagement. Employee reward has been identified as having the potential to improve employee motivation due to its ability to motivate hard work. It has been determined that development vehicles have potential benefits of improving employee productivity, increase employee motivation, quality of work delivered and improve satisfaction. Upon understanding the potential benefits of the development vehicles, the </w:t>
      </w:r>
      <w:r w:rsidRPr="00160456">
        <w:rPr>
          <w:rFonts w:ascii="Arial" w:hAnsi="Arial" w:cs="Arial"/>
          <w:color w:val="000000" w:themeColor="text1"/>
        </w:rPr>
        <w:lastRenderedPageBreak/>
        <w:t xml:space="preserve">report has also discussed how to prepare a development plan. This is seen as a rigorous process that an organisation should be able to carry out to ensure that employees are continually developed. The steps include establishing purpose for development, identifying development needs, looking for opportunities of development, formulating action plan, undertaking development, recoding the outcomes, reviewing and evaluating the development plan. It has been determined that development plan is important in building a workforce that is creative and innovative. </w:t>
      </w:r>
    </w:p>
    <w:p w:rsidR="006527A4" w:rsidRPr="00544213" w:rsidRDefault="006527A4" w:rsidP="00F8676A">
      <w:pPr>
        <w:spacing w:line="360" w:lineRule="auto"/>
        <w:ind w:firstLine="720"/>
        <w:jc w:val="both"/>
        <w:rPr>
          <w:rFonts w:ascii="Arial" w:hAnsi="Arial" w:cs="Arial"/>
          <w:color w:val="000000" w:themeColor="text1"/>
        </w:rPr>
      </w:pPr>
    </w:p>
    <w:p w:rsidR="00F8676A" w:rsidRDefault="00F8676A" w:rsidP="00F8676A">
      <w:pPr>
        <w:spacing w:line="360" w:lineRule="auto"/>
        <w:ind w:firstLine="720"/>
        <w:jc w:val="both"/>
        <w:rPr>
          <w:rFonts w:ascii="Arial" w:hAnsi="Arial" w:cs="Arial"/>
          <w:color w:val="000000" w:themeColor="text1"/>
        </w:rPr>
      </w:pPr>
    </w:p>
    <w:p w:rsidR="00F8676A" w:rsidRPr="00AF3A42" w:rsidRDefault="00F8676A" w:rsidP="007C4045">
      <w:pPr>
        <w:spacing w:line="360" w:lineRule="auto"/>
        <w:ind w:firstLine="720"/>
        <w:jc w:val="both"/>
        <w:rPr>
          <w:rFonts w:ascii="Arial" w:hAnsi="Arial" w:cs="Arial"/>
          <w:color w:val="000000" w:themeColor="text1"/>
        </w:rPr>
      </w:pPr>
    </w:p>
    <w:p w:rsidR="00A74815" w:rsidRPr="00CC1C92" w:rsidRDefault="00A74815" w:rsidP="00CC1C92">
      <w:pPr>
        <w:spacing w:line="360" w:lineRule="auto"/>
        <w:ind w:firstLine="720"/>
        <w:jc w:val="both"/>
        <w:rPr>
          <w:rFonts w:ascii="Arial" w:hAnsi="Arial" w:cs="Arial"/>
        </w:rPr>
      </w:pPr>
    </w:p>
    <w:p w:rsidR="00886343" w:rsidRPr="00CC1C92" w:rsidRDefault="00886343" w:rsidP="00CC1C92">
      <w:pPr>
        <w:spacing w:line="360" w:lineRule="auto"/>
        <w:ind w:firstLine="720"/>
        <w:jc w:val="both"/>
        <w:rPr>
          <w:rFonts w:ascii="Arial" w:hAnsi="Arial" w:cs="Arial"/>
        </w:rPr>
      </w:pPr>
    </w:p>
    <w:p w:rsidR="00292B26" w:rsidRPr="00CC1C92" w:rsidRDefault="00292B26"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Pr="00CC1C92" w:rsidRDefault="00371B81" w:rsidP="00CC1C92">
      <w:pPr>
        <w:spacing w:line="360" w:lineRule="auto"/>
        <w:ind w:firstLine="720"/>
        <w:jc w:val="both"/>
        <w:rPr>
          <w:rFonts w:ascii="Arial" w:hAnsi="Arial" w:cs="Arial"/>
        </w:rPr>
      </w:pPr>
    </w:p>
    <w:p w:rsidR="00371B81" w:rsidRDefault="00371B81" w:rsidP="00EB6D9E">
      <w:pPr>
        <w:spacing w:line="360" w:lineRule="auto"/>
        <w:jc w:val="both"/>
        <w:rPr>
          <w:rFonts w:ascii="Arial" w:hAnsi="Arial" w:cs="Arial"/>
        </w:rPr>
      </w:pPr>
    </w:p>
    <w:p w:rsidR="00EB6D9E" w:rsidRPr="00CC1C92" w:rsidRDefault="00EB6D9E" w:rsidP="00EB6D9E">
      <w:pPr>
        <w:spacing w:line="360" w:lineRule="auto"/>
        <w:jc w:val="both"/>
        <w:rPr>
          <w:rFonts w:ascii="Arial" w:hAnsi="Arial" w:cs="Arial"/>
        </w:rPr>
      </w:pPr>
    </w:p>
    <w:p w:rsidR="00BA1AE4" w:rsidRPr="0039480F" w:rsidRDefault="00BA1AE4" w:rsidP="0039480F">
      <w:pPr>
        <w:pStyle w:val="ListParagraph"/>
        <w:numPr>
          <w:ilvl w:val="0"/>
          <w:numId w:val="4"/>
        </w:numPr>
        <w:spacing w:line="360" w:lineRule="auto"/>
        <w:rPr>
          <w:rFonts w:ascii="Arial" w:hAnsi="Arial" w:cs="Arial"/>
          <w:b/>
          <w:u w:val="single"/>
        </w:rPr>
      </w:pPr>
      <w:r w:rsidRPr="0039480F">
        <w:rPr>
          <w:rFonts w:ascii="Arial" w:hAnsi="Arial" w:cs="Arial"/>
          <w:b/>
          <w:u w:val="single"/>
        </w:rPr>
        <w:lastRenderedPageBreak/>
        <w:t>References:</w:t>
      </w:r>
    </w:p>
    <w:p w:rsidR="006527A4" w:rsidRPr="00147434" w:rsidRDefault="006527A4" w:rsidP="00EB6D9E">
      <w:pPr>
        <w:pStyle w:val="Bibliography"/>
        <w:spacing w:line="360" w:lineRule="auto"/>
        <w:ind w:left="720" w:hanging="720"/>
        <w:jc w:val="both"/>
        <w:rPr>
          <w:rFonts w:ascii="Arial" w:hAnsi="Arial" w:cs="Arial"/>
          <w:noProof/>
        </w:rPr>
      </w:pPr>
      <w:r w:rsidRPr="00147434">
        <w:rPr>
          <w:rFonts w:ascii="Arial" w:hAnsi="Arial" w:cs="Arial"/>
          <w:noProof/>
        </w:rPr>
        <w:t xml:space="preserve">Brewster, C., Mayrhofer, W., &amp; Farndale, E. (Eds.). (2018). </w:t>
      </w:r>
      <w:r w:rsidRPr="00147434">
        <w:rPr>
          <w:rFonts w:ascii="Arial" w:hAnsi="Arial" w:cs="Arial"/>
          <w:i/>
          <w:iCs/>
          <w:noProof/>
        </w:rPr>
        <w:t>Handbook of research on comparative human resource management</w:t>
      </w:r>
      <w:r w:rsidRPr="00147434">
        <w:rPr>
          <w:rFonts w:ascii="Arial" w:hAnsi="Arial" w:cs="Arial"/>
          <w:noProof/>
        </w:rPr>
        <w:t>. Edward Elgar Publishing.</w:t>
      </w:r>
    </w:p>
    <w:p w:rsidR="0010384C" w:rsidRPr="00CC1C92" w:rsidRDefault="00276021" w:rsidP="00EB6D9E">
      <w:pPr>
        <w:pStyle w:val="Bibliography"/>
        <w:spacing w:line="360" w:lineRule="auto"/>
        <w:ind w:left="720" w:hanging="720"/>
        <w:jc w:val="both"/>
        <w:rPr>
          <w:rFonts w:ascii="Arial" w:hAnsi="Arial" w:cs="Arial"/>
          <w:noProof/>
        </w:rPr>
      </w:pPr>
      <w:r w:rsidRPr="00CC1C92">
        <w:rPr>
          <w:rFonts w:ascii="Arial" w:hAnsi="Arial" w:cs="Arial"/>
          <w:noProof/>
        </w:rPr>
        <w:t xml:space="preserve">Cooper, C. D., &amp; Kurland, N. B. (2002). Telecommuting, professional isolation, and employee development in public and private </w:t>
      </w:r>
      <w:r w:rsidR="00292B26" w:rsidRPr="00CC1C92">
        <w:rPr>
          <w:rFonts w:ascii="Arial" w:hAnsi="Arial" w:cs="Arial"/>
          <w:noProof/>
        </w:rPr>
        <w:t>organisations</w:t>
      </w:r>
      <w:r w:rsidRPr="00CC1C92">
        <w:rPr>
          <w:rFonts w:ascii="Arial" w:hAnsi="Arial" w:cs="Arial"/>
          <w:noProof/>
        </w:rPr>
        <w:t xml:space="preserve">. </w:t>
      </w:r>
      <w:r w:rsidRPr="00CC1C92">
        <w:rPr>
          <w:rFonts w:ascii="Arial" w:hAnsi="Arial" w:cs="Arial"/>
          <w:i/>
          <w:iCs/>
          <w:noProof/>
        </w:rPr>
        <w:t xml:space="preserve">Journal of </w:t>
      </w:r>
      <w:r w:rsidR="00292B26" w:rsidRPr="00CC1C92">
        <w:rPr>
          <w:rFonts w:ascii="Arial" w:hAnsi="Arial" w:cs="Arial"/>
          <w:i/>
          <w:iCs/>
          <w:noProof/>
        </w:rPr>
        <w:t>Organisation</w:t>
      </w:r>
      <w:r w:rsidRPr="00CC1C92">
        <w:rPr>
          <w:rFonts w:ascii="Arial" w:hAnsi="Arial" w:cs="Arial"/>
          <w:i/>
          <w:iCs/>
          <w:noProof/>
        </w:rPr>
        <w:t xml:space="preserve">al Behavior: The International Journal of Industrial, Occupational and </w:t>
      </w:r>
      <w:r w:rsidR="00292B26" w:rsidRPr="00CC1C92">
        <w:rPr>
          <w:rFonts w:ascii="Arial" w:hAnsi="Arial" w:cs="Arial"/>
          <w:i/>
          <w:iCs/>
          <w:noProof/>
        </w:rPr>
        <w:t>Organisation</w:t>
      </w:r>
      <w:r w:rsidRPr="00CC1C92">
        <w:rPr>
          <w:rFonts w:ascii="Arial" w:hAnsi="Arial" w:cs="Arial"/>
          <w:i/>
          <w:iCs/>
          <w:noProof/>
        </w:rPr>
        <w:t>al Psychology and Behavior</w:t>
      </w:r>
      <w:r w:rsidRPr="00CC1C92">
        <w:rPr>
          <w:rFonts w:ascii="Arial" w:hAnsi="Arial" w:cs="Arial"/>
          <w:noProof/>
        </w:rPr>
        <w:t xml:space="preserve">, </w:t>
      </w:r>
      <w:r w:rsidRPr="00CC1C92">
        <w:rPr>
          <w:rFonts w:ascii="Arial" w:hAnsi="Arial" w:cs="Arial"/>
          <w:i/>
          <w:iCs/>
          <w:noProof/>
        </w:rPr>
        <w:t>23</w:t>
      </w:r>
      <w:r w:rsidRPr="00CC1C92">
        <w:rPr>
          <w:rFonts w:ascii="Arial" w:hAnsi="Arial" w:cs="Arial"/>
          <w:noProof/>
        </w:rPr>
        <w:t xml:space="preserve">(4), 511-532. </w:t>
      </w:r>
    </w:p>
    <w:p w:rsidR="00CB2CF9" w:rsidRPr="00CC1C92" w:rsidRDefault="00CB2CF9" w:rsidP="00EB6D9E">
      <w:pPr>
        <w:pStyle w:val="Bibliography"/>
        <w:spacing w:line="360" w:lineRule="auto"/>
        <w:ind w:left="720" w:hanging="720"/>
        <w:jc w:val="both"/>
        <w:rPr>
          <w:rFonts w:ascii="Arial" w:hAnsi="Arial" w:cs="Arial"/>
          <w:noProof/>
        </w:rPr>
      </w:pPr>
      <w:r w:rsidRPr="00CC1C92">
        <w:rPr>
          <w:rFonts w:ascii="Arial" w:hAnsi="Arial" w:cs="Arial"/>
        </w:rPr>
        <w:t>Elena P. Antonacopoulou, (2000). „ Employee development through self-development inthree retail banks‟ Journal of Personnel Review,Vol. 29 No. 4, pp. 491-508.</w:t>
      </w:r>
    </w:p>
    <w:p w:rsidR="002A7CAA" w:rsidRPr="00CC1C92" w:rsidRDefault="002A7CAA" w:rsidP="00EB6D9E">
      <w:pPr>
        <w:pStyle w:val="Bibliography"/>
        <w:spacing w:line="360" w:lineRule="auto"/>
        <w:ind w:left="720" w:hanging="720"/>
        <w:jc w:val="both"/>
        <w:rPr>
          <w:rFonts w:ascii="Arial" w:hAnsi="Arial" w:cs="Arial"/>
        </w:rPr>
      </w:pPr>
      <w:r w:rsidRPr="00CC1C92">
        <w:rPr>
          <w:rFonts w:ascii="Arial" w:hAnsi="Arial" w:cs="Arial"/>
        </w:rPr>
        <w:t>Harter, J.K., Schmidt, F.L., &amp; Hayes, T. L. (2002). Business-unit level relationship between employee satisfaction, employee engagement, and business outcomes: a meta-analysis. Journal of Applied Psychology, 87, 268–279.</w:t>
      </w:r>
    </w:p>
    <w:p w:rsidR="005018B4" w:rsidRPr="00CC1C92" w:rsidRDefault="00760328" w:rsidP="00EB6D9E">
      <w:pPr>
        <w:pStyle w:val="Bibliography"/>
        <w:spacing w:line="360" w:lineRule="auto"/>
        <w:ind w:left="720" w:hanging="720"/>
        <w:jc w:val="both"/>
        <w:rPr>
          <w:rFonts w:ascii="Arial" w:hAnsi="Arial" w:cs="Arial"/>
        </w:rPr>
      </w:pPr>
      <w:r w:rsidRPr="00CC1C92">
        <w:rPr>
          <w:rFonts w:ascii="Arial" w:hAnsi="Arial" w:cs="Arial"/>
        </w:rPr>
        <w:t xml:space="preserve">Hameed, A. and Waheed, A., 2011. Employee development and its affect on employee performance a conceptual framework. </w:t>
      </w:r>
      <w:r w:rsidRPr="00CC1C92">
        <w:rPr>
          <w:rFonts w:ascii="Arial" w:hAnsi="Arial" w:cs="Arial"/>
          <w:i/>
          <w:iCs/>
        </w:rPr>
        <w:t>International journal of business and social science</w:t>
      </w:r>
      <w:r w:rsidRPr="00CC1C92">
        <w:rPr>
          <w:rFonts w:ascii="Arial" w:hAnsi="Arial" w:cs="Arial"/>
        </w:rPr>
        <w:t xml:space="preserve">, </w:t>
      </w:r>
      <w:r w:rsidRPr="00CC1C92">
        <w:rPr>
          <w:rFonts w:ascii="Arial" w:hAnsi="Arial" w:cs="Arial"/>
          <w:i/>
          <w:iCs/>
        </w:rPr>
        <w:t>2</w:t>
      </w:r>
      <w:r w:rsidRPr="00CC1C92">
        <w:rPr>
          <w:rFonts w:ascii="Arial" w:hAnsi="Arial" w:cs="Arial"/>
        </w:rPr>
        <w:t>(13).</w:t>
      </w:r>
    </w:p>
    <w:p w:rsidR="005018B4" w:rsidRDefault="005018B4" w:rsidP="00EB6D9E">
      <w:pPr>
        <w:pStyle w:val="Bibliography"/>
        <w:spacing w:line="360" w:lineRule="auto"/>
        <w:ind w:left="720" w:hanging="720"/>
        <w:jc w:val="both"/>
        <w:rPr>
          <w:rFonts w:ascii="Arial" w:hAnsi="Arial" w:cs="Arial"/>
        </w:rPr>
      </w:pPr>
      <w:r w:rsidRPr="00CC1C92">
        <w:rPr>
          <w:rFonts w:ascii="Arial" w:hAnsi="Arial" w:cs="Arial"/>
        </w:rPr>
        <w:t>Hegarty, W. (1974) ‘Using subordinate ratings to elicit behavioural changes in supervisors’. Journal of Applied Psychology59, 764-766</w:t>
      </w:r>
    </w:p>
    <w:p w:rsidR="007C4045" w:rsidRPr="007C4045" w:rsidRDefault="007C4045" w:rsidP="00EB6D9E">
      <w:pPr>
        <w:pStyle w:val="Bibliography"/>
        <w:spacing w:line="360" w:lineRule="auto"/>
        <w:ind w:left="720" w:hanging="720"/>
        <w:jc w:val="both"/>
        <w:rPr>
          <w:rFonts w:ascii="Arial" w:eastAsia="Times New Roman" w:hAnsi="Arial" w:cs="Arial"/>
          <w:lang w:eastAsia="en-GB"/>
        </w:rPr>
      </w:pPr>
      <w:r w:rsidRPr="007C4045">
        <w:rPr>
          <w:rFonts w:ascii="Arial" w:hAnsi="Arial" w:cs="Arial"/>
          <w:noProof/>
        </w:rPr>
        <w:t xml:space="preserve">Hurtz, G. M., &amp; Williams, K. J. (2009). Attitudinal and motivational antecedents of participation in voluntary employee development activities. </w:t>
      </w:r>
      <w:r w:rsidRPr="007C4045">
        <w:rPr>
          <w:rFonts w:ascii="Arial" w:hAnsi="Arial" w:cs="Arial"/>
          <w:i/>
          <w:iCs/>
          <w:noProof/>
        </w:rPr>
        <w:t>Journal of Applied Psychology</w:t>
      </w:r>
      <w:r w:rsidRPr="007C4045">
        <w:rPr>
          <w:rFonts w:ascii="Arial" w:hAnsi="Arial" w:cs="Arial"/>
          <w:noProof/>
        </w:rPr>
        <w:t xml:space="preserve">, </w:t>
      </w:r>
      <w:r w:rsidRPr="007C4045">
        <w:rPr>
          <w:rFonts w:ascii="Arial" w:hAnsi="Arial" w:cs="Arial"/>
          <w:i/>
          <w:iCs/>
          <w:noProof/>
        </w:rPr>
        <w:t>94</w:t>
      </w:r>
      <w:r w:rsidRPr="007C4045">
        <w:rPr>
          <w:rFonts w:ascii="Arial" w:hAnsi="Arial" w:cs="Arial"/>
          <w:noProof/>
        </w:rPr>
        <w:t>(3), 635.</w:t>
      </w:r>
    </w:p>
    <w:p w:rsidR="0010384C" w:rsidRPr="00CC1C92" w:rsidRDefault="0010384C" w:rsidP="00EB6D9E">
      <w:pPr>
        <w:pStyle w:val="Bibliography"/>
        <w:spacing w:line="360" w:lineRule="auto"/>
        <w:ind w:left="720" w:hanging="720"/>
        <w:jc w:val="both"/>
        <w:rPr>
          <w:rFonts w:ascii="Arial" w:hAnsi="Arial" w:cs="Arial"/>
        </w:rPr>
      </w:pPr>
      <w:r w:rsidRPr="00CC1C92">
        <w:rPr>
          <w:rFonts w:ascii="Arial" w:hAnsi="Arial" w:cs="Arial"/>
        </w:rPr>
        <w:t>Hwang, S. A. (2003), Training strategies in the management of knowledge. Journal of Knowledge Management, Volume 7, No. 3, pp. 92-104.</w:t>
      </w:r>
    </w:p>
    <w:p w:rsidR="00886343" w:rsidRPr="00CC1C92" w:rsidRDefault="00886343" w:rsidP="00EB6D9E">
      <w:pPr>
        <w:pStyle w:val="Bibliography"/>
        <w:spacing w:line="360" w:lineRule="auto"/>
        <w:ind w:left="720" w:hanging="720"/>
        <w:jc w:val="both"/>
        <w:rPr>
          <w:rFonts w:ascii="Arial" w:hAnsi="Arial" w:cs="Arial"/>
          <w:noProof/>
        </w:rPr>
      </w:pPr>
      <w:r w:rsidRPr="00CC1C92">
        <w:rPr>
          <w:rFonts w:ascii="Arial" w:hAnsi="Arial" w:cs="Arial"/>
          <w:noProof/>
        </w:rPr>
        <w:t xml:space="preserve">Jha, V. (2016). Training and development program and its benefits to employee and organisation: A conceptual study. </w:t>
      </w:r>
      <w:r w:rsidRPr="00CC1C92">
        <w:rPr>
          <w:rFonts w:ascii="Arial" w:hAnsi="Arial" w:cs="Arial"/>
          <w:i/>
          <w:iCs/>
          <w:noProof/>
        </w:rPr>
        <w:t>International Journal of Scientific Research in Science and Technology</w:t>
      </w:r>
      <w:r w:rsidRPr="00CC1C92">
        <w:rPr>
          <w:rFonts w:ascii="Arial" w:hAnsi="Arial" w:cs="Arial"/>
          <w:noProof/>
        </w:rPr>
        <w:t xml:space="preserve">, </w:t>
      </w:r>
      <w:r w:rsidRPr="00CC1C92">
        <w:rPr>
          <w:rFonts w:ascii="Arial" w:hAnsi="Arial" w:cs="Arial"/>
          <w:i/>
          <w:iCs/>
          <w:noProof/>
        </w:rPr>
        <w:t>2</w:t>
      </w:r>
      <w:r w:rsidRPr="00CC1C92">
        <w:rPr>
          <w:rFonts w:ascii="Arial" w:hAnsi="Arial" w:cs="Arial"/>
          <w:noProof/>
        </w:rPr>
        <w:t>, 80-86.</w:t>
      </w:r>
    </w:p>
    <w:p w:rsidR="00276021" w:rsidRPr="00CC1C92" w:rsidRDefault="00276021" w:rsidP="00EB6D9E">
      <w:pPr>
        <w:pStyle w:val="Bibliography"/>
        <w:spacing w:line="360" w:lineRule="auto"/>
        <w:ind w:left="720" w:hanging="720"/>
        <w:jc w:val="both"/>
        <w:rPr>
          <w:rFonts w:ascii="Arial" w:hAnsi="Arial" w:cs="Arial"/>
          <w:noProof/>
        </w:rPr>
      </w:pPr>
      <w:r w:rsidRPr="00CC1C92">
        <w:rPr>
          <w:rFonts w:ascii="Arial" w:hAnsi="Arial" w:cs="Arial"/>
          <w:noProof/>
        </w:rPr>
        <w:t xml:space="preserve">Lee, C. H., &amp; Bruvold, N. T. (2003). Creating value for employees: investment in employee development. </w:t>
      </w:r>
      <w:r w:rsidRPr="00CC1C92">
        <w:rPr>
          <w:rFonts w:ascii="Arial" w:hAnsi="Arial" w:cs="Arial"/>
          <w:i/>
          <w:iCs/>
          <w:noProof/>
        </w:rPr>
        <w:t>The International Journal of Human Resource Management</w:t>
      </w:r>
      <w:r w:rsidRPr="00CC1C92">
        <w:rPr>
          <w:rFonts w:ascii="Arial" w:hAnsi="Arial" w:cs="Arial"/>
          <w:noProof/>
        </w:rPr>
        <w:t xml:space="preserve">, </w:t>
      </w:r>
      <w:r w:rsidRPr="00CC1C92">
        <w:rPr>
          <w:rFonts w:ascii="Arial" w:hAnsi="Arial" w:cs="Arial"/>
          <w:i/>
          <w:iCs/>
          <w:noProof/>
        </w:rPr>
        <w:t>14</w:t>
      </w:r>
      <w:r w:rsidRPr="00CC1C92">
        <w:rPr>
          <w:rFonts w:ascii="Arial" w:hAnsi="Arial" w:cs="Arial"/>
          <w:noProof/>
        </w:rPr>
        <w:t>(6), 981-1000.</w:t>
      </w:r>
    </w:p>
    <w:p w:rsidR="004C223E" w:rsidRPr="00CC1C92" w:rsidRDefault="00E376FF" w:rsidP="00EB6D9E">
      <w:pPr>
        <w:pStyle w:val="Bibliography"/>
        <w:spacing w:line="360" w:lineRule="auto"/>
        <w:ind w:left="720" w:hanging="720"/>
        <w:jc w:val="both"/>
        <w:rPr>
          <w:rFonts w:ascii="Arial" w:hAnsi="Arial" w:cs="Arial"/>
        </w:rPr>
      </w:pPr>
      <w:r w:rsidRPr="00CC1C92">
        <w:rPr>
          <w:rFonts w:ascii="Arial" w:hAnsi="Arial" w:cs="Arial"/>
        </w:rPr>
        <w:t>Macey, W. H., &amp; Schneider, B. (2008). The meaning of employee engagement. Industrial and Organisational Psychology, 1, 3–30.</w:t>
      </w:r>
    </w:p>
    <w:p w:rsidR="004C223E" w:rsidRPr="00CC1C92" w:rsidRDefault="001F0FF4" w:rsidP="00EB6D9E">
      <w:pPr>
        <w:pStyle w:val="Bibliography"/>
        <w:spacing w:line="360" w:lineRule="auto"/>
        <w:ind w:left="720" w:hanging="720"/>
        <w:jc w:val="both"/>
        <w:rPr>
          <w:rFonts w:ascii="Arial" w:hAnsi="Arial" w:cs="Arial"/>
        </w:rPr>
      </w:pPr>
      <w:r>
        <w:rPr>
          <w:rFonts w:ascii="Arial" w:hAnsi="Arial" w:cs="Arial"/>
        </w:rPr>
        <w:lastRenderedPageBreak/>
        <w:t>Mahoney, J.T. and Kor</w:t>
      </w:r>
      <w:r w:rsidR="004C223E" w:rsidRPr="00CC1C92">
        <w:rPr>
          <w:rFonts w:ascii="Arial" w:hAnsi="Arial" w:cs="Arial"/>
        </w:rPr>
        <w:t>, Y.Y. (2015) Advancing the human capital on value by joining capabilities and governance perspectives.Academy of Management Perspectives. Vol 29, No 3.pp296–308.</w:t>
      </w:r>
    </w:p>
    <w:p w:rsidR="00E0039A" w:rsidRPr="00CC1C92" w:rsidRDefault="00967A7E" w:rsidP="00EB6D9E">
      <w:pPr>
        <w:pStyle w:val="Bibliography"/>
        <w:spacing w:line="360" w:lineRule="auto"/>
        <w:ind w:left="720" w:hanging="720"/>
        <w:jc w:val="both"/>
        <w:rPr>
          <w:rFonts w:ascii="Arial" w:hAnsi="Arial" w:cs="Arial"/>
          <w:noProof/>
        </w:rPr>
      </w:pPr>
      <w:r w:rsidRPr="00CC1C92">
        <w:rPr>
          <w:rFonts w:ascii="Arial" w:hAnsi="Arial" w:cs="Arial"/>
          <w:noProof/>
        </w:rPr>
        <w:t xml:space="preserve">Mayo, A. (2000). The role of employee development in the growth of intellectual capital. </w:t>
      </w:r>
      <w:r w:rsidRPr="00CC1C92">
        <w:rPr>
          <w:rFonts w:ascii="Arial" w:hAnsi="Arial" w:cs="Arial"/>
          <w:i/>
          <w:iCs/>
          <w:noProof/>
        </w:rPr>
        <w:t>Personnel Review</w:t>
      </w:r>
      <w:r w:rsidRPr="00CC1C92">
        <w:rPr>
          <w:rFonts w:ascii="Arial" w:hAnsi="Arial" w:cs="Arial"/>
          <w:noProof/>
        </w:rPr>
        <w:t>.</w:t>
      </w:r>
    </w:p>
    <w:p w:rsidR="00E0039A" w:rsidRPr="00CC1C92" w:rsidRDefault="00E0039A" w:rsidP="00EB6D9E">
      <w:pPr>
        <w:pStyle w:val="Bibliography"/>
        <w:spacing w:line="360" w:lineRule="auto"/>
        <w:ind w:left="720" w:hanging="720"/>
        <w:jc w:val="both"/>
        <w:rPr>
          <w:rFonts w:ascii="Arial" w:hAnsi="Arial" w:cs="Arial"/>
          <w:noProof/>
        </w:rPr>
      </w:pPr>
      <w:r w:rsidRPr="00CC1C92">
        <w:rPr>
          <w:rFonts w:ascii="Arial" w:hAnsi="Arial" w:cs="Arial"/>
        </w:rPr>
        <w:t>Morrison, R. (2004). Are women tending and befriending in theworkplace? Gender Difference in the relationship between workplace friendships and organizational outcomes. SexRoles, 60, 1-13.</w:t>
      </w:r>
    </w:p>
    <w:p w:rsidR="00967A7E" w:rsidRDefault="00BA1AE4" w:rsidP="00EB6D9E">
      <w:pPr>
        <w:pStyle w:val="Bibliography"/>
        <w:spacing w:line="360" w:lineRule="auto"/>
        <w:ind w:left="720" w:hanging="720"/>
        <w:jc w:val="both"/>
        <w:rPr>
          <w:rFonts w:ascii="Arial" w:hAnsi="Arial" w:cs="Arial"/>
          <w:noProof/>
        </w:rPr>
      </w:pPr>
      <w:r w:rsidRPr="00CC1C92">
        <w:rPr>
          <w:rFonts w:ascii="Arial" w:hAnsi="Arial" w:cs="Arial"/>
          <w:noProof/>
        </w:rPr>
        <w:t xml:space="preserve">Nankervis, A. R., Baird, M., Coffey, J., &amp; Shields, J. (2016). </w:t>
      </w:r>
      <w:r w:rsidRPr="00CC1C92">
        <w:rPr>
          <w:rFonts w:ascii="Arial" w:hAnsi="Arial" w:cs="Arial"/>
          <w:i/>
          <w:iCs/>
          <w:noProof/>
        </w:rPr>
        <w:t>Human resource management: strategy and practice</w:t>
      </w:r>
      <w:r w:rsidRPr="00CC1C92">
        <w:rPr>
          <w:rFonts w:ascii="Arial" w:hAnsi="Arial" w:cs="Arial"/>
          <w:noProof/>
        </w:rPr>
        <w:t>. Cengage AU.</w:t>
      </w:r>
    </w:p>
    <w:p w:rsidR="00EE0F6A" w:rsidRPr="00EE0F6A" w:rsidRDefault="00EE0F6A" w:rsidP="00EB6D9E">
      <w:pPr>
        <w:pStyle w:val="Bibliography"/>
        <w:spacing w:line="360" w:lineRule="auto"/>
        <w:ind w:left="720" w:hanging="720"/>
        <w:jc w:val="both"/>
        <w:rPr>
          <w:rFonts w:ascii="Arial" w:eastAsia="Times New Roman" w:hAnsi="Arial" w:cs="Arial"/>
          <w:lang w:eastAsia="en-GB"/>
        </w:rPr>
      </w:pPr>
      <w:r w:rsidRPr="00EE0F6A">
        <w:rPr>
          <w:rFonts w:ascii="Arial" w:hAnsi="Arial" w:cs="Arial"/>
          <w:noProof/>
        </w:rPr>
        <w:t>Nguyen, J., Guevara, N., Barnett, R., &amp; Thorpe, B. (2017). Strategic employee development in the government sector.</w:t>
      </w:r>
    </w:p>
    <w:p w:rsidR="00E376FF" w:rsidRPr="00CC1C92" w:rsidRDefault="00BA1AE4" w:rsidP="00EB6D9E">
      <w:pPr>
        <w:pStyle w:val="Bibliography"/>
        <w:spacing w:line="360" w:lineRule="auto"/>
        <w:ind w:left="720" w:hanging="720"/>
        <w:jc w:val="both"/>
        <w:rPr>
          <w:rFonts w:ascii="Arial" w:hAnsi="Arial" w:cs="Arial"/>
        </w:rPr>
      </w:pPr>
      <w:r w:rsidRPr="00CC1C92">
        <w:rPr>
          <w:rFonts w:ascii="Arial" w:hAnsi="Arial" w:cs="Arial"/>
        </w:rPr>
        <w:t xml:space="preserve">Rawlins, B. (2008). Measuring the relationship between </w:t>
      </w:r>
      <w:r w:rsidR="00292B26" w:rsidRPr="00CC1C92">
        <w:rPr>
          <w:rFonts w:ascii="Arial" w:hAnsi="Arial" w:cs="Arial"/>
        </w:rPr>
        <w:t>organisation</w:t>
      </w:r>
      <w:r w:rsidRPr="00CC1C92">
        <w:rPr>
          <w:rFonts w:ascii="Arial" w:hAnsi="Arial" w:cs="Arial"/>
        </w:rPr>
        <w:t>al transparency and employee trust. Public Relations Journal, 2, 1–21.</w:t>
      </w:r>
    </w:p>
    <w:p w:rsidR="00E376FF" w:rsidRPr="00CC1C92" w:rsidRDefault="00E376FF" w:rsidP="00EB6D9E">
      <w:pPr>
        <w:pStyle w:val="Bibliography"/>
        <w:spacing w:line="360" w:lineRule="auto"/>
        <w:ind w:left="720" w:hanging="720"/>
        <w:jc w:val="both"/>
        <w:rPr>
          <w:rFonts w:ascii="Arial" w:hAnsi="Arial" w:cs="Arial"/>
        </w:rPr>
      </w:pPr>
      <w:r w:rsidRPr="00CC1C92">
        <w:rPr>
          <w:rFonts w:ascii="Arial" w:hAnsi="Arial" w:cs="Arial"/>
        </w:rPr>
        <w:t>Saks, A. M.(2006). Antecedents and consequences of employee engagement. Journal of Managerial Psychology, 21, 600-618.</w:t>
      </w:r>
    </w:p>
    <w:p w:rsidR="00886343" w:rsidRDefault="00886343" w:rsidP="00EB6D9E">
      <w:pPr>
        <w:pStyle w:val="Bibliography"/>
        <w:spacing w:line="360" w:lineRule="auto"/>
        <w:ind w:left="720" w:hanging="720"/>
        <w:jc w:val="both"/>
        <w:rPr>
          <w:rFonts w:ascii="Arial" w:hAnsi="Arial" w:cs="Arial"/>
          <w:noProof/>
        </w:rPr>
      </w:pPr>
      <w:r w:rsidRPr="00CC1C92">
        <w:rPr>
          <w:rFonts w:ascii="Arial" w:hAnsi="Arial" w:cs="Arial"/>
          <w:noProof/>
        </w:rPr>
        <w:t xml:space="preserve">Stewart, G. L., &amp; Brown, K. G. (2019). </w:t>
      </w:r>
      <w:r w:rsidRPr="00CC1C92">
        <w:rPr>
          <w:rFonts w:ascii="Arial" w:hAnsi="Arial" w:cs="Arial"/>
          <w:i/>
          <w:iCs/>
          <w:noProof/>
        </w:rPr>
        <w:t>Human resource management</w:t>
      </w:r>
      <w:r w:rsidRPr="00CC1C92">
        <w:rPr>
          <w:rFonts w:ascii="Arial" w:hAnsi="Arial" w:cs="Arial"/>
          <w:noProof/>
        </w:rPr>
        <w:t>. John Wiley &amp; Sons.</w:t>
      </w:r>
    </w:p>
    <w:p w:rsidR="00EB6D9E" w:rsidRDefault="00EE0F6A" w:rsidP="00EB6D9E">
      <w:pPr>
        <w:pStyle w:val="Bibliography"/>
        <w:spacing w:line="360" w:lineRule="auto"/>
        <w:ind w:left="720" w:hanging="720"/>
        <w:jc w:val="both"/>
        <w:rPr>
          <w:rFonts w:ascii="Arial" w:hAnsi="Arial" w:cs="Arial"/>
          <w:noProof/>
        </w:rPr>
      </w:pPr>
      <w:r w:rsidRPr="00EE0F6A">
        <w:rPr>
          <w:rFonts w:ascii="Arial" w:hAnsi="Arial" w:cs="Arial"/>
          <w:noProof/>
        </w:rPr>
        <w:t xml:space="preserve">Wilton, N. (2016). </w:t>
      </w:r>
      <w:r w:rsidRPr="00EE0F6A">
        <w:rPr>
          <w:rFonts w:ascii="Arial" w:hAnsi="Arial" w:cs="Arial"/>
          <w:i/>
          <w:iCs/>
          <w:noProof/>
        </w:rPr>
        <w:t>An introduction to human resource management</w:t>
      </w:r>
      <w:r w:rsidRPr="00EE0F6A">
        <w:rPr>
          <w:rFonts w:ascii="Arial" w:hAnsi="Arial" w:cs="Arial"/>
          <w:noProof/>
        </w:rPr>
        <w:t>. Sage.</w:t>
      </w:r>
    </w:p>
    <w:p w:rsidR="00EB6D9E" w:rsidRDefault="00EB6D9E" w:rsidP="00EB6D9E">
      <w:pPr>
        <w:pStyle w:val="Bibliography"/>
        <w:spacing w:line="360" w:lineRule="auto"/>
        <w:ind w:left="720" w:hanging="720"/>
        <w:jc w:val="both"/>
        <w:rPr>
          <w:rFonts w:ascii="Arial" w:hAnsi="Arial" w:cs="Arial"/>
        </w:rPr>
      </w:pPr>
      <w:r w:rsidRPr="00EB6D9E">
        <w:rPr>
          <w:rFonts w:ascii="Arial" w:hAnsi="Arial" w:cs="Arial"/>
        </w:rPr>
        <w:t>Winne, P. H., &amp; Butler, D. L. (1994). Student cognition in learning from teaching. InT. Husen &amp; T. Postlewaite (Eds.), International encyclopaedia of education (2nded., pp. 5738-5745). Oxford, UK: Pergamon.</w:t>
      </w:r>
    </w:p>
    <w:p w:rsidR="00EB6D9E" w:rsidRPr="00EB6D9E" w:rsidRDefault="00EB6D9E" w:rsidP="00EB6D9E"/>
    <w:p w:rsidR="00BA1AE4" w:rsidRPr="0039480F" w:rsidRDefault="00BA1AE4" w:rsidP="0039480F">
      <w:pPr>
        <w:pStyle w:val="ListParagraph"/>
        <w:numPr>
          <w:ilvl w:val="0"/>
          <w:numId w:val="4"/>
        </w:numPr>
        <w:spacing w:line="360" w:lineRule="auto"/>
        <w:rPr>
          <w:rFonts w:ascii="Arial" w:hAnsi="Arial" w:cs="Arial"/>
          <w:b/>
          <w:u w:val="single"/>
        </w:rPr>
      </w:pPr>
      <w:r w:rsidRPr="0039480F">
        <w:rPr>
          <w:rFonts w:ascii="Arial" w:hAnsi="Arial" w:cs="Arial"/>
          <w:b/>
          <w:u w:val="single"/>
        </w:rPr>
        <w:t>Bibliography</w:t>
      </w:r>
    </w:p>
    <w:p w:rsidR="00BA1AE4" w:rsidRPr="00CC1C92" w:rsidRDefault="0012142D" w:rsidP="00CC1C92">
      <w:pPr>
        <w:spacing w:line="360" w:lineRule="auto"/>
        <w:rPr>
          <w:rFonts w:ascii="Arial" w:hAnsi="Arial" w:cs="Arial"/>
        </w:rPr>
      </w:pPr>
      <w:hyperlink r:id="rId8" w:history="1">
        <w:r w:rsidR="00BB3C6F" w:rsidRPr="00CC1C92">
          <w:rPr>
            <w:rStyle w:val="Hyperlink"/>
            <w:rFonts w:ascii="Arial" w:hAnsi="Arial" w:cs="Arial"/>
          </w:rPr>
          <w:t>https://pdfs.semanticscholar.org/1d45/b23a8d4c945455ebffda996dd55b22ff5aad.pdf</w:t>
        </w:r>
      </w:hyperlink>
    </w:p>
    <w:p w:rsidR="00BB3C6F" w:rsidRPr="00CC1C92" w:rsidRDefault="0012142D" w:rsidP="00CC1C92">
      <w:pPr>
        <w:spacing w:line="360" w:lineRule="auto"/>
        <w:rPr>
          <w:rFonts w:ascii="Arial" w:hAnsi="Arial" w:cs="Arial"/>
        </w:rPr>
      </w:pPr>
      <w:hyperlink r:id="rId9" w:history="1">
        <w:r w:rsidR="00BB3C6F" w:rsidRPr="00CC1C92">
          <w:rPr>
            <w:rStyle w:val="Hyperlink"/>
            <w:rFonts w:ascii="Arial" w:hAnsi="Arial" w:cs="Arial"/>
          </w:rPr>
          <w:t>http://www.iosrjournals.org/iosr-jrme/papers/Vol-5%20Issue-6/Version-2/P0562115125.pdf</w:t>
        </w:r>
      </w:hyperlink>
    </w:p>
    <w:p w:rsidR="00BB3C6F" w:rsidRPr="00CC1C92" w:rsidRDefault="0012142D" w:rsidP="00CC1C92">
      <w:pPr>
        <w:spacing w:line="360" w:lineRule="auto"/>
        <w:rPr>
          <w:rFonts w:ascii="Arial" w:hAnsi="Arial" w:cs="Arial"/>
        </w:rPr>
      </w:pPr>
      <w:hyperlink r:id="rId10" w:history="1">
        <w:r w:rsidR="00BB3C6F" w:rsidRPr="00CC1C92">
          <w:rPr>
            <w:rStyle w:val="Hyperlink"/>
            <w:rFonts w:ascii="Arial" w:hAnsi="Arial" w:cs="Arial"/>
          </w:rPr>
          <w:t>http://www.columbia.edu/~mvp19/ETF/Feedback.pdf</w:t>
        </w:r>
      </w:hyperlink>
    </w:p>
    <w:p w:rsidR="00BB3C6F" w:rsidRPr="00CC1C92" w:rsidRDefault="0012142D" w:rsidP="00CC1C92">
      <w:pPr>
        <w:spacing w:line="360" w:lineRule="auto"/>
        <w:rPr>
          <w:rFonts w:ascii="Arial" w:hAnsi="Arial" w:cs="Arial"/>
        </w:rPr>
      </w:pPr>
      <w:hyperlink r:id="rId11" w:history="1">
        <w:r w:rsidR="00BB3C6F" w:rsidRPr="00CC1C92">
          <w:rPr>
            <w:rStyle w:val="Hyperlink"/>
            <w:rFonts w:ascii="Arial" w:hAnsi="Arial" w:cs="Arial"/>
          </w:rPr>
          <w:t>https://prjournal.instituteforpr.org/wp-content/uploads/2015v09n02Men.pdf</w:t>
        </w:r>
      </w:hyperlink>
    </w:p>
    <w:p w:rsidR="006D141D" w:rsidRPr="00CC1C92" w:rsidRDefault="0012142D" w:rsidP="00CC1C92">
      <w:pPr>
        <w:spacing w:line="360" w:lineRule="auto"/>
        <w:rPr>
          <w:rFonts w:ascii="Arial" w:hAnsi="Arial" w:cs="Arial"/>
        </w:rPr>
      </w:pPr>
      <w:hyperlink r:id="rId12" w:history="1">
        <w:r w:rsidR="006D141D" w:rsidRPr="00CC1C92">
          <w:rPr>
            <w:rStyle w:val="Hyperlink"/>
            <w:rFonts w:ascii="Arial" w:hAnsi="Arial" w:cs="Arial"/>
          </w:rPr>
          <w:t>http://www.benschneiderphd.com/Macey-Schneider_IOP_March_08.pdf</w:t>
        </w:r>
      </w:hyperlink>
    </w:p>
    <w:p w:rsidR="00BB3C6F" w:rsidRPr="00CC1C92" w:rsidRDefault="0012142D" w:rsidP="00CC1C92">
      <w:pPr>
        <w:spacing w:line="360" w:lineRule="auto"/>
        <w:rPr>
          <w:rFonts w:ascii="Arial" w:hAnsi="Arial" w:cs="Arial"/>
        </w:rPr>
      </w:pPr>
      <w:hyperlink r:id="rId13" w:history="1">
        <w:r w:rsidR="004C223E" w:rsidRPr="00CC1C92">
          <w:rPr>
            <w:rStyle w:val="Hyperlink"/>
            <w:rFonts w:ascii="Arial" w:hAnsi="Arial" w:cs="Arial"/>
          </w:rPr>
          <w:t>https://www.cipd.co.uk/Images/human-capital-theory-assessing-the-evidence_tcm18-22292.pdf</w:t>
        </w:r>
      </w:hyperlink>
    </w:p>
    <w:sectPr w:rsidR="00BB3C6F" w:rsidRPr="00CC1C92" w:rsidSect="00A452C7">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05496" w:rsidRDefault="00D05496" w:rsidP="006527A4">
      <w:pPr>
        <w:spacing w:after="0" w:line="240" w:lineRule="auto"/>
      </w:pPr>
      <w:r>
        <w:separator/>
      </w:r>
    </w:p>
  </w:endnote>
  <w:endnote w:type="continuationSeparator" w:id="1">
    <w:p w:rsidR="00D05496" w:rsidRDefault="00D05496" w:rsidP="006527A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07003"/>
      <w:docPartObj>
        <w:docPartGallery w:val="Page Numbers (Bottom of Page)"/>
        <w:docPartUnique/>
      </w:docPartObj>
    </w:sdtPr>
    <w:sdtContent>
      <w:p w:rsidR="00AA71D7" w:rsidRDefault="0012142D">
        <w:pPr>
          <w:pStyle w:val="Footer"/>
          <w:jc w:val="center"/>
        </w:pPr>
        <w:fldSimple w:instr=" PAGE   \* MERGEFORMAT ">
          <w:r w:rsidR="00FC133C">
            <w:rPr>
              <w:noProof/>
            </w:rPr>
            <w:t>12</w:t>
          </w:r>
        </w:fldSimple>
      </w:p>
    </w:sdtContent>
  </w:sdt>
  <w:p w:rsidR="00AA71D7" w:rsidRDefault="00AA71D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05496" w:rsidRDefault="00D05496" w:rsidP="006527A4">
      <w:pPr>
        <w:spacing w:after="0" w:line="240" w:lineRule="auto"/>
      </w:pPr>
      <w:r>
        <w:separator/>
      </w:r>
    </w:p>
  </w:footnote>
  <w:footnote w:type="continuationSeparator" w:id="1">
    <w:p w:rsidR="00D05496" w:rsidRDefault="00D05496" w:rsidP="006527A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E821A2"/>
    <w:multiLevelType w:val="hybridMultilevel"/>
    <w:tmpl w:val="458459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350F43DC"/>
    <w:multiLevelType w:val="hybridMultilevel"/>
    <w:tmpl w:val="2F5C48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807318F"/>
    <w:multiLevelType w:val="hybridMultilevel"/>
    <w:tmpl w:val="0A9ED460"/>
    <w:lvl w:ilvl="0" w:tplc="08090013">
      <w:start w:val="1"/>
      <w:numFmt w:val="upperRoman"/>
      <w:lvlText w:val="%1."/>
      <w:lvlJc w:val="right"/>
      <w:pPr>
        <w:ind w:left="1929" w:hanging="360"/>
      </w:pPr>
    </w:lvl>
    <w:lvl w:ilvl="1" w:tplc="08090019" w:tentative="1">
      <w:start w:val="1"/>
      <w:numFmt w:val="lowerLetter"/>
      <w:lvlText w:val="%2."/>
      <w:lvlJc w:val="left"/>
      <w:pPr>
        <w:ind w:left="2649" w:hanging="360"/>
      </w:pPr>
    </w:lvl>
    <w:lvl w:ilvl="2" w:tplc="0809001B" w:tentative="1">
      <w:start w:val="1"/>
      <w:numFmt w:val="lowerRoman"/>
      <w:lvlText w:val="%3."/>
      <w:lvlJc w:val="right"/>
      <w:pPr>
        <w:ind w:left="3369" w:hanging="180"/>
      </w:pPr>
    </w:lvl>
    <w:lvl w:ilvl="3" w:tplc="0809000F" w:tentative="1">
      <w:start w:val="1"/>
      <w:numFmt w:val="decimal"/>
      <w:lvlText w:val="%4."/>
      <w:lvlJc w:val="left"/>
      <w:pPr>
        <w:ind w:left="4089" w:hanging="360"/>
      </w:pPr>
    </w:lvl>
    <w:lvl w:ilvl="4" w:tplc="08090019" w:tentative="1">
      <w:start w:val="1"/>
      <w:numFmt w:val="lowerLetter"/>
      <w:lvlText w:val="%5."/>
      <w:lvlJc w:val="left"/>
      <w:pPr>
        <w:ind w:left="4809" w:hanging="360"/>
      </w:pPr>
    </w:lvl>
    <w:lvl w:ilvl="5" w:tplc="0809001B" w:tentative="1">
      <w:start w:val="1"/>
      <w:numFmt w:val="lowerRoman"/>
      <w:lvlText w:val="%6."/>
      <w:lvlJc w:val="right"/>
      <w:pPr>
        <w:ind w:left="5529" w:hanging="180"/>
      </w:pPr>
    </w:lvl>
    <w:lvl w:ilvl="6" w:tplc="0809000F" w:tentative="1">
      <w:start w:val="1"/>
      <w:numFmt w:val="decimal"/>
      <w:lvlText w:val="%7."/>
      <w:lvlJc w:val="left"/>
      <w:pPr>
        <w:ind w:left="6249" w:hanging="360"/>
      </w:pPr>
    </w:lvl>
    <w:lvl w:ilvl="7" w:tplc="08090019" w:tentative="1">
      <w:start w:val="1"/>
      <w:numFmt w:val="lowerLetter"/>
      <w:lvlText w:val="%8."/>
      <w:lvlJc w:val="left"/>
      <w:pPr>
        <w:ind w:left="6969" w:hanging="360"/>
      </w:pPr>
    </w:lvl>
    <w:lvl w:ilvl="8" w:tplc="0809001B" w:tentative="1">
      <w:start w:val="1"/>
      <w:numFmt w:val="lowerRoman"/>
      <w:lvlText w:val="%9."/>
      <w:lvlJc w:val="right"/>
      <w:pPr>
        <w:ind w:left="7689" w:hanging="180"/>
      </w:pPr>
    </w:lvl>
  </w:abstractNum>
  <w:abstractNum w:abstractNumId="3">
    <w:nsid w:val="4254460A"/>
    <w:multiLevelType w:val="hybridMultilevel"/>
    <w:tmpl w:val="3B20C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7AF26F8"/>
    <w:multiLevelType w:val="hybridMultilevel"/>
    <w:tmpl w:val="480EC9C6"/>
    <w:lvl w:ilvl="0" w:tplc="472CD8A6">
      <w:start w:val="1"/>
      <w:numFmt w:val="bullet"/>
      <w:lvlText w:val=""/>
      <w:lvlJc w:val="left"/>
      <w:pPr>
        <w:tabs>
          <w:tab w:val="num" w:pos="720"/>
        </w:tabs>
        <w:ind w:left="720" w:hanging="360"/>
      </w:pPr>
      <w:rPr>
        <w:rFonts w:ascii="Wingdings" w:hAnsi="Wingdings" w:hint="default"/>
      </w:rPr>
    </w:lvl>
    <w:lvl w:ilvl="1" w:tplc="E19A8708" w:tentative="1">
      <w:start w:val="1"/>
      <w:numFmt w:val="bullet"/>
      <w:lvlText w:val=""/>
      <w:lvlJc w:val="left"/>
      <w:pPr>
        <w:tabs>
          <w:tab w:val="num" w:pos="1440"/>
        </w:tabs>
        <w:ind w:left="1440" w:hanging="360"/>
      </w:pPr>
      <w:rPr>
        <w:rFonts w:ascii="Wingdings" w:hAnsi="Wingdings" w:hint="default"/>
      </w:rPr>
    </w:lvl>
    <w:lvl w:ilvl="2" w:tplc="DC54195C" w:tentative="1">
      <w:start w:val="1"/>
      <w:numFmt w:val="bullet"/>
      <w:lvlText w:val=""/>
      <w:lvlJc w:val="left"/>
      <w:pPr>
        <w:tabs>
          <w:tab w:val="num" w:pos="2160"/>
        </w:tabs>
        <w:ind w:left="2160" w:hanging="360"/>
      </w:pPr>
      <w:rPr>
        <w:rFonts w:ascii="Wingdings" w:hAnsi="Wingdings" w:hint="default"/>
      </w:rPr>
    </w:lvl>
    <w:lvl w:ilvl="3" w:tplc="5F04B734" w:tentative="1">
      <w:start w:val="1"/>
      <w:numFmt w:val="bullet"/>
      <w:lvlText w:val=""/>
      <w:lvlJc w:val="left"/>
      <w:pPr>
        <w:tabs>
          <w:tab w:val="num" w:pos="2880"/>
        </w:tabs>
        <w:ind w:left="2880" w:hanging="360"/>
      </w:pPr>
      <w:rPr>
        <w:rFonts w:ascii="Wingdings" w:hAnsi="Wingdings" w:hint="default"/>
      </w:rPr>
    </w:lvl>
    <w:lvl w:ilvl="4" w:tplc="EDC8A250" w:tentative="1">
      <w:start w:val="1"/>
      <w:numFmt w:val="bullet"/>
      <w:lvlText w:val=""/>
      <w:lvlJc w:val="left"/>
      <w:pPr>
        <w:tabs>
          <w:tab w:val="num" w:pos="3600"/>
        </w:tabs>
        <w:ind w:left="3600" w:hanging="360"/>
      </w:pPr>
      <w:rPr>
        <w:rFonts w:ascii="Wingdings" w:hAnsi="Wingdings" w:hint="default"/>
      </w:rPr>
    </w:lvl>
    <w:lvl w:ilvl="5" w:tplc="432A3920" w:tentative="1">
      <w:start w:val="1"/>
      <w:numFmt w:val="bullet"/>
      <w:lvlText w:val=""/>
      <w:lvlJc w:val="left"/>
      <w:pPr>
        <w:tabs>
          <w:tab w:val="num" w:pos="4320"/>
        </w:tabs>
        <w:ind w:left="4320" w:hanging="360"/>
      </w:pPr>
      <w:rPr>
        <w:rFonts w:ascii="Wingdings" w:hAnsi="Wingdings" w:hint="default"/>
      </w:rPr>
    </w:lvl>
    <w:lvl w:ilvl="6" w:tplc="D21054C2" w:tentative="1">
      <w:start w:val="1"/>
      <w:numFmt w:val="bullet"/>
      <w:lvlText w:val=""/>
      <w:lvlJc w:val="left"/>
      <w:pPr>
        <w:tabs>
          <w:tab w:val="num" w:pos="5040"/>
        </w:tabs>
        <w:ind w:left="5040" w:hanging="360"/>
      </w:pPr>
      <w:rPr>
        <w:rFonts w:ascii="Wingdings" w:hAnsi="Wingdings" w:hint="default"/>
      </w:rPr>
    </w:lvl>
    <w:lvl w:ilvl="7" w:tplc="FB800780" w:tentative="1">
      <w:start w:val="1"/>
      <w:numFmt w:val="bullet"/>
      <w:lvlText w:val=""/>
      <w:lvlJc w:val="left"/>
      <w:pPr>
        <w:tabs>
          <w:tab w:val="num" w:pos="5760"/>
        </w:tabs>
        <w:ind w:left="5760" w:hanging="360"/>
      </w:pPr>
      <w:rPr>
        <w:rFonts w:ascii="Wingdings" w:hAnsi="Wingdings" w:hint="default"/>
      </w:rPr>
    </w:lvl>
    <w:lvl w:ilvl="8" w:tplc="FD3C7FF4" w:tentative="1">
      <w:start w:val="1"/>
      <w:numFmt w:val="bullet"/>
      <w:lvlText w:val=""/>
      <w:lvlJc w:val="left"/>
      <w:pPr>
        <w:tabs>
          <w:tab w:val="num" w:pos="6480"/>
        </w:tabs>
        <w:ind w:left="6480" w:hanging="360"/>
      </w:pPr>
      <w:rPr>
        <w:rFonts w:ascii="Wingdings" w:hAnsi="Wingdings" w:hint="default"/>
      </w:rPr>
    </w:lvl>
  </w:abstractNum>
  <w:abstractNum w:abstractNumId="5">
    <w:nsid w:val="65EF5C40"/>
    <w:multiLevelType w:val="hybridMultilevel"/>
    <w:tmpl w:val="855EF79C"/>
    <w:lvl w:ilvl="0" w:tplc="08090013">
      <w:start w:val="1"/>
      <w:numFmt w:val="upperRoman"/>
      <w:lvlText w:val="%1."/>
      <w:lvlJc w:val="righ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66C01A72"/>
    <w:multiLevelType w:val="hybridMultilevel"/>
    <w:tmpl w:val="97507E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66E8324B"/>
    <w:multiLevelType w:val="hybridMultilevel"/>
    <w:tmpl w:val="31304C28"/>
    <w:lvl w:ilvl="0" w:tplc="08090013">
      <w:start w:val="1"/>
      <w:numFmt w:val="upperRoman"/>
      <w:lvlText w:val="%1."/>
      <w:lvlJc w:val="right"/>
      <w:pPr>
        <w:ind w:left="2119" w:hanging="360"/>
      </w:pPr>
    </w:lvl>
    <w:lvl w:ilvl="1" w:tplc="08090019" w:tentative="1">
      <w:start w:val="1"/>
      <w:numFmt w:val="lowerLetter"/>
      <w:lvlText w:val="%2."/>
      <w:lvlJc w:val="left"/>
      <w:pPr>
        <w:ind w:left="2839" w:hanging="360"/>
      </w:pPr>
    </w:lvl>
    <w:lvl w:ilvl="2" w:tplc="0809001B" w:tentative="1">
      <w:start w:val="1"/>
      <w:numFmt w:val="lowerRoman"/>
      <w:lvlText w:val="%3."/>
      <w:lvlJc w:val="right"/>
      <w:pPr>
        <w:ind w:left="3559" w:hanging="180"/>
      </w:pPr>
    </w:lvl>
    <w:lvl w:ilvl="3" w:tplc="0809000F" w:tentative="1">
      <w:start w:val="1"/>
      <w:numFmt w:val="decimal"/>
      <w:lvlText w:val="%4."/>
      <w:lvlJc w:val="left"/>
      <w:pPr>
        <w:ind w:left="4279" w:hanging="360"/>
      </w:pPr>
    </w:lvl>
    <w:lvl w:ilvl="4" w:tplc="08090019" w:tentative="1">
      <w:start w:val="1"/>
      <w:numFmt w:val="lowerLetter"/>
      <w:lvlText w:val="%5."/>
      <w:lvlJc w:val="left"/>
      <w:pPr>
        <w:ind w:left="4999" w:hanging="360"/>
      </w:pPr>
    </w:lvl>
    <w:lvl w:ilvl="5" w:tplc="0809001B" w:tentative="1">
      <w:start w:val="1"/>
      <w:numFmt w:val="lowerRoman"/>
      <w:lvlText w:val="%6."/>
      <w:lvlJc w:val="right"/>
      <w:pPr>
        <w:ind w:left="5719" w:hanging="180"/>
      </w:pPr>
    </w:lvl>
    <w:lvl w:ilvl="6" w:tplc="0809000F" w:tentative="1">
      <w:start w:val="1"/>
      <w:numFmt w:val="decimal"/>
      <w:lvlText w:val="%7."/>
      <w:lvlJc w:val="left"/>
      <w:pPr>
        <w:ind w:left="6439" w:hanging="360"/>
      </w:pPr>
    </w:lvl>
    <w:lvl w:ilvl="7" w:tplc="08090019" w:tentative="1">
      <w:start w:val="1"/>
      <w:numFmt w:val="lowerLetter"/>
      <w:lvlText w:val="%8."/>
      <w:lvlJc w:val="left"/>
      <w:pPr>
        <w:ind w:left="7159" w:hanging="360"/>
      </w:pPr>
    </w:lvl>
    <w:lvl w:ilvl="8" w:tplc="0809001B" w:tentative="1">
      <w:start w:val="1"/>
      <w:numFmt w:val="lowerRoman"/>
      <w:lvlText w:val="%9."/>
      <w:lvlJc w:val="right"/>
      <w:pPr>
        <w:ind w:left="7879" w:hanging="180"/>
      </w:pPr>
    </w:lvl>
  </w:abstractNum>
  <w:abstractNum w:abstractNumId="8">
    <w:nsid w:val="6C024A28"/>
    <w:multiLevelType w:val="hybridMultilevel"/>
    <w:tmpl w:val="6AE2E1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6EFB7233"/>
    <w:multiLevelType w:val="hybridMultilevel"/>
    <w:tmpl w:val="E3BA0ABA"/>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nsid w:val="6F026A8A"/>
    <w:multiLevelType w:val="hybridMultilevel"/>
    <w:tmpl w:val="099E50D6"/>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nsid w:val="74287900"/>
    <w:multiLevelType w:val="hybridMultilevel"/>
    <w:tmpl w:val="7B9464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794359CE"/>
    <w:multiLevelType w:val="hybridMultilevel"/>
    <w:tmpl w:val="D728A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BA370A3"/>
    <w:multiLevelType w:val="hybridMultilevel"/>
    <w:tmpl w:val="BC4C5F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nsid w:val="7DBA258C"/>
    <w:multiLevelType w:val="hybridMultilevel"/>
    <w:tmpl w:val="A126D55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0"/>
  </w:num>
  <w:num w:numId="3">
    <w:abstractNumId w:val="9"/>
  </w:num>
  <w:num w:numId="4">
    <w:abstractNumId w:val="0"/>
  </w:num>
  <w:num w:numId="5">
    <w:abstractNumId w:val="6"/>
  </w:num>
  <w:num w:numId="6">
    <w:abstractNumId w:val="13"/>
  </w:num>
  <w:num w:numId="7">
    <w:abstractNumId w:val="4"/>
  </w:num>
  <w:num w:numId="8">
    <w:abstractNumId w:val="14"/>
  </w:num>
  <w:num w:numId="9">
    <w:abstractNumId w:val="11"/>
  </w:num>
  <w:num w:numId="10">
    <w:abstractNumId w:val="5"/>
  </w:num>
  <w:num w:numId="11">
    <w:abstractNumId w:val="2"/>
  </w:num>
  <w:num w:numId="12">
    <w:abstractNumId w:val="7"/>
  </w:num>
  <w:num w:numId="13">
    <w:abstractNumId w:val="3"/>
  </w:num>
  <w:num w:numId="14">
    <w:abstractNumId w:val="12"/>
  </w:num>
  <w:num w:numId="1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C84E4B"/>
    <w:rsid w:val="0010384C"/>
    <w:rsid w:val="0012142D"/>
    <w:rsid w:val="00130BCC"/>
    <w:rsid w:val="00145981"/>
    <w:rsid w:val="00147434"/>
    <w:rsid w:val="00185257"/>
    <w:rsid w:val="001F0FF4"/>
    <w:rsid w:val="001F275B"/>
    <w:rsid w:val="0021123C"/>
    <w:rsid w:val="00276021"/>
    <w:rsid w:val="00292B26"/>
    <w:rsid w:val="002A7CAA"/>
    <w:rsid w:val="002C14BA"/>
    <w:rsid w:val="002D4763"/>
    <w:rsid w:val="00371B81"/>
    <w:rsid w:val="003831EE"/>
    <w:rsid w:val="0039480F"/>
    <w:rsid w:val="003C1FB4"/>
    <w:rsid w:val="004C223E"/>
    <w:rsid w:val="005018B4"/>
    <w:rsid w:val="005C21A6"/>
    <w:rsid w:val="005D7D71"/>
    <w:rsid w:val="00630A16"/>
    <w:rsid w:val="006431AC"/>
    <w:rsid w:val="006527A4"/>
    <w:rsid w:val="006667A9"/>
    <w:rsid w:val="006C2C06"/>
    <w:rsid w:val="006C484E"/>
    <w:rsid w:val="006D141D"/>
    <w:rsid w:val="00760328"/>
    <w:rsid w:val="007B2AEF"/>
    <w:rsid w:val="007C4045"/>
    <w:rsid w:val="007E37D3"/>
    <w:rsid w:val="0084236D"/>
    <w:rsid w:val="00884359"/>
    <w:rsid w:val="00886343"/>
    <w:rsid w:val="008A1049"/>
    <w:rsid w:val="008F028D"/>
    <w:rsid w:val="009467B6"/>
    <w:rsid w:val="00967A7E"/>
    <w:rsid w:val="009F0AAB"/>
    <w:rsid w:val="00A42F9D"/>
    <w:rsid w:val="00A452C7"/>
    <w:rsid w:val="00A74815"/>
    <w:rsid w:val="00AA71D7"/>
    <w:rsid w:val="00BA1AE4"/>
    <w:rsid w:val="00BB3C6F"/>
    <w:rsid w:val="00BB77AD"/>
    <w:rsid w:val="00BF2190"/>
    <w:rsid w:val="00BF3AC6"/>
    <w:rsid w:val="00C84E4B"/>
    <w:rsid w:val="00CA73FB"/>
    <w:rsid w:val="00CA783E"/>
    <w:rsid w:val="00CB2CF9"/>
    <w:rsid w:val="00CC1C92"/>
    <w:rsid w:val="00D05496"/>
    <w:rsid w:val="00D34DFB"/>
    <w:rsid w:val="00D473AF"/>
    <w:rsid w:val="00DF7CD3"/>
    <w:rsid w:val="00E0039A"/>
    <w:rsid w:val="00E376FF"/>
    <w:rsid w:val="00EB6D9E"/>
    <w:rsid w:val="00EE0F6A"/>
    <w:rsid w:val="00F049DE"/>
    <w:rsid w:val="00F60430"/>
    <w:rsid w:val="00F74A09"/>
    <w:rsid w:val="00F8676A"/>
    <w:rsid w:val="00FA0651"/>
    <w:rsid w:val="00FC133C"/>
    <w:rsid w:val="00FC7C01"/>
    <w:rsid w:val="00FE58BE"/>
    <w:rsid w:val="00FE66C8"/>
    <w:rsid w:val="00FF3D6F"/>
    <w:rsid w:val="00FF66A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4E4B"/>
    <w:pPr>
      <w:spacing w:after="160" w:line="259" w:lineRule="auto"/>
    </w:pPr>
  </w:style>
  <w:style w:type="paragraph" w:styleId="Heading1">
    <w:name w:val="heading 1"/>
    <w:basedOn w:val="Normal"/>
    <w:next w:val="Normal"/>
    <w:link w:val="Heading1Char"/>
    <w:uiPriority w:val="9"/>
    <w:qFormat/>
    <w:rsid w:val="0039480F"/>
    <w:pPr>
      <w:keepNext/>
      <w:keepLines/>
      <w:spacing w:before="240" w:after="0" w:line="276"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4E4B"/>
    <w:pPr>
      <w:ind w:left="720"/>
      <w:contextualSpacing/>
    </w:pPr>
  </w:style>
  <w:style w:type="paragraph" w:styleId="Bibliography">
    <w:name w:val="Bibliography"/>
    <w:basedOn w:val="Normal"/>
    <w:next w:val="Normal"/>
    <w:uiPriority w:val="37"/>
    <w:unhideWhenUsed/>
    <w:rsid w:val="00C84E4B"/>
  </w:style>
  <w:style w:type="character" w:styleId="Hyperlink">
    <w:name w:val="Hyperlink"/>
    <w:basedOn w:val="DefaultParagraphFont"/>
    <w:uiPriority w:val="99"/>
    <w:unhideWhenUsed/>
    <w:rsid w:val="00BB3C6F"/>
    <w:rPr>
      <w:color w:val="0000FF" w:themeColor="hyperlink"/>
      <w:u w:val="single"/>
    </w:rPr>
  </w:style>
  <w:style w:type="paragraph" w:styleId="Header">
    <w:name w:val="header"/>
    <w:basedOn w:val="Normal"/>
    <w:link w:val="HeaderChar"/>
    <w:uiPriority w:val="99"/>
    <w:semiHidden/>
    <w:unhideWhenUsed/>
    <w:rsid w:val="006527A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27A4"/>
  </w:style>
  <w:style w:type="paragraph" w:styleId="Footer">
    <w:name w:val="footer"/>
    <w:basedOn w:val="Normal"/>
    <w:link w:val="FooterChar"/>
    <w:uiPriority w:val="99"/>
    <w:unhideWhenUsed/>
    <w:rsid w:val="00652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7A4"/>
  </w:style>
  <w:style w:type="character" w:styleId="FollowedHyperlink">
    <w:name w:val="FollowedHyperlink"/>
    <w:basedOn w:val="DefaultParagraphFont"/>
    <w:uiPriority w:val="99"/>
    <w:semiHidden/>
    <w:unhideWhenUsed/>
    <w:rsid w:val="00EB6D9E"/>
    <w:rPr>
      <w:color w:val="800080" w:themeColor="followedHyperlink"/>
      <w:u w:val="single"/>
    </w:rPr>
  </w:style>
  <w:style w:type="paragraph" w:styleId="BalloonText">
    <w:name w:val="Balloon Text"/>
    <w:basedOn w:val="Normal"/>
    <w:link w:val="BalloonTextChar"/>
    <w:uiPriority w:val="99"/>
    <w:semiHidden/>
    <w:unhideWhenUsed/>
    <w:rsid w:val="003948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480F"/>
    <w:rPr>
      <w:rFonts w:ascii="Tahoma" w:hAnsi="Tahoma" w:cs="Tahoma"/>
      <w:sz w:val="16"/>
      <w:szCs w:val="16"/>
    </w:rPr>
  </w:style>
  <w:style w:type="character" w:customStyle="1" w:styleId="Heading1Char">
    <w:name w:val="Heading 1 Char"/>
    <w:basedOn w:val="DefaultParagraphFont"/>
    <w:link w:val="Heading1"/>
    <w:uiPriority w:val="9"/>
    <w:rsid w:val="0039480F"/>
    <w:rPr>
      <w:rFonts w:asciiTheme="majorHAnsi" w:eastAsiaTheme="majorEastAsia" w:hAnsiTheme="majorHAnsi" w:cstheme="majorBidi"/>
      <w:color w:val="365F91" w:themeColor="accent1" w:themeShade="BF"/>
      <w:sz w:val="32"/>
      <w:szCs w:val="32"/>
      <w:lang w:val="en-US"/>
    </w:rPr>
  </w:style>
  <w:style w:type="character" w:customStyle="1" w:styleId="marky6k9n6vvm">
    <w:name w:val="marky6k9n6vvm"/>
    <w:basedOn w:val="DefaultParagraphFont"/>
    <w:rsid w:val="008A1049"/>
  </w:style>
  <w:style w:type="character" w:customStyle="1" w:styleId="markmztkgqco3">
    <w:name w:val="markmztkgqco3"/>
    <w:basedOn w:val="DefaultParagraphFont"/>
    <w:rsid w:val="008A1049"/>
  </w:style>
</w:styles>
</file>

<file path=word/webSettings.xml><?xml version="1.0" encoding="utf-8"?>
<w:webSettings xmlns:r="http://schemas.openxmlformats.org/officeDocument/2006/relationships" xmlns:w="http://schemas.openxmlformats.org/wordprocessingml/2006/main">
  <w:divs>
    <w:div w:id="406153407">
      <w:bodyDiv w:val="1"/>
      <w:marLeft w:val="0"/>
      <w:marRight w:val="0"/>
      <w:marTop w:val="0"/>
      <w:marBottom w:val="0"/>
      <w:divBdr>
        <w:top w:val="none" w:sz="0" w:space="0" w:color="auto"/>
        <w:left w:val="none" w:sz="0" w:space="0" w:color="auto"/>
        <w:bottom w:val="none" w:sz="0" w:space="0" w:color="auto"/>
        <w:right w:val="none" w:sz="0" w:space="0" w:color="auto"/>
      </w:divBdr>
      <w:divsChild>
        <w:div w:id="149713338">
          <w:marLeft w:val="590"/>
          <w:marRight w:val="0"/>
          <w:marTop w:val="86"/>
          <w:marBottom w:val="0"/>
          <w:divBdr>
            <w:top w:val="none" w:sz="0" w:space="0" w:color="auto"/>
            <w:left w:val="none" w:sz="0" w:space="0" w:color="auto"/>
            <w:bottom w:val="none" w:sz="0" w:space="0" w:color="auto"/>
            <w:right w:val="none" w:sz="0" w:space="0" w:color="auto"/>
          </w:divBdr>
        </w:div>
        <w:div w:id="653412176">
          <w:marLeft w:val="590"/>
          <w:marRight w:val="0"/>
          <w:marTop w:val="86"/>
          <w:marBottom w:val="0"/>
          <w:divBdr>
            <w:top w:val="none" w:sz="0" w:space="0" w:color="auto"/>
            <w:left w:val="none" w:sz="0" w:space="0" w:color="auto"/>
            <w:bottom w:val="none" w:sz="0" w:space="0" w:color="auto"/>
            <w:right w:val="none" w:sz="0" w:space="0" w:color="auto"/>
          </w:divBdr>
        </w:div>
        <w:div w:id="1612131609">
          <w:marLeft w:val="590"/>
          <w:marRight w:val="0"/>
          <w:marTop w:val="86"/>
          <w:marBottom w:val="0"/>
          <w:divBdr>
            <w:top w:val="none" w:sz="0" w:space="0" w:color="auto"/>
            <w:left w:val="none" w:sz="0" w:space="0" w:color="auto"/>
            <w:bottom w:val="none" w:sz="0" w:space="0" w:color="auto"/>
            <w:right w:val="none" w:sz="0" w:space="0" w:color="auto"/>
          </w:divBdr>
        </w:div>
        <w:div w:id="885333739">
          <w:marLeft w:val="590"/>
          <w:marRight w:val="0"/>
          <w:marTop w:val="86"/>
          <w:marBottom w:val="0"/>
          <w:divBdr>
            <w:top w:val="none" w:sz="0" w:space="0" w:color="auto"/>
            <w:left w:val="none" w:sz="0" w:space="0" w:color="auto"/>
            <w:bottom w:val="none" w:sz="0" w:space="0" w:color="auto"/>
            <w:right w:val="none" w:sz="0" w:space="0" w:color="auto"/>
          </w:divBdr>
        </w:div>
        <w:div w:id="536356924">
          <w:marLeft w:val="590"/>
          <w:marRight w:val="0"/>
          <w:marTop w:val="8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1d45/b23a8d4c945455ebffda996dd55b22ff5aad.pdf" TargetMode="External"/><Relationship Id="rId13" Type="http://schemas.openxmlformats.org/officeDocument/2006/relationships/hyperlink" Target="https://www.cipd.co.uk/Images/human-capital-theory-assessing-the-evidence_tcm18-22292.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benschneiderphd.com/Macey-Schneider_IOP_March_08.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journal.instituteforpr.org/wp-content/uploads/2015v09n02Men.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columbia.edu/~mvp19/ETF/Feedback.pdf" TargetMode="External"/><Relationship Id="rId4" Type="http://schemas.openxmlformats.org/officeDocument/2006/relationships/webSettings" Target="webSettings.xml"/><Relationship Id="rId9" Type="http://schemas.openxmlformats.org/officeDocument/2006/relationships/hyperlink" Target="http://www.iosrjournals.org/iosr-jrme/papers/Vol-5%20Issue-6/Version-2/P0562115125.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387</TotalTime>
  <Pages>1</Pages>
  <Words>4151</Words>
  <Characters>23663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22</cp:revision>
  <dcterms:created xsi:type="dcterms:W3CDTF">2020-02-03T11:26:00Z</dcterms:created>
  <dcterms:modified xsi:type="dcterms:W3CDTF">2020-03-17T16:49:00Z</dcterms:modified>
</cp:coreProperties>
</file>