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4160D" w14:textId="77777777" w:rsidR="009E5E60" w:rsidRPr="003A2FDF" w:rsidRDefault="009E5E60" w:rsidP="00D02622">
      <w:pPr>
        <w:spacing w:line="360" w:lineRule="auto"/>
        <w:jc w:val="center"/>
        <w:rPr>
          <w:rFonts w:ascii="Aptos" w:hAnsi="Aptos" w:cs="Arial"/>
          <w:b/>
          <w:bCs/>
          <w:sz w:val="28"/>
          <w:szCs w:val="28"/>
        </w:rPr>
      </w:pPr>
      <w:r>
        <w:rPr>
          <w:noProof/>
        </w:rPr>
        <w:drawing>
          <wp:inline distT="0" distB="0" distL="0" distR="0" wp14:anchorId="4CC2F8E4" wp14:editId="6ED31911">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13EF067" w14:textId="77777777" w:rsidR="009E5E60" w:rsidRPr="008270EC" w:rsidRDefault="009E5E60" w:rsidP="00D02622">
      <w:pPr>
        <w:spacing w:line="360" w:lineRule="auto"/>
        <w:jc w:val="center"/>
        <w:rPr>
          <w:rFonts w:ascii="Aptos" w:hAnsi="Aptos" w:cs="Arial"/>
          <w:b/>
          <w:bCs/>
          <w:sz w:val="32"/>
          <w:szCs w:val="32"/>
        </w:rPr>
      </w:pPr>
    </w:p>
    <w:p w14:paraId="7AF1C46D" w14:textId="52EBA70F" w:rsidR="007D2385" w:rsidRDefault="009E5E60" w:rsidP="00D02622">
      <w:pPr>
        <w:spacing w:line="360" w:lineRule="auto"/>
        <w:jc w:val="center"/>
        <w:rPr>
          <w:rFonts w:ascii="Arial" w:hAnsi="Arial" w:cs="Arial"/>
          <w:b/>
          <w:bCs/>
          <w:sz w:val="32"/>
          <w:szCs w:val="32"/>
        </w:rPr>
      </w:pPr>
      <w:r w:rsidRPr="008270EC">
        <w:rPr>
          <w:rFonts w:ascii="Arial" w:hAnsi="Arial" w:cs="Arial"/>
          <w:b/>
          <w:bCs/>
          <w:sz w:val="32"/>
          <w:szCs w:val="32"/>
        </w:rPr>
        <w:t>Course: BSc (Hons) Health and Social Care</w:t>
      </w:r>
    </w:p>
    <w:p w14:paraId="51A9CE11" w14:textId="1C7A9B59" w:rsidR="002945B2" w:rsidRPr="008270EC" w:rsidRDefault="002945B2" w:rsidP="00D02622">
      <w:pPr>
        <w:spacing w:line="360" w:lineRule="auto"/>
        <w:jc w:val="center"/>
        <w:rPr>
          <w:rFonts w:ascii="Arial" w:hAnsi="Arial" w:cs="Arial"/>
          <w:b/>
          <w:bCs/>
          <w:sz w:val="32"/>
          <w:szCs w:val="32"/>
        </w:rPr>
      </w:pPr>
      <w:r>
        <w:rPr>
          <w:rFonts w:ascii="Arial" w:hAnsi="Arial" w:cs="Arial"/>
          <w:b/>
          <w:bCs/>
          <w:sz w:val="32"/>
          <w:szCs w:val="32"/>
        </w:rPr>
        <w:t>Level 6</w:t>
      </w:r>
    </w:p>
    <w:p w14:paraId="72939E98" w14:textId="3574BB73" w:rsidR="007D2385" w:rsidRPr="008270EC" w:rsidRDefault="009E5E60" w:rsidP="00D02622">
      <w:pPr>
        <w:spacing w:line="360" w:lineRule="auto"/>
        <w:jc w:val="center"/>
        <w:rPr>
          <w:rFonts w:ascii="Arial" w:hAnsi="Arial" w:cs="Arial"/>
          <w:b/>
          <w:bCs/>
          <w:sz w:val="32"/>
          <w:szCs w:val="32"/>
        </w:rPr>
      </w:pPr>
      <w:r w:rsidRPr="008270EC">
        <w:rPr>
          <w:rFonts w:ascii="Arial" w:hAnsi="Arial" w:cs="Arial"/>
          <w:b/>
          <w:bCs/>
          <w:sz w:val="32"/>
          <w:szCs w:val="32"/>
        </w:rPr>
        <w:t xml:space="preserve">Module: </w:t>
      </w:r>
      <w:r w:rsidRPr="009E5E60">
        <w:rPr>
          <w:rFonts w:ascii="Arial" w:hAnsi="Arial" w:cs="Arial"/>
          <w:b/>
          <w:bCs/>
          <w:sz w:val="32"/>
          <w:szCs w:val="32"/>
        </w:rPr>
        <w:t>BMHP6030 - Health, Wellbeing and Sustainable Development</w:t>
      </w:r>
    </w:p>
    <w:p w14:paraId="19224632" w14:textId="5A47EBD0" w:rsidR="007D2385" w:rsidRPr="008270EC" w:rsidRDefault="007D2385" w:rsidP="00D02622">
      <w:pPr>
        <w:spacing w:line="360" w:lineRule="auto"/>
        <w:jc w:val="center"/>
        <w:rPr>
          <w:rFonts w:ascii="Arial" w:hAnsi="Arial" w:cs="Arial"/>
          <w:b/>
          <w:bCs/>
          <w:sz w:val="32"/>
          <w:szCs w:val="32"/>
        </w:rPr>
      </w:pPr>
      <w:r w:rsidRPr="007D2385">
        <w:rPr>
          <w:rFonts w:ascii="Arial" w:hAnsi="Arial" w:cs="Arial"/>
          <w:b/>
          <w:bCs/>
          <w:sz w:val="32"/>
          <w:szCs w:val="32"/>
        </w:rPr>
        <w:t>Component 2: Written Assignment (Report)</w:t>
      </w:r>
    </w:p>
    <w:p w14:paraId="2E855963" w14:textId="77777777" w:rsidR="009E5E60" w:rsidRDefault="009E5E60" w:rsidP="00D02622">
      <w:pPr>
        <w:spacing w:line="360" w:lineRule="auto"/>
        <w:jc w:val="center"/>
        <w:rPr>
          <w:rFonts w:ascii="Arial" w:hAnsi="Arial" w:cs="Arial"/>
          <w:b/>
          <w:bCs/>
          <w:sz w:val="32"/>
          <w:szCs w:val="32"/>
        </w:rPr>
      </w:pPr>
      <w:r w:rsidRPr="008270EC">
        <w:rPr>
          <w:rFonts w:ascii="Arial" w:hAnsi="Arial" w:cs="Arial"/>
          <w:b/>
          <w:bCs/>
          <w:sz w:val="32"/>
          <w:szCs w:val="32"/>
        </w:rPr>
        <w:t>Student Name: Syeda Anisa Afzaal</w:t>
      </w:r>
    </w:p>
    <w:p w14:paraId="55A0930F" w14:textId="77777777" w:rsidR="006E565F" w:rsidRPr="008270EC" w:rsidRDefault="006E565F" w:rsidP="006E565F">
      <w:pPr>
        <w:spacing w:line="360" w:lineRule="auto"/>
        <w:jc w:val="center"/>
        <w:rPr>
          <w:rFonts w:ascii="Arial" w:hAnsi="Arial" w:cs="Arial"/>
          <w:b/>
          <w:bCs/>
          <w:sz w:val="32"/>
          <w:szCs w:val="32"/>
        </w:rPr>
      </w:pPr>
      <w:r w:rsidRPr="008270EC">
        <w:rPr>
          <w:rFonts w:ascii="Arial" w:hAnsi="Arial" w:cs="Arial"/>
          <w:b/>
          <w:bCs/>
          <w:sz w:val="32"/>
          <w:szCs w:val="32"/>
        </w:rPr>
        <w:t>Student ID: 2310939</w:t>
      </w:r>
    </w:p>
    <w:p w14:paraId="47AD1237" w14:textId="77777777" w:rsidR="006E565F" w:rsidRPr="008270EC" w:rsidRDefault="006E565F" w:rsidP="00D02622">
      <w:pPr>
        <w:spacing w:line="360" w:lineRule="auto"/>
        <w:jc w:val="center"/>
        <w:rPr>
          <w:rFonts w:ascii="Arial" w:hAnsi="Arial" w:cs="Arial"/>
          <w:b/>
          <w:bCs/>
          <w:sz w:val="32"/>
          <w:szCs w:val="32"/>
        </w:rPr>
      </w:pPr>
    </w:p>
    <w:p w14:paraId="46F1C114" w14:textId="56DAD6C6" w:rsidR="007943B3" w:rsidRDefault="007943B3" w:rsidP="007943B3">
      <w:pPr>
        <w:spacing w:line="600" w:lineRule="auto"/>
        <w:rPr>
          <w:rFonts w:ascii="Arial" w:hAnsi="Arial" w:cs="Arial"/>
          <w:b/>
          <w:bCs/>
          <w:sz w:val="22"/>
          <w:szCs w:val="22"/>
        </w:rPr>
      </w:pPr>
      <w:r>
        <w:rPr>
          <w:rFonts w:ascii="Arial" w:hAnsi="Arial" w:cs="Arial"/>
          <w:b/>
          <w:bCs/>
          <w:sz w:val="22"/>
          <w:szCs w:val="22"/>
        </w:rPr>
        <w:br w:type="page"/>
      </w:r>
    </w:p>
    <w:sdt>
      <w:sdtPr>
        <w:rPr>
          <w:rFonts w:asciiTheme="minorHAnsi" w:eastAsiaTheme="minorHAnsi" w:hAnsiTheme="minorHAnsi" w:cstheme="minorBidi"/>
          <w:color w:val="auto"/>
          <w:kern w:val="2"/>
          <w:sz w:val="24"/>
          <w:szCs w:val="24"/>
          <w:lang w:eastAsia="en-US"/>
          <w14:ligatures w14:val="standardContextual"/>
        </w:rPr>
        <w:id w:val="-292367327"/>
        <w:docPartObj>
          <w:docPartGallery w:val="Table of Contents"/>
          <w:docPartUnique/>
        </w:docPartObj>
      </w:sdtPr>
      <w:sdtEndPr>
        <w:rPr>
          <w:b/>
          <w:bCs/>
        </w:rPr>
      </w:sdtEndPr>
      <w:sdtContent>
        <w:p w14:paraId="76D0AFC2" w14:textId="77777777" w:rsidR="007943B3" w:rsidRPr="002E29AE" w:rsidRDefault="007943B3" w:rsidP="007943B3">
          <w:pPr>
            <w:pStyle w:val="TOCHeading"/>
            <w:jc w:val="center"/>
            <w:rPr>
              <w:b/>
              <w:bCs/>
              <w:color w:val="auto"/>
            </w:rPr>
          </w:pPr>
          <w:r w:rsidRPr="002E29AE">
            <w:rPr>
              <w:b/>
              <w:bCs/>
              <w:color w:val="auto"/>
            </w:rPr>
            <w:t>Contents</w:t>
          </w:r>
        </w:p>
        <w:p w14:paraId="6E623464" w14:textId="150015B2" w:rsidR="0060040C" w:rsidRPr="0060040C" w:rsidRDefault="007943B3" w:rsidP="0060040C">
          <w:pPr>
            <w:pStyle w:val="TOC1"/>
            <w:rPr>
              <w:rFonts w:eastAsiaTheme="minorEastAsia"/>
              <w:lang w:eastAsia="en-GB"/>
            </w:rPr>
          </w:pPr>
          <w:r w:rsidRPr="0060040C">
            <w:fldChar w:fldCharType="begin"/>
          </w:r>
          <w:r w:rsidRPr="0060040C">
            <w:instrText xml:space="preserve"> TOC \o "1-3" \h \z \u </w:instrText>
          </w:r>
          <w:r w:rsidRPr="0060040C">
            <w:fldChar w:fldCharType="separate"/>
          </w:r>
          <w:hyperlink w:anchor="_Toc235202265" w:history="1">
            <w:r w:rsidR="0060040C" w:rsidRPr="0060040C">
              <w:rPr>
                <w:rStyle w:val="Hyperlink"/>
              </w:rPr>
              <w:t>Report</w:t>
            </w:r>
            <w:r w:rsidR="0060040C" w:rsidRPr="0060040C">
              <w:rPr>
                <w:webHidden/>
              </w:rPr>
              <w:tab/>
            </w:r>
            <w:r w:rsidR="0060040C" w:rsidRPr="0060040C">
              <w:rPr>
                <w:webHidden/>
              </w:rPr>
              <w:fldChar w:fldCharType="begin"/>
            </w:r>
            <w:r w:rsidR="0060040C" w:rsidRPr="0060040C">
              <w:rPr>
                <w:webHidden/>
              </w:rPr>
              <w:instrText xml:space="preserve"> PAGEREF _Toc235202265 \h </w:instrText>
            </w:r>
            <w:r w:rsidR="0060040C" w:rsidRPr="0060040C">
              <w:rPr>
                <w:webHidden/>
              </w:rPr>
            </w:r>
            <w:r w:rsidR="0060040C" w:rsidRPr="0060040C">
              <w:rPr>
                <w:webHidden/>
              </w:rPr>
              <w:fldChar w:fldCharType="separate"/>
            </w:r>
            <w:r w:rsidR="0060040C" w:rsidRPr="0060040C">
              <w:rPr>
                <w:webHidden/>
              </w:rPr>
              <w:t>3</w:t>
            </w:r>
            <w:r w:rsidR="0060040C" w:rsidRPr="0060040C">
              <w:rPr>
                <w:webHidden/>
              </w:rPr>
              <w:fldChar w:fldCharType="end"/>
            </w:r>
          </w:hyperlink>
        </w:p>
        <w:p w14:paraId="4880E374" w14:textId="0BFD280B" w:rsidR="0060040C" w:rsidRPr="0060040C" w:rsidRDefault="0060040C" w:rsidP="0060040C">
          <w:pPr>
            <w:pStyle w:val="TOC1"/>
            <w:rPr>
              <w:rFonts w:eastAsiaTheme="minorEastAsia"/>
              <w:lang w:eastAsia="en-GB"/>
            </w:rPr>
          </w:pPr>
          <w:hyperlink w:anchor="_Toc235202266" w:history="1">
            <w:r w:rsidRPr="0060040C">
              <w:rPr>
                <w:rStyle w:val="Hyperlink"/>
              </w:rPr>
              <w:t>Topic:</w:t>
            </w:r>
            <w:r w:rsidRPr="0060040C">
              <w:rPr>
                <w:webHidden/>
              </w:rPr>
              <w:tab/>
            </w:r>
            <w:r w:rsidRPr="0060040C">
              <w:rPr>
                <w:webHidden/>
              </w:rPr>
              <w:fldChar w:fldCharType="begin"/>
            </w:r>
            <w:r w:rsidRPr="0060040C">
              <w:rPr>
                <w:webHidden/>
              </w:rPr>
              <w:instrText xml:space="preserve"> PAGEREF _Toc235202266 \h </w:instrText>
            </w:r>
            <w:r w:rsidRPr="0060040C">
              <w:rPr>
                <w:webHidden/>
              </w:rPr>
            </w:r>
            <w:r w:rsidRPr="0060040C">
              <w:rPr>
                <w:webHidden/>
              </w:rPr>
              <w:fldChar w:fldCharType="separate"/>
            </w:r>
            <w:r w:rsidRPr="0060040C">
              <w:rPr>
                <w:webHidden/>
              </w:rPr>
              <w:t>3</w:t>
            </w:r>
            <w:r w:rsidRPr="0060040C">
              <w:rPr>
                <w:webHidden/>
              </w:rPr>
              <w:fldChar w:fldCharType="end"/>
            </w:r>
          </w:hyperlink>
        </w:p>
        <w:p w14:paraId="13A2AE30" w14:textId="370045D7" w:rsidR="0060040C" w:rsidRPr="0060040C" w:rsidRDefault="0060040C" w:rsidP="0060040C">
          <w:pPr>
            <w:pStyle w:val="TOC1"/>
            <w:rPr>
              <w:rFonts w:eastAsiaTheme="minorEastAsia"/>
              <w:lang w:eastAsia="en-GB"/>
            </w:rPr>
          </w:pPr>
          <w:hyperlink w:anchor="_Toc235202267" w:history="1">
            <w:r w:rsidRPr="0060040C">
              <w:rPr>
                <w:rStyle w:val="Hyperlink"/>
                <w:rFonts w:ascii="Arial" w:hAnsi="Arial" w:cs="Arial"/>
              </w:rPr>
              <w:t>A Critical Examination of Current Health, Wellbeing and Sustainability Policies and Initiatives: The Impact of SDG 3 (Good Health and Well-being) and SDG 10 (Reduced Inequalities) on Citizens at global, national, and local levels</w:t>
            </w:r>
            <w:r w:rsidRPr="0060040C">
              <w:rPr>
                <w:webHidden/>
              </w:rPr>
              <w:tab/>
            </w:r>
            <w:r w:rsidRPr="0060040C">
              <w:rPr>
                <w:webHidden/>
              </w:rPr>
              <w:fldChar w:fldCharType="begin"/>
            </w:r>
            <w:r w:rsidRPr="0060040C">
              <w:rPr>
                <w:webHidden/>
              </w:rPr>
              <w:instrText xml:space="preserve"> PAGEREF _Toc235202267 \h </w:instrText>
            </w:r>
            <w:r w:rsidRPr="0060040C">
              <w:rPr>
                <w:webHidden/>
              </w:rPr>
            </w:r>
            <w:r w:rsidRPr="0060040C">
              <w:rPr>
                <w:webHidden/>
              </w:rPr>
              <w:fldChar w:fldCharType="separate"/>
            </w:r>
            <w:r w:rsidRPr="0060040C">
              <w:rPr>
                <w:webHidden/>
              </w:rPr>
              <w:t>3</w:t>
            </w:r>
            <w:r w:rsidRPr="0060040C">
              <w:rPr>
                <w:webHidden/>
              </w:rPr>
              <w:fldChar w:fldCharType="end"/>
            </w:r>
          </w:hyperlink>
        </w:p>
        <w:p w14:paraId="63012121" w14:textId="05F8C9B7" w:rsidR="0060040C" w:rsidRPr="0060040C" w:rsidRDefault="0060040C" w:rsidP="0060040C">
          <w:pPr>
            <w:pStyle w:val="TOC1"/>
            <w:rPr>
              <w:rFonts w:eastAsiaTheme="minorEastAsia"/>
              <w:lang w:eastAsia="en-GB"/>
            </w:rPr>
          </w:pPr>
          <w:hyperlink w:anchor="_Toc235202268" w:history="1">
            <w:r w:rsidRPr="0060040C">
              <w:rPr>
                <w:rStyle w:val="Hyperlink"/>
              </w:rPr>
              <w:t>Introduction</w:t>
            </w:r>
            <w:r w:rsidRPr="0060040C">
              <w:rPr>
                <w:webHidden/>
              </w:rPr>
              <w:tab/>
            </w:r>
            <w:r w:rsidRPr="0060040C">
              <w:rPr>
                <w:webHidden/>
              </w:rPr>
              <w:fldChar w:fldCharType="begin"/>
            </w:r>
            <w:r w:rsidRPr="0060040C">
              <w:rPr>
                <w:webHidden/>
              </w:rPr>
              <w:instrText xml:space="preserve"> PAGEREF _Toc235202268 \h </w:instrText>
            </w:r>
            <w:r w:rsidRPr="0060040C">
              <w:rPr>
                <w:webHidden/>
              </w:rPr>
            </w:r>
            <w:r w:rsidRPr="0060040C">
              <w:rPr>
                <w:webHidden/>
              </w:rPr>
              <w:fldChar w:fldCharType="separate"/>
            </w:r>
            <w:r w:rsidRPr="0060040C">
              <w:rPr>
                <w:webHidden/>
              </w:rPr>
              <w:t>3</w:t>
            </w:r>
            <w:r w:rsidRPr="0060040C">
              <w:rPr>
                <w:webHidden/>
              </w:rPr>
              <w:fldChar w:fldCharType="end"/>
            </w:r>
          </w:hyperlink>
        </w:p>
        <w:p w14:paraId="3D60E9F2" w14:textId="3F4DB15E" w:rsidR="0060040C" w:rsidRPr="0060040C" w:rsidRDefault="0060040C" w:rsidP="0060040C">
          <w:pPr>
            <w:pStyle w:val="TOC1"/>
            <w:rPr>
              <w:rFonts w:eastAsiaTheme="minorEastAsia"/>
              <w:lang w:eastAsia="en-GB"/>
            </w:rPr>
          </w:pPr>
          <w:hyperlink w:anchor="_Toc235202269" w:history="1">
            <w:r w:rsidRPr="0060040C">
              <w:rPr>
                <w:rStyle w:val="Hyperlink"/>
              </w:rPr>
              <w:t>1. Analytical Framework: Health, Wellbeing and Sustainability</w:t>
            </w:r>
            <w:r w:rsidRPr="0060040C">
              <w:rPr>
                <w:webHidden/>
              </w:rPr>
              <w:tab/>
            </w:r>
            <w:r w:rsidRPr="0060040C">
              <w:rPr>
                <w:webHidden/>
              </w:rPr>
              <w:fldChar w:fldCharType="begin"/>
            </w:r>
            <w:r w:rsidRPr="0060040C">
              <w:rPr>
                <w:webHidden/>
              </w:rPr>
              <w:instrText xml:space="preserve"> PAGEREF _Toc235202269 \h </w:instrText>
            </w:r>
            <w:r w:rsidRPr="0060040C">
              <w:rPr>
                <w:webHidden/>
              </w:rPr>
            </w:r>
            <w:r w:rsidRPr="0060040C">
              <w:rPr>
                <w:webHidden/>
              </w:rPr>
              <w:fldChar w:fldCharType="separate"/>
            </w:r>
            <w:r w:rsidRPr="0060040C">
              <w:rPr>
                <w:webHidden/>
              </w:rPr>
              <w:t>3</w:t>
            </w:r>
            <w:r w:rsidRPr="0060040C">
              <w:rPr>
                <w:webHidden/>
              </w:rPr>
              <w:fldChar w:fldCharType="end"/>
            </w:r>
          </w:hyperlink>
        </w:p>
        <w:p w14:paraId="49FBC586" w14:textId="13253BF2" w:rsidR="0060040C" w:rsidRPr="0060040C" w:rsidRDefault="0060040C" w:rsidP="0060040C">
          <w:pPr>
            <w:pStyle w:val="TOC1"/>
            <w:rPr>
              <w:rFonts w:eastAsiaTheme="minorEastAsia"/>
              <w:lang w:eastAsia="en-GB"/>
            </w:rPr>
          </w:pPr>
          <w:hyperlink w:anchor="_Toc235202270" w:history="1">
            <w:r w:rsidRPr="0060040C">
              <w:rPr>
                <w:rStyle w:val="Hyperlink"/>
              </w:rPr>
              <w:t>2. SDG 3: Good Health and Well-being</w:t>
            </w:r>
            <w:r w:rsidRPr="0060040C">
              <w:rPr>
                <w:webHidden/>
              </w:rPr>
              <w:tab/>
            </w:r>
            <w:r w:rsidRPr="0060040C">
              <w:rPr>
                <w:webHidden/>
              </w:rPr>
              <w:fldChar w:fldCharType="begin"/>
            </w:r>
            <w:r w:rsidRPr="0060040C">
              <w:rPr>
                <w:webHidden/>
              </w:rPr>
              <w:instrText xml:space="preserve"> PAGEREF _Toc235202270 \h </w:instrText>
            </w:r>
            <w:r w:rsidRPr="0060040C">
              <w:rPr>
                <w:webHidden/>
              </w:rPr>
            </w:r>
            <w:r w:rsidRPr="0060040C">
              <w:rPr>
                <w:webHidden/>
              </w:rPr>
              <w:fldChar w:fldCharType="separate"/>
            </w:r>
            <w:r w:rsidRPr="0060040C">
              <w:rPr>
                <w:webHidden/>
              </w:rPr>
              <w:t>4</w:t>
            </w:r>
            <w:r w:rsidRPr="0060040C">
              <w:rPr>
                <w:webHidden/>
              </w:rPr>
              <w:fldChar w:fldCharType="end"/>
            </w:r>
          </w:hyperlink>
        </w:p>
        <w:p w14:paraId="5AD59300" w14:textId="4C3146CA" w:rsidR="0060040C" w:rsidRPr="0060040C" w:rsidRDefault="0060040C">
          <w:pPr>
            <w:pStyle w:val="TOC2"/>
            <w:tabs>
              <w:tab w:val="right" w:leader="dot" w:pos="9016"/>
            </w:tabs>
            <w:rPr>
              <w:rFonts w:eastAsiaTheme="minorEastAsia"/>
              <w:noProof/>
              <w:lang w:eastAsia="en-GB"/>
            </w:rPr>
          </w:pPr>
          <w:hyperlink w:anchor="_Toc235202271" w:history="1">
            <w:r w:rsidRPr="0060040C">
              <w:rPr>
                <w:rStyle w:val="Hyperlink"/>
                <w:noProof/>
              </w:rPr>
              <w:t>b) Global impact and Initiatives</w:t>
            </w:r>
            <w:r w:rsidRPr="0060040C">
              <w:rPr>
                <w:noProof/>
                <w:webHidden/>
              </w:rPr>
              <w:tab/>
            </w:r>
            <w:r w:rsidRPr="0060040C">
              <w:rPr>
                <w:noProof/>
                <w:webHidden/>
              </w:rPr>
              <w:fldChar w:fldCharType="begin"/>
            </w:r>
            <w:r w:rsidRPr="0060040C">
              <w:rPr>
                <w:noProof/>
                <w:webHidden/>
              </w:rPr>
              <w:instrText xml:space="preserve"> PAGEREF _Toc235202271 \h </w:instrText>
            </w:r>
            <w:r w:rsidRPr="0060040C">
              <w:rPr>
                <w:noProof/>
                <w:webHidden/>
              </w:rPr>
            </w:r>
            <w:r w:rsidRPr="0060040C">
              <w:rPr>
                <w:noProof/>
                <w:webHidden/>
              </w:rPr>
              <w:fldChar w:fldCharType="separate"/>
            </w:r>
            <w:r w:rsidRPr="0060040C">
              <w:rPr>
                <w:noProof/>
                <w:webHidden/>
              </w:rPr>
              <w:t>4</w:t>
            </w:r>
            <w:r w:rsidRPr="0060040C">
              <w:rPr>
                <w:noProof/>
                <w:webHidden/>
              </w:rPr>
              <w:fldChar w:fldCharType="end"/>
            </w:r>
          </w:hyperlink>
        </w:p>
        <w:p w14:paraId="4E75415D" w14:textId="4FD9BCCE" w:rsidR="0060040C" w:rsidRPr="0060040C" w:rsidRDefault="0060040C">
          <w:pPr>
            <w:pStyle w:val="TOC2"/>
            <w:tabs>
              <w:tab w:val="right" w:leader="dot" w:pos="9016"/>
            </w:tabs>
            <w:rPr>
              <w:rFonts w:eastAsiaTheme="minorEastAsia"/>
              <w:noProof/>
              <w:lang w:eastAsia="en-GB"/>
            </w:rPr>
          </w:pPr>
          <w:hyperlink w:anchor="_Toc235202272" w:history="1">
            <w:r w:rsidRPr="0060040C">
              <w:rPr>
                <w:rStyle w:val="Hyperlink"/>
                <w:noProof/>
              </w:rPr>
              <w:t>b) National Impact and UK Initiatives</w:t>
            </w:r>
            <w:r w:rsidRPr="0060040C">
              <w:rPr>
                <w:noProof/>
                <w:webHidden/>
              </w:rPr>
              <w:tab/>
            </w:r>
            <w:r w:rsidRPr="0060040C">
              <w:rPr>
                <w:noProof/>
                <w:webHidden/>
              </w:rPr>
              <w:fldChar w:fldCharType="begin"/>
            </w:r>
            <w:r w:rsidRPr="0060040C">
              <w:rPr>
                <w:noProof/>
                <w:webHidden/>
              </w:rPr>
              <w:instrText xml:space="preserve"> PAGEREF _Toc235202272 \h </w:instrText>
            </w:r>
            <w:r w:rsidRPr="0060040C">
              <w:rPr>
                <w:noProof/>
                <w:webHidden/>
              </w:rPr>
            </w:r>
            <w:r w:rsidRPr="0060040C">
              <w:rPr>
                <w:noProof/>
                <w:webHidden/>
              </w:rPr>
              <w:fldChar w:fldCharType="separate"/>
            </w:r>
            <w:r w:rsidRPr="0060040C">
              <w:rPr>
                <w:noProof/>
                <w:webHidden/>
              </w:rPr>
              <w:t>4</w:t>
            </w:r>
            <w:r w:rsidRPr="0060040C">
              <w:rPr>
                <w:noProof/>
                <w:webHidden/>
              </w:rPr>
              <w:fldChar w:fldCharType="end"/>
            </w:r>
          </w:hyperlink>
        </w:p>
        <w:p w14:paraId="035968E0" w14:textId="306C0C3E" w:rsidR="0060040C" w:rsidRPr="0060040C" w:rsidRDefault="0060040C">
          <w:pPr>
            <w:pStyle w:val="TOC2"/>
            <w:tabs>
              <w:tab w:val="right" w:leader="dot" w:pos="9016"/>
            </w:tabs>
            <w:rPr>
              <w:rFonts w:eastAsiaTheme="minorEastAsia"/>
              <w:noProof/>
              <w:lang w:eastAsia="en-GB"/>
            </w:rPr>
          </w:pPr>
          <w:hyperlink w:anchor="_Toc235202273" w:history="1">
            <w:r w:rsidRPr="0060040C">
              <w:rPr>
                <w:rStyle w:val="Hyperlink"/>
                <w:noProof/>
              </w:rPr>
              <w:t>c) Local Impact: Coventry</w:t>
            </w:r>
            <w:r w:rsidRPr="0060040C">
              <w:rPr>
                <w:noProof/>
                <w:webHidden/>
              </w:rPr>
              <w:tab/>
            </w:r>
            <w:r w:rsidRPr="0060040C">
              <w:rPr>
                <w:noProof/>
                <w:webHidden/>
              </w:rPr>
              <w:fldChar w:fldCharType="begin"/>
            </w:r>
            <w:r w:rsidRPr="0060040C">
              <w:rPr>
                <w:noProof/>
                <w:webHidden/>
              </w:rPr>
              <w:instrText xml:space="preserve"> PAGEREF _Toc235202273 \h </w:instrText>
            </w:r>
            <w:r w:rsidRPr="0060040C">
              <w:rPr>
                <w:noProof/>
                <w:webHidden/>
              </w:rPr>
            </w:r>
            <w:r w:rsidRPr="0060040C">
              <w:rPr>
                <w:noProof/>
                <w:webHidden/>
              </w:rPr>
              <w:fldChar w:fldCharType="separate"/>
            </w:r>
            <w:r w:rsidRPr="0060040C">
              <w:rPr>
                <w:noProof/>
                <w:webHidden/>
              </w:rPr>
              <w:t>6</w:t>
            </w:r>
            <w:r w:rsidRPr="0060040C">
              <w:rPr>
                <w:noProof/>
                <w:webHidden/>
              </w:rPr>
              <w:fldChar w:fldCharType="end"/>
            </w:r>
          </w:hyperlink>
        </w:p>
        <w:p w14:paraId="181915EB" w14:textId="748EF6BD" w:rsidR="0060040C" w:rsidRPr="0060040C" w:rsidRDefault="0060040C" w:rsidP="0060040C">
          <w:pPr>
            <w:pStyle w:val="TOC1"/>
            <w:rPr>
              <w:rFonts w:eastAsiaTheme="minorEastAsia"/>
              <w:lang w:eastAsia="en-GB"/>
            </w:rPr>
          </w:pPr>
          <w:hyperlink w:anchor="_Toc235202274" w:history="1">
            <w:r w:rsidRPr="0060040C">
              <w:rPr>
                <w:rStyle w:val="Hyperlink"/>
              </w:rPr>
              <w:t>3. SDG 10: Reduced Inequalities</w:t>
            </w:r>
            <w:r w:rsidRPr="0060040C">
              <w:rPr>
                <w:webHidden/>
              </w:rPr>
              <w:tab/>
            </w:r>
            <w:r w:rsidRPr="0060040C">
              <w:rPr>
                <w:webHidden/>
              </w:rPr>
              <w:fldChar w:fldCharType="begin"/>
            </w:r>
            <w:r w:rsidRPr="0060040C">
              <w:rPr>
                <w:webHidden/>
              </w:rPr>
              <w:instrText xml:space="preserve"> PAGEREF _Toc235202274 \h </w:instrText>
            </w:r>
            <w:r w:rsidRPr="0060040C">
              <w:rPr>
                <w:webHidden/>
              </w:rPr>
            </w:r>
            <w:r w:rsidRPr="0060040C">
              <w:rPr>
                <w:webHidden/>
              </w:rPr>
              <w:fldChar w:fldCharType="separate"/>
            </w:r>
            <w:r w:rsidRPr="0060040C">
              <w:rPr>
                <w:webHidden/>
              </w:rPr>
              <w:t>6</w:t>
            </w:r>
            <w:r w:rsidRPr="0060040C">
              <w:rPr>
                <w:webHidden/>
              </w:rPr>
              <w:fldChar w:fldCharType="end"/>
            </w:r>
          </w:hyperlink>
        </w:p>
        <w:p w14:paraId="156AA939" w14:textId="30E451F4" w:rsidR="0060040C" w:rsidRPr="0060040C" w:rsidRDefault="0060040C">
          <w:pPr>
            <w:pStyle w:val="TOC2"/>
            <w:tabs>
              <w:tab w:val="right" w:leader="dot" w:pos="9016"/>
            </w:tabs>
            <w:rPr>
              <w:rFonts w:eastAsiaTheme="minorEastAsia"/>
              <w:noProof/>
              <w:lang w:eastAsia="en-GB"/>
            </w:rPr>
          </w:pPr>
          <w:hyperlink w:anchor="_Toc235202275" w:history="1">
            <w:r w:rsidRPr="0060040C">
              <w:rPr>
                <w:rStyle w:val="Hyperlink"/>
                <w:noProof/>
              </w:rPr>
              <w:t>a) Global Impact and Initiatives</w:t>
            </w:r>
            <w:r w:rsidRPr="0060040C">
              <w:rPr>
                <w:noProof/>
                <w:webHidden/>
              </w:rPr>
              <w:tab/>
            </w:r>
            <w:r w:rsidRPr="0060040C">
              <w:rPr>
                <w:noProof/>
                <w:webHidden/>
              </w:rPr>
              <w:fldChar w:fldCharType="begin"/>
            </w:r>
            <w:r w:rsidRPr="0060040C">
              <w:rPr>
                <w:noProof/>
                <w:webHidden/>
              </w:rPr>
              <w:instrText xml:space="preserve"> PAGEREF _Toc235202275 \h </w:instrText>
            </w:r>
            <w:r w:rsidRPr="0060040C">
              <w:rPr>
                <w:noProof/>
                <w:webHidden/>
              </w:rPr>
            </w:r>
            <w:r w:rsidRPr="0060040C">
              <w:rPr>
                <w:noProof/>
                <w:webHidden/>
              </w:rPr>
              <w:fldChar w:fldCharType="separate"/>
            </w:r>
            <w:r w:rsidRPr="0060040C">
              <w:rPr>
                <w:noProof/>
                <w:webHidden/>
              </w:rPr>
              <w:t>6</w:t>
            </w:r>
            <w:r w:rsidRPr="0060040C">
              <w:rPr>
                <w:noProof/>
                <w:webHidden/>
              </w:rPr>
              <w:fldChar w:fldCharType="end"/>
            </w:r>
          </w:hyperlink>
        </w:p>
        <w:p w14:paraId="37EAA2CF" w14:textId="31C5D38A" w:rsidR="0060040C" w:rsidRPr="0060040C" w:rsidRDefault="0060040C">
          <w:pPr>
            <w:pStyle w:val="TOC2"/>
            <w:tabs>
              <w:tab w:val="right" w:leader="dot" w:pos="9016"/>
            </w:tabs>
            <w:rPr>
              <w:rFonts w:eastAsiaTheme="minorEastAsia"/>
              <w:noProof/>
              <w:lang w:eastAsia="en-GB"/>
            </w:rPr>
          </w:pPr>
          <w:hyperlink w:anchor="_Toc235202276" w:history="1">
            <w:r w:rsidRPr="0060040C">
              <w:rPr>
                <w:rStyle w:val="Hyperlink"/>
                <w:noProof/>
              </w:rPr>
              <w:t>b) National Impact and UK Initiatives</w:t>
            </w:r>
            <w:r w:rsidRPr="0060040C">
              <w:rPr>
                <w:noProof/>
                <w:webHidden/>
              </w:rPr>
              <w:tab/>
            </w:r>
            <w:r w:rsidRPr="0060040C">
              <w:rPr>
                <w:noProof/>
                <w:webHidden/>
              </w:rPr>
              <w:fldChar w:fldCharType="begin"/>
            </w:r>
            <w:r w:rsidRPr="0060040C">
              <w:rPr>
                <w:noProof/>
                <w:webHidden/>
              </w:rPr>
              <w:instrText xml:space="preserve"> PAGEREF _Toc235202276 \h </w:instrText>
            </w:r>
            <w:r w:rsidRPr="0060040C">
              <w:rPr>
                <w:noProof/>
                <w:webHidden/>
              </w:rPr>
            </w:r>
            <w:r w:rsidRPr="0060040C">
              <w:rPr>
                <w:noProof/>
                <w:webHidden/>
              </w:rPr>
              <w:fldChar w:fldCharType="separate"/>
            </w:r>
            <w:r w:rsidRPr="0060040C">
              <w:rPr>
                <w:noProof/>
                <w:webHidden/>
              </w:rPr>
              <w:t>7</w:t>
            </w:r>
            <w:r w:rsidRPr="0060040C">
              <w:rPr>
                <w:noProof/>
                <w:webHidden/>
              </w:rPr>
              <w:fldChar w:fldCharType="end"/>
            </w:r>
          </w:hyperlink>
        </w:p>
        <w:p w14:paraId="3F74B465" w14:textId="7EF3F315" w:rsidR="0060040C" w:rsidRPr="0060040C" w:rsidRDefault="0060040C">
          <w:pPr>
            <w:pStyle w:val="TOC2"/>
            <w:tabs>
              <w:tab w:val="right" w:leader="dot" w:pos="9016"/>
            </w:tabs>
            <w:rPr>
              <w:rFonts w:eastAsiaTheme="minorEastAsia"/>
              <w:noProof/>
              <w:lang w:eastAsia="en-GB"/>
            </w:rPr>
          </w:pPr>
          <w:hyperlink w:anchor="_Toc235202277" w:history="1">
            <w:r w:rsidRPr="0060040C">
              <w:rPr>
                <w:rStyle w:val="Hyperlink"/>
                <w:noProof/>
              </w:rPr>
              <w:t>c) Local Impact: Inequality in Coventry</w:t>
            </w:r>
            <w:r w:rsidRPr="0060040C">
              <w:rPr>
                <w:noProof/>
                <w:webHidden/>
              </w:rPr>
              <w:tab/>
            </w:r>
            <w:r w:rsidRPr="0060040C">
              <w:rPr>
                <w:noProof/>
                <w:webHidden/>
              </w:rPr>
              <w:fldChar w:fldCharType="begin"/>
            </w:r>
            <w:r w:rsidRPr="0060040C">
              <w:rPr>
                <w:noProof/>
                <w:webHidden/>
              </w:rPr>
              <w:instrText xml:space="preserve"> PAGEREF _Toc235202277 \h </w:instrText>
            </w:r>
            <w:r w:rsidRPr="0060040C">
              <w:rPr>
                <w:noProof/>
                <w:webHidden/>
              </w:rPr>
            </w:r>
            <w:r w:rsidRPr="0060040C">
              <w:rPr>
                <w:noProof/>
                <w:webHidden/>
              </w:rPr>
              <w:fldChar w:fldCharType="separate"/>
            </w:r>
            <w:r w:rsidRPr="0060040C">
              <w:rPr>
                <w:noProof/>
                <w:webHidden/>
              </w:rPr>
              <w:t>7</w:t>
            </w:r>
            <w:r w:rsidRPr="0060040C">
              <w:rPr>
                <w:noProof/>
                <w:webHidden/>
              </w:rPr>
              <w:fldChar w:fldCharType="end"/>
            </w:r>
          </w:hyperlink>
        </w:p>
        <w:p w14:paraId="7B394E52" w14:textId="6950E65E" w:rsidR="0060040C" w:rsidRPr="0060040C" w:rsidRDefault="0060040C" w:rsidP="0060040C">
          <w:pPr>
            <w:pStyle w:val="TOC1"/>
            <w:rPr>
              <w:rFonts w:eastAsiaTheme="minorEastAsia"/>
              <w:lang w:eastAsia="en-GB"/>
            </w:rPr>
          </w:pPr>
          <w:hyperlink w:anchor="_Toc235202278" w:history="1">
            <w:r w:rsidRPr="0060040C">
              <w:rPr>
                <w:rStyle w:val="Hyperlink"/>
              </w:rPr>
              <w:t>4. Critical Evaluation and Recommendations</w:t>
            </w:r>
            <w:r w:rsidRPr="0060040C">
              <w:rPr>
                <w:webHidden/>
              </w:rPr>
              <w:tab/>
            </w:r>
            <w:r w:rsidRPr="0060040C">
              <w:rPr>
                <w:webHidden/>
              </w:rPr>
              <w:fldChar w:fldCharType="begin"/>
            </w:r>
            <w:r w:rsidRPr="0060040C">
              <w:rPr>
                <w:webHidden/>
              </w:rPr>
              <w:instrText xml:space="preserve"> PAGEREF _Toc235202278 \h </w:instrText>
            </w:r>
            <w:r w:rsidRPr="0060040C">
              <w:rPr>
                <w:webHidden/>
              </w:rPr>
            </w:r>
            <w:r w:rsidRPr="0060040C">
              <w:rPr>
                <w:webHidden/>
              </w:rPr>
              <w:fldChar w:fldCharType="separate"/>
            </w:r>
            <w:r w:rsidRPr="0060040C">
              <w:rPr>
                <w:webHidden/>
              </w:rPr>
              <w:t>8</w:t>
            </w:r>
            <w:r w:rsidRPr="0060040C">
              <w:rPr>
                <w:webHidden/>
              </w:rPr>
              <w:fldChar w:fldCharType="end"/>
            </w:r>
          </w:hyperlink>
        </w:p>
        <w:p w14:paraId="607E9281" w14:textId="7DD85EBE" w:rsidR="0060040C" w:rsidRPr="0060040C" w:rsidRDefault="0060040C" w:rsidP="0060040C">
          <w:pPr>
            <w:pStyle w:val="TOC1"/>
            <w:rPr>
              <w:rFonts w:eastAsiaTheme="minorEastAsia"/>
              <w:lang w:eastAsia="en-GB"/>
            </w:rPr>
          </w:pPr>
          <w:hyperlink w:anchor="_Toc235202279" w:history="1">
            <w:r w:rsidRPr="0060040C">
              <w:rPr>
                <w:rStyle w:val="Hyperlink"/>
              </w:rPr>
              <w:t>Conclusion</w:t>
            </w:r>
            <w:r w:rsidRPr="0060040C">
              <w:rPr>
                <w:webHidden/>
              </w:rPr>
              <w:tab/>
            </w:r>
            <w:r w:rsidRPr="0060040C">
              <w:rPr>
                <w:webHidden/>
              </w:rPr>
              <w:fldChar w:fldCharType="begin"/>
            </w:r>
            <w:r w:rsidRPr="0060040C">
              <w:rPr>
                <w:webHidden/>
              </w:rPr>
              <w:instrText xml:space="preserve"> PAGEREF _Toc235202279 \h </w:instrText>
            </w:r>
            <w:r w:rsidRPr="0060040C">
              <w:rPr>
                <w:webHidden/>
              </w:rPr>
            </w:r>
            <w:r w:rsidRPr="0060040C">
              <w:rPr>
                <w:webHidden/>
              </w:rPr>
              <w:fldChar w:fldCharType="separate"/>
            </w:r>
            <w:r w:rsidRPr="0060040C">
              <w:rPr>
                <w:webHidden/>
              </w:rPr>
              <w:t>10</w:t>
            </w:r>
            <w:r w:rsidRPr="0060040C">
              <w:rPr>
                <w:webHidden/>
              </w:rPr>
              <w:fldChar w:fldCharType="end"/>
            </w:r>
          </w:hyperlink>
        </w:p>
        <w:p w14:paraId="72C73C4C" w14:textId="4F47871C" w:rsidR="0060040C" w:rsidRPr="0060040C" w:rsidRDefault="0060040C" w:rsidP="0060040C">
          <w:pPr>
            <w:pStyle w:val="TOC1"/>
            <w:rPr>
              <w:rFonts w:eastAsiaTheme="minorEastAsia"/>
              <w:lang w:eastAsia="en-GB"/>
            </w:rPr>
          </w:pPr>
          <w:hyperlink w:anchor="_Toc235202280" w:history="1">
            <w:r w:rsidRPr="0060040C">
              <w:rPr>
                <w:rStyle w:val="Hyperlink"/>
              </w:rPr>
              <w:t>Reference:</w:t>
            </w:r>
            <w:r w:rsidRPr="0060040C">
              <w:rPr>
                <w:webHidden/>
              </w:rPr>
              <w:tab/>
            </w:r>
            <w:r w:rsidRPr="0060040C">
              <w:rPr>
                <w:webHidden/>
              </w:rPr>
              <w:fldChar w:fldCharType="begin"/>
            </w:r>
            <w:r w:rsidRPr="0060040C">
              <w:rPr>
                <w:webHidden/>
              </w:rPr>
              <w:instrText xml:space="preserve"> PAGEREF _Toc235202280 \h </w:instrText>
            </w:r>
            <w:r w:rsidRPr="0060040C">
              <w:rPr>
                <w:webHidden/>
              </w:rPr>
            </w:r>
            <w:r w:rsidRPr="0060040C">
              <w:rPr>
                <w:webHidden/>
              </w:rPr>
              <w:fldChar w:fldCharType="separate"/>
            </w:r>
            <w:r w:rsidRPr="0060040C">
              <w:rPr>
                <w:webHidden/>
              </w:rPr>
              <w:t>11</w:t>
            </w:r>
            <w:r w:rsidRPr="0060040C">
              <w:rPr>
                <w:webHidden/>
              </w:rPr>
              <w:fldChar w:fldCharType="end"/>
            </w:r>
          </w:hyperlink>
        </w:p>
        <w:p w14:paraId="3EF3A5E7" w14:textId="60611CDA" w:rsidR="007943B3" w:rsidRDefault="007943B3">
          <w:r w:rsidRPr="0060040C">
            <w:fldChar w:fldCharType="end"/>
          </w:r>
        </w:p>
      </w:sdtContent>
    </w:sdt>
    <w:p w14:paraId="301FF918" w14:textId="77777777" w:rsidR="007943B3" w:rsidRDefault="007943B3">
      <w:pPr>
        <w:rPr>
          <w:rFonts w:asciiTheme="majorHAnsi" w:eastAsiaTheme="majorEastAsia" w:hAnsiTheme="majorHAnsi" w:cstheme="majorBidi"/>
          <w:color w:val="0F4761" w:themeColor="accent1" w:themeShade="BF"/>
          <w:sz w:val="40"/>
          <w:szCs w:val="40"/>
        </w:rPr>
      </w:pPr>
      <w:r>
        <w:br w:type="page"/>
      </w:r>
    </w:p>
    <w:p w14:paraId="4F8713C4" w14:textId="29229E4F" w:rsidR="007D2385" w:rsidRPr="00E5652B" w:rsidRDefault="007D2385" w:rsidP="0060040C">
      <w:pPr>
        <w:pStyle w:val="Heading1"/>
        <w:spacing w:line="360" w:lineRule="auto"/>
        <w:jc w:val="center"/>
        <w:rPr>
          <w:rFonts w:ascii="Arial" w:hAnsi="Arial" w:cs="Arial"/>
          <w:b/>
          <w:bCs/>
          <w:color w:val="auto"/>
          <w:sz w:val="28"/>
          <w:szCs w:val="28"/>
        </w:rPr>
      </w:pPr>
      <w:bookmarkStart w:id="0" w:name="_Toc235202265"/>
      <w:r w:rsidRPr="00E5652B">
        <w:rPr>
          <w:rFonts w:ascii="Arial" w:hAnsi="Arial" w:cs="Arial"/>
          <w:b/>
          <w:bCs/>
          <w:color w:val="auto"/>
          <w:sz w:val="28"/>
          <w:szCs w:val="28"/>
        </w:rPr>
        <w:lastRenderedPageBreak/>
        <w:t>Report</w:t>
      </w:r>
      <w:bookmarkEnd w:id="0"/>
    </w:p>
    <w:p w14:paraId="55E57E85" w14:textId="3572E6BF" w:rsidR="007D2385" w:rsidRPr="00E5652B" w:rsidRDefault="007D2385" w:rsidP="0060040C">
      <w:pPr>
        <w:pStyle w:val="Heading1"/>
        <w:spacing w:line="360" w:lineRule="auto"/>
        <w:rPr>
          <w:rFonts w:ascii="Arial" w:hAnsi="Arial" w:cs="Arial"/>
          <w:b/>
          <w:bCs/>
          <w:color w:val="auto"/>
          <w:sz w:val="24"/>
          <w:szCs w:val="24"/>
        </w:rPr>
      </w:pPr>
      <w:bookmarkStart w:id="1" w:name="_Toc235202266"/>
      <w:r w:rsidRPr="00E5652B">
        <w:rPr>
          <w:rFonts w:ascii="Arial" w:hAnsi="Arial" w:cs="Arial"/>
          <w:b/>
          <w:bCs/>
          <w:color w:val="auto"/>
          <w:sz w:val="24"/>
          <w:szCs w:val="24"/>
        </w:rPr>
        <w:t>Topic:</w:t>
      </w:r>
      <w:bookmarkEnd w:id="1"/>
    </w:p>
    <w:p w14:paraId="6777827D" w14:textId="405A22CB" w:rsidR="003E26A2" w:rsidRPr="0060040C" w:rsidRDefault="003E26A2" w:rsidP="0060040C">
      <w:pPr>
        <w:pStyle w:val="Heading1"/>
        <w:spacing w:line="360" w:lineRule="auto"/>
        <w:rPr>
          <w:rFonts w:ascii="Arial" w:eastAsiaTheme="minorHAnsi" w:hAnsi="Arial" w:cs="Arial"/>
          <w:b/>
          <w:bCs/>
          <w:color w:val="auto"/>
          <w:sz w:val="22"/>
          <w:szCs w:val="22"/>
        </w:rPr>
      </w:pPr>
      <w:bookmarkStart w:id="2" w:name="_Toc235202267"/>
      <w:r w:rsidRPr="0060040C">
        <w:rPr>
          <w:rFonts w:ascii="Arial" w:eastAsiaTheme="minorHAnsi" w:hAnsi="Arial" w:cs="Arial"/>
          <w:b/>
          <w:bCs/>
          <w:color w:val="auto"/>
          <w:sz w:val="22"/>
          <w:szCs w:val="22"/>
        </w:rPr>
        <w:t>A Critical Examination of Current Health, Wellbeing and Sustainability Policies and Initiatives: The Impact of SDG 3 (Good Health and Well-being) and SDG 10 (Reduced Inequalities) on Citizens at global, national, and local levels</w:t>
      </w:r>
      <w:bookmarkEnd w:id="2"/>
    </w:p>
    <w:p w14:paraId="05B568DA" w14:textId="6D0B598E" w:rsidR="00C70968" w:rsidRPr="00E5652B" w:rsidRDefault="00C70968" w:rsidP="0039240B">
      <w:pPr>
        <w:pStyle w:val="Heading1"/>
        <w:spacing w:line="360" w:lineRule="auto"/>
        <w:rPr>
          <w:rFonts w:ascii="Arial" w:hAnsi="Arial" w:cs="Arial"/>
          <w:b/>
          <w:bCs/>
          <w:color w:val="auto"/>
          <w:sz w:val="22"/>
          <w:szCs w:val="22"/>
        </w:rPr>
      </w:pPr>
      <w:bookmarkStart w:id="3" w:name="_Toc235202268"/>
      <w:r w:rsidRPr="00E5652B">
        <w:rPr>
          <w:rFonts w:ascii="Arial" w:hAnsi="Arial" w:cs="Arial"/>
          <w:b/>
          <w:bCs/>
          <w:color w:val="auto"/>
          <w:sz w:val="22"/>
          <w:szCs w:val="22"/>
        </w:rPr>
        <w:t>Introduction</w:t>
      </w:r>
      <w:bookmarkEnd w:id="3"/>
    </w:p>
    <w:p w14:paraId="6183F3AA" w14:textId="665D5955" w:rsidR="003E26A2" w:rsidRPr="0060040C" w:rsidRDefault="002D0803" w:rsidP="0039240B">
      <w:pPr>
        <w:spacing w:line="360" w:lineRule="auto"/>
        <w:rPr>
          <w:rFonts w:ascii="Arial" w:hAnsi="Arial" w:cs="Arial"/>
          <w:sz w:val="22"/>
          <w:szCs w:val="22"/>
        </w:rPr>
      </w:pPr>
      <w:bookmarkStart w:id="4" w:name="_Toc234975451"/>
      <w:r w:rsidRPr="002D0803">
        <w:rPr>
          <w:rFonts w:ascii="Arial" w:hAnsi="Arial" w:cs="Arial"/>
          <w:sz w:val="22"/>
          <w:szCs w:val="22"/>
        </w:rPr>
        <w:t>The United Nations 2030 Agenda ties together health, equality, and sustainable development. Sustainable Development Goal 3 (SDG 3) seeks to enhance health and well-being for people of all ages. The Sustainable Development Goal 10 (SDG 10) aims to decrease inequality within and between nations</w:t>
      </w:r>
      <w:r w:rsidR="003E26A2" w:rsidRPr="0060040C">
        <w:rPr>
          <w:rFonts w:ascii="Arial" w:hAnsi="Arial" w:cs="Arial"/>
          <w:sz w:val="22"/>
          <w:szCs w:val="22"/>
        </w:rPr>
        <w:t xml:space="preserve">. The two goals are </w:t>
      </w:r>
      <w:r w:rsidR="00622382" w:rsidRPr="0060040C">
        <w:rPr>
          <w:rFonts w:ascii="Arial" w:hAnsi="Arial" w:cs="Arial"/>
          <w:sz w:val="22"/>
          <w:szCs w:val="22"/>
        </w:rPr>
        <w:t>connected</w:t>
      </w:r>
      <w:r w:rsidR="003E26A2" w:rsidRPr="0060040C">
        <w:rPr>
          <w:rFonts w:ascii="Arial" w:hAnsi="Arial" w:cs="Arial"/>
          <w:sz w:val="22"/>
          <w:szCs w:val="22"/>
        </w:rPr>
        <w:t>. People’s health depends on healthcare, but it is also shaped by income, education, employment, housing, discrimination and environmental conditions (United Nations, 2015; World Health Organization, 2025a).</w:t>
      </w:r>
    </w:p>
    <w:p w14:paraId="1E27A564" w14:textId="0184BBF6" w:rsidR="003E26A2" w:rsidRPr="0060040C" w:rsidRDefault="003E26A2" w:rsidP="0039240B">
      <w:pPr>
        <w:spacing w:line="360" w:lineRule="auto"/>
        <w:rPr>
          <w:rFonts w:ascii="Arial" w:hAnsi="Arial" w:cs="Arial"/>
          <w:sz w:val="22"/>
          <w:szCs w:val="22"/>
        </w:rPr>
      </w:pPr>
      <w:r w:rsidRPr="0060040C">
        <w:rPr>
          <w:rFonts w:ascii="Arial" w:hAnsi="Arial" w:cs="Arial"/>
          <w:sz w:val="22"/>
          <w:szCs w:val="22"/>
        </w:rPr>
        <w:t xml:space="preserve">This report critically examines current policies and initiatives linked to SDG 3 and SDG 10. It considers their impact at global, UK and local levels. Coventry is used as the local case study because it has followed the Marmot City approach since 2013. The report uses secondary data from international organisations, government departments, official statistics, local government and academic research. Its main argument is that current policies recognise the connections between health, inequality and sustainability. However, </w:t>
      </w:r>
      <w:r w:rsidR="00C456CA" w:rsidRPr="0060040C">
        <w:rPr>
          <w:rFonts w:ascii="Arial" w:hAnsi="Arial" w:cs="Arial"/>
          <w:sz w:val="22"/>
          <w:szCs w:val="22"/>
        </w:rPr>
        <w:t>significant differences</w:t>
      </w:r>
      <w:r w:rsidRPr="0060040C">
        <w:rPr>
          <w:rFonts w:ascii="Arial" w:hAnsi="Arial" w:cs="Arial"/>
          <w:sz w:val="22"/>
          <w:szCs w:val="22"/>
        </w:rPr>
        <w:t xml:space="preserve"> in healthy life expectancy show that positive policy aims do not always lead to fair outcomes (Institute of Health Equity, 2025; Office for National Statistics, 2026a).</w:t>
      </w:r>
    </w:p>
    <w:p w14:paraId="3511F609" w14:textId="4ED16725" w:rsidR="003E26A2" w:rsidRPr="00E5652B" w:rsidRDefault="003E26A2" w:rsidP="0039240B">
      <w:pPr>
        <w:pStyle w:val="Heading1"/>
        <w:spacing w:line="360" w:lineRule="auto"/>
        <w:rPr>
          <w:rFonts w:ascii="Arial" w:hAnsi="Arial" w:cs="Arial"/>
          <w:b/>
          <w:bCs/>
          <w:color w:val="auto"/>
          <w:sz w:val="22"/>
          <w:szCs w:val="22"/>
        </w:rPr>
      </w:pPr>
      <w:bookmarkStart w:id="5" w:name="_Toc235202269"/>
      <w:r w:rsidRPr="00E5652B">
        <w:rPr>
          <w:rFonts w:ascii="Arial" w:hAnsi="Arial" w:cs="Arial"/>
          <w:b/>
          <w:bCs/>
          <w:color w:val="auto"/>
          <w:sz w:val="22"/>
          <w:szCs w:val="22"/>
        </w:rPr>
        <w:t>1. Analytical Framework: Health, Wellbeing and Sustainability</w:t>
      </w:r>
      <w:bookmarkEnd w:id="5"/>
    </w:p>
    <w:p w14:paraId="0D187DEE" w14:textId="53BB6532" w:rsidR="003E26A2" w:rsidRPr="0060040C" w:rsidRDefault="002D0803" w:rsidP="0039240B">
      <w:pPr>
        <w:spacing w:line="360" w:lineRule="auto"/>
        <w:rPr>
          <w:rFonts w:ascii="Arial" w:hAnsi="Arial" w:cs="Arial"/>
          <w:sz w:val="22"/>
          <w:szCs w:val="22"/>
        </w:rPr>
      </w:pPr>
      <w:r w:rsidRPr="002D0803">
        <w:rPr>
          <w:rFonts w:ascii="Arial" w:hAnsi="Arial" w:cs="Arial"/>
          <w:sz w:val="22"/>
          <w:szCs w:val="22"/>
        </w:rPr>
        <w:t>The Dahlgren and Whitehead model demonstrates how health is impacted by several levels. Individual attributes fit into social networks, living situations, and larger economic and environmental issues</w:t>
      </w:r>
      <w:r w:rsidR="003E26A2" w:rsidRPr="0060040C">
        <w:rPr>
          <w:rFonts w:ascii="Arial" w:hAnsi="Arial" w:cs="Arial"/>
          <w:sz w:val="22"/>
          <w:szCs w:val="22"/>
        </w:rPr>
        <w:t xml:space="preserve">. This model helps explain why medical treatment alone cannot remove health inequalities. For example, advice about healthy eating may have little effect if a family cannot afford nutritious food (Dahlgren and Whitehead, 2021; World Health Organization, 2025a). </w:t>
      </w:r>
    </w:p>
    <w:p w14:paraId="049367CF" w14:textId="526ECCAF" w:rsidR="003E26A2" w:rsidRPr="0060040C" w:rsidRDefault="003E26A2" w:rsidP="0039240B">
      <w:pPr>
        <w:spacing w:line="360" w:lineRule="auto"/>
        <w:rPr>
          <w:rFonts w:ascii="Arial" w:hAnsi="Arial" w:cs="Arial"/>
          <w:sz w:val="22"/>
          <w:szCs w:val="22"/>
        </w:rPr>
      </w:pPr>
      <w:r w:rsidRPr="0060040C">
        <w:rPr>
          <w:rFonts w:ascii="Arial" w:hAnsi="Arial" w:cs="Arial"/>
          <w:sz w:val="22"/>
          <w:szCs w:val="22"/>
        </w:rPr>
        <w:t xml:space="preserve">The report also uses proportionate universalism. This means that services should be available to everyone, but more support should be provided where need is greater (Francis-Oliviero et al., 2020). This idea is useful when assessing Core20PLUS5 and Coventry’s </w:t>
      </w:r>
      <w:r w:rsidRPr="0060040C">
        <w:rPr>
          <w:rFonts w:ascii="Arial" w:hAnsi="Arial" w:cs="Arial"/>
          <w:sz w:val="22"/>
          <w:szCs w:val="22"/>
        </w:rPr>
        <w:lastRenderedPageBreak/>
        <w:t>Marmot approach. Sustainability is considered in three ways: protecting the environment, preventing avoidable illness and ensuring health and care services can continue financially in the future.</w:t>
      </w:r>
    </w:p>
    <w:p w14:paraId="390172AA" w14:textId="3375100F" w:rsidR="00C70968" w:rsidRPr="00E5652B" w:rsidRDefault="003E26A2" w:rsidP="0039240B">
      <w:pPr>
        <w:pStyle w:val="Heading1"/>
        <w:spacing w:line="360" w:lineRule="auto"/>
        <w:rPr>
          <w:rFonts w:ascii="Arial" w:hAnsi="Arial" w:cs="Arial"/>
          <w:b/>
          <w:bCs/>
          <w:color w:val="auto"/>
          <w:sz w:val="22"/>
          <w:szCs w:val="22"/>
        </w:rPr>
      </w:pPr>
      <w:bookmarkStart w:id="6" w:name="_Toc235202270"/>
      <w:r w:rsidRPr="00E5652B">
        <w:rPr>
          <w:rFonts w:ascii="Arial" w:hAnsi="Arial" w:cs="Arial"/>
          <w:b/>
          <w:bCs/>
          <w:color w:val="auto"/>
          <w:sz w:val="22"/>
          <w:szCs w:val="22"/>
        </w:rPr>
        <w:t xml:space="preserve">2. </w:t>
      </w:r>
      <w:r w:rsidR="00C70968" w:rsidRPr="00E5652B">
        <w:rPr>
          <w:rFonts w:ascii="Arial" w:hAnsi="Arial" w:cs="Arial"/>
          <w:b/>
          <w:bCs/>
          <w:color w:val="auto"/>
          <w:sz w:val="22"/>
          <w:szCs w:val="22"/>
        </w:rPr>
        <w:t>SDG 3: Good Health and Well-being</w:t>
      </w:r>
      <w:bookmarkEnd w:id="4"/>
      <w:bookmarkEnd w:id="6"/>
      <w:r w:rsidR="00C70968" w:rsidRPr="00E5652B">
        <w:rPr>
          <w:rFonts w:ascii="Arial" w:hAnsi="Arial" w:cs="Arial"/>
          <w:b/>
          <w:bCs/>
          <w:color w:val="auto"/>
          <w:sz w:val="22"/>
          <w:szCs w:val="22"/>
        </w:rPr>
        <w:t xml:space="preserve"> </w:t>
      </w:r>
    </w:p>
    <w:p w14:paraId="0798BBCD" w14:textId="524B463A" w:rsidR="00C70968" w:rsidRPr="00E5652B" w:rsidRDefault="002E29AE" w:rsidP="0039240B">
      <w:pPr>
        <w:pStyle w:val="Heading2"/>
        <w:spacing w:line="360" w:lineRule="auto"/>
        <w:rPr>
          <w:rFonts w:ascii="Arial" w:hAnsi="Arial" w:cs="Arial"/>
          <w:b/>
          <w:bCs/>
          <w:color w:val="auto"/>
          <w:sz w:val="22"/>
          <w:szCs w:val="22"/>
        </w:rPr>
      </w:pPr>
      <w:bookmarkStart w:id="7" w:name="_Toc234975452"/>
      <w:bookmarkStart w:id="8" w:name="_Toc235202271"/>
      <w:r>
        <w:rPr>
          <w:rFonts w:ascii="Arial" w:hAnsi="Arial" w:cs="Arial"/>
          <w:b/>
          <w:bCs/>
          <w:color w:val="auto"/>
          <w:sz w:val="22"/>
          <w:szCs w:val="22"/>
        </w:rPr>
        <w:t>a</w:t>
      </w:r>
      <w:r w:rsidR="00C70968" w:rsidRPr="00E5652B">
        <w:rPr>
          <w:rFonts w:ascii="Arial" w:hAnsi="Arial" w:cs="Arial"/>
          <w:b/>
          <w:bCs/>
          <w:color w:val="auto"/>
          <w:sz w:val="22"/>
          <w:szCs w:val="22"/>
        </w:rPr>
        <w:t xml:space="preserve">) </w:t>
      </w:r>
      <w:r w:rsidR="00A02E3A" w:rsidRPr="00E5652B">
        <w:rPr>
          <w:rFonts w:ascii="Arial" w:hAnsi="Arial" w:cs="Arial"/>
          <w:b/>
          <w:bCs/>
          <w:color w:val="auto"/>
          <w:sz w:val="22"/>
          <w:szCs w:val="22"/>
        </w:rPr>
        <w:t xml:space="preserve">Global impact and </w:t>
      </w:r>
      <w:bookmarkEnd w:id="7"/>
      <w:r w:rsidR="003E26A2" w:rsidRPr="00E5652B">
        <w:rPr>
          <w:rFonts w:ascii="Arial" w:hAnsi="Arial" w:cs="Arial"/>
          <w:b/>
          <w:bCs/>
          <w:color w:val="auto"/>
          <w:sz w:val="22"/>
          <w:szCs w:val="22"/>
        </w:rPr>
        <w:t>Initiatives</w:t>
      </w:r>
      <w:bookmarkEnd w:id="8"/>
    </w:p>
    <w:p w14:paraId="74D1C02F" w14:textId="598DD6EE" w:rsidR="007200F4" w:rsidRPr="007200F4" w:rsidRDefault="002D0803" w:rsidP="0039240B">
      <w:pPr>
        <w:spacing w:line="360" w:lineRule="auto"/>
        <w:rPr>
          <w:rFonts w:ascii="Arial" w:eastAsiaTheme="majorEastAsia" w:hAnsi="Arial" w:cs="Arial"/>
          <w:sz w:val="22"/>
          <w:szCs w:val="22"/>
        </w:rPr>
      </w:pPr>
      <w:r w:rsidRPr="002D0803">
        <w:rPr>
          <w:rFonts w:ascii="Arial" w:eastAsiaTheme="majorEastAsia" w:hAnsi="Arial" w:cs="Arial"/>
          <w:sz w:val="22"/>
          <w:szCs w:val="22"/>
        </w:rPr>
        <w:t xml:space="preserve">SDG 3 addresses mother and child health, infectious illnesses, chronic ailments, mental health, substance abuse, reproductive health, road safety, pollution, and universal health </w:t>
      </w:r>
      <w:proofErr w:type="spellStart"/>
      <w:proofErr w:type="gramStart"/>
      <w:r w:rsidRPr="002D0803">
        <w:rPr>
          <w:rFonts w:ascii="Arial" w:eastAsiaTheme="majorEastAsia" w:hAnsi="Arial" w:cs="Arial"/>
          <w:sz w:val="22"/>
          <w:szCs w:val="22"/>
        </w:rPr>
        <w:t>care.</w:t>
      </w:r>
      <w:r w:rsidR="007200F4" w:rsidRPr="007200F4">
        <w:rPr>
          <w:rFonts w:ascii="Arial" w:eastAsiaTheme="majorEastAsia" w:hAnsi="Arial" w:cs="Arial"/>
          <w:sz w:val="22"/>
          <w:szCs w:val="22"/>
        </w:rPr>
        <w:t>The</w:t>
      </w:r>
      <w:proofErr w:type="spellEnd"/>
      <w:proofErr w:type="gramEnd"/>
      <w:r w:rsidR="007200F4" w:rsidRPr="007200F4">
        <w:rPr>
          <w:rFonts w:ascii="Arial" w:eastAsiaTheme="majorEastAsia" w:hAnsi="Arial" w:cs="Arial"/>
          <w:sz w:val="22"/>
          <w:szCs w:val="22"/>
        </w:rPr>
        <w:t xml:space="preserve"> UN 2030 Agenda provides shared international targets and monitoring systems, helping to keep health and wellbeing on the global policy agenda. However, implementation is voluntary, and the United Nations cannot force governments to provide enough funding, staff or services (United Nations, 2015).</w:t>
      </w:r>
    </w:p>
    <w:p w14:paraId="3E65B50F" w14:textId="4FC23C5B" w:rsidR="007200F4" w:rsidRPr="007200F4" w:rsidRDefault="007200F4" w:rsidP="0039240B">
      <w:pPr>
        <w:spacing w:line="360" w:lineRule="auto"/>
        <w:rPr>
          <w:rFonts w:ascii="Arial" w:eastAsiaTheme="majorEastAsia" w:hAnsi="Arial" w:cs="Arial"/>
          <w:sz w:val="22"/>
          <w:szCs w:val="22"/>
        </w:rPr>
      </w:pPr>
      <w:r w:rsidRPr="007200F4">
        <w:rPr>
          <w:rFonts w:ascii="Arial" w:eastAsiaTheme="majorEastAsia" w:hAnsi="Arial" w:cs="Arial"/>
          <w:sz w:val="22"/>
          <w:szCs w:val="22"/>
        </w:rPr>
        <w:t xml:space="preserve">Global progress has been positive in some areas but is still uneven. Maternal and child deaths have declined, yet many targets are still off track. Shortages of trained health workers remain serious in poorer regions. </w:t>
      </w:r>
      <w:r w:rsidR="002D0803" w:rsidRPr="002D0803">
        <w:rPr>
          <w:rFonts w:ascii="Arial" w:eastAsiaTheme="majorEastAsia" w:hAnsi="Arial" w:cs="Arial"/>
          <w:sz w:val="22"/>
          <w:szCs w:val="22"/>
        </w:rPr>
        <w:t>The World Health Organization's universal health coverage initiative strives to guarantee that everyone has access to health promotion, prevention, treatment, rehabilitation, and palliative care without financial barriers. The worldwide service-coverage index increased from 54 in 2000 to 71 in 2023, although improvement slowed after 2015.</w:t>
      </w:r>
      <w:r w:rsidR="002D0803">
        <w:rPr>
          <w:rFonts w:ascii="Arial" w:eastAsiaTheme="majorEastAsia" w:hAnsi="Arial" w:cs="Arial"/>
          <w:sz w:val="22"/>
          <w:szCs w:val="22"/>
        </w:rPr>
        <w:t xml:space="preserve"> </w:t>
      </w:r>
      <w:r w:rsidRPr="007200F4">
        <w:rPr>
          <w:rFonts w:ascii="Arial" w:eastAsiaTheme="majorEastAsia" w:hAnsi="Arial" w:cs="Arial"/>
          <w:sz w:val="22"/>
          <w:szCs w:val="22"/>
        </w:rPr>
        <w:t>These figures show progress, but national averages can hide inequalities. They also measure physical health more easily than mental wellbeing, independence, social participation and quality of life. Global initiatives provide useful direction, but their effectiveness depends on national resources, political commitment and strong local health systems.</w:t>
      </w:r>
    </w:p>
    <w:p w14:paraId="5EDFCAED" w14:textId="77777777" w:rsidR="007200F4" w:rsidRPr="007200F4" w:rsidRDefault="007200F4" w:rsidP="0039240B">
      <w:pPr>
        <w:spacing w:line="360" w:lineRule="auto"/>
        <w:rPr>
          <w:rFonts w:ascii="Arial" w:eastAsiaTheme="majorEastAsia" w:hAnsi="Arial" w:cs="Arial"/>
          <w:b/>
          <w:bCs/>
          <w:sz w:val="22"/>
          <w:szCs w:val="22"/>
        </w:rPr>
      </w:pPr>
      <w:r w:rsidRPr="007200F4">
        <w:rPr>
          <w:rFonts w:ascii="Arial" w:eastAsiaTheme="majorEastAsia" w:hAnsi="Arial" w:cs="Arial"/>
          <w:b/>
          <w:bCs/>
          <w:sz w:val="22"/>
          <w:szCs w:val="22"/>
        </w:rPr>
        <w:t>b) National Impact and UK Initiatives</w:t>
      </w:r>
    </w:p>
    <w:p w14:paraId="4A78D511" w14:textId="044D7702" w:rsidR="007200F4" w:rsidRPr="007200F4" w:rsidRDefault="007200F4" w:rsidP="0039240B">
      <w:pPr>
        <w:spacing w:line="360" w:lineRule="auto"/>
        <w:rPr>
          <w:rFonts w:ascii="Arial" w:eastAsiaTheme="majorEastAsia" w:hAnsi="Arial" w:cs="Arial"/>
          <w:sz w:val="22"/>
          <w:szCs w:val="22"/>
        </w:rPr>
      </w:pPr>
      <w:r w:rsidRPr="007200F4">
        <w:rPr>
          <w:rFonts w:ascii="Arial" w:eastAsiaTheme="majorEastAsia" w:hAnsi="Arial" w:cs="Arial"/>
          <w:sz w:val="22"/>
          <w:szCs w:val="22"/>
        </w:rPr>
        <w:t xml:space="preserve">The UK has tax-funded health systems, so </w:t>
      </w:r>
      <w:r w:rsidR="002D0803" w:rsidRPr="002D0803">
        <w:rPr>
          <w:rFonts w:ascii="Arial" w:eastAsiaTheme="majorEastAsia" w:hAnsi="Arial" w:cs="Arial"/>
          <w:sz w:val="22"/>
          <w:szCs w:val="22"/>
        </w:rPr>
        <w:t>most care is determined by need rather than capacity to pay</w:t>
      </w:r>
      <w:r w:rsidRPr="007200F4">
        <w:rPr>
          <w:rFonts w:ascii="Arial" w:eastAsiaTheme="majorEastAsia" w:hAnsi="Arial" w:cs="Arial"/>
          <w:sz w:val="22"/>
          <w:szCs w:val="22"/>
        </w:rPr>
        <w:t xml:space="preserve">. This supports universal health coverage. However, universal entitlement has not produced equal outcomes. </w:t>
      </w:r>
      <w:r w:rsidR="00C65A22" w:rsidRPr="00C65A22">
        <w:rPr>
          <w:rFonts w:ascii="Arial" w:eastAsiaTheme="majorEastAsia" w:hAnsi="Arial" w:cs="Arial"/>
          <w:sz w:val="22"/>
          <w:szCs w:val="22"/>
        </w:rPr>
        <w:t>In 2022-2024, healthy life duration was 60.7 years for men and 60.9 years for women, the lowest projections since the series began</w:t>
      </w:r>
      <w:r w:rsidRPr="007200F4">
        <w:rPr>
          <w:rFonts w:ascii="Arial" w:eastAsiaTheme="majorEastAsia" w:hAnsi="Arial" w:cs="Arial"/>
          <w:sz w:val="22"/>
          <w:szCs w:val="22"/>
        </w:rPr>
        <w:t>. It also fell in most UK local areas (Office for National Statistics, 2026a).</w:t>
      </w:r>
    </w:p>
    <w:p w14:paraId="1892C764" w14:textId="4BC29A2E" w:rsidR="007200F4" w:rsidRPr="007200F4" w:rsidRDefault="007200F4" w:rsidP="0039240B">
      <w:pPr>
        <w:spacing w:line="360" w:lineRule="auto"/>
        <w:rPr>
          <w:rFonts w:ascii="Arial" w:eastAsiaTheme="majorEastAsia" w:hAnsi="Arial" w:cs="Arial"/>
          <w:sz w:val="22"/>
          <w:szCs w:val="22"/>
        </w:rPr>
      </w:pPr>
      <w:r w:rsidRPr="007200F4">
        <w:rPr>
          <w:rFonts w:ascii="Arial" w:eastAsiaTheme="majorEastAsia" w:hAnsi="Arial" w:cs="Arial"/>
          <w:sz w:val="22"/>
          <w:szCs w:val="22"/>
        </w:rPr>
        <w:t xml:space="preserve">Deprivation has a stronger effect. </w:t>
      </w:r>
      <w:r w:rsidR="00C65A22" w:rsidRPr="00C65A22">
        <w:rPr>
          <w:rFonts w:ascii="Arial" w:eastAsiaTheme="majorEastAsia" w:hAnsi="Arial" w:cs="Arial"/>
          <w:sz w:val="22"/>
          <w:szCs w:val="22"/>
        </w:rPr>
        <w:t>In England's most impoverished communities, healthy life expectancy was 49.8 years for men and 48.2 years for women. In the least impoverished districts, it was 68.5 and 69.2 years. The estimated age differences were 19.3 years for men and 20 years for women.1 year for ladies</w:t>
      </w:r>
      <w:r w:rsidRPr="007200F4">
        <w:rPr>
          <w:rFonts w:ascii="Arial" w:eastAsiaTheme="majorEastAsia" w:hAnsi="Arial" w:cs="Arial"/>
          <w:sz w:val="22"/>
          <w:szCs w:val="22"/>
        </w:rPr>
        <w:t xml:space="preserve"> (Office for National Statistics, 2026b). These findings support Marmot et al.’s (2020) view that health follows a social gradient. They also </w:t>
      </w:r>
      <w:r w:rsidRPr="007200F4">
        <w:rPr>
          <w:rFonts w:ascii="Arial" w:eastAsiaTheme="majorEastAsia" w:hAnsi="Arial" w:cs="Arial"/>
          <w:sz w:val="22"/>
          <w:szCs w:val="22"/>
        </w:rPr>
        <w:lastRenderedPageBreak/>
        <w:t>show that the NHS cannot solve the effects of poverty, insecure work and poor housing alone.</w:t>
      </w:r>
    </w:p>
    <w:p w14:paraId="51F8157A" w14:textId="22DFEB5D" w:rsidR="007200F4" w:rsidRPr="007200F4" w:rsidRDefault="007200F4" w:rsidP="0039240B">
      <w:pPr>
        <w:spacing w:line="360" w:lineRule="auto"/>
        <w:rPr>
          <w:rFonts w:ascii="Arial" w:eastAsiaTheme="majorEastAsia" w:hAnsi="Arial" w:cs="Arial"/>
          <w:sz w:val="22"/>
          <w:szCs w:val="22"/>
        </w:rPr>
      </w:pPr>
      <w:r w:rsidRPr="007200F4">
        <w:rPr>
          <w:rFonts w:ascii="Arial" w:eastAsiaTheme="majorEastAsia" w:hAnsi="Arial" w:cs="Arial"/>
          <w:sz w:val="22"/>
          <w:szCs w:val="22"/>
        </w:rPr>
        <w:t xml:space="preserve">Health policy is devolved, so each UK nation has its own strategy. </w:t>
      </w:r>
      <w:r w:rsidR="00C65A22" w:rsidRPr="00C65A22">
        <w:rPr>
          <w:rFonts w:ascii="Arial" w:eastAsiaTheme="majorEastAsia" w:hAnsi="Arial" w:cs="Arial"/>
          <w:sz w:val="22"/>
          <w:szCs w:val="22"/>
        </w:rPr>
        <w:t>England's 10 Year Health Plan focuses on hospital to community, analogue to digital, and illness prevention</w:t>
      </w:r>
      <w:r w:rsidR="00C65A22">
        <w:rPr>
          <w:rFonts w:ascii="Arial" w:eastAsiaTheme="majorEastAsia" w:hAnsi="Arial" w:cs="Arial"/>
          <w:sz w:val="22"/>
          <w:szCs w:val="22"/>
        </w:rPr>
        <w:t xml:space="preserve"> </w:t>
      </w:r>
      <w:r w:rsidRPr="007200F4">
        <w:rPr>
          <w:rFonts w:ascii="Arial" w:eastAsiaTheme="majorEastAsia" w:hAnsi="Arial" w:cs="Arial"/>
          <w:sz w:val="22"/>
          <w:szCs w:val="22"/>
        </w:rPr>
        <w:t xml:space="preserve">(Department of Health and Social Care, 2025). Scotland’s </w:t>
      </w:r>
      <w:r w:rsidRPr="007200F4">
        <w:rPr>
          <w:rFonts w:ascii="Arial" w:eastAsiaTheme="majorEastAsia" w:hAnsi="Arial" w:cs="Arial"/>
          <w:i/>
          <w:iCs/>
          <w:sz w:val="22"/>
          <w:szCs w:val="22"/>
        </w:rPr>
        <w:t>Population Health Framework</w:t>
      </w:r>
      <w:r w:rsidRPr="007200F4">
        <w:rPr>
          <w:rFonts w:ascii="Arial" w:eastAsiaTheme="majorEastAsia" w:hAnsi="Arial" w:cs="Arial"/>
          <w:sz w:val="22"/>
          <w:szCs w:val="22"/>
        </w:rPr>
        <w:t xml:space="preserve"> links health with poverty, education, employment and place (Scottish Government, 2025). </w:t>
      </w:r>
      <w:r w:rsidRPr="007200F4">
        <w:rPr>
          <w:rFonts w:ascii="Arial" w:eastAsiaTheme="majorEastAsia" w:hAnsi="Arial" w:cs="Arial"/>
          <w:i/>
          <w:iCs/>
          <w:sz w:val="22"/>
          <w:szCs w:val="22"/>
        </w:rPr>
        <w:t>A Healthier Wales</w:t>
      </w:r>
      <w:r w:rsidRPr="007200F4">
        <w:rPr>
          <w:rFonts w:ascii="Arial" w:eastAsiaTheme="majorEastAsia" w:hAnsi="Arial" w:cs="Arial"/>
          <w:sz w:val="22"/>
          <w:szCs w:val="22"/>
        </w:rPr>
        <w:t xml:space="preserve"> promotes prevention, integrated services and care closer to home (Welsh Government, 2018). Northern Ireland reports health inequalities by deprivation and local area (Department of Health Northern Ireland, 2026).</w:t>
      </w:r>
    </w:p>
    <w:p w14:paraId="355CD478" w14:textId="77777777" w:rsidR="007200F4" w:rsidRPr="007200F4" w:rsidRDefault="007200F4" w:rsidP="0039240B">
      <w:pPr>
        <w:spacing w:line="360" w:lineRule="auto"/>
        <w:rPr>
          <w:rFonts w:ascii="Arial" w:eastAsiaTheme="majorEastAsia" w:hAnsi="Arial" w:cs="Arial"/>
          <w:sz w:val="22"/>
          <w:szCs w:val="22"/>
        </w:rPr>
      </w:pPr>
      <w:r w:rsidRPr="007200F4">
        <w:rPr>
          <w:rFonts w:ascii="Arial" w:eastAsiaTheme="majorEastAsia" w:hAnsi="Arial" w:cs="Arial"/>
          <w:sz w:val="22"/>
          <w:szCs w:val="22"/>
        </w:rPr>
        <w:t>These policies show that health and wellbeing are included in national health and care planning. Devolution allows strategies to reflect different needs, but the four nations use different targets, definitions and data systems. This makes UK-wide comparison difficult and may weaken accountability.</w:t>
      </w:r>
    </w:p>
    <w:p w14:paraId="454FCFB1" w14:textId="1D22CF2B" w:rsidR="007200F4" w:rsidRPr="007200F4" w:rsidRDefault="00C65A22" w:rsidP="0039240B">
      <w:pPr>
        <w:spacing w:line="360" w:lineRule="auto"/>
        <w:rPr>
          <w:rFonts w:ascii="Arial" w:eastAsiaTheme="majorEastAsia" w:hAnsi="Arial" w:cs="Arial"/>
          <w:sz w:val="22"/>
          <w:szCs w:val="22"/>
        </w:rPr>
      </w:pPr>
      <w:r w:rsidRPr="00C65A22">
        <w:rPr>
          <w:rFonts w:ascii="Arial" w:eastAsiaTheme="majorEastAsia" w:hAnsi="Arial" w:cs="Arial"/>
          <w:sz w:val="22"/>
          <w:szCs w:val="22"/>
        </w:rPr>
        <w:t>NHS England’s Core20PLUS5 targets the most vulnerable 20% of the population, locally defined groups facing exclusion, and five clinical objectives</w:t>
      </w:r>
      <w:r>
        <w:rPr>
          <w:rFonts w:ascii="Arial" w:eastAsiaTheme="majorEastAsia" w:hAnsi="Arial" w:cs="Arial"/>
          <w:sz w:val="22"/>
          <w:szCs w:val="22"/>
        </w:rPr>
        <w:t xml:space="preserve"> </w:t>
      </w:r>
      <w:r w:rsidR="007200F4" w:rsidRPr="007200F4">
        <w:rPr>
          <w:rFonts w:ascii="Arial" w:eastAsiaTheme="majorEastAsia" w:hAnsi="Arial" w:cs="Arial"/>
          <w:sz w:val="22"/>
          <w:szCs w:val="22"/>
        </w:rPr>
        <w:t>(NHS England, 2021). It reflects proportionate universalism by directing more attention to people with greater barriers and needs. However, it mainly addresses healthcare access and outcomes. It cannot directly improve income, housing or working conditions.</w:t>
      </w:r>
    </w:p>
    <w:p w14:paraId="21DF99D0" w14:textId="587A7F03" w:rsidR="007200F4" w:rsidRPr="007200F4" w:rsidRDefault="007200F4" w:rsidP="0039240B">
      <w:pPr>
        <w:spacing w:line="360" w:lineRule="auto"/>
        <w:rPr>
          <w:rFonts w:ascii="Arial" w:eastAsiaTheme="majorEastAsia" w:hAnsi="Arial" w:cs="Arial"/>
          <w:sz w:val="22"/>
          <w:szCs w:val="22"/>
        </w:rPr>
      </w:pPr>
      <w:r w:rsidRPr="007200F4">
        <w:rPr>
          <w:rFonts w:ascii="Arial" w:eastAsiaTheme="majorEastAsia" w:hAnsi="Arial" w:cs="Arial"/>
          <w:sz w:val="22"/>
          <w:szCs w:val="22"/>
        </w:rPr>
        <w:t xml:space="preserve">Environmental sustainability is also part of health policy. The Greener NHS programme aims to achieve net-zero emissions from directly controlled activities by 2040 and from wider emissions the NHS can influence by 2045 (NHS England, 2025). Tennison et al. (2021) found that the NHS carbon footprint in England fell between 1990 and 2019, although supply chains </w:t>
      </w:r>
      <w:r w:rsidR="00DC2A50" w:rsidRPr="007200F4">
        <w:rPr>
          <w:rFonts w:ascii="Arial" w:eastAsiaTheme="majorEastAsia" w:hAnsi="Arial" w:cs="Arial"/>
          <w:sz w:val="22"/>
          <w:szCs w:val="22"/>
        </w:rPr>
        <w:t>stayed</w:t>
      </w:r>
      <w:r w:rsidRPr="007200F4">
        <w:rPr>
          <w:rFonts w:ascii="Arial" w:eastAsiaTheme="majorEastAsia" w:hAnsi="Arial" w:cs="Arial"/>
          <w:sz w:val="22"/>
          <w:szCs w:val="22"/>
        </w:rPr>
        <w:t xml:space="preserve"> a major source.</w:t>
      </w:r>
    </w:p>
    <w:p w14:paraId="1A1C723E" w14:textId="77777777" w:rsidR="007200F4" w:rsidRPr="007200F4" w:rsidRDefault="007200F4" w:rsidP="0039240B">
      <w:pPr>
        <w:spacing w:line="360" w:lineRule="auto"/>
        <w:rPr>
          <w:rFonts w:ascii="Arial" w:eastAsiaTheme="majorEastAsia" w:hAnsi="Arial" w:cs="Arial"/>
          <w:sz w:val="22"/>
          <w:szCs w:val="22"/>
        </w:rPr>
      </w:pPr>
      <w:r w:rsidRPr="007200F4">
        <w:rPr>
          <w:rFonts w:ascii="Arial" w:eastAsiaTheme="majorEastAsia" w:hAnsi="Arial" w:cs="Arial"/>
          <w:sz w:val="22"/>
          <w:szCs w:val="22"/>
        </w:rPr>
        <w:t>Digital care and fewer journeys may reduce emissions and improve convenience. However, digital services can exclude people without internet access, suitable devices, confidence or accessible information. Jahnel et al. (2022) explain that digital factors can deepen health inequalities. Environmental improvements should therefore not create new barriers to care.</w:t>
      </w:r>
    </w:p>
    <w:p w14:paraId="50577868" w14:textId="77777777" w:rsidR="007200F4" w:rsidRPr="007200F4" w:rsidRDefault="007200F4" w:rsidP="0039240B">
      <w:pPr>
        <w:spacing w:line="360" w:lineRule="auto"/>
        <w:rPr>
          <w:rFonts w:ascii="Arial" w:eastAsiaTheme="majorEastAsia" w:hAnsi="Arial" w:cs="Arial"/>
          <w:b/>
          <w:bCs/>
          <w:sz w:val="22"/>
          <w:szCs w:val="22"/>
        </w:rPr>
      </w:pPr>
      <w:r w:rsidRPr="007200F4">
        <w:rPr>
          <w:rFonts w:ascii="Arial" w:eastAsiaTheme="majorEastAsia" w:hAnsi="Arial" w:cs="Arial"/>
          <w:b/>
          <w:bCs/>
          <w:sz w:val="22"/>
          <w:szCs w:val="22"/>
        </w:rPr>
        <w:t>c) Local Impact: Coventry</w:t>
      </w:r>
    </w:p>
    <w:p w14:paraId="46B31D59" w14:textId="5133D5D0" w:rsidR="007200F4" w:rsidRPr="007200F4" w:rsidRDefault="007200F4" w:rsidP="0039240B">
      <w:pPr>
        <w:spacing w:line="360" w:lineRule="auto"/>
        <w:rPr>
          <w:rFonts w:ascii="Arial" w:eastAsiaTheme="majorEastAsia" w:hAnsi="Arial" w:cs="Arial"/>
          <w:sz w:val="22"/>
          <w:szCs w:val="22"/>
        </w:rPr>
      </w:pPr>
      <w:r w:rsidRPr="007200F4">
        <w:rPr>
          <w:rFonts w:ascii="Arial" w:eastAsiaTheme="majorEastAsia" w:hAnsi="Arial" w:cs="Arial"/>
          <w:sz w:val="22"/>
          <w:szCs w:val="22"/>
        </w:rPr>
        <w:t xml:space="preserve">Coventry shows how national averages can hide local inequality. In 2021–2023, life expectancy was 77.4 years for </w:t>
      </w:r>
      <w:r w:rsidR="00C82174" w:rsidRPr="007200F4">
        <w:rPr>
          <w:rFonts w:ascii="Arial" w:eastAsiaTheme="majorEastAsia" w:hAnsi="Arial" w:cs="Arial"/>
          <w:sz w:val="22"/>
          <w:szCs w:val="22"/>
        </w:rPr>
        <w:t>men</w:t>
      </w:r>
      <w:r w:rsidRPr="007200F4">
        <w:rPr>
          <w:rFonts w:ascii="Arial" w:eastAsiaTheme="majorEastAsia" w:hAnsi="Arial" w:cs="Arial"/>
          <w:sz w:val="22"/>
          <w:szCs w:val="22"/>
        </w:rPr>
        <w:t xml:space="preserve"> and 81.7 years for </w:t>
      </w:r>
      <w:r w:rsidR="00C82174" w:rsidRPr="007200F4">
        <w:rPr>
          <w:rFonts w:ascii="Arial" w:eastAsiaTheme="majorEastAsia" w:hAnsi="Arial" w:cs="Arial"/>
          <w:sz w:val="22"/>
          <w:szCs w:val="22"/>
        </w:rPr>
        <w:t>ladies</w:t>
      </w:r>
      <w:r w:rsidRPr="007200F4">
        <w:rPr>
          <w:rFonts w:ascii="Arial" w:eastAsiaTheme="majorEastAsia" w:hAnsi="Arial" w:cs="Arial"/>
          <w:sz w:val="22"/>
          <w:szCs w:val="22"/>
        </w:rPr>
        <w:t xml:space="preserve">. The gap between neighbourhoods with the highest and lowest life </w:t>
      </w:r>
      <w:r w:rsidR="00C82174" w:rsidRPr="007200F4">
        <w:rPr>
          <w:rFonts w:ascii="Arial" w:eastAsiaTheme="majorEastAsia" w:hAnsi="Arial" w:cs="Arial"/>
          <w:sz w:val="22"/>
          <w:szCs w:val="22"/>
        </w:rPr>
        <w:t>expectation</w:t>
      </w:r>
      <w:r w:rsidRPr="007200F4">
        <w:rPr>
          <w:rFonts w:ascii="Arial" w:eastAsiaTheme="majorEastAsia" w:hAnsi="Arial" w:cs="Arial"/>
          <w:sz w:val="22"/>
          <w:szCs w:val="22"/>
        </w:rPr>
        <w:t xml:space="preserve"> was 14.9 years for males and 8.5 years for females (Coventry City Council, 2025). These differences affect physical health, independence, employment, family life and people’s sense of control.</w:t>
      </w:r>
    </w:p>
    <w:p w14:paraId="6079CAED" w14:textId="77777777" w:rsidR="007200F4" w:rsidRPr="007200F4" w:rsidRDefault="007200F4" w:rsidP="0039240B">
      <w:pPr>
        <w:spacing w:line="360" w:lineRule="auto"/>
        <w:rPr>
          <w:rFonts w:ascii="Arial" w:eastAsiaTheme="majorEastAsia" w:hAnsi="Arial" w:cs="Arial"/>
          <w:sz w:val="22"/>
          <w:szCs w:val="22"/>
        </w:rPr>
      </w:pPr>
      <w:r w:rsidRPr="007200F4">
        <w:rPr>
          <w:rFonts w:ascii="Arial" w:eastAsiaTheme="majorEastAsia" w:hAnsi="Arial" w:cs="Arial"/>
          <w:sz w:val="22"/>
          <w:szCs w:val="22"/>
        </w:rPr>
        <w:lastRenderedPageBreak/>
        <w:t>Coventry became the first Marmot City in 2013. Its partnership brings together the council, NHS, voluntary organisations and other local services. Its work covers education, employment, financial security, housing and green space (Institute of Health Equity, 2025). This is a strong local example because it addresses the wider causes of poor health instead of focusing only on treatment.</w:t>
      </w:r>
    </w:p>
    <w:p w14:paraId="3B6AE002" w14:textId="77777777" w:rsidR="007200F4" w:rsidRPr="007200F4" w:rsidRDefault="007200F4" w:rsidP="0039240B">
      <w:pPr>
        <w:spacing w:line="360" w:lineRule="auto"/>
        <w:rPr>
          <w:rFonts w:ascii="Arial" w:eastAsiaTheme="majorEastAsia" w:hAnsi="Arial" w:cs="Arial"/>
          <w:sz w:val="22"/>
          <w:szCs w:val="22"/>
        </w:rPr>
      </w:pPr>
      <w:r w:rsidRPr="007200F4">
        <w:rPr>
          <w:rFonts w:ascii="Arial" w:eastAsiaTheme="majorEastAsia" w:hAnsi="Arial" w:cs="Arial"/>
          <w:sz w:val="22"/>
          <w:szCs w:val="22"/>
        </w:rPr>
        <w:t>However, local partnerships cannot control national welfare, taxation or employment policy. It is also difficult to prove that one programme caused changes in life expectancy. Partnership activity should therefore not automatically be treated as evidence of effectiveness. Coventry’s progress should be judged through long-term neighbourhood outcomes rather than the number of projects, meetings or referrals delivered.</w:t>
      </w:r>
    </w:p>
    <w:p w14:paraId="499D045F" w14:textId="77777777" w:rsidR="007200F4" w:rsidRPr="0060040C" w:rsidRDefault="007200F4" w:rsidP="0039240B">
      <w:pPr>
        <w:spacing w:line="360" w:lineRule="auto"/>
        <w:rPr>
          <w:rFonts w:ascii="Arial" w:eastAsiaTheme="majorEastAsia" w:hAnsi="Arial" w:cs="Arial"/>
          <w:sz w:val="22"/>
          <w:szCs w:val="22"/>
        </w:rPr>
      </w:pPr>
    </w:p>
    <w:p w14:paraId="50DF63B1" w14:textId="0DDD2B55" w:rsidR="00057B3D" w:rsidRPr="00E5652B" w:rsidRDefault="00057B3D" w:rsidP="0039240B">
      <w:pPr>
        <w:pStyle w:val="Heading1"/>
        <w:spacing w:line="360" w:lineRule="auto"/>
        <w:rPr>
          <w:rFonts w:ascii="Arial" w:hAnsi="Arial" w:cs="Arial"/>
          <w:b/>
          <w:bCs/>
          <w:color w:val="auto"/>
          <w:sz w:val="22"/>
          <w:szCs w:val="22"/>
        </w:rPr>
      </w:pPr>
      <w:bookmarkStart w:id="9" w:name="_Toc235202274"/>
      <w:r w:rsidRPr="00E5652B">
        <w:rPr>
          <w:rFonts w:ascii="Arial" w:hAnsi="Arial" w:cs="Arial"/>
          <w:b/>
          <w:bCs/>
          <w:color w:val="auto"/>
          <w:sz w:val="22"/>
          <w:szCs w:val="22"/>
        </w:rPr>
        <w:t>3. SDG 10: Reduced Inequalities</w:t>
      </w:r>
      <w:bookmarkEnd w:id="9"/>
    </w:p>
    <w:p w14:paraId="250057F7" w14:textId="6B242C6E" w:rsidR="00057B3D" w:rsidRPr="00E5652B" w:rsidRDefault="00057B3D" w:rsidP="0039240B">
      <w:pPr>
        <w:pStyle w:val="Heading2"/>
        <w:spacing w:line="360" w:lineRule="auto"/>
        <w:rPr>
          <w:rFonts w:ascii="Arial" w:hAnsi="Arial" w:cs="Arial"/>
          <w:b/>
          <w:bCs/>
          <w:color w:val="auto"/>
          <w:sz w:val="22"/>
          <w:szCs w:val="22"/>
        </w:rPr>
      </w:pPr>
      <w:bookmarkStart w:id="10" w:name="_Toc235202275"/>
      <w:r w:rsidRPr="00E5652B">
        <w:rPr>
          <w:rFonts w:ascii="Arial" w:hAnsi="Arial" w:cs="Arial"/>
          <w:b/>
          <w:bCs/>
          <w:color w:val="auto"/>
          <w:sz w:val="22"/>
          <w:szCs w:val="22"/>
        </w:rPr>
        <w:t>a) Global Impact and Initiatives</w:t>
      </w:r>
      <w:bookmarkEnd w:id="10"/>
    </w:p>
    <w:p w14:paraId="193B7054" w14:textId="77777777" w:rsidR="00057B3D"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 xml:space="preserve">SDG 10 aims to improve income growth among poorer groups, promote inclusion, reduce discrimination and support fairer social and economic policies. These issues affect health through both material and psychological routes. Low income can restrict access to nutritious food, heating, transport and safe housing. Discrimination can cause stress and reduce trust in healthcare and public services. Bambra et al. (2020) show how the COVID-19 pandemic increased existing social and health inequalities. </w:t>
      </w:r>
    </w:p>
    <w:p w14:paraId="185118F1" w14:textId="193DE54B" w:rsidR="00057B3D"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 xml:space="preserve">The UN commitment to “leave no one behind” has encouraged countries to collect more detailed data about disadvantaged populations. However, global progress </w:t>
      </w:r>
      <w:r w:rsidR="00814856" w:rsidRPr="0060040C">
        <w:rPr>
          <w:rFonts w:ascii="Arial" w:eastAsiaTheme="majorEastAsia" w:hAnsi="Arial" w:cs="Arial"/>
          <w:sz w:val="22"/>
          <w:szCs w:val="22"/>
        </w:rPr>
        <w:t>is still</w:t>
      </w:r>
      <w:r w:rsidRPr="0060040C">
        <w:rPr>
          <w:rFonts w:ascii="Arial" w:eastAsiaTheme="majorEastAsia" w:hAnsi="Arial" w:cs="Arial"/>
          <w:sz w:val="22"/>
          <w:szCs w:val="22"/>
        </w:rPr>
        <w:t xml:space="preserve"> mixed. Income gains have been uneven, labour income remains under pressure and discrimination continues to affect many groups (United Nations Department of Economic and Social Affairs, 2026). The framework is useful for setting priorities, but its effect depends on national taxation, welfare, employment and migration policies. Missing data can also make excluded groups less visible. </w:t>
      </w:r>
    </w:p>
    <w:p w14:paraId="7A368188" w14:textId="0DAD28DB" w:rsidR="00057B3D" w:rsidRPr="00E5652B" w:rsidRDefault="00057B3D" w:rsidP="0039240B">
      <w:pPr>
        <w:pStyle w:val="Heading2"/>
        <w:spacing w:line="360" w:lineRule="auto"/>
        <w:rPr>
          <w:rFonts w:ascii="Arial" w:hAnsi="Arial" w:cs="Arial"/>
          <w:b/>
          <w:bCs/>
          <w:color w:val="auto"/>
          <w:sz w:val="22"/>
          <w:szCs w:val="22"/>
        </w:rPr>
      </w:pPr>
      <w:bookmarkStart w:id="11" w:name="_Toc235202276"/>
      <w:r w:rsidRPr="00E5652B">
        <w:rPr>
          <w:rFonts w:ascii="Arial" w:hAnsi="Arial" w:cs="Arial"/>
          <w:b/>
          <w:bCs/>
          <w:color w:val="auto"/>
          <w:sz w:val="22"/>
          <w:szCs w:val="22"/>
        </w:rPr>
        <w:t>b) National Impact and UK Initiatives</w:t>
      </w:r>
      <w:bookmarkEnd w:id="11"/>
    </w:p>
    <w:p w14:paraId="18143026" w14:textId="310E4BD3" w:rsidR="00057B3D" w:rsidRPr="0060040C" w:rsidRDefault="00C82174" w:rsidP="0039240B">
      <w:pPr>
        <w:spacing w:line="360" w:lineRule="auto"/>
        <w:rPr>
          <w:rFonts w:ascii="Arial" w:eastAsiaTheme="majorEastAsia" w:hAnsi="Arial" w:cs="Arial"/>
          <w:sz w:val="22"/>
          <w:szCs w:val="22"/>
        </w:rPr>
      </w:pPr>
      <w:r w:rsidRPr="00C82174">
        <w:rPr>
          <w:rFonts w:ascii="Arial" w:eastAsiaTheme="majorEastAsia" w:hAnsi="Arial" w:cs="Arial"/>
          <w:sz w:val="22"/>
          <w:szCs w:val="22"/>
        </w:rPr>
        <w:t>Authorities in England, Scotland, and Wales are required by the Equality Act 2010 to provide equality in the public sector. Section 75 of the Northern Ireland Act 1998 establishes a distinct equality responsibility for Northern Ireland</w:t>
      </w:r>
      <w:r w:rsidR="00057B3D" w:rsidRPr="0060040C">
        <w:rPr>
          <w:rFonts w:ascii="Arial" w:eastAsiaTheme="majorEastAsia" w:hAnsi="Arial" w:cs="Arial"/>
          <w:sz w:val="22"/>
          <w:szCs w:val="22"/>
        </w:rPr>
        <w:t xml:space="preserve"> (Great Britain, 1998; Great Britain, 2010). These laws require public bodies to consider equality. However, an equality assessment has little value if it does not change funding, service design or access. </w:t>
      </w:r>
    </w:p>
    <w:p w14:paraId="5987F174" w14:textId="3BB6DE4E" w:rsidR="00057B3D" w:rsidRPr="0060040C" w:rsidRDefault="00560593" w:rsidP="0039240B">
      <w:pPr>
        <w:spacing w:line="360" w:lineRule="auto"/>
        <w:rPr>
          <w:rFonts w:ascii="Arial" w:eastAsiaTheme="majorEastAsia" w:hAnsi="Arial" w:cs="Arial"/>
          <w:sz w:val="22"/>
          <w:szCs w:val="22"/>
        </w:rPr>
      </w:pPr>
      <w:r w:rsidRPr="00560593">
        <w:rPr>
          <w:rFonts w:ascii="Arial" w:eastAsiaTheme="majorEastAsia" w:hAnsi="Arial" w:cs="Arial"/>
          <w:sz w:val="22"/>
          <w:szCs w:val="22"/>
        </w:rPr>
        <w:lastRenderedPageBreak/>
        <w:t>According to UK data, inequality remains a significant issue. The Gini coefficient measures disposable income inequality, which was 32.9% in the tax year ending 2024.</w:t>
      </w:r>
      <w:r>
        <w:rPr>
          <w:rFonts w:ascii="Arial" w:eastAsiaTheme="majorEastAsia" w:hAnsi="Arial" w:cs="Arial"/>
          <w:sz w:val="22"/>
          <w:szCs w:val="22"/>
        </w:rPr>
        <w:t xml:space="preserve"> </w:t>
      </w:r>
      <w:r w:rsidR="00057B3D" w:rsidRPr="0060040C">
        <w:rPr>
          <w:rFonts w:ascii="Arial" w:eastAsiaTheme="majorEastAsia" w:hAnsi="Arial" w:cs="Arial"/>
          <w:sz w:val="22"/>
          <w:szCs w:val="22"/>
        </w:rPr>
        <w:t xml:space="preserve">This was not a statistically significant improvement from the previous year (Office for National Statistics, 2025). </w:t>
      </w:r>
    </w:p>
    <w:p w14:paraId="4F46CC33" w14:textId="20C1FC5E" w:rsidR="00057B3D"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 xml:space="preserve">In the financial year ending 2025, 3.27 million UK children under 16, or 26%, lived in relative low-income families after housing costs (Department for Work and Pensions, 2026). </w:t>
      </w:r>
      <w:r w:rsidR="006F54B3" w:rsidRPr="006F54B3">
        <w:rPr>
          <w:rFonts w:ascii="Arial" w:eastAsiaTheme="majorEastAsia" w:hAnsi="Arial" w:cs="Arial"/>
          <w:sz w:val="22"/>
          <w:szCs w:val="22"/>
        </w:rPr>
        <w:t>In the second quarter of 2025, the disability employment gap stood at 29.7 percentage points</w:t>
      </w:r>
      <w:r w:rsidR="006F54B3">
        <w:rPr>
          <w:rFonts w:ascii="Arial" w:eastAsiaTheme="majorEastAsia" w:hAnsi="Arial" w:cs="Arial"/>
          <w:sz w:val="22"/>
          <w:szCs w:val="22"/>
        </w:rPr>
        <w:t xml:space="preserve"> </w:t>
      </w:r>
      <w:r w:rsidRPr="0060040C">
        <w:rPr>
          <w:rFonts w:ascii="Arial" w:eastAsiaTheme="majorEastAsia" w:hAnsi="Arial" w:cs="Arial"/>
          <w:sz w:val="22"/>
          <w:szCs w:val="22"/>
        </w:rPr>
        <w:t xml:space="preserve">(Department for Work and Pensions, 2025). These are not medical measurements, but they affect stress, housing security, social participation, mental wellbeing and quality of life. </w:t>
      </w:r>
    </w:p>
    <w:p w14:paraId="6A14B14B" w14:textId="41B3731E" w:rsidR="00057B3D"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 xml:space="preserve">Some national initiatives address the wider causes of poor health. The Soft Drinks Industry Levy is one example. Cobiac (2024) found evidence that the levy could reduce childhood overweight and dental decay, with greater expected benefits in deprived groups. This is useful because it changes the commercial environment rather than relying only on personal choice. However, some of the long-term benefits were modelled rather than directly observed. The levy should therefore be combined with affordable healthy food, education and local prevention services. </w:t>
      </w:r>
    </w:p>
    <w:p w14:paraId="36E2723F" w14:textId="77777777" w:rsidR="00057B3D"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Core20PLUS5 also supports SDG 10 by targeting unequal access to healthcare. However, it cannot replace action on wages, benefits, housing and transport. A stronger approach would consider health effects across every government department through a Health in All Policies approach.</w:t>
      </w:r>
    </w:p>
    <w:p w14:paraId="2845B939" w14:textId="10D29587" w:rsidR="00057B3D" w:rsidRPr="00E5652B" w:rsidRDefault="00057B3D" w:rsidP="0039240B">
      <w:pPr>
        <w:pStyle w:val="Heading2"/>
        <w:spacing w:line="360" w:lineRule="auto"/>
        <w:rPr>
          <w:rFonts w:ascii="Arial" w:hAnsi="Arial" w:cs="Arial"/>
          <w:b/>
          <w:bCs/>
          <w:color w:val="auto"/>
          <w:sz w:val="22"/>
          <w:szCs w:val="22"/>
        </w:rPr>
      </w:pPr>
      <w:bookmarkStart w:id="12" w:name="_Toc235202277"/>
      <w:r w:rsidRPr="00E5652B">
        <w:rPr>
          <w:rFonts w:ascii="Arial" w:hAnsi="Arial" w:cs="Arial"/>
          <w:b/>
          <w:bCs/>
          <w:color w:val="auto"/>
          <w:sz w:val="22"/>
          <w:szCs w:val="22"/>
        </w:rPr>
        <w:t>c) Local Impact: Inequality in Coventry</w:t>
      </w:r>
      <w:bookmarkEnd w:id="12"/>
    </w:p>
    <w:p w14:paraId="15DF8D7C" w14:textId="77777777" w:rsidR="00057B3D"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 xml:space="preserve">Coventry’s Early Years Strategy reported that approximately 31,400 children were living in poverty in 2021–2022. This represented 39.6% of the city’s child population, compared with 29.2% nationally. It also reported that 26.7% of Coventry children lived in relative low-income families, compared with 19.9% across England (Coventry City Council, 2025b). These figures are not recent enough to show the current rate, but they identify a serious local problem. </w:t>
      </w:r>
    </w:p>
    <w:p w14:paraId="3C43965A" w14:textId="3D8CDD31" w:rsidR="00057B3D"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 xml:space="preserve">Child poverty affects nutrition, housing, education and mental wellbeing. Coventry’s Early Years Strategy aims to improve access to education and family support. The Marmot Partnership also works on employment, housing and financial security. These initiatives are relevant to both SDG 3 and SDG 10. Their strength is that different organisations work together. Their weakness is that local action cannot fully make up for </w:t>
      </w:r>
      <w:r w:rsidR="005C0D54" w:rsidRPr="0060040C">
        <w:rPr>
          <w:rFonts w:ascii="Arial" w:eastAsiaTheme="majorEastAsia" w:hAnsi="Arial" w:cs="Arial"/>
          <w:sz w:val="22"/>
          <w:szCs w:val="22"/>
        </w:rPr>
        <w:t>insufficient</w:t>
      </w:r>
      <w:r w:rsidRPr="0060040C">
        <w:rPr>
          <w:rFonts w:ascii="Arial" w:eastAsiaTheme="majorEastAsia" w:hAnsi="Arial" w:cs="Arial"/>
          <w:sz w:val="22"/>
          <w:szCs w:val="22"/>
        </w:rPr>
        <w:t xml:space="preserve"> income or insecure housing. Updated data and independent evaluation are needed to show whether local inequalities are narrowing.</w:t>
      </w:r>
    </w:p>
    <w:p w14:paraId="07EBDF67" w14:textId="3015107E" w:rsidR="00057B3D" w:rsidRPr="00E5652B" w:rsidRDefault="00057B3D" w:rsidP="0039240B">
      <w:pPr>
        <w:pStyle w:val="Heading1"/>
        <w:spacing w:line="360" w:lineRule="auto"/>
        <w:rPr>
          <w:rFonts w:ascii="Arial" w:hAnsi="Arial" w:cs="Arial"/>
          <w:b/>
          <w:bCs/>
          <w:color w:val="auto"/>
          <w:sz w:val="22"/>
          <w:szCs w:val="22"/>
        </w:rPr>
      </w:pPr>
      <w:bookmarkStart w:id="13" w:name="_Toc235202278"/>
      <w:r w:rsidRPr="00E5652B">
        <w:rPr>
          <w:rFonts w:ascii="Arial" w:hAnsi="Arial" w:cs="Arial"/>
          <w:b/>
          <w:bCs/>
          <w:color w:val="auto"/>
          <w:sz w:val="22"/>
          <w:szCs w:val="22"/>
        </w:rPr>
        <w:lastRenderedPageBreak/>
        <w:t>4. Critical Evaluation and Recommendations</w:t>
      </w:r>
      <w:bookmarkEnd w:id="13"/>
    </w:p>
    <w:p w14:paraId="0EE6B831" w14:textId="7855A07B" w:rsidR="00A71B27" w:rsidRPr="00A71B27" w:rsidRDefault="00A71B27" w:rsidP="0039240B">
      <w:pPr>
        <w:spacing w:line="360" w:lineRule="auto"/>
        <w:rPr>
          <w:rFonts w:ascii="Arial" w:eastAsiaTheme="majorEastAsia" w:hAnsi="Arial" w:cs="Arial"/>
          <w:sz w:val="22"/>
          <w:szCs w:val="22"/>
        </w:rPr>
      </w:pPr>
      <w:bookmarkStart w:id="14" w:name="_Toc235202279"/>
      <w:r w:rsidRPr="00A71B27">
        <w:rPr>
          <w:rFonts w:ascii="Arial" w:eastAsiaTheme="majorEastAsia" w:hAnsi="Arial" w:cs="Arial"/>
          <w:sz w:val="22"/>
          <w:szCs w:val="22"/>
        </w:rPr>
        <w:t>The policies reviewed have several strengths. They support prevention, action on health inequalities and environmental sustainability. They also encourage cooperation between health services, social care, councils and communities. However, there is a gap between policy aims and outcomes, as healthy life expectancy has fallen, deprivation gaps are still wide and child poverty is high.</w:t>
      </w:r>
    </w:p>
    <w:p w14:paraId="4434E753" w14:textId="77777777" w:rsidR="00A71B27" w:rsidRPr="00A71B27" w:rsidRDefault="00A71B27" w:rsidP="0039240B">
      <w:pPr>
        <w:spacing w:line="360" w:lineRule="auto"/>
        <w:rPr>
          <w:rFonts w:ascii="Arial" w:eastAsiaTheme="majorEastAsia" w:hAnsi="Arial" w:cs="Arial"/>
          <w:sz w:val="22"/>
          <w:szCs w:val="22"/>
        </w:rPr>
      </w:pPr>
      <w:r w:rsidRPr="00A71B27">
        <w:rPr>
          <w:rFonts w:ascii="Arial" w:eastAsiaTheme="majorEastAsia" w:hAnsi="Arial" w:cs="Arial"/>
          <w:sz w:val="22"/>
          <w:szCs w:val="22"/>
        </w:rPr>
        <w:t>First, the four UK governments should agree on comparable health and inequality indicators. Data should be separated by deprivation, ethnicity, disability, gender and local area. This would improve accountability, although agreeing common definitions and funding better data systems may be difficult.</w:t>
      </w:r>
    </w:p>
    <w:p w14:paraId="3C9B257B" w14:textId="77777777" w:rsidR="00A71B27" w:rsidRPr="00A71B27" w:rsidRDefault="00A71B27" w:rsidP="0039240B">
      <w:pPr>
        <w:spacing w:line="360" w:lineRule="auto"/>
        <w:rPr>
          <w:rFonts w:ascii="Arial" w:eastAsiaTheme="majorEastAsia" w:hAnsi="Arial" w:cs="Arial"/>
          <w:sz w:val="22"/>
          <w:szCs w:val="22"/>
        </w:rPr>
      </w:pPr>
      <w:r w:rsidRPr="00A71B27">
        <w:rPr>
          <w:rFonts w:ascii="Arial" w:eastAsiaTheme="majorEastAsia" w:hAnsi="Arial" w:cs="Arial"/>
          <w:sz w:val="22"/>
          <w:szCs w:val="22"/>
        </w:rPr>
        <w:t>Second, prevention and public-health budgets should be protected through multi-year funding. Resources should follow proportionate universalism, so areas with greater needs receive more support. This may be challenging while hospitals and social care face immediate pressures, but short-term funding weakens prevention.</w:t>
      </w:r>
    </w:p>
    <w:p w14:paraId="26F9C0B8" w14:textId="77777777" w:rsidR="00A71B27" w:rsidRPr="00A71B27" w:rsidRDefault="00A71B27" w:rsidP="0039240B">
      <w:pPr>
        <w:spacing w:line="360" w:lineRule="auto"/>
        <w:rPr>
          <w:rFonts w:ascii="Arial" w:eastAsiaTheme="majorEastAsia" w:hAnsi="Arial" w:cs="Arial"/>
          <w:sz w:val="22"/>
          <w:szCs w:val="22"/>
        </w:rPr>
      </w:pPr>
      <w:r w:rsidRPr="00A71B27">
        <w:rPr>
          <w:rFonts w:ascii="Arial" w:eastAsiaTheme="majorEastAsia" w:hAnsi="Arial" w:cs="Arial"/>
          <w:sz w:val="22"/>
          <w:szCs w:val="22"/>
        </w:rPr>
        <w:t>Third, major housing, welfare, transport, employment, digital and environmental policies should include health-equity impact assessments.</w:t>
      </w:r>
    </w:p>
    <w:p w14:paraId="76A1D9B1" w14:textId="77777777" w:rsidR="00A71B27" w:rsidRDefault="00A71B27" w:rsidP="0039240B">
      <w:pPr>
        <w:spacing w:line="360" w:lineRule="auto"/>
        <w:rPr>
          <w:rFonts w:ascii="Arial" w:eastAsiaTheme="majorEastAsia" w:hAnsi="Arial" w:cs="Arial"/>
          <w:sz w:val="22"/>
          <w:szCs w:val="22"/>
        </w:rPr>
      </w:pPr>
      <w:r w:rsidRPr="00A71B27">
        <w:rPr>
          <w:rFonts w:ascii="Arial" w:eastAsiaTheme="majorEastAsia" w:hAnsi="Arial" w:cs="Arial"/>
          <w:sz w:val="22"/>
          <w:szCs w:val="22"/>
        </w:rPr>
        <w:t>Finally, Coventry should publish an annual neighbourhood dashboard covering healthy life expectancy, child poverty, housing, employment, mental wellbeing and access to services. Residents should help choose indicators, and independent evaluation should focus on outcomes rather than meetings, referrals or completed projects (Coventry City Council, 2025a; Institute of Health Equity, 2025).</w:t>
      </w:r>
    </w:p>
    <w:p w14:paraId="6310906D" w14:textId="573E19AC" w:rsidR="00057B3D" w:rsidRPr="00A71B27" w:rsidRDefault="00057B3D" w:rsidP="0039240B">
      <w:pPr>
        <w:spacing w:line="360" w:lineRule="auto"/>
        <w:rPr>
          <w:rFonts w:ascii="Arial" w:eastAsiaTheme="majorEastAsia" w:hAnsi="Arial" w:cs="Arial"/>
          <w:sz w:val="22"/>
          <w:szCs w:val="22"/>
        </w:rPr>
      </w:pPr>
      <w:r w:rsidRPr="00E5652B">
        <w:rPr>
          <w:rFonts w:ascii="Arial" w:hAnsi="Arial" w:cs="Arial"/>
          <w:b/>
          <w:bCs/>
          <w:sz w:val="22"/>
          <w:szCs w:val="22"/>
        </w:rPr>
        <w:t>Conclusion</w:t>
      </w:r>
      <w:bookmarkEnd w:id="14"/>
    </w:p>
    <w:p w14:paraId="3B43FBD6" w14:textId="77777777" w:rsidR="00A622AB"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 xml:space="preserve">SDG 3 and SDG 10 are </w:t>
      </w:r>
      <w:r w:rsidR="005C0D54" w:rsidRPr="0060040C">
        <w:rPr>
          <w:rFonts w:ascii="Arial" w:eastAsiaTheme="majorEastAsia" w:hAnsi="Arial" w:cs="Arial"/>
          <w:sz w:val="22"/>
          <w:szCs w:val="22"/>
        </w:rPr>
        <w:t>linked</w:t>
      </w:r>
      <w:r w:rsidRPr="0060040C">
        <w:rPr>
          <w:rFonts w:ascii="Arial" w:eastAsiaTheme="majorEastAsia" w:hAnsi="Arial" w:cs="Arial"/>
          <w:sz w:val="22"/>
          <w:szCs w:val="22"/>
        </w:rPr>
        <w:t xml:space="preserve">. Global health has improved in several areas, but progress </w:t>
      </w:r>
      <w:r w:rsidR="005C0D54" w:rsidRPr="0060040C">
        <w:rPr>
          <w:rFonts w:ascii="Arial" w:eastAsiaTheme="majorEastAsia" w:hAnsi="Arial" w:cs="Arial"/>
          <w:sz w:val="22"/>
          <w:szCs w:val="22"/>
        </w:rPr>
        <w:t>is still</w:t>
      </w:r>
      <w:r w:rsidRPr="0060040C">
        <w:rPr>
          <w:rFonts w:ascii="Arial" w:eastAsiaTheme="majorEastAsia" w:hAnsi="Arial" w:cs="Arial"/>
          <w:sz w:val="22"/>
          <w:szCs w:val="22"/>
        </w:rPr>
        <w:t xml:space="preserve"> uneven and many groups continue to be excluded</w:t>
      </w:r>
      <w:r w:rsidR="00A622AB" w:rsidRPr="0060040C">
        <w:rPr>
          <w:rFonts w:ascii="Arial" w:eastAsiaTheme="majorEastAsia" w:hAnsi="Arial" w:cs="Arial"/>
          <w:sz w:val="22"/>
          <w:szCs w:val="22"/>
        </w:rPr>
        <w:t xml:space="preserve"> (United Nations Department of Economic and Social Affairs, 2026; World Health Organization, 2025b)</w:t>
      </w:r>
      <w:r w:rsidRPr="0060040C">
        <w:rPr>
          <w:rFonts w:ascii="Arial" w:eastAsiaTheme="majorEastAsia" w:hAnsi="Arial" w:cs="Arial"/>
          <w:sz w:val="22"/>
          <w:szCs w:val="22"/>
        </w:rPr>
        <w:t>.</w:t>
      </w:r>
    </w:p>
    <w:p w14:paraId="0D81843C" w14:textId="5AB05F47" w:rsidR="00057B3D"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 xml:space="preserve">In the UK, universal healthcare and equality legislation provide a strong foundation. Current initiatives also recognise prevention, social conditions and environmental sustainability. However, low healthy life expectancy and wide deprivation gaps show that these policies have not yet produced fair outcomes. </w:t>
      </w:r>
    </w:p>
    <w:p w14:paraId="3CBAB515" w14:textId="1F698968" w:rsidR="00057B3D"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 xml:space="preserve">Coventry provides a useful local example. Its Marmot approach brings services together and addresses education, employment, income, housing and green space. Yet large neighbourhood differences and high child-poverty levels remain. Local action is valuable, but </w:t>
      </w:r>
      <w:r w:rsidRPr="0060040C">
        <w:rPr>
          <w:rFonts w:ascii="Arial" w:eastAsiaTheme="majorEastAsia" w:hAnsi="Arial" w:cs="Arial"/>
          <w:sz w:val="22"/>
          <w:szCs w:val="22"/>
        </w:rPr>
        <w:lastRenderedPageBreak/>
        <w:t>it needs stable funding and supportive national policies</w:t>
      </w:r>
      <w:r w:rsidR="00A622AB" w:rsidRPr="0060040C">
        <w:rPr>
          <w:rFonts w:ascii="Arial" w:eastAsiaTheme="majorEastAsia" w:hAnsi="Arial" w:cs="Arial"/>
          <w:sz w:val="22"/>
          <w:szCs w:val="22"/>
        </w:rPr>
        <w:t xml:space="preserve"> (Coventry City Council, 2025a; Institute of Health Equity, 2025).</w:t>
      </w:r>
    </w:p>
    <w:p w14:paraId="61C1C4D0" w14:textId="77777777" w:rsidR="00057B3D" w:rsidRPr="0060040C" w:rsidRDefault="00057B3D" w:rsidP="0039240B">
      <w:pPr>
        <w:spacing w:line="360" w:lineRule="auto"/>
        <w:rPr>
          <w:rFonts w:ascii="Arial" w:eastAsiaTheme="majorEastAsia" w:hAnsi="Arial" w:cs="Arial"/>
          <w:sz w:val="22"/>
          <w:szCs w:val="22"/>
        </w:rPr>
      </w:pPr>
      <w:r w:rsidRPr="0060040C">
        <w:rPr>
          <w:rFonts w:ascii="Arial" w:eastAsiaTheme="majorEastAsia" w:hAnsi="Arial" w:cs="Arial"/>
          <w:sz w:val="22"/>
          <w:szCs w:val="22"/>
        </w:rPr>
        <w:t>Future improvement requires better data, long-term prevention funding, proportionate universalism and health-equity checks across government. SDG 10 should be used as the fairness test for SDG 3. Health improvement cannot be described as sustainable if the main benefits are experienced only by people who are already better off.</w:t>
      </w:r>
    </w:p>
    <w:p w14:paraId="31C332E2" w14:textId="77777777" w:rsidR="00C70968" w:rsidRPr="0060040C" w:rsidRDefault="00C70968" w:rsidP="0060040C">
      <w:pPr>
        <w:spacing w:line="360" w:lineRule="auto"/>
        <w:rPr>
          <w:rFonts w:ascii="Arial" w:hAnsi="Arial" w:cs="Arial"/>
          <w:b/>
          <w:bCs/>
          <w:sz w:val="22"/>
          <w:szCs w:val="22"/>
        </w:rPr>
      </w:pPr>
      <w:r w:rsidRPr="0060040C">
        <w:rPr>
          <w:rFonts w:ascii="Arial" w:hAnsi="Arial" w:cs="Arial"/>
          <w:b/>
          <w:bCs/>
          <w:sz w:val="22"/>
          <w:szCs w:val="22"/>
        </w:rPr>
        <w:br w:type="page"/>
      </w:r>
    </w:p>
    <w:p w14:paraId="6F46E69C" w14:textId="32C29B19" w:rsidR="00C70968" w:rsidRPr="00AF3262" w:rsidRDefault="00C70968" w:rsidP="0060040C">
      <w:pPr>
        <w:pStyle w:val="Heading1"/>
        <w:spacing w:line="360" w:lineRule="auto"/>
        <w:rPr>
          <w:rFonts w:ascii="Arial" w:hAnsi="Arial" w:cs="Arial"/>
          <w:b/>
          <w:bCs/>
          <w:color w:val="auto"/>
          <w:sz w:val="24"/>
          <w:szCs w:val="24"/>
        </w:rPr>
      </w:pPr>
      <w:bookmarkStart w:id="15" w:name="_Toc234975462"/>
      <w:bookmarkStart w:id="16" w:name="_Toc235202280"/>
      <w:r w:rsidRPr="00AF3262">
        <w:rPr>
          <w:rFonts w:ascii="Arial" w:hAnsi="Arial" w:cs="Arial"/>
          <w:b/>
          <w:bCs/>
          <w:color w:val="auto"/>
          <w:sz w:val="24"/>
          <w:szCs w:val="24"/>
        </w:rPr>
        <w:lastRenderedPageBreak/>
        <w:t>Reference</w:t>
      </w:r>
      <w:bookmarkEnd w:id="15"/>
      <w:r w:rsidR="00057B3D" w:rsidRPr="00AF3262">
        <w:rPr>
          <w:rFonts w:ascii="Arial" w:hAnsi="Arial" w:cs="Arial"/>
          <w:b/>
          <w:bCs/>
          <w:color w:val="auto"/>
          <w:sz w:val="24"/>
          <w:szCs w:val="24"/>
        </w:rPr>
        <w:t>:</w:t>
      </w:r>
      <w:bookmarkEnd w:id="16"/>
    </w:p>
    <w:p w14:paraId="70323ED5" w14:textId="16A61D60"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Bambra, C., et al. (2020) ‘The COVID-19 pandemic and health inequalities’, Journal of Epidemiology and Community Health, 74(11), pp. 964–968. Available at: </w:t>
      </w:r>
      <w:hyperlink r:id="rId9" w:history="1">
        <w:r w:rsidR="00F43738" w:rsidRPr="004913C9">
          <w:rPr>
            <w:rStyle w:val="Hyperlink"/>
            <w:rFonts w:ascii="Arial" w:hAnsi="Arial" w:cs="Arial"/>
            <w:sz w:val="22"/>
            <w:szCs w:val="22"/>
          </w:rPr>
          <w:t>https://jech.bmj.com/content/74/11/964</w:t>
        </w:r>
      </w:hyperlink>
      <w:r w:rsidR="00F43738">
        <w:rPr>
          <w:rFonts w:ascii="Arial" w:hAnsi="Arial" w:cs="Arial"/>
          <w:sz w:val="22"/>
          <w:szCs w:val="22"/>
        </w:rPr>
        <w:t xml:space="preserve"> </w:t>
      </w:r>
      <w:r w:rsidRPr="0098190F">
        <w:rPr>
          <w:rFonts w:ascii="Arial" w:hAnsi="Arial" w:cs="Arial"/>
          <w:sz w:val="22"/>
          <w:szCs w:val="22"/>
        </w:rPr>
        <w:t>(Accessed: 1 July 2026).</w:t>
      </w:r>
    </w:p>
    <w:p w14:paraId="52A15C13"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Cobiac, L.J., et al. (2024) ‘Impact of the UK soft drinks industry levy on health and health inequalities in children and adolescents in England’, PLOS Medicine, 21(3), e1004371. Available at: </w:t>
      </w:r>
      <w:hyperlink r:id="rId10" w:tgtFrame="_new" w:history="1">
        <w:r w:rsidRPr="0098190F">
          <w:rPr>
            <w:rStyle w:val="Hyperlink"/>
            <w:rFonts w:ascii="Arial" w:hAnsi="Arial" w:cs="Arial"/>
            <w:sz w:val="22"/>
            <w:szCs w:val="22"/>
          </w:rPr>
          <w:t>https://doi.org/10.1371/journal.pmed.1004371</w:t>
        </w:r>
      </w:hyperlink>
      <w:r w:rsidRPr="0098190F">
        <w:rPr>
          <w:rFonts w:ascii="Arial" w:hAnsi="Arial" w:cs="Arial"/>
          <w:sz w:val="22"/>
          <w:szCs w:val="22"/>
        </w:rPr>
        <w:t xml:space="preserve"> (Accessed: 2 July 2026).</w:t>
      </w:r>
    </w:p>
    <w:p w14:paraId="135637EC"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Coventry City Council (2025a) One Coventry Plan Annual Performance Report: April 2024 to March 2025. Coventry: Coventry City Council. Available at: </w:t>
      </w:r>
      <w:hyperlink r:id="rId11" w:tgtFrame="_new" w:history="1">
        <w:r w:rsidRPr="0098190F">
          <w:rPr>
            <w:rStyle w:val="Hyperlink"/>
            <w:rFonts w:ascii="Arial" w:hAnsi="Arial" w:cs="Arial"/>
            <w:sz w:val="22"/>
            <w:szCs w:val="22"/>
          </w:rPr>
          <w:t>https://www.coventry.gov.uk/performance-1/one-coventry-plan-annual-performance-report-april-2024-march-2025/15</w:t>
        </w:r>
      </w:hyperlink>
      <w:r w:rsidRPr="0098190F">
        <w:rPr>
          <w:rFonts w:ascii="Arial" w:hAnsi="Arial" w:cs="Arial"/>
          <w:sz w:val="22"/>
          <w:szCs w:val="22"/>
        </w:rPr>
        <w:t xml:space="preserve"> (Accessed: 14 July 2026).</w:t>
      </w:r>
    </w:p>
    <w:p w14:paraId="6DAC053D"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Coventry City Council (2025b) Coventry Early Years Strategy 2025–2028. Coventry: Coventry City Council. Available at: </w:t>
      </w:r>
      <w:hyperlink r:id="rId12" w:tgtFrame="_new" w:history="1">
        <w:r w:rsidRPr="0098190F">
          <w:rPr>
            <w:rStyle w:val="Hyperlink"/>
            <w:rFonts w:ascii="Arial" w:hAnsi="Arial" w:cs="Arial"/>
            <w:sz w:val="22"/>
            <w:szCs w:val="22"/>
          </w:rPr>
          <w:t>https://www.coventry.gov.uk/early-years-childcare/coventry-early-years-strategy-2025-2028/6</w:t>
        </w:r>
      </w:hyperlink>
      <w:r w:rsidRPr="0098190F">
        <w:rPr>
          <w:rFonts w:ascii="Arial" w:hAnsi="Arial" w:cs="Arial"/>
          <w:sz w:val="22"/>
          <w:szCs w:val="22"/>
        </w:rPr>
        <w:t xml:space="preserve"> (Accessed: 15 July 2026).</w:t>
      </w:r>
    </w:p>
    <w:p w14:paraId="7B51F150" w14:textId="1F98E04E"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Dahlgren, G. and Whitehead, M. (2021) ‘The Dahlgren–Whitehead model of health determinants: 30 years on and still chasing rainbows’, Public Health, 199, pp. 20–24. Available at: </w:t>
      </w:r>
      <w:hyperlink r:id="rId13" w:tgtFrame="_new" w:history="1">
        <w:r w:rsidRPr="0098190F">
          <w:rPr>
            <w:rStyle w:val="Hyperlink"/>
            <w:rFonts w:ascii="Arial" w:hAnsi="Arial" w:cs="Arial"/>
            <w:sz w:val="22"/>
            <w:szCs w:val="22"/>
          </w:rPr>
          <w:t>https://doi.org/10.1016/j.puhe.2021.08.009</w:t>
        </w:r>
      </w:hyperlink>
      <w:r w:rsidRPr="0098190F">
        <w:rPr>
          <w:rFonts w:ascii="Arial" w:hAnsi="Arial" w:cs="Arial"/>
          <w:sz w:val="22"/>
          <w:szCs w:val="22"/>
        </w:rPr>
        <w:t xml:space="preserve"> (Accessed: 2 July 2026).</w:t>
      </w:r>
    </w:p>
    <w:p w14:paraId="11A38985"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Department for Work and Pensions (2025) The Employment of Disabled People 2025. London: Department for Work and Pensions. Available at: </w:t>
      </w:r>
      <w:hyperlink r:id="rId14" w:tgtFrame="_new" w:history="1">
        <w:r w:rsidRPr="0098190F">
          <w:rPr>
            <w:rStyle w:val="Hyperlink"/>
            <w:rFonts w:ascii="Arial" w:hAnsi="Arial" w:cs="Arial"/>
            <w:sz w:val="22"/>
            <w:szCs w:val="22"/>
          </w:rPr>
          <w:t>https://www.gov.uk/government/statistics/the-employment-of-disabled-people-2025/the-employment-of-disabled-people-2025</w:t>
        </w:r>
      </w:hyperlink>
      <w:r w:rsidRPr="0098190F">
        <w:rPr>
          <w:rFonts w:ascii="Arial" w:hAnsi="Arial" w:cs="Arial"/>
          <w:sz w:val="22"/>
          <w:szCs w:val="22"/>
        </w:rPr>
        <w:t xml:space="preserve"> (Accessed: 1 July 2026).</w:t>
      </w:r>
    </w:p>
    <w:p w14:paraId="49DF65BE"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Department for Work and Pensions (2026) Children in Low Income Families: Local Area Statistics, Financial Year Ending 2025. London: Department for Work and Pensions. Available at: </w:t>
      </w:r>
      <w:hyperlink r:id="rId15" w:tgtFrame="_new" w:history="1">
        <w:r w:rsidRPr="0098190F">
          <w:rPr>
            <w:rStyle w:val="Hyperlink"/>
            <w:rFonts w:ascii="Arial" w:hAnsi="Arial" w:cs="Arial"/>
            <w:sz w:val="22"/>
            <w:szCs w:val="22"/>
          </w:rPr>
          <w:t>https://www.gov.uk/government/statistics/children-in-low-income-families-local-area-statistics-2022-to-2025/children-in-low-income-families-local-area-statistics-financial-year-ending-2025</w:t>
        </w:r>
      </w:hyperlink>
      <w:r w:rsidRPr="0098190F">
        <w:rPr>
          <w:rFonts w:ascii="Arial" w:hAnsi="Arial" w:cs="Arial"/>
          <w:sz w:val="22"/>
          <w:szCs w:val="22"/>
        </w:rPr>
        <w:t xml:space="preserve"> (Accessed: 1 July 2026).</w:t>
      </w:r>
    </w:p>
    <w:p w14:paraId="1A4F0D3B"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Department of Health and Social Care (2025) Fit for the Future: 10 Year Health Plan for England. London: Department of Health and Social Care. Available at: </w:t>
      </w:r>
      <w:hyperlink r:id="rId16" w:tgtFrame="_new" w:history="1">
        <w:r w:rsidRPr="0098190F">
          <w:rPr>
            <w:rStyle w:val="Hyperlink"/>
            <w:rFonts w:ascii="Arial" w:hAnsi="Arial" w:cs="Arial"/>
            <w:sz w:val="22"/>
            <w:szCs w:val="22"/>
          </w:rPr>
          <w:t>https://www.gov.uk/government/publications/10-year-health-plan-for-england-fit-for-the-future</w:t>
        </w:r>
      </w:hyperlink>
      <w:r w:rsidRPr="0098190F">
        <w:rPr>
          <w:rFonts w:ascii="Arial" w:hAnsi="Arial" w:cs="Arial"/>
          <w:sz w:val="22"/>
          <w:szCs w:val="22"/>
        </w:rPr>
        <w:t xml:space="preserve"> (Accessed: 15 July 2026).</w:t>
      </w:r>
    </w:p>
    <w:p w14:paraId="65BB56CA"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Department of Health Northern Ireland (2026) Health Inequalities Annual Report 2026. Belfast: Department of Health. Available at: </w:t>
      </w:r>
      <w:hyperlink r:id="rId17" w:tgtFrame="_new" w:history="1">
        <w:r w:rsidRPr="0098190F">
          <w:rPr>
            <w:rStyle w:val="Hyperlink"/>
            <w:rFonts w:ascii="Arial" w:hAnsi="Arial" w:cs="Arial"/>
            <w:sz w:val="22"/>
            <w:szCs w:val="22"/>
          </w:rPr>
          <w:t>https://www.health-ni.gov.uk/publications/health-inequalities-annual-report-2026</w:t>
        </w:r>
      </w:hyperlink>
      <w:r w:rsidRPr="0098190F">
        <w:rPr>
          <w:rFonts w:ascii="Arial" w:hAnsi="Arial" w:cs="Arial"/>
          <w:sz w:val="22"/>
          <w:szCs w:val="22"/>
        </w:rPr>
        <w:t xml:space="preserve"> (Accessed: 1 July 2026).</w:t>
      </w:r>
    </w:p>
    <w:p w14:paraId="5EFD72BA" w14:textId="0961999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lastRenderedPageBreak/>
        <w:t xml:space="preserve">Francis-Oliviero, F., et al. (2020) ‘Theoretical and practical challenges of proportionate universalism: A review’, Revista Panamericana de Salud Pública, 44, e110. Available at: </w:t>
      </w:r>
      <w:hyperlink r:id="rId18" w:history="1">
        <w:r w:rsidR="00F43738" w:rsidRPr="004913C9">
          <w:rPr>
            <w:rStyle w:val="Hyperlink"/>
            <w:rFonts w:ascii="Arial" w:hAnsi="Arial" w:cs="Arial"/>
            <w:sz w:val="22"/>
            <w:szCs w:val="22"/>
          </w:rPr>
          <w:t>https://pmc.ncbi.nlm.nih.gov/articles/PMC7556407/</w:t>
        </w:r>
      </w:hyperlink>
      <w:r w:rsidR="00F43738">
        <w:rPr>
          <w:rFonts w:ascii="Arial" w:hAnsi="Arial" w:cs="Arial"/>
          <w:sz w:val="22"/>
          <w:szCs w:val="22"/>
        </w:rPr>
        <w:t xml:space="preserve"> </w:t>
      </w:r>
      <w:r w:rsidRPr="0098190F">
        <w:rPr>
          <w:rFonts w:ascii="Arial" w:hAnsi="Arial" w:cs="Arial"/>
          <w:sz w:val="22"/>
          <w:szCs w:val="22"/>
        </w:rPr>
        <w:t>(Accessed: 1 July 2026).</w:t>
      </w:r>
    </w:p>
    <w:p w14:paraId="3C272043"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Great Britain (1998) Northern Ireland Act 1998. London: The Stationery Office. Available at: </w:t>
      </w:r>
      <w:hyperlink r:id="rId19" w:tgtFrame="_new" w:history="1">
        <w:r w:rsidRPr="0098190F">
          <w:rPr>
            <w:rStyle w:val="Hyperlink"/>
            <w:rFonts w:ascii="Arial" w:hAnsi="Arial" w:cs="Arial"/>
            <w:sz w:val="22"/>
            <w:szCs w:val="22"/>
          </w:rPr>
          <w:t>https://www.legislation.gov.uk/ukpga/1998/47/section/75</w:t>
        </w:r>
      </w:hyperlink>
      <w:r w:rsidRPr="0098190F">
        <w:rPr>
          <w:rFonts w:ascii="Arial" w:hAnsi="Arial" w:cs="Arial"/>
          <w:sz w:val="22"/>
          <w:szCs w:val="22"/>
        </w:rPr>
        <w:t xml:space="preserve"> (Accessed: 14 July 2026).</w:t>
      </w:r>
    </w:p>
    <w:p w14:paraId="440D8A40"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Great Britain (2010) Equality Act 2010. London: The Stationery Office. Available at: </w:t>
      </w:r>
      <w:hyperlink r:id="rId20" w:tgtFrame="_new" w:history="1">
        <w:r w:rsidRPr="0098190F">
          <w:rPr>
            <w:rStyle w:val="Hyperlink"/>
            <w:rFonts w:ascii="Arial" w:hAnsi="Arial" w:cs="Arial"/>
            <w:sz w:val="22"/>
            <w:szCs w:val="22"/>
          </w:rPr>
          <w:t>https://www.legislation.gov.uk/ukpga/2010/15/section/149</w:t>
        </w:r>
      </w:hyperlink>
      <w:r w:rsidRPr="0098190F">
        <w:rPr>
          <w:rFonts w:ascii="Arial" w:hAnsi="Arial" w:cs="Arial"/>
          <w:sz w:val="22"/>
          <w:szCs w:val="22"/>
        </w:rPr>
        <w:t xml:space="preserve"> (Accessed: 14 July 2026).</w:t>
      </w:r>
    </w:p>
    <w:p w14:paraId="567D7FE8"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Institute of Health Equity (2025) Ten Years as a Marmot City: Coventry’s Reflections. London: Institute of Health Equity. Available at: </w:t>
      </w:r>
      <w:hyperlink r:id="rId21" w:tgtFrame="_new" w:history="1">
        <w:r w:rsidRPr="0098190F">
          <w:rPr>
            <w:rStyle w:val="Hyperlink"/>
            <w:rFonts w:ascii="Arial" w:hAnsi="Arial" w:cs="Arial"/>
            <w:sz w:val="22"/>
            <w:szCs w:val="22"/>
          </w:rPr>
          <w:t>https://www.instituteofhealthequity.org/resources-reports/ten-years-as-a-marmot-city-coventrys-reflections</w:t>
        </w:r>
      </w:hyperlink>
      <w:r w:rsidRPr="0098190F">
        <w:rPr>
          <w:rFonts w:ascii="Arial" w:hAnsi="Arial" w:cs="Arial"/>
          <w:sz w:val="22"/>
          <w:szCs w:val="22"/>
        </w:rPr>
        <w:t xml:space="preserve"> (Accessed: 17 July 2026).</w:t>
      </w:r>
    </w:p>
    <w:p w14:paraId="27A0CC23" w14:textId="1F42045B"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Jahnel, T., et al. (2022) ‘The digital rainbow: Digital determinants of health inequities’, Digital Health, 8, pp. 1–8. Available at: </w:t>
      </w:r>
      <w:hyperlink r:id="rId22" w:history="1">
        <w:r w:rsidR="00F43738" w:rsidRPr="004913C9">
          <w:rPr>
            <w:rStyle w:val="Hyperlink"/>
            <w:rFonts w:ascii="Arial" w:hAnsi="Arial" w:cs="Arial"/>
            <w:sz w:val="22"/>
            <w:szCs w:val="22"/>
          </w:rPr>
          <w:t>https://pubmed.ncbi.nlm.nih.gov/36204706/</w:t>
        </w:r>
      </w:hyperlink>
      <w:r w:rsidR="00F43738">
        <w:rPr>
          <w:rFonts w:ascii="Arial" w:hAnsi="Arial" w:cs="Arial"/>
          <w:sz w:val="22"/>
          <w:szCs w:val="22"/>
        </w:rPr>
        <w:t xml:space="preserve"> </w:t>
      </w:r>
      <w:r w:rsidRPr="0098190F">
        <w:rPr>
          <w:rFonts w:ascii="Arial" w:hAnsi="Arial" w:cs="Arial"/>
          <w:sz w:val="22"/>
          <w:szCs w:val="22"/>
        </w:rPr>
        <w:t>(Accessed: 1 July 2026).</w:t>
      </w:r>
    </w:p>
    <w:p w14:paraId="5EC420EC"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Marmot, M., et al. (2020) Health Equity in England: The Marmot Review 10 Years On. London: Institute of Health Equity. Available at: </w:t>
      </w:r>
      <w:hyperlink r:id="rId23" w:tgtFrame="_new" w:history="1">
        <w:r w:rsidRPr="0098190F">
          <w:rPr>
            <w:rStyle w:val="Hyperlink"/>
            <w:rFonts w:ascii="Arial" w:hAnsi="Arial" w:cs="Arial"/>
            <w:sz w:val="22"/>
            <w:szCs w:val="22"/>
          </w:rPr>
          <w:t>https://www.instituteofhealthequity.org/resources-reports/marmot-review-10-years-on</w:t>
        </w:r>
      </w:hyperlink>
      <w:r w:rsidRPr="0098190F">
        <w:rPr>
          <w:rFonts w:ascii="Arial" w:hAnsi="Arial" w:cs="Arial"/>
          <w:sz w:val="22"/>
          <w:szCs w:val="22"/>
        </w:rPr>
        <w:t xml:space="preserve"> (Accessed: 1 July 2026).</w:t>
      </w:r>
    </w:p>
    <w:p w14:paraId="252FDF25"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NHS England (2021) Core20PLUS5: An Approach to Reducing Healthcare Inequalities. London: NHS England. Available at: </w:t>
      </w:r>
      <w:hyperlink r:id="rId24" w:tgtFrame="_new" w:history="1">
        <w:r w:rsidRPr="0098190F">
          <w:rPr>
            <w:rStyle w:val="Hyperlink"/>
            <w:rFonts w:ascii="Arial" w:hAnsi="Arial" w:cs="Arial"/>
            <w:sz w:val="22"/>
            <w:szCs w:val="22"/>
          </w:rPr>
          <w:t>https://www.england.nhs.uk/about/equality/equality-hub/national-healthcare-inequalities-improvement-programme/core20plus5/</w:t>
        </w:r>
      </w:hyperlink>
      <w:r w:rsidRPr="0098190F">
        <w:rPr>
          <w:rFonts w:ascii="Arial" w:hAnsi="Arial" w:cs="Arial"/>
          <w:sz w:val="22"/>
          <w:szCs w:val="22"/>
        </w:rPr>
        <w:t xml:space="preserve"> (Accessed: 15 July 2026).</w:t>
      </w:r>
    </w:p>
    <w:p w14:paraId="38904703"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NHS England (2025) Five Years of a Greener NHS: Progress and Forward Look. London: NHS England. Available at: </w:t>
      </w:r>
      <w:hyperlink r:id="rId25" w:tgtFrame="_new" w:history="1">
        <w:r w:rsidRPr="0098190F">
          <w:rPr>
            <w:rStyle w:val="Hyperlink"/>
            <w:rFonts w:ascii="Arial" w:hAnsi="Arial" w:cs="Arial"/>
            <w:sz w:val="22"/>
            <w:szCs w:val="22"/>
          </w:rPr>
          <w:t>https://www.england.nhs.uk/long-read/five-years-greener-nhs-progress-forward-look/</w:t>
        </w:r>
      </w:hyperlink>
      <w:r w:rsidRPr="0098190F">
        <w:rPr>
          <w:rFonts w:ascii="Arial" w:hAnsi="Arial" w:cs="Arial"/>
          <w:sz w:val="22"/>
          <w:szCs w:val="22"/>
        </w:rPr>
        <w:t xml:space="preserve"> (Accessed: 17 July 2026).</w:t>
      </w:r>
    </w:p>
    <w:p w14:paraId="12011D40"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Office for National Statistics (2025) Household Income Inequality, UK: Financial Year Ending 2024. Newport: Office for National Statistics. Available at: </w:t>
      </w:r>
      <w:hyperlink r:id="rId26" w:tgtFrame="_new" w:history="1">
        <w:r w:rsidRPr="0098190F">
          <w:rPr>
            <w:rStyle w:val="Hyperlink"/>
            <w:rFonts w:ascii="Arial" w:hAnsi="Arial" w:cs="Arial"/>
            <w:sz w:val="22"/>
            <w:szCs w:val="22"/>
          </w:rPr>
          <w:t>https://www.ons.gov.uk/peoplepopulationandcommunity/personalandhouseholdfinances/incomeandwealth/bulletins/householdincomeinequalityfinancial/financialyearending2024</w:t>
        </w:r>
      </w:hyperlink>
      <w:r w:rsidRPr="0098190F">
        <w:rPr>
          <w:rFonts w:ascii="Arial" w:hAnsi="Arial" w:cs="Arial"/>
          <w:sz w:val="22"/>
          <w:szCs w:val="22"/>
        </w:rPr>
        <w:t xml:space="preserve"> (Accessed: 14 July 2026).</w:t>
      </w:r>
    </w:p>
    <w:p w14:paraId="4FCBEDF3"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Office for National Statistics (2026a) Healthy Life Expectancy, UK: Between 2011 to 2013 and 2022 to 2024. Newport: Office for National Statistics. Available at: </w:t>
      </w:r>
      <w:hyperlink r:id="rId27" w:tgtFrame="_new" w:history="1">
        <w:r w:rsidRPr="0098190F">
          <w:rPr>
            <w:rStyle w:val="Hyperlink"/>
            <w:rFonts w:ascii="Arial" w:hAnsi="Arial" w:cs="Arial"/>
            <w:sz w:val="22"/>
            <w:szCs w:val="22"/>
          </w:rPr>
          <w:t>https://www.ons.gov.uk/peoplepopulationandcommunity/healthandsocialcare/healthandlifeex</w:t>
        </w:r>
        <w:r w:rsidRPr="0098190F">
          <w:rPr>
            <w:rStyle w:val="Hyperlink"/>
            <w:rFonts w:ascii="Arial" w:hAnsi="Arial" w:cs="Arial"/>
            <w:sz w:val="22"/>
            <w:szCs w:val="22"/>
          </w:rPr>
          <w:lastRenderedPageBreak/>
          <w:t>pectancies/bulletins/healthstatelifeexpectanciesuk/between2011to2013and2022to2024</w:t>
        </w:r>
      </w:hyperlink>
      <w:r w:rsidRPr="0098190F">
        <w:rPr>
          <w:rFonts w:ascii="Arial" w:hAnsi="Arial" w:cs="Arial"/>
          <w:sz w:val="22"/>
          <w:szCs w:val="22"/>
        </w:rPr>
        <w:t xml:space="preserve"> (Accessed: 15 July 2026).</w:t>
      </w:r>
    </w:p>
    <w:p w14:paraId="5D746AFA"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Office for National Statistics (2026b) Healthy Life Expectancy by National Area Deprivation, England and Wales: Between 2013 to 2015 and 2022 to 2024. Newport: Office for National Statistics. Available at: </w:t>
      </w:r>
      <w:hyperlink r:id="rId28" w:tgtFrame="_new" w:history="1">
        <w:r w:rsidRPr="0098190F">
          <w:rPr>
            <w:rStyle w:val="Hyperlink"/>
            <w:rFonts w:ascii="Arial" w:hAnsi="Arial" w:cs="Arial"/>
            <w:sz w:val="22"/>
            <w:szCs w:val="22"/>
          </w:rPr>
          <w:t>https://www.ons.gov.uk/peoplepopulationandcommunity/healthandsocialcare/healthinequalities/bulletins/healthylifeexpectancybynationalareadeprivationenglandandwales/between2013to2015and2022to2024</w:t>
        </w:r>
      </w:hyperlink>
      <w:r w:rsidRPr="0098190F">
        <w:rPr>
          <w:rFonts w:ascii="Arial" w:hAnsi="Arial" w:cs="Arial"/>
          <w:sz w:val="22"/>
          <w:szCs w:val="22"/>
        </w:rPr>
        <w:t xml:space="preserve"> (Accessed: 15 July 2026).</w:t>
      </w:r>
    </w:p>
    <w:p w14:paraId="5638E1A5"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Scottish Government (2025) Scotland’s Population Health Framework 2025–2035. Edinburgh: Scottish Government. Available at: </w:t>
      </w:r>
      <w:hyperlink r:id="rId29" w:tgtFrame="_new" w:history="1">
        <w:r w:rsidRPr="0098190F">
          <w:rPr>
            <w:rStyle w:val="Hyperlink"/>
            <w:rFonts w:ascii="Arial" w:hAnsi="Arial" w:cs="Arial"/>
            <w:sz w:val="22"/>
            <w:szCs w:val="22"/>
          </w:rPr>
          <w:t>https://www.gov.scot/publications/scotlands-population-health-framework/</w:t>
        </w:r>
      </w:hyperlink>
      <w:r w:rsidRPr="0098190F">
        <w:rPr>
          <w:rFonts w:ascii="Arial" w:hAnsi="Arial" w:cs="Arial"/>
          <w:sz w:val="22"/>
          <w:szCs w:val="22"/>
        </w:rPr>
        <w:t xml:space="preserve"> (Accessed: 1 July 2026).</w:t>
      </w:r>
    </w:p>
    <w:p w14:paraId="5F355533" w14:textId="46FEBCBC"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Tennison, I., et al. (2021) ‘Health care’s response to climate change: A carbon footprint assessment of the NHS in England’, The Lancet Planetary Health, 5(2), pp. e84–e92. Available at: </w:t>
      </w:r>
      <w:hyperlink r:id="rId30" w:history="1">
        <w:r w:rsidRPr="00F43738">
          <w:rPr>
            <w:rStyle w:val="Hyperlink"/>
            <w:rFonts w:ascii="Arial" w:hAnsi="Arial" w:cs="Arial"/>
            <w:sz w:val="22"/>
            <w:szCs w:val="22"/>
          </w:rPr>
          <w:t>https://doi.org/10.1016/S2542-5196(20)30271-0</w:t>
        </w:r>
      </w:hyperlink>
      <w:r w:rsidR="00F43738">
        <w:rPr>
          <w:rFonts w:ascii="Arial" w:hAnsi="Arial" w:cs="Arial"/>
          <w:sz w:val="22"/>
          <w:szCs w:val="22"/>
        </w:rPr>
        <w:t xml:space="preserve"> </w:t>
      </w:r>
      <w:r w:rsidRPr="0098190F">
        <w:rPr>
          <w:rFonts w:ascii="Arial" w:hAnsi="Arial" w:cs="Arial"/>
          <w:sz w:val="22"/>
          <w:szCs w:val="22"/>
        </w:rPr>
        <w:t>(Accessed: 1 July 2026).</w:t>
      </w:r>
    </w:p>
    <w:p w14:paraId="1C1272B3"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United Nations (2015) Transforming Our World: The 2030 Agenda for Sustainable Development. New York: United Nations. Available at: </w:t>
      </w:r>
      <w:hyperlink r:id="rId31" w:tgtFrame="_new" w:history="1">
        <w:r w:rsidRPr="0098190F">
          <w:rPr>
            <w:rStyle w:val="Hyperlink"/>
            <w:rFonts w:ascii="Arial" w:hAnsi="Arial" w:cs="Arial"/>
            <w:sz w:val="22"/>
            <w:szCs w:val="22"/>
          </w:rPr>
          <w:t>https://sdgs.un.org/2030agenda</w:t>
        </w:r>
      </w:hyperlink>
      <w:r w:rsidRPr="0098190F">
        <w:rPr>
          <w:rFonts w:ascii="Arial" w:hAnsi="Arial" w:cs="Arial"/>
          <w:sz w:val="22"/>
          <w:szCs w:val="22"/>
        </w:rPr>
        <w:t xml:space="preserve"> (Accessed: 14 July 2026).</w:t>
      </w:r>
    </w:p>
    <w:p w14:paraId="0AC70975"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United Nations Department of Economic and Social Affairs (2026) The Sustainable Development Goals Report 2026. New York: United Nations. Available at: </w:t>
      </w:r>
      <w:hyperlink r:id="rId32" w:tgtFrame="_new" w:history="1">
        <w:r w:rsidRPr="0098190F">
          <w:rPr>
            <w:rStyle w:val="Hyperlink"/>
            <w:rFonts w:ascii="Arial" w:hAnsi="Arial" w:cs="Arial"/>
            <w:sz w:val="22"/>
            <w:szCs w:val="22"/>
          </w:rPr>
          <w:t>https://unstats.un.org/sdgs/report/2026/The-Sustainable-Development-Goals-Report-2026.pdf</w:t>
        </w:r>
      </w:hyperlink>
      <w:r w:rsidRPr="0098190F">
        <w:rPr>
          <w:rFonts w:ascii="Arial" w:hAnsi="Arial" w:cs="Arial"/>
          <w:sz w:val="22"/>
          <w:szCs w:val="22"/>
        </w:rPr>
        <w:t xml:space="preserve"> (Accessed: 14 July 2026).</w:t>
      </w:r>
    </w:p>
    <w:p w14:paraId="10C28B79"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Welsh Government (2018) A Healthier Wales: Long-Term Plan for Health and Social Care. Updated 8 July 2025. Cardiff: Welsh Government. Available at: </w:t>
      </w:r>
      <w:hyperlink r:id="rId33" w:tgtFrame="_new" w:history="1">
        <w:r w:rsidRPr="0098190F">
          <w:rPr>
            <w:rStyle w:val="Hyperlink"/>
            <w:rFonts w:ascii="Arial" w:hAnsi="Arial" w:cs="Arial"/>
            <w:sz w:val="22"/>
            <w:szCs w:val="22"/>
          </w:rPr>
          <w:t>https://www.gov.wales/healthier-wales-long-term-plan-health-and-social-care</w:t>
        </w:r>
      </w:hyperlink>
      <w:r w:rsidRPr="0098190F">
        <w:rPr>
          <w:rFonts w:ascii="Arial" w:hAnsi="Arial" w:cs="Arial"/>
          <w:sz w:val="22"/>
          <w:szCs w:val="22"/>
        </w:rPr>
        <w:t xml:space="preserve"> (Accessed: 15 July 2026).</w:t>
      </w:r>
    </w:p>
    <w:p w14:paraId="126D5CC1"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World Health Organization (2025a) World Report on Social Determinants of Health Equity. Geneva: World Health Organization. Available at: </w:t>
      </w:r>
      <w:hyperlink r:id="rId34" w:tgtFrame="_new" w:history="1">
        <w:r w:rsidRPr="0098190F">
          <w:rPr>
            <w:rStyle w:val="Hyperlink"/>
            <w:rFonts w:ascii="Arial" w:hAnsi="Arial" w:cs="Arial"/>
            <w:sz w:val="22"/>
            <w:szCs w:val="22"/>
          </w:rPr>
          <w:t>https://www.who.int/publications/i/item/9789240107588</w:t>
        </w:r>
      </w:hyperlink>
      <w:r w:rsidRPr="0098190F">
        <w:rPr>
          <w:rFonts w:ascii="Arial" w:hAnsi="Arial" w:cs="Arial"/>
          <w:sz w:val="22"/>
          <w:szCs w:val="22"/>
        </w:rPr>
        <w:t xml:space="preserve"> (Accessed: 15 July 2026).</w:t>
      </w:r>
    </w:p>
    <w:p w14:paraId="088C09A5" w14:textId="77777777" w:rsidR="0098190F" w:rsidRPr="0098190F" w:rsidRDefault="0098190F" w:rsidP="0098190F">
      <w:pPr>
        <w:spacing w:line="360" w:lineRule="auto"/>
        <w:rPr>
          <w:rFonts w:ascii="Arial" w:hAnsi="Arial" w:cs="Arial"/>
          <w:sz w:val="22"/>
          <w:szCs w:val="22"/>
        </w:rPr>
      </w:pPr>
      <w:r w:rsidRPr="0098190F">
        <w:rPr>
          <w:rFonts w:ascii="Arial" w:hAnsi="Arial" w:cs="Arial"/>
          <w:sz w:val="22"/>
          <w:szCs w:val="22"/>
        </w:rPr>
        <w:t xml:space="preserve">World Health Organization (2025b) Universal Health Coverage. Geneva: World Health Organization. Available at: </w:t>
      </w:r>
      <w:hyperlink r:id="rId35" w:tgtFrame="_new" w:history="1">
        <w:r w:rsidRPr="0098190F">
          <w:rPr>
            <w:rStyle w:val="Hyperlink"/>
            <w:rFonts w:ascii="Arial" w:hAnsi="Arial" w:cs="Arial"/>
            <w:sz w:val="22"/>
            <w:szCs w:val="22"/>
          </w:rPr>
          <w:t>https://www.who.int/news-room/fact-sheets/detail/universal-health-coverage-%28uhc%29</w:t>
        </w:r>
      </w:hyperlink>
      <w:r w:rsidRPr="0098190F">
        <w:rPr>
          <w:rFonts w:ascii="Arial" w:hAnsi="Arial" w:cs="Arial"/>
          <w:sz w:val="22"/>
          <w:szCs w:val="22"/>
        </w:rPr>
        <w:t xml:space="preserve"> (Accessed: 15 July 2026).</w:t>
      </w:r>
    </w:p>
    <w:p w14:paraId="4C71833B" w14:textId="77777777" w:rsidR="002525CE" w:rsidRPr="00057B3D" w:rsidRDefault="002525CE" w:rsidP="00057B3D">
      <w:pPr>
        <w:spacing w:line="360" w:lineRule="auto"/>
        <w:rPr>
          <w:rFonts w:ascii="Arial" w:hAnsi="Arial" w:cs="Arial"/>
          <w:sz w:val="22"/>
          <w:szCs w:val="22"/>
        </w:rPr>
      </w:pPr>
    </w:p>
    <w:sectPr w:rsidR="002525CE" w:rsidRPr="00057B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42F22" w14:textId="77777777" w:rsidR="00A17ECB" w:rsidRDefault="00A17ECB" w:rsidP="007943B3">
      <w:pPr>
        <w:spacing w:after="0" w:line="240" w:lineRule="auto"/>
      </w:pPr>
      <w:r>
        <w:separator/>
      </w:r>
    </w:p>
  </w:endnote>
  <w:endnote w:type="continuationSeparator" w:id="0">
    <w:p w14:paraId="081F179D" w14:textId="77777777" w:rsidR="00A17ECB" w:rsidRDefault="00A17ECB" w:rsidP="00794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BF7FAF" w14:textId="77777777" w:rsidR="00A17ECB" w:rsidRDefault="00A17ECB" w:rsidP="007943B3">
      <w:pPr>
        <w:spacing w:after="0" w:line="240" w:lineRule="auto"/>
      </w:pPr>
      <w:r>
        <w:separator/>
      </w:r>
    </w:p>
  </w:footnote>
  <w:footnote w:type="continuationSeparator" w:id="0">
    <w:p w14:paraId="78C5EEA1" w14:textId="77777777" w:rsidR="00A17ECB" w:rsidRDefault="00A17ECB" w:rsidP="007943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212EB"/>
    <w:multiLevelType w:val="hybridMultilevel"/>
    <w:tmpl w:val="E2BE27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0B7CDE"/>
    <w:multiLevelType w:val="multilevel"/>
    <w:tmpl w:val="4BCAE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5055A8"/>
    <w:multiLevelType w:val="hybridMultilevel"/>
    <w:tmpl w:val="B0CE4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AF35BD"/>
    <w:multiLevelType w:val="hybridMultilevel"/>
    <w:tmpl w:val="A63CF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0363109">
    <w:abstractNumId w:val="3"/>
  </w:num>
  <w:num w:numId="2" w16cid:durableId="1021206274">
    <w:abstractNumId w:val="0"/>
  </w:num>
  <w:num w:numId="3" w16cid:durableId="702286385">
    <w:abstractNumId w:val="2"/>
  </w:num>
  <w:num w:numId="4" w16cid:durableId="5743164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E60"/>
    <w:rsid w:val="0004124F"/>
    <w:rsid w:val="00057B3D"/>
    <w:rsid w:val="000D0556"/>
    <w:rsid w:val="00110919"/>
    <w:rsid w:val="00117AFD"/>
    <w:rsid w:val="00131567"/>
    <w:rsid w:val="002525CE"/>
    <w:rsid w:val="00293F60"/>
    <w:rsid w:val="002945B2"/>
    <w:rsid w:val="002A7875"/>
    <w:rsid w:val="002C14DB"/>
    <w:rsid w:val="002D0803"/>
    <w:rsid w:val="002E29AE"/>
    <w:rsid w:val="003479EC"/>
    <w:rsid w:val="0039240B"/>
    <w:rsid w:val="003E26A2"/>
    <w:rsid w:val="00445CEF"/>
    <w:rsid w:val="005061B7"/>
    <w:rsid w:val="00560593"/>
    <w:rsid w:val="005C0D54"/>
    <w:rsid w:val="0060040C"/>
    <w:rsid w:val="00614520"/>
    <w:rsid w:val="00622382"/>
    <w:rsid w:val="006966F7"/>
    <w:rsid w:val="006B79CE"/>
    <w:rsid w:val="006E565F"/>
    <w:rsid w:val="006F54B3"/>
    <w:rsid w:val="007200F4"/>
    <w:rsid w:val="00744CED"/>
    <w:rsid w:val="007943B3"/>
    <w:rsid w:val="007D2385"/>
    <w:rsid w:val="007E5A17"/>
    <w:rsid w:val="00814856"/>
    <w:rsid w:val="009056ED"/>
    <w:rsid w:val="0098190F"/>
    <w:rsid w:val="009E2565"/>
    <w:rsid w:val="009E5E60"/>
    <w:rsid w:val="00A02E3A"/>
    <w:rsid w:val="00A17ECB"/>
    <w:rsid w:val="00A622AB"/>
    <w:rsid w:val="00A71B27"/>
    <w:rsid w:val="00AA7177"/>
    <w:rsid w:val="00AE1C49"/>
    <w:rsid w:val="00AF3262"/>
    <w:rsid w:val="00B63A55"/>
    <w:rsid w:val="00BA5F6A"/>
    <w:rsid w:val="00BC15E2"/>
    <w:rsid w:val="00C14BA6"/>
    <w:rsid w:val="00C456CA"/>
    <w:rsid w:val="00C65A22"/>
    <w:rsid w:val="00C70968"/>
    <w:rsid w:val="00C82174"/>
    <w:rsid w:val="00D02622"/>
    <w:rsid w:val="00DC2A50"/>
    <w:rsid w:val="00E3431E"/>
    <w:rsid w:val="00E5652B"/>
    <w:rsid w:val="00EA5825"/>
    <w:rsid w:val="00F43738"/>
    <w:rsid w:val="00F9510A"/>
    <w:rsid w:val="00FC7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F3CAD"/>
  <w15:chartTrackingRefBased/>
  <w15:docId w15:val="{85E8AF16-76D3-4327-8873-BFA01296D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E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5E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5E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5E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5E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5E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5E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5E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5E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E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5E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5E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5E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5E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5E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5E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5E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5E60"/>
    <w:rPr>
      <w:rFonts w:eastAsiaTheme="majorEastAsia" w:cstheme="majorBidi"/>
      <w:color w:val="272727" w:themeColor="text1" w:themeTint="D8"/>
    </w:rPr>
  </w:style>
  <w:style w:type="paragraph" w:styleId="Title">
    <w:name w:val="Title"/>
    <w:basedOn w:val="Normal"/>
    <w:next w:val="Normal"/>
    <w:link w:val="TitleChar"/>
    <w:uiPriority w:val="10"/>
    <w:qFormat/>
    <w:rsid w:val="009E5E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E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5E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E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5E60"/>
    <w:pPr>
      <w:spacing w:before="160"/>
      <w:jc w:val="center"/>
    </w:pPr>
    <w:rPr>
      <w:i/>
      <w:iCs/>
      <w:color w:val="404040" w:themeColor="text1" w:themeTint="BF"/>
    </w:rPr>
  </w:style>
  <w:style w:type="character" w:customStyle="1" w:styleId="QuoteChar">
    <w:name w:val="Quote Char"/>
    <w:basedOn w:val="DefaultParagraphFont"/>
    <w:link w:val="Quote"/>
    <w:uiPriority w:val="29"/>
    <w:rsid w:val="009E5E60"/>
    <w:rPr>
      <w:i/>
      <w:iCs/>
      <w:color w:val="404040" w:themeColor="text1" w:themeTint="BF"/>
    </w:rPr>
  </w:style>
  <w:style w:type="paragraph" w:styleId="ListParagraph">
    <w:name w:val="List Paragraph"/>
    <w:basedOn w:val="Normal"/>
    <w:uiPriority w:val="34"/>
    <w:qFormat/>
    <w:rsid w:val="009E5E60"/>
    <w:pPr>
      <w:ind w:left="720"/>
      <w:contextualSpacing/>
    </w:pPr>
  </w:style>
  <w:style w:type="character" w:styleId="IntenseEmphasis">
    <w:name w:val="Intense Emphasis"/>
    <w:basedOn w:val="DefaultParagraphFont"/>
    <w:uiPriority w:val="21"/>
    <w:qFormat/>
    <w:rsid w:val="009E5E60"/>
    <w:rPr>
      <w:i/>
      <w:iCs/>
      <w:color w:val="0F4761" w:themeColor="accent1" w:themeShade="BF"/>
    </w:rPr>
  </w:style>
  <w:style w:type="paragraph" w:styleId="IntenseQuote">
    <w:name w:val="Intense Quote"/>
    <w:basedOn w:val="Normal"/>
    <w:next w:val="Normal"/>
    <w:link w:val="IntenseQuoteChar"/>
    <w:uiPriority w:val="30"/>
    <w:qFormat/>
    <w:rsid w:val="009E5E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5E60"/>
    <w:rPr>
      <w:i/>
      <w:iCs/>
      <w:color w:val="0F4761" w:themeColor="accent1" w:themeShade="BF"/>
    </w:rPr>
  </w:style>
  <w:style w:type="character" w:styleId="IntenseReference">
    <w:name w:val="Intense Reference"/>
    <w:basedOn w:val="DefaultParagraphFont"/>
    <w:uiPriority w:val="32"/>
    <w:qFormat/>
    <w:rsid w:val="009E5E60"/>
    <w:rPr>
      <w:b/>
      <w:bCs/>
      <w:smallCaps/>
      <w:color w:val="0F4761" w:themeColor="accent1" w:themeShade="BF"/>
      <w:spacing w:val="5"/>
    </w:rPr>
  </w:style>
  <w:style w:type="character" w:styleId="Hyperlink">
    <w:name w:val="Hyperlink"/>
    <w:basedOn w:val="DefaultParagraphFont"/>
    <w:uiPriority w:val="99"/>
    <w:unhideWhenUsed/>
    <w:rsid w:val="00C70968"/>
    <w:rPr>
      <w:color w:val="467886" w:themeColor="hyperlink"/>
      <w:u w:val="single"/>
    </w:rPr>
  </w:style>
  <w:style w:type="character" w:styleId="UnresolvedMention">
    <w:name w:val="Unresolved Mention"/>
    <w:basedOn w:val="DefaultParagraphFont"/>
    <w:uiPriority w:val="99"/>
    <w:semiHidden/>
    <w:unhideWhenUsed/>
    <w:rsid w:val="00C70968"/>
    <w:rPr>
      <w:color w:val="605E5C"/>
      <w:shd w:val="clear" w:color="auto" w:fill="E1DFDD"/>
    </w:rPr>
  </w:style>
  <w:style w:type="paragraph" w:styleId="TOCHeading">
    <w:name w:val="TOC Heading"/>
    <w:basedOn w:val="Heading1"/>
    <w:next w:val="Normal"/>
    <w:uiPriority w:val="39"/>
    <w:unhideWhenUsed/>
    <w:qFormat/>
    <w:rsid w:val="007943B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0040C"/>
    <w:pPr>
      <w:tabs>
        <w:tab w:val="right" w:leader="dot" w:pos="9016"/>
      </w:tabs>
      <w:spacing w:after="100"/>
    </w:pPr>
    <w:rPr>
      <w:b/>
      <w:bCs/>
      <w:noProof/>
    </w:rPr>
  </w:style>
  <w:style w:type="paragraph" w:styleId="TOC2">
    <w:name w:val="toc 2"/>
    <w:basedOn w:val="Normal"/>
    <w:next w:val="Normal"/>
    <w:autoRedefine/>
    <w:uiPriority w:val="39"/>
    <w:unhideWhenUsed/>
    <w:rsid w:val="007943B3"/>
    <w:pPr>
      <w:spacing w:after="100"/>
      <w:ind w:left="240"/>
    </w:pPr>
  </w:style>
  <w:style w:type="paragraph" w:styleId="Header">
    <w:name w:val="header"/>
    <w:basedOn w:val="Normal"/>
    <w:link w:val="HeaderChar"/>
    <w:uiPriority w:val="99"/>
    <w:unhideWhenUsed/>
    <w:rsid w:val="00794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3B3"/>
  </w:style>
  <w:style w:type="paragraph" w:styleId="Footer">
    <w:name w:val="footer"/>
    <w:basedOn w:val="Normal"/>
    <w:link w:val="FooterChar"/>
    <w:uiPriority w:val="99"/>
    <w:unhideWhenUsed/>
    <w:rsid w:val="00794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3B3"/>
  </w:style>
  <w:style w:type="character" w:styleId="FollowedHyperlink">
    <w:name w:val="FollowedHyperlink"/>
    <w:basedOn w:val="DefaultParagraphFont"/>
    <w:uiPriority w:val="99"/>
    <w:semiHidden/>
    <w:unhideWhenUsed/>
    <w:rsid w:val="0098190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puhe.2021.08.009" TargetMode="External"/><Relationship Id="rId18" Type="http://schemas.openxmlformats.org/officeDocument/2006/relationships/hyperlink" Target="https://pmc.ncbi.nlm.nih.gov/articles/PMC7556407/" TargetMode="External"/><Relationship Id="rId26" Type="http://schemas.openxmlformats.org/officeDocument/2006/relationships/hyperlink" Target="https://www.ons.gov.uk/peoplepopulationandcommunity/personalandhouseholdfinances/incomeandwealth/bulletins/householdincomeinequalityfinancial/financialyearending2024?utm_source=chatgpt.com" TargetMode="External"/><Relationship Id="rId21" Type="http://schemas.openxmlformats.org/officeDocument/2006/relationships/hyperlink" Target="https://www.instituteofhealthequity.org/resources-reports/ten-years-as-a-marmot-city-coventrys-reflections?utm_source=chatgpt.com" TargetMode="External"/><Relationship Id="rId34" Type="http://schemas.openxmlformats.org/officeDocument/2006/relationships/hyperlink" Target="https://www.who.int/publications/i/item/9789240107588?utm_source=chatgpt.com" TargetMode="External"/><Relationship Id="rId7" Type="http://schemas.openxmlformats.org/officeDocument/2006/relationships/endnotes" Target="endnotes.xml"/><Relationship Id="rId12" Type="http://schemas.openxmlformats.org/officeDocument/2006/relationships/hyperlink" Target="https://www.coventry.gov.uk/early-years-childcare/coventry-early-years-strategy-2025-2028/6?utm_source=chatgpt.com" TargetMode="External"/><Relationship Id="rId17" Type="http://schemas.openxmlformats.org/officeDocument/2006/relationships/hyperlink" Target="https://www.health-ni.gov.uk/publications/health-inequalities-annual-report-2026?utm_source=chatgpt.com" TargetMode="External"/><Relationship Id="rId25" Type="http://schemas.openxmlformats.org/officeDocument/2006/relationships/hyperlink" Target="https://www.england.nhs.uk/long-read/five-years-greener-nhs-progress-forward-look/?utm_source=chatgpt.com" TargetMode="External"/><Relationship Id="rId33" Type="http://schemas.openxmlformats.org/officeDocument/2006/relationships/hyperlink" Target="https://www.gov.wales/healthier-wales-long-term-plan-health-and-social-care?utm_source=chatgpt.com" TargetMode="External"/><Relationship Id="rId2" Type="http://schemas.openxmlformats.org/officeDocument/2006/relationships/numbering" Target="numbering.xml"/><Relationship Id="rId16" Type="http://schemas.openxmlformats.org/officeDocument/2006/relationships/hyperlink" Target="https://www.gov.uk/government/publications/10-year-health-plan-for-england-fit-for-the-future?utm_source=chatgpt.com" TargetMode="External"/><Relationship Id="rId20" Type="http://schemas.openxmlformats.org/officeDocument/2006/relationships/hyperlink" Target="https://www.legislation.gov.uk/ukpga/2010/15/section/149?utm_source=chatgpt.com" TargetMode="External"/><Relationship Id="rId29" Type="http://schemas.openxmlformats.org/officeDocument/2006/relationships/hyperlink" Target="https://www.gov.scot/publications/scotlands-population-health-framework/?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ventry.gov.uk/performance-1/one-coventry-plan-annual-performance-report-april-2024-march-2025/15?utm_source=chatgpt.com" TargetMode="External"/><Relationship Id="rId24" Type="http://schemas.openxmlformats.org/officeDocument/2006/relationships/hyperlink" Target="https://www.england.nhs.uk/about/equality/equality-hub/national-healthcare-inequalities-improvement-programme/core20plus5/?utm_source=chatgpt.com" TargetMode="External"/><Relationship Id="rId32" Type="http://schemas.openxmlformats.org/officeDocument/2006/relationships/hyperlink" Target="https://unstats.un.org/sdgs/report/2026/The-Sustainable-Development-Goals-Report-2026.pdf?utm_source=chatgpt.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statistics/children-in-low-income-families-local-area-statistics-2022-to-2025/children-in-low-income-families-local-area-statistics-financial-year-ending-2025?utm_source=chatgpt.com" TargetMode="External"/><Relationship Id="rId23" Type="http://schemas.openxmlformats.org/officeDocument/2006/relationships/hyperlink" Target="https://www.instituteofhealthequity.org/resources-reports/marmot-review-10-years-on?utm_source=chatgpt.com" TargetMode="External"/><Relationship Id="rId28" Type="http://schemas.openxmlformats.org/officeDocument/2006/relationships/hyperlink" Target="https://www.ons.gov.uk/peoplepopulationandcommunity/healthandsocialcare/healthinequalities/bulletins/healthylifeexpectancybynationalareadeprivationenglandandwales/between2013to2015and2022to2024?utm_source=chatgpt.com" TargetMode="External"/><Relationship Id="rId36" Type="http://schemas.openxmlformats.org/officeDocument/2006/relationships/fontTable" Target="fontTable.xml"/><Relationship Id="rId10" Type="http://schemas.openxmlformats.org/officeDocument/2006/relationships/hyperlink" Target="https://doi.org/10.1371/journal.pmed.1004371" TargetMode="External"/><Relationship Id="rId19" Type="http://schemas.openxmlformats.org/officeDocument/2006/relationships/hyperlink" Target="https://www.legislation.gov.uk/ukpga/1998/47/section/75?utm_source=chatgpt.com" TargetMode="External"/><Relationship Id="rId31" Type="http://schemas.openxmlformats.org/officeDocument/2006/relationships/hyperlink" Target="https://sdgs.un.org/2030agenda?utm_source=chatgpt.com" TargetMode="External"/><Relationship Id="rId4" Type="http://schemas.openxmlformats.org/officeDocument/2006/relationships/settings" Target="settings.xml"/><Relationship Id="rId9" Type="http://schemas.openxmlformats.org/officeDocument/2006/relationships/hyperlink" Target="https://jech.bmj.com/content/74/11/964" TargetMode="External"/><Relationship Id="rId14" Type="http://schemas.openxmlformats.org/officeDocument/2006/relationships/hyperlink" Target="https://www.gov.uk/government/statistics/the-employment-of-disabled-people-2025/the-employment-of-disabled-people-2025?utm_source=chatgpt.com" TargetMode="External"/><Relationship Id="rId22" Type="http://schemas.openxmlformats.org/officeDocument/2006/relationships/hyperlink" Target="https://pubmed.ncbi.nlm.nih.gov/36204706/" TargetMode="External"/><Relationship Id="rId27" Type="http://schemas.openxmlformats.org/officeDocument/2006/relationships/hyperlink" Target="https://www.ons.gov.uk/peoplepopulationandcommunity/healthandsocialcare/healthandlifeexpectancies/bulletins/healthstatelifeexpectanciesuk/between2011to2013and2022to2024?utm_source=chatgpt.com" TargetMode="External"/><Relationship Id="rId30" Type="http://schemas.openxmlformats.org/officeDocument/2006/relationships/hyperlink" Target="https://pubmed.ncbi.nlm.nih.gov/33581070/" TargetMode="External"/><Relationship Id="rId35" Type="http://schemas.openxmlformats.org/officeDocument/2006/relationships/hyperlink" Target="https://www.who.int/news-room/fact-sheets/detail/universal-health-coverage-%28uhc%29?utm_source=chatgpt.com"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85266-8777-46FC-BB81-E44ECFEA0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1326</TotalTime>
  <Pages>12</Pages>
  <Words>4147</Words>
  <Characters>23638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Anisa Fatima</dc:creator>
  <cp:keywords/>
  <dc:description/>
  <cp:lastModifiedBy>Syeda Anisa Fatima</cp:lastModifiedBy>
  <cp:revision>32</cp:revision>
  <dcterms:created xsi:type="dcterms:W3CDTF">2026-07-13T04:43:00Z</dcterms:created>
  <dcterms:modified xsi:type="dcterms:W3CDTF">2026-07-18T01:10:00Z</dcterms:modified>
</cp:coreProperties>
</file>