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617028" w14:textId="5D895768" w:rsidR="00C00FE9" w:rsidRDefault="00DA4D40" w:rsidP="00106138">
      <w:pPr>
        <w:pStyle w:val="Heading1"/>
        <w:spacing w:before="0" w:after="0" w:line="360" w:lineRule="auto"/>
        <w:rPr>
          <w:rFonts w:ascii="Arial" w:hAnsi="Arial" w:cs="Arial"/>
          <w:color w:val="auto"/>
        </w:rPr>
      </w:pPr>
      <w:bookmarkStart w:id="0" w:name="_Toc195035487"/>
      <w:r w:rsidRPr="00106138">
        <w:rPr>
          <w:rFonts w:ascii="Arial" w:hAnsi="Arial" w:cs="Arial"/>
          <w:color w:val="auto"/>
        </w:rPr>
        <w:t>Executive Summary</w:t>
      </w:r>
      <w:bookmarkEnd w:id="0"/>
    </w:p>
    <w:p w14:paraId="6FF719E9" w14:textId="77777777" w:rsidR="00106138" w:rsidRPr="00106138" w:rsidRDefault="00106138" w:rsidP="00106138">
      <w:pPr>
        <w:spacing w:after="0" w:line="360" w:lineRule="auto"/>
        <w:rPr>
          <w:rFonts w:ascii="Arial" w:hAnsi="Arial" w:cs="Arial"/>
          <w:sz w:val="22"/>
          <w:szCs w:val="22"/>
        </w:rPr>
      </w:pPr>
    </w:p>
    <w:p w14:paraId="5E359C24" w14:textId="5B95BA67" w:rsidR="00A349C7" w:rsidRDefault="00A349C7" w:rsidP="00C00FE9">
      <w:pPr>
        <w:spacing w:after="0" w:line="360" w:lineRule="auto"/>
        <w:jc w:val="both"/>
        <w:rPr>
          <w:rFonts w:ascii="Arial" w:hAnsi="Arial" w:cs="Arial"/>
          <w:sz w:val="22"/>
          <w:szCs w:val="22"/>
        </w:rPr>
      </w:pPr>
      <w:r w:rsidRPr="00C00FE9">
        <w:rPr>
          <w:rFonts w:ascii="Arial" w:hAnsi="Arial" w:cs="Arial"/>
          <w:sz w:val="22"/>
          <w:szCs w:val="22"/>
        </w:rPr>
        <w:t>Tesla is an American electric vehicle (EV) and clean energy company known for producing electric cars, solar products, and energy storage solutions. As an organisation, Tesla takes a three-pronged approach in its business model:</w:t>
      </w:r>
    </w:p>
    <w:p w14:paraId="13E19C78" w14:textId="77777777" w:rsidR="00C00FE9" w:rsidRPr="00C00FE9" w:rsidRDefault="00C00FE9" w:rsidP="00C00FE9">
      <w:pPr>
        <w:spacing w:after="0" w:line="360" w:lineRule="auto"/>
        <w:jc w:val="both"/>
        <w:rPr>
          <w:rFonts w:ascii="Arial" w:hAnsi="Arial" w:cs="Arial"/>
          <w:color w:val="FF0000"/>
          <w:sz w:val="22"/>
          <w:szCs w:val="22"/>
        </w:rPr>
      </w:pPr>
    </w:p>
    <w:p w14:paraId="49B3F196" w14:textId="77777777" w:rsidR="00A349C7" w:rsidRPr="00C00FE9"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Energy generation products – producing solar energy</w:t>
      </w:r>
    </w:p>
    <w:p w14:paraId="1747DF89" w14:textId="77777777" w:rsidR="00A349C7" w:rsidRPr="00C00FE9"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Batteries – for the storage of clean energy, providing charging solutions for electric vehicles</w:t>
      </w:r>
    </w:p>
    <w:p w14:paraId="3B574EA8" w14:textId="77777777" w:rsidR="00A349C7" w:rsidRDefault="00A349C7" w:rsidP="00C00FE9">
      <w:pPr>
        <w:pStyle w:val="ListParagraph"/>
        <w:numPr>
          <w:ilvl w:val="0"/>
          <w:numId w:val="1"/>
        </w:numPr>
        <w:spacing w:after="0" w:line="360" w:lineRule="auto"/>
        <w:jc w:val="both"/>
        <w:rPr>
          <w:rFonts w:ascii="Arial" w:hAnsi="Arial" w:cs="Arial"/>
          <w:sz w:val="22"/>
          <w:szCs w:val="22"/>
        </w:rPr>
      </w:pPr>
      <w:r w:rsidRPr="00C00FE9">
        <w:rPr>
          <w:rFonts w:ascii="Arial" w:hAnsi="Arial" w:cs="Arial"/>
          <w:sz w:val="22"/>
          <w:szCs w:val="22"/>
        </w:rPr>
        <w:t>Manufacturing and selling of EV’s – EV’s charged with clean energy</w:t>
      </w:r>
    </w:p>
    <w:p w14:paraId="12426171" w14:textId="77777777" w:rsidR="00C00FE9" w:rsidRPr="00C00FE9" w:rsidRDefault="00C00FE9" w:rsidP="00C00FE9">
      <w:pPr>
        <w:pStyle w:val="ListParagraph"/>
        <w:spacing w:after="0" w:line="360" w:lineRule="auto"/>
        <w:ind w:left="360"/>
        <w:jc w:val="both"/>
        <w:rPr>
          <w:rFonts w:ascii="Arial" w:hAnsi="Arial" w:cs="Arial"/>
          <w:sz w:val="22"/>
          <w:szCs w:val="22"/>
        </w:rPr>
      </w:pPr>
    </w:p>
    <w:p w14:paraId="1F714C3D" w14:textId="5E75B23B" w:rsidR="00A349C7" w:rsidRPr="00C00FE9" w:rsidRDefault="00A349C7" w:rsidP="00C00FE9">
      <w:pPr>
        <w:spacing w:after="0" w:line="360" w:lineRule="auto"/>
        <w:jc w:val="both"/>
        <w:rPr>
          <w:rFonts w:ascii="Arial" w:hAnsi="Arial" w:cs="Arial"/>
          <w:sz w:val="22"/>
          <w:szCs w:val="22"/>
        </w:rPr>
      </w:pPr>
      <w:r w:rsidRPr="00C00FE9">
        <w:rPr>
          <w:rFonts w:ascii="Arial" w:hAnsi="Arial" w:cs="Arial"/>
          <w:sz w:val="22"/>
          <w:szCs w:val="22"/>
        </w:rPr>
        <w:t>Tesla’s mission is to ‘accelerate the world's transition to sustainable energy’ (Tesla, 2023). Tesla’s approach to mission driven talent is focused on recruiting top-tier talent, fostering a high-performance culture to drive innovation and achieve their goals. Tesla’s approach to workforce planning is highly dynamic and focused on aligning human resources with the company’s evolving needs, especially as it expands and innovates. Tesla looks to ‘attract, retain and incentivise talented, highly qualified and committed individuals’ who share their desire to work towards the organisations mission (</w:t>
      </w:r>
      <w:r w:rsidR="002B42DC">
        <w:rPr>
          <w:rFonts w:ascii="Arial" w:hAnsi="Arial" w:cs="Arial"/>
          <w:sz w:val="22"/>
          <w:szCs w:val="22"/>
        </w:rPr>
        <w:t>Malak</w:t>
      </w:r>
      <w:r w:rsidRPr="00C00FE9">
        <w:rPr>
          <w:rFonts w:ascii="Arial" w:hAnsi="Arial" w:cs="Arial"/>
          <w:sz w:val="22"/>
          <w:szCs w:val="22"/>
        </w:rPr>
        <w:t>, 2024).</w:t>
      </w:r>
    </w:p>
    <w:p w14:paraId="58868565" w14:textId="77777777" w:rsidR="00A349C7" w:rsidRPr="00C00FE9" w:rsidRDefault="00A349C7" w:rsidP="00C00FE9">
      <w:pPr>
        <w:spacing w:after="0" w:line="360" w:lineRule="auto"/>
        <w:jc w:val="both"/>
        <w:rPr>
          <w:rFonts w:ascii="Arial" w:hAnsi="Arial" w:cs="Arial"/>
          <w:sz w:val="22"/>
          <w:szCs w:val="22"/>
        </w:rPr>
      </w:pPr>
      <w:r w:rsidRPr="00C00FE9">
        <w:rPr>
          <w:rFonts w:ascii="Arial" w:hAnsi="Arial" w:cs="Arial"/>
          <w:sz w:val="22"/>
          <w:szCs w:val="22"/>
        </w:rPr>
        <w:t xml:space="preserve">Tesla’s HR challenges are rooted in its rapid growth, innovation-driven culture and global expansion. While it has managed to attract top talent and maintain a highly motivated workforce, it must consider how it addresses issues such as work-life balance, employee retention, diversity, labour relations and workplace safety. In not doing so, it will struggle to foster a sustainable and healthy workforce and environment for its employees, affecting their competitive advantage. </w:t>
      </w:r>
    </w:p>
    <w:p w14:paraId="70068FFD" w14:textId="77777777" w:rsidR="00A349C7" w:rsidRPr="00DA4D40" w:rsidRDefault="00A349C7" w:rsidP="00C00FE9">
      <w:pPr>
        <w:spacing w:line="360" w:lineRule="auto"/>
        <w:jc w:val="both"/>
        <w:rPr>
          <w:rFonts w:ascii="Arial" w:hAnsi="Arial" w:cs="Arial"/>
          <w:b/>
          <w:bCs/>
          <w:sz w:val="22"/>
          <w:szCs w:val="22"/>
        </w:rPr>
      </w:pPr>
    </w:p>
    <w:p w14:paraId="6A0C67B4" w14:textId="77777777" w:rsidR="00DA4D40" w:rsidRDefault="00DA4D40" w:rsidP="00C00FE9">
      <w:pPr>
        <w:spacing w:line="360" w:lineRule="auto"/>
        <w:jc w:val="both"/>
        <w:rPr>
          <w:rFonts w:ascii="Arial" w:hAnsi="Arial" w:cs="Arial"/>
          <w:sz w:val="22"/>
          <w:szCs w:val="22"/>
        </w:rPr>
      </w:pPr>
    </w:p>
    <w:p w14:paraId="2A19A767" w14:textId="77777777" w:rsidR="00DA4D40" w:rsidRDefault="00DA4D40" w:rsidP="00C00FE9">
      <w:pPr>
        <w:spacing w:line="360" w:lineRule="auto"/>
        <w:jc w:val="both"/>
        <w:rPr>
          <w:rFonts w:ascii="Arial" w:hAnsi="Arial" w:cs="Arial"/>
          <w:sz w:val="22"/>
          <w:szCs w:val="22"/>
        </w:rPr>
      </w:pPr>
    </w:p>
    <w:p w14:paraId="3FE8723B" w14:textId="77777777" w:rsidR="0043583A" w:rsidRDefault="0043583A" w:rsidP="00C00FE9">
      <w:pPr>
        <w:spacing w:line="360" w:lineRule="auto"/>
        <w:jc w:val="both"/>
        <w:rPr>
          <w:rFonts w:ascii="Arial" w:hAnsi="Arial" w:cs="Arial"/>
          <w:sz w:val="22"/>
          <w:szCs w:val="22"/>
        </w:rPr>
      </w:pPr>
    </w:p>
    <w:p w14:paraId="036273B2" w14:textId="77777777" w:rsidR="0043583A" w:rsidRDefault="0043583A" w:rsidP="00C00FE9">
      <w:pPr>
        <w:spacing w:line="360" w:lineRule="auto"/>
        <w:jc w:val="both"/>
        <w:rPr>
          <w:rFonts w:ascii="Arial" w:hAnsi="Arial" w:cs="Arial"/>
          <w:sz w:val="22"/>
          <w:szCs w:val="22"/>
        </w:rPr>
      </w:pPr>
    </w:p>
    <w:p w14:paraId="72833C63" w14:textId="77777777" w:rsidR="0043583A" w:rsidRDefault="0043583A" w:rsidP="00C00FE9">
      <w:pPr>
        <w:spacing w:line="360" w:lineRule="auto"/>
        <w:jc w:val="both"/>
        <w:rPr>
          <w:rFonts w:ascii="Arial" w:hAnsi="Arial" w:cs="Arial"/>
          <w:sz w:val="22"/>
          <w:szCs w:val="22"/>
        </w:rPr>
      </w:pPr>
    </w:p>
    <w:p w14:paraId="26F6959C" w14:textId="77777777" w:rsidR="0043583A" w:rsidRDefault="0043583A" w:rsidP="00C00FE9">
      <w:pPr>
        <w:spacing w:line="360" w:lineRule="auto"/>
        <w:jc w:val="both"/>
        <w:rPr>
          <w:rFonts w:ascii="Arial" w:hAnsi="Arial" w:cs="Arial"/>
          <w:sz w:val="22"/>
          <w:szCs w:val="22"/>
        </w:rPr>
      </w:pPr>
    </w:p>
    <w:p w14:paraId="0A27B9E1" w14:textId="77777777" w:rsidR="00106138" w:rsidRDefault="00106138" w:rsidP="00C00FE9">
      <w:pPr>
        <w:spacing w:line="360" w:lineRule="auto"/>
        <w:jc w:val="both"/>
        <w:rPr>
          <w:rFonts w:ascii="Arial" w:hAnsi="Arial" w:cs="Arial"/>
          <w:sz w:val="22"/>
          <w:szCs w:val="22"/>
        </w:rPr>
      </w:pPr>
    </w:p>
    <w:p w14:paraId="1A939BAD" w14:textId="77777777" w:rsidR="00106138" w:rsidRDefault="00106138" w:rsidP="00C00FE9">
      <w:pPr>
        <w:spacing w:line="360" w:lineRule="auto"/>
        <w:jc w:val="both"/>
        <w:rPr>
          <w:rFonts w:ascii="Arial" w:hAnsi="Arial" w:cs="Arial"/>
          <w:sz w:val="22"/>
          <w:szCs w:val="22"/>
        </w:rPr>
      </w:pPr>
    </w:p>
    <w:p w14:paraId="1BB16CDA" w14:textId="3F3E8064" w:rsidR="00BD2CD2" w:rsidRPr="00106138" w:rsidRDefault="004E15AE" w:rsidP="00106138">
      <w:pPr>
        <w:pStyle w:val="Heading1"/>
        <w:spacing w:before="0" w:after="0" w:line="360" w:lineRule="auto"/>
        <w:rPr>
          <w:rFonts w:ascii="Arial" w:hAnsi="Arial" w:cs="Arial"/>
          <w:color w:val="auto"/>
        </w:rPr>
      </w:pPr>
      <w:bookmarkStart w:id="1" w:name="_Toc195035488"/>
      <w:r w:rsidRPr="00106138">
        <w:rPr>
          <w:rFonts w:ascii="Arial" w:hAnsi="Arial" w:cs="Arial"/>
          <w:color w:val="auto"/>
        </w:rPr>
        <w:lastRenderedPageBreak/>
        <w:t>Introduction</w:t>
      </w:r>
      <w:bookmarkEnd w:id="1"/>
    </w:p>
    <w:p w14:paraId="0945C021" w14:textId="0E6164AA" w:rsidR="00BD2CD2" w:rsidRPr="004E15AE" w:rsidRDefault="004E15AE" w:rsidP="00C00FE9">
      <w:pPr>
        <w:spacing w:after="0" w:line="360" w:lineRule="auto"/>
        <w:jc w:val="both"/>
        <w:rPr>
          <w:rFonts w:ascii="Arial" w:hAnsi="Arial" w:cs="Arial"/>
          <w:sz w:val="22"/>
          <w:szCs w:val="22"/>
        </w:rPr>
      </w:pPr>
      <w:r w:rsidRPr="004E15AE">
        <w:rPr>
          <w:rFonts w:ascii="Arial" w:hAnsi="Arial" w:cs="Arial"/>
          <w:sz w:val="22"/>
          <w:szCs w:val="22"/>
        </w:rPr>
        <w:t xml:space="preserve">Tesla acknowledge that to achieve their mission, their ‘employees are critical’ (Tesla, </w:t>
      </w:r>
      <w:r w:rsidR="00D373E0">
        <w:rPr>
          <w:rFonts w:ascii="Arial" w:hAnsi="Arial" w:cs="Arial"/>
          <w:sz w:val="22"/>
          <w:szCs w:val="22"/>
        </w:rPr>
        <w:t>2023</w:t>
      </w:r>
      <w:r w:rsidRPr="004E15AE">
        <w:rPr>
          <w:rFonts w:ascii="Arial" w:hAnsi="Arial" w:cs="Arial"/>
          <w:sz w:val="22"/>
          <w:szCs w:val="22"/>
        </w:rPr>
        <w:t>). As a global company, they must resource the organisation on a multinational level adopting several human resource management (</w:t>
      </w:r>
      <w:proofErr w:type="spellStart"/>
      <w:r w:rsidRPr="004E15AE">
        <w:rPr>
          <w:rFonts w:ascii="Arial" w:hAnsi="Arial" w:cs="Arial"/>
          <w:sz w:val="22"/>
          <w:szCs w:val="22"/>
        </w:rPr>
        <w:t>HRM</w:t>
      </w:r>
      <w:proofErr w:type="spellEnd"/>
      <w:r w:rsidRPr="004E15AE">
        <w:rPr>
          <w:rFonts w:ascii="Arial" w:hAnsi="Arial" w:cs="Arial"/>
          <w:sz w:val="22"/>
          <w:szCs w:val="22"/>
        </w:rPr>
        <w:t>) practices. These include:</w:t>
      </w:r>
    </w:p>
    <w:p w14:paraId="3E74D019"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Compensation and benefits</w:t>
      </w:r>
    </w:p>
    <w:p w14:paraId="226022DB"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Recruitment and selection</w:t>
      </w:r>
    </w:p>
    <w:p w14:paraId="5D25E1E1"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Training and development</w:t>
      </w:r>
    </w:p>
    <w:p w14:paraId="11576908"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Performance management</w:t>
      </w:r>
    </w:p>
    <w:p w14:paraId="616507C9" w14:textId="77777777" w:rsidR="004E15AE" w:rsidRP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Employee relations</w:t>
      </w:r>
    </w:p>
    <w:p w14:paraId="227BFC12" w14:textId="4076DC6E" w:rsidR="004E15AE" w:rsidRDefault="004E15AE" w:rsidP="00C00FE9">
      <w:pPr>
        <w:pStyle w:val="ListParagraph"/>
        <w:numPr>
          <w:ilvl w:val="0"/>
          <w:numId w:val="2"/>
        </w:numPr>
        <w:spacing w:after="0" w:line="360" w:lineRule="auto"/>
        <w:jc w:val="both"/>
        <w:rPr>
          <w:rFonts w:ascii="Arial" w:hAnsi="Arial" w:cs="Arial"/>
          <w:sz w:val="22"/>
          <w:szCs w:val="22"/>
        </w:rPr>
      </w:pPr>
      <w:r w:rsidRPr="004E15AE">
        <w:rPr>
          <w:rFonts w:ascii="Arial" w:hAnsi="Arial" w:cs="Arial"/>
          <w:sz w:val="22"/>
          <w:szCs w:val="22"/>
        </w:rPr>
        <w:t>Employment law and compliance</w:t>
      </w:r>
    </w:p>
    <w:p w14:paraId="4E0B4B5B" w14:textId="77777777" w:rsidR="000D6034" w:rsidRPr="000D6034" w:rsidRDefault="000D6034" w:rsidP="000D6034">
      <w:pPr>
        <w:pStyle w:val="ListParagraph"/>
        <w:spacing w:after="0" w:line="360" w:lineRule="auto"/>
        <w:ind w:left="360"/>
        <w:jc w:val="both"/>
        <w:rPr>
          <w:rFonts w:ascii="Arial" w:hAnsi="Arial" w:cs="Arial"/>
          <w:sz w:val="22"/>
          <w:szCs w:val="22"/>
        </w:rPr>
      </w:pPr>
    </w:p>
    <w:p w14:paraId="0981FADC" w14:textId="77777777" w:rsidR="004E15AE" w:rsidRPr="00106138" w:rsidRDefault="004E15AE" w:rsidP="00106138">
      <w:pPr>
        <w:pStyle w:val="Heading1"/>
        <w:spacing w:before="0" w:after="0" w:line="360" w:lineRule="auto"/>
        <w:rPr>
          <w:rFonts w:ascii="Arial" w:hAnsi="Arial" w:cs="Arial"/>
          <w:color w:val="auto"/>
        </w:rPr>
      </w:pPr>
      <w:bookmarkStart w:id="2" w:name="_Toc195035489"/>
      <w:r w:rsidRPr="00106138">
        <w:rPr>
          <w:rFonts w:ascii="Arial" w:hAnsi="Arial" w:cs="Arial"/>
          <w:color w:val="auto"/>
        </w:rPr>
        <w:t>Current business environment</w:t>
      </w:r>
      <w:bookmarkEnd w:id="2"/>
    </w:p>
    <w:p w14:paraId="5DEB54FC" w14:textId="679370B6" w:rsidR="00BD2CD2" w:rsidRDefault="004E15AE" w:rsidP="00C00FE9">
      <w:pPr>
        <w:spacing w:after="0" w:line="360" w:lineRule="auto"/>
        <w:jc w:val="both"/>
        <w:rPr>
          <w:rFonts w:ascii="Arial" w:hAnsi="Arial" w:cs="Arial"/>
          <w:sz w:val="22"/>
          <w:szCs w:val="22"/>
        </w:rPr>
      </w:pPr>
      <w:r w:rsidRPr="004E15AE">
        <w:rPr>
          <w:rFonts w:ascii="Arial" w:hAnsi="Arial" w:cs="Arial"/>
          <w:sz w:val="22"/>
          <w:szCs w:val="22"/>
        </w:rPr>
        <w:t>The</w:t>
      </w:r>
      <w:r>
        <w:rPr>
          <w:rFonts w:ascii="Arial" w:hAnsi="Arial" w:cs="Arial"/>
          <w:sz w:val="22"/>
          <w:szCs w:val="22"/>
        </w:rPr>
        <w:t xml:space="preserve"> </w:t>
      </w:r>
      <w:r w:rsidR="00777F92">
        <w:rPr>
          <w:rFonts w:ascii="Arial" w:hAnsi="Arial" w:cs="Arial"/>
          <w:sz w:val="22"/>
          <w:szCs w:val="22"/>
        </w:rPr>
        <w:t xml:space="preserve">infographic </w:t>
      </w:r>
      <w:r w:rsidRPr="004E15AE">
        <w:rPr>
          <w:rFonts w:ascii="Arial" w:hAnsi="Arial" w:cs="Arial"/>
          <w:sz w:val="22"/>
          <w:szCs w:val="22"/>
        </w:rPr>
        <w:t xml:space="preserve">below outlines the current external factors impacting Tesla and its business environment. </w:t>
      </w:r>
    </w:p>
    <w:p w14:paraId="2DDE00A0" w14:textId="77777777" w:rsidR="00751529" w:rsidRPr="004E15AE" w:rsidRDefault="00751529" w:rsidP="00C00FE9">
      <w:pPr>
        <w:spacing w:after="0" w:line="360" w:lineRule="auto"/>
        <w:jc w:val="both"/>
        <w:rPr>
          <w:rFonts w:ascii="Arial" w:hAnsi="Arial" w:cs="Arial"/>
          <w:sz w:val="22"/>
          <w:szCs w:val="22"/>
        </w:rPr>
      </w:pPr>
    </w:p>
    <w:p w14:paraId="4A01014E" w14:textId="48F8CA9B" w:rsidR="00DA4D40" w:rsidRPr="00BD2CD2" w:rsidRDefault="004E15AE" w:rsidP="00BD2CD2">
      <w:pPr>
        <w:spacing w:after="0" w:line="360" w:lineRule="auto"/>
        <w:jc w:val="both"/>
        <w:rPr>
          <w:rFonts w:ascii="Arial" w:hAnsi="Arial" w:cs="Arial"/>
          <w:color w:val="FF0000"/>
          <w:sz w:val="22"/>
          <w:szCs w:val="22"/>
        </w:rPr>
      </w:pPr>
      <w:r w:rsidRPr="004E15AE">
        <w:rPr>
          <w:rFonts w:ascii="Arial" w:hAnsi="Arial" w:cs="Arial"/>
          <w:noProof/>
          <w:color w:val="FF0000"/>
          <w:sz w:val="22"/>
          <w:szCs w:val="22"/>
        </w:rPr>
        <w:drawing>
          <wp:inline distT="0" distB="0" distL="0" distR="0" wp14:anchorId="5C6DC581" wp14:editId="50CF2630">
            <wp:extent cx="5972172" cy="4869180"/>
            <wp:effectExtent l="0" t="0" r="0" b="7620"/>
            <wp:docPr id="953777145" name="Picture 1" descr="A group of colorful text box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777145" name="Picture 1" descr="A group of colorful text boxes&#10;&#10;AI-generated content may be incorrect."/>
                    <pic:cNvPicPr/>
                  </pic:nvPicPr>
                  <pic:blipFill>
                    <a:blip r:embed="rId11"/>
                    <a:stretch>
                      <a:fillRect/>
                    </a:stretch>
                  </pic:blipFill>
                  <pic:spPr>
                    <a:xfrm>
                      <a:off x="0" y="0"/>
                      <a:ext cx="6022968" cy="4910595"/>
                    </a:xfrm>
                    <a:prstGeom prst="rect">
                      <a:avLst/>
                    </a:prstGeom>
                  </pic:spPr>
                </pic:pic>
              </a:graphicData>
            </a:graphic>
          </wp:inline>
        </w:drawing>
      </w:r>
    </w:p>
    <w:p w14:paraId="0828B617" w14:textId="77777777" w:rsidR="0015754A" w:rsidRDefault="00D07161" w:rsidP="00C00FE9">
      <w:pPr>
        <w:spacing w:after="0" w:line="360" w:lineRule="auto"/>
        <w:jc w:val="both"/>
        <w:rPr>
          <w:rFonts w:ascii="Arial" w:hAnsi="Arial" w:cs="Arial"/>
          <w:sz w:val="22"/>
          <w:szCs w:val="22"/>
        </w:rPr>
      </w:pPr>
      <w:r w:rsidRPr="00BD2CD2">
        <w:rPr>
          <w:rFonts w:ascii="Arial" w:hAnsi="Arial" w:cs="Arial"/>
          <w:i/>
          <w:iCs/>
          <w:sz w:val="22"/>
          <w:szCs w:val="22"/>
        </w:rPr>
        <w:lastRenderedPageBreak/>
        <w:t>Politically</w:t>
      </w:r>
      <w:r>
        <w:rPr>
          <w:rFonts w:ascii="Arial" w:hAnsi="Arial" w:cs="Arial"/>
          <w:sz w:val="22"/>
          <w:szCs w:val="22"/>
        </w:rPr>
        <w:t xml:space="preserve">: </w:t>
      </w:r>
      <w:r w:rsidR="003B5F9A" w:rsidRPr="003B5F9A">
        <w:rPr>
          <w:rFonts w:ascii="Arial" w:hAnsi="Arial" w:cs="Arial"/>
          <w:sz w:val="22"/>
          <w:szCs w:val="22"/>
        </w:rPr>
        <w:t xml:space="preserve">Tesla are experiencing downtime </w:t>
      </w:r>
      <w:r w:rsidR="0015754A">
        <w:rPr>
          <w:rFonts w:ascii="Arial" w:hAnsi="Arial" w:cs="Arial"/>
          <w:sz w:val="22"/>
          <w:szCs w:val="22"/>
        </w:rPr>
        <w:t>across</w:t>
      </w:r>
      <w:r w:rsidR="003B5F9A" w:rsidRPr="003B5F9A">
        <w:rPr>
          <w:rFonts w:ascii="Arial" w:hAnsi="Arial" w:cs="Arial"/>
          <w:sz w:val="22"/>
          <w:szCs w:val="22"/>
        </w:rPr>
        <w:t xml:space="preserve"> their Gigafactories currently because of strikes linked to the company’s defiance against unionisation. However, the continued resistance to unionisation by the company is enabling Tesla to maintain its </w:t>
      </w:r>
      <w:proofErr w:type="spellStart"/>
      <w:r w:rsidR="003B5F9A" w:rsidRPr="003B5F9A">
        <w:rPr>
          <w:rFonts w:ascii="Arial" w:hAnsi="Arial" w:cs="Arial"/>
          <w:sz w:val="22"/>
          <w:szCs w:val="22"/>
        </w:rPr>
        <w:t>HRM</w:t>
      </w:r>
      <w:proofErr w:type="spellEnd"/>
      <w:r w:rsidR="003B5F9A" w:rsidRPr="003B5F9A">
        <w:rPr>
          <w:rFonts w:ascii="Arial" w:hAnsi="Arial" w:cs="Arial"/>
          <w:sz w:val="22"/>
          <w:szCs w:val="22"/>
        </w:rPr>
        <w:t xml:space="preserve"> of making quick decisions and responding to workforce</w:t>
      </w:r>
      <w:r w:rsidR="0015754A">
        <w:rPr>
          <w:rFonts w:ascii="Arial" w:hAnsi="Arial" w:cs="Arial"/>
          <w:sz w:val="22"/>
          <w:szCs w:val="22"/>
        </w:rPr>
        <w:t xml:space="preserve"> </w:t>
      </w:r>
      <w:r w:rsidR="003B5F9A" w:rsidRPr="003B5F9A">
        <w:rPr>
          <w:rFonts w:ascii="Arial" w:hAnsi="Arial" w:cs="Arial"/>
          <w:sz w:val="22"/>
          <w:szCs w:val="22"/>
        </w:rPr>
        <w:t xml:space="preserve">challenges promptly in a fast-paced industry. </w:t>
      </w:r>
    </w:p>
    <w:p w14:paraId="638F1ED3" w14:textId="1CDE4ED9"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Visser (2024) highlighted that ‘in the OECD area the bargaining coverage rate has dropped from 51.4% in 1980 to 32.3% in 2019’, which begs the question as to whether Tesla is rejecting unionisation as an objection to what unions stand for, or if they are being ostracised as their practices are contradictory to older industry-comparative companies such as Ford. Currently, although productivity and downtime is an issue for Tesla in striking countries, as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are unrestricted by union activities, this permits operational advantages through flexibility and innovation. If unions were introduced, it could drastically reduce Tesla’s ability to innovate rapidly as decisions would have to go through union arrangements. An impact could even be seen on efficiency – especially in areas where there is alleged exploitation, such as working hours (Sweney, 2024) and workplace culture (Ewing, 2025). </w:t>
      </w:r>
    </w:p>
    <w:p w14:paraId="049E68D6" w14:textId="77777777" w:rsidR="003B5F9A" w:rsidRPr="003B5F9A" w:rsidRDefault="003B5F9A" w:rsidP="00C00FE9">
      <w:pPr>
        <w:spacing w:after="0" w:line="360" w:lineRule="auto"/>
        <w:jc w:val="both"/>
        <w:rPr>
          <w:rFonts w:ascii="Arial" w:hAnsi="Arial" w:cs="Arial"/>
          <w:sz w:val="22"/>
          <w:szCs w:val="22"/>
        </w:rPr>
      </w:pPr>
    </w:p>
    <w:p w14:paraId="49E6D8B7" w14:textId="080D82F2" w:rsidR="003B5F9A" w:rsidRPr="003B5F9A" w:rsidRDefault="00D07161" w:rsidP="00C00FE9">
      <w:pPr>
        <w:spacing w:after="0" w:line="360" w:lineRule="auto"/>
        <w:jc w:val="both"/>
        <w:rPr>
          <w:rFonts w:ascii="Arial" w:hAnsi="Arial" w:cs="Arial"/>
          <w:noProof/>
          <w:sz w:val="22"/>
          <w:szCs w:val="22"/>
        </w:rPr>
      </w:pPr>
      <w:r w:rsidRPr="004D434D">
        <w:rPr>
          <w:rFonts w:ascii="Arial" w:hAnsi="Arial" w:cs="Arial"/>
          <w:i/>
          <w:iCs/>
          <w:sz w:val="22"/>
          <w:szCs w:val="22"/>
        </w:rPr>
        <w:t>Econom</w:t>
      </w:r>
      <w:r w:rsidR="004D434D" w:rsidRPr="004D434D">
        <w:rPr>
          <w:rFonts w:ascii="Arial" w:hAnsi="Arial" w:cs="Arial"/>
          <w:i/>
          <w:iCs/>
          <w:sz w:val="22"/>
          <w:szCs w:val="22"/>
        </w:rPr>
        <w:t>ically</w:t>
      </w:r>
      <w:r>
        <w:rPr>
          <w:rFonts w:ascii="Arial" w:hAnsi="Arial" w:cs="Arial"/>
          <w:sz w:val="22"/>
          <w:szCs w:val="22"/>
        </w:rPr>
        <w:t xml:space="preserve">: </w:t>
      </w:r>
      <w:r w:rsidR="003B5F9A" w:rsidRPr="003B5F9A">
        <w:rPr>
          <w:rFonts w:ascii="Arial" w:hAnsi="Arial" w:cs="Arial"/>
          <w:sz w:val="22"/>
          <w:szCs w:val="22"/>
        </w:rPr>
        <w:t xml:space="preserve">With the current decline in EV sales and an intensifying price war for EVs, Tesla laid off 10% of its global workforce in April 2024 (Waldersee, 2024). Not being union affiliated would have certainly helped with the dismissals that were effective immediately, but this undoubtedly would have presented issues for Tesla’s order book and innovation as the company relies ‘on teamwork and collaboration’ to help achieve their goal (Tesla, 2024). </w:t>
      </w:r>
    </w:p>
    <w:p w14:paraId="3814C00B" w14:textId="310EAF54"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However, whilst a downsizing approach of mass layoffs is one response to manage the challenge, Johnstone (2023) highlighted that ‘most empirical studies reveal that downsizing has negative consequences for worker wellbeing and firm performance…as well as a disproportionate effect on the vulnerable in society, including younger workers, the low paid and minorities.’ Johnstone also highlighted other ways to support a review of the resourcing of an organisation in a more streamlined or financially appropriate way to navigate challenges ahead. One of these is the ‘notion of responsible restructuring’. This is where </w:t>
      </w:r>
      <w:proofErr w:type="spellStart"/>
      <w:r w:rsidRPr="003B5F9A">
        <w:rPr>
          <w:rFonts w:ascii="Arial" w:hAnsi="Arial" w:cs="Arial"/>
          <w:sz w:val="22"/>
          <w:szCs w:val="22"/>
        </w:rPr>
        <w:t>HRM</w:t>
      </w:r>
      <w:proofErr w:type="spellEnd"/>
      <w:r w:rsidRPr="003B5F9A">
        <w:rPr>
          <w:rFonts w:ascii="Arial" w:hAnsi="Arial" w:cs="Arial"/>
          <w:sz w:val="22"/>
          <w:szCs w:val="22"/>
        </w:rPr>
        <w:t xml:space="preserve"> favours practices such as adjustments to working hours or pay to mitigate redundancies. The UK government furlough scheme of 2020</w:t>
      </w:r>
      <w:r w:rsidRPr="003B5F9A">
        <w:rPr>
          <w:rStyle w:val="FootnoteReference"/>
          <w:rFonts w:ascii="Arial" w:hAnsi="Arial" w:cs="Arial"/>
          <w:sz w:val="22"/>
          <w:szCs w:val="22"/>
        </w:rPr>
        <w:footnoteReference w:id="1"/>
      </w:r>
      <w:r w:rsidRPr="003B5F9A">
        <w:rPr>
          <w:rFonts w:ascii="Arial" w:hAnsi="Arial" w:cs="Arial"/>
          <w:sz w:val="22"/>
          <w:szCs w:val="22"/>
        </w:rPr>
        <w:t xml:space="preserve"> is an example of a responsible alternative to dismissal or redundancy.</w:t>
      </w:r>
    </w:p>
    <w:p w14:paraId="08DCE9BF" w14:textId="77777777" w:rsidR="004D434D" w:rsidRPr="003B5F9A" w:rsidRDefault="004D434D" w:rsidP="00C00FE9">
      <w:pPr>
        <w:spacing w:after="0" w:line="360" w:lineRule="auto"/>
        <w:jc w:val="both"/>
        <w:rPr>
          <w:rFonts w:ascii="Arial" w:hAnsi="Arial" w:cs="Arial"/>
          <w:sz w:val="22"/>
          <w:szCs w:val="22"/>
        </w:rPr>
      </w:pPr>
    </w:p>
    <w:p w14:paraId="302208BE" w14:textId="1B5CE90D"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If Tesla were to have taken a measured approach to the challenge faced using the expertise of their HR, they may have identified one (or more)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available to them – certainly, Tesla’s global government subsidies (Butler et al., 2025 and </w:t>
      </w:r>
      <w:proofErr w:type="spellStart"/>
      <w:r w:rsidRPr="003B5F9A">
        <w:rPr>
          <w:rFonts w:ascii="Arial" w:hAnsi="Arial" w:cs="Arial"/>
          <w:sz w:val="22"/>
          <w:szCs w:val="22"/>
        </w:rPr>
        <w:t>Kollewe</w:t>
      </w:r>
      <w:proofErr w:type="spellEnd"/>
      <w:r w:rsidRPr="003B5F9A">
        <w:rPr>
          <w:rFonts w:ascii="Arial" w:hAnsi="Arial" w:cs="Arial"/>
          <w:sz w:val="22"/>
          <w:szCs w:val="22"/>
        </w:rPr>
        <w:t xml:space="preserve">, 2025) could have been </w:t>
      </w:r>
      <w:r w:rsidRPr="003B5F9A">
        <w:rPr>
          <w:rFonts w:ascii="Arial" w:hAnsi="Arial" w:cs="Arial"/>
          <w:sz w:val="22"/>
          <w:szCs w:val="22"/>
        </w:rPr>
        <w:lastRenderedPageBreak/>
        <w:t>explored to support a furlough approach. Instead, the CEO took a decision for mass layoffs. Whilst Elon Musk considered this a certainty to remain ‘lean, innovative and hungry for the next growth phase cycle’ (Musk, 2024 referenced in Milmo and Wearden, 2024), this approach has negatively impacted their competitive advantage, when benchmarked against Tesla’s main competitor (</w:t>
      </w:r>
      <w:proofErr w:type="spellStart"/>
      <w:r w:rsidRPr="003B5F9A">
        <w:rPr>
          <w:rFonts w:ascii="Arial" w:hAnsi="Arial" w:cs="Arial"/>
          <w:sz w:val="22"/>
          <w:szCs w:val="22"/>
        </w:rPr>
        <w:t>BYD</w:t>
      </w:r>
      <w:proofErr w:type="spellEnd"/>
      <w:r w:rsidRPr="003B5F9A">
        <w:rPr>
          <w:rFonts w:ascii="Arial" w:hAnsi="Arial" w:cs="Arial"/>
          <w:sz w:val="22"/>
          <w:szCs w:val="22"/>
        </w:rPr>
        <w:t>) who are ‘about to bury’ Tesla. (Cuthbertson, 2025).</w:t>
      </w:r>
      <w:r w:rsidR="00B278D7">
        <w:rPr>
          <w:rFonts w:ascii="Arial" w:hAnsi="Arial" w:cs="Arial"/>
          <w:sz w:val="22"/>
          <w:szCs w:val="22"/>
        </w:rPr>
        <w:t xml:space="preserve"> </w:t>
      </w:r>
      <w:r w:rsidRPr="003B5F9A">
        <w:rPr>
          <w:rFonts w:ascii="Arial" w:hAnsi="Arial" w:cs="Arial"/>
          <w:sz w:val="22"/>
          <w:szCs w:val="22"/>
        </w:rPr>
        <w:t xml:space="preserve">Tesla’s Chinese competitor </w:t>
      </w:r>
      <w:proofErr w:type="spellStart"/>
      <w:r w:rsidRPr="003B5F9A">
        <w:rPr>
          <w:rFonts w:ascii="Arial" w:hAnsi="Arial" w:cs="Arial"/>
          <w:sz w:val="22"/>
          <w:szCs w:val="22"/>
        </w:rPr>
        <w:t>BYD</w:t>
      </w:r>
      <w:proofErr w:type="spellEnd"/>
      <w:r w:rsidRPr="003B5F9A">
        <w:rPr>
          <w:rFonts w:ascii="Arial" w:hAnsi="Arial" w:cs="Arial"/>
          <w:sz w:val="22"/>
          <w:szCs w:val="22"/>
        </w:rPr>
        <w:t xml:space="preserve"> eclipsed Tesla last year in annual sales (Liu and </w:t>
      </w:r>
      <w:proofErr w:type="spellStart"/>
      <w:r w:rsidRPr="003B5F9A">
        <w:rPr>
          <w:rFonts w:ascii="Arial" w:hAnsi="Arial" w:cs="Arial"/>
          <w:sz w:val="22"/>
          <w:szCs w:val="22"/>
        </w:rPr>
        <w:t>Tayir</w:t>
      </w:r>
      <w:proofErr w:type="spellEnd"/>
      <w:r w:rsidRPr="003B5F9A">
        <w:rPr>
          <w:rFonts w:ascii="Arial" w:hAnsi="Arial" w:cs="Arial"/>
          <w:sz w:val="22"/>
          <w:szCs w:val="22"/>
        </w:rPr>
        <w:t xml:space="preserve">, 2025) and in the last few weeks, </w:t>
      </w:r>
      <w:proofErr w:type="spellStart"/>
      <w:r w:rsidRPr="003B5F9A">
        <w:rPr>
          <w:rFonts w:ascii="Arial" w:hAnsi="Arial" w:cs="Arial"/>
          <w:sz w:val="22"/>
          <w:szCs w:val="22"/>
        </w:rPr>
        <w:t>BYD</w:t>
      </w:r>
      <w:proofErr w:type="spellEnd"/>
      <w:r w:rsidRPr="003B5F9A">
        <w:rPr>
          <w:rFonts w:ascii="Arial" w:hAnsi="Arial" w:cs="Arial"/>
          <w:sz w:val="22"/>
          <w:szCs w:val="22"/>
        </w:rPr>
        <w:t xml:space="preserve"> has unveiled an ultra-fast charging system outpacing Tesla’s charging technology as well as advanced driver-assistance system at no extra cost (Liu, 2025). However, </w:t>
      </w:r>
      <w:proofErr w:type="spellStart"/>
      <w:r w:rsidRPr="003B5F9A">
        <w:rPr>
          <w:rFonts w:ascii="Arial" w:hAnsi="Arial" w:cs="Arial"/>
          <w:sz w:val="22"/>
          <w:szCs w:val="22"/>
        </w:rPr>
        <w:t>BYD</w:t>
      </w:r>
      <w:proofErr w:type="spellEnd"/>
      <w:r w:rsidRPr="003B5F9A">
        <w:rPr>
          <w:rFonts w:ascii="Arial" w:hAnsi="Arial" w:cs="Arial"/>
          <w:sz w:val="22"/>
          <w:szCs w:val="22"/>
        </w:rPr>
        <w:t xml:space="preserve"> also has its own </w:t>
      </w:r>
      <w:proofErr w:type="spellStart"/>
      <w:r w:rsidRPr="003B5F9A">
        <w:rPr>
          <w:rFonts w:ascii="Arial" w:hAnsi="Arial" w:cs="Arial"/>
          <w:sz w:val="22"/>
          <w:szCs w:val="22"/>
        </w:rPr>
        <w:t>HRM</w:t>
      </w:r>
      <w:proofErr w:type="spellEnd"/>
      <w:r w:rsidRPr="003B5F9A">
        <w:rPr>
          <w:rFonts w:ascii="Arial" w:hAnsi="Arial" w:cs="Arial"/>
          <w:sz w:val="22"/>
          <w:szCs w:val="22"/>
        </w:rPr>
        <w:t xml:space="preserve"> challenges. Wu (2024) outlined that </w:t>
      </w:r>
      <w:proofErr w:type="spellStart"/>
      <w:r w:rsidRPr="003B5F9A">
        <w:rPr>
          <w:rFonts w:ascii="Arial" w:hAnsi="Arial" w:cs="Arial"/>
          <w:sz w:val="22"/>
          <w:szCs w:val="22"/>
        </w:rPr>
        <w:t>BYD</w:t>
      </w:r>
      <w:proofErr w:type="spellEnd"/>
      <w:r w:rsidRPr="003B5F9A">
        <w:rPr>
          <w:rFonts w:ascii="Arial" w:hAnsi="Arial" w:cs="Arial"/>
          <w:sz w:val="22"/>
          <w:szCs w:val="22"/>
        </w:rPr>
        <w:t xml:space="preserve"> employs over 650,000 people globally but there have previously been reports of non-compliant employment and work-related injuries. Additionally, whilst </w:t>
      </w:r>
      <w:proofErr w:type="spellStart"/>
      <w:r w:rsidRPr="003B5F9A">
        <w:rPr>
          <w:rFonts w:ascii="Arial" w:hAnsi="Arial" w:cs="Arial"/>
          <w:sz w:val="22"/>
          <w:szCs w:val="22"/>
        </w:rPr>
        <w:t>BYD</w:t>
      </w:r>
      <w:proofErr w:type="spellEnd"/>
      <w:r w:rsidRPr="003B5F9A">
        <w:rPr>
          <w:rFonts w:ascii="Arial" w:hAnsi="Arial" w:cs="Arial"/>
          <w:sz w:val="22"/>
          <w:szCs w:val="22"/>
        </w:rPr>
        <w:t xml:space="preserve"> have increased their number of R&amp;D personnel and investment, there were still challenges in resource utilisation efficiency. Although </w:t>
      </w:r>
      <w:proofErr w:type="spellStart"/>
      <w:r w:rsidRPr="003B5F9A">
        <w:rPr>
          <w:rFonts w:ascii="Arial" w:hAnsi="Arial" w:cs="Arial"/>
          <w:sz w:val="22"/>
          <w:szCs w:val="22"/>
        </w:rPr>
        <w:t>BYD</w:t>
      </w:r>
      <w:proofErr w:type="spellEnd"/>
      <w:r w:rsidRPr="003B5F9A">
        <w:rPr>
          <w:rFonts w:ascii="Arial" w:hAnsi="Arial" w:cs="Arial"/>
          <w:sz w:val="22"/>
          <w:szCs w:val="22"/>
        </w:rPr>
        <w:t xml:space="preserve"> is storming ahead of Tesla in terms of sales, this doesn’t necessarily mean it is because they have more efficient or effective </w:t>
      </w:r>
      <w:r w:rsidR="0033516A">
        <w:rPr>
          <w:rFonts w:ascii="Arial" w:hAnsi="Arial" w:cs="Arial"/>
          <w:sz w:val="22"/>
          <w:szCs w:val="22"/>
        </w:rPr>
        <w:t xml:space="preserve">organisational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w:t>
      </w:r>
    </w:p>
    <w:p w14:paraId="24B637DE" w14:textId="77777777" w:rsidR="003B5F9A" w:rsidRPr="003B5F9A" w:rsidRDefault="003B5F9A" w:rsidP="00C00FE9">
      <w:pPr>
        <w:spacing w:after="0" w:line="360" w:lineRule="auto"/>
        <w:jc w:val="both"/>
        <w:rPr>
          <w:rFonts w:ascii="Arial" w:hAnsi="Arial" w:cs="Arial"/>
          <w:sz w:val="22"/>
          <w:szCs w:val="22"/>
        </w:rPr>
      </w:pPr>
    </w:p>
    <w:p w14:paraId="7D8A0720" w14:textId="5CCD0CF7" w:rsidR="003B5F9A" w:rsidRDefault="00D07161" w:rsidP="00C00FE9">
      <w:pPr>
        <w:spacing w:after="0" w:line="360" w:lineRule="auto"/>
        <w:jc w:val="both"/>
        <w:rPr>
          <w:rFonts w:ascii="Arial" w:hAnsi="Arial" w:cs="Arial"/>
          <w:sz w:val="22"/>
          <w:szCs w:val="22"/>
        </w:rPr>
      </w:pPr>
      <w:r w:rsidRPr="0033516A">
        <w:rPr>
          <w:rFonts w:ascii="Arial" w:hAnsi="Arial" w:cs="Arial"/>
          <w:i/>
          <w:iCs/>
          <w:sz w:val="22"/>
          <w:szCs w:val="22"/>
        </w:rPr>
        <w:t>Social</w:t>
      </w:r>
      <w:r>
        <w:rPr>
          <w:rFonts w:ascii="Arial" w:hAnsi="Arial" w:cs="Arial"/>
          <w:sz w:val="22"/>
          <w:szCs w:val="22"/>
        </w:rPr>
        <w:t xml:space="preserve">: </w:t>
      </w:r>
      <w:r w:rsidR="003B5F9A" w:rsidRPr="003B5F9A">
        <w:rPr>
          <w:rFonts w:ascii="Arial" w:hAnsi="Arial" w:cs="Arial"/>
          <w:sz w:val="22"/>
          <w:szCs w:val="22"/>
        </w:rPr>
        <w:t xml:space="preserve">Recently, Ewing (2025) reported that workers at Tesla’s Freemont factory had complained they were subject to racial slurs and images. Although Tesla had denied engaging in discrimination, Ewing (2024) also reported that Tesla had settled a racial discrimination case brought by a Black worker who had been subject to racial harassment. </w:t>
      </w:r>
    </w:p>
    <w:p w14:paraId="669F848B" w14:textId="77777777" w:rsidR="006F18D5" w:rsidRPr="003B5F9A" w:rsidRDefault="006F18D5" w:rsidP="00C00FE9">
      <w:pPr>
        <w:spacing w:after="0" w:line="360" w:lineRule="auto"/>
        <w:jc w:val="both"/>
        <w:rPr>
          <w:rFonts w:ascii="Arial" w:hAnsi="Arial" w:cs="Arial"/>
          <w:sz w:val="22"/>
          <w:szCs w:val="22"/>
        </w:rPr>
      </w:pPr>
    </w:p>
    <w:p w14:paraId="334061C5" w14:textId="00A36ADE"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Figure 1.0 below outlines the </w:t>
      </w:r>
      <w:r w:rsidR="006F18D5">
        <w:rPr>
          <w:rFonts w:ascii="Arial" w:hAnsi="Arial" w:cs="Arial"/>
          <w:sz w:val="22"/>
          <w:szCs w:val="22"/>
        </w:rPr>
        <w:t>diversity</w:t>
      </w:r>
      <w:r w:rsidRPr="003B5F9A">
        <w:rPr>
          <w:rFonts w:ascii="Arial" w:hAnsi="Arial" w:cs="Arial"/>
          <w:sz w:val="22"/>
          <w:szCs w:val="22"/>
        </w:rPr>
        <w:t xml:space="preserve"> of US Tesla employees</w:t>
      </w:r>
      <w:r w:rsidR="006F18D5">
        <w:rPr>
          <w:rFonts w:ascii="Arial" w:hAnsi="Arial" w:cs="Arial"/>
          <w:sz w:val="22"/>
          <w:szCs w:val="22"/>
        </w:rPr>
        <w:t xml:space="preserve">, including </w:t>
      </w:r>
      <w:r w:rsidRPr="003B5F9A">
        <w:rPr>
          <w:rFonts w:ascii="Arial" w:hAnsi="Arial" w:cs="Arial"/>
          <w:sz w:val="22"/>
          <w:szCs w:val="22"/>
        </w:rPr>
        <w:t>non-white employees collectively outweigh</w:t>
      </w:r>
      <w:r w:rsidR="00815F99">
        <w:rPr>
          <w:rFonts w:ascii="Arial" w:hAnsi="Arial" w:cs="Arial"/>
          <w:sz w:val="22"/>
          <w:szCs w:val="22"/>
        </w:rPr>
        <w:t xml:space="preserve">ing </w:t>
      </w:r>
      <w:r w:rsidRPr="003B5F9A">
        <w:rPr>
          <w:rFonts w:ascii="Arial" w:hAnsi="Arial" w:cs="Arial"/>
          <w:sz w:val="22"/>
          <w:szCs w:val="22"/>
        </w:rPr>
        <w:t>the number of white employees:</w:t>
      </w:r>
    </w:p>
    <w:p w14:paraId="4E5D3B0E" w14:textId="77777777" w:rsidR="006F18D5" w:rsidRPr="003B5F9A" w:rsidRDefault="006F18D5" w:rsidP="00C00FE9">
      <w:pPr>
        <w:spacing w:after="0" w:line="360" w:lineRule="auto"/>
        <w:jc w:val="both"/>
        <w:rPr>
          <w:rFonts w:ascii="Arial" w:hAnsi="Arial" w:cs="Arial"/>
          <w:sz w:val="22"/>
          <w:szCs w:val="22"/>
        </w:rPr>
      </w:pPr>
    </w:p>
    <w:p w14:paraId="47F381E1" w14:textId="77777777" w:rsidR="003B5F9A" w:rsidRPr="003B5F9A" w:rsidRDefault="003B5F9A" w:rsidP="00C00FE9">
      <w:pPr>
        <w:spacing w:after="0" w:line="360" w:lineRule="auto"/>
        <w:jc w:val="both"/>
        <w:rPr>
          <w:rFonts w:ascii="Arial" w:hAnsi="Arial" w:cs="Arial"/>
          <w:sz w:val="22"/>
          <w:szCs w:val="22"/>
        </w:rPr>
      </w:pPr>
      <w:r w:rsidRPr="003B5F9A">
        <w:rPr>
          <w:rFonts w:ascii="Arial" w:hAnsi="Arial" w:cs="Arial"/>
          <w:noProof/>
          <w:sz w:val="22"/>
          <w:szCs w:val="22"/>
        </w:rPr>
        <w:drawing>
          <wp:inline distT="0" distB="0" distL="0" distR="0" wp14:anchorId="23AA54DC" wp14:editId="58864D25">
            <wp:extent cx="5731510" cy="2628265"/>
            <wp:effectExtent l="0" t="0" r="2540" b="635"/>
            <wp:docPr id="1462401658" name="Picture 1" descr="A calendar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401658" name="Picture 1" descr="A calendar with numbers and letters&#10;&#10;AI-generated content may be incorrect."/>
                    <pic:cNvPicPr/>
                  </pic:nvPicPr>
                  <pic:blipFill>
                    <a:blip r:embed="rId12"/>
                    <a:stretch>
                      <a:fillRect/>
                    </a:stretch>
                  </pic:blipFill>
                  <pic:spPr>
                    <a:xfrm>
                      <a:off x="0" y="0"/>
                      <a:ext cx="5731510" cy="2628265"/>
                    </a:xfrm>
                    <a:prstGeom prst="rect">
                      <a:avLst/>
                    </a:prstGeom>
                  </pic:spPr>
                </pic:pic>
              </a:graphicData>
            </a:graphic>
          </wp:inline>
        </w:drawing>
      </w:r>
    </w:p>
    <w:p w14:paraId="63CA813C" w14:textId="39004E91" w:rsidR="003B5F9A" w:rsidRPr="006F18D5" w:rsidRDefault="003B5F9A" w:rsidP="00C00FE9">
      <w:pPr>
        <w:spacing w:after="0" w:line="360" w:lineRule="auto"/>
        <w:jc w:val="both"/>
        <w:rPr>
          <w:rFonts w:ascii="Arial" w:hAnsi="Arial" w:cs="Arial"/>
          <w:i/>
          <w:iCs/>
          <w:sz w:val="18"/>
          <w:szCs w:val="18"/>
        </w:rPr>
      </w:pPr>
      <w:r w:rsidRPr="006F18D5">
        <w:rPr>
          <w:rFonts w:ascii="Arial" w:hAnsi="Arial" w:cs="Arial"/>
          <w:i/>
          <w:iCs/>
          <w:sz w:val="18"/>
          <w:szCs w:val="18"/>
        </w:rPr>
        <w:t>Figure 1.0: Diversity Table (Tesla, 2023)</w:t>
      </w:r>
    </w:p>
    <w:p w14:paraId="6ACCB53C" w14:textId="7A556493" w:rsidR="003B5F9A" w:rsidRPr="006F18D5" w:rsidRDefault="003B5F9A" w:rsidP="00C00FE9">
      <w:pPr>
        <w:spacing w:after="0" w:line="360" w:lineRule="auto"/>
        <w:jc w:val="both"/>
        <w:rPr>
          <w:rFonts w:ascii="Arial" w:hAnsi="Arial" w:cs="Arial"/>
          <w:sz w:val="18"/>
          <w:szCs w:val="18"/>
        </w:rPr>
      </w:pPr>
      <w:r w:rsidRPr="006F18D5">
        <w:rPr>
          <w:rFonts w:ascii="Arial" w:hAnsi="Arial" w:cs="Arial"/>
          <w:i/>
          <w:iCs/>
          <w:sz w:val="18"/>
          <w:szCs w:val="18"/>
        </w:rPr>
        <w:t xml:space="preserve">(Data only includes U.S. employees (Active/On Leave as of 12/31/2022) who identified their Gender as Male or Female, </w:t>
      </w:r>
      <w:r w:rsidR="006F18D5" w:rsidRPr="006F18D5">
        <w:rPr>
          <w:rFonts w:ascii="Arial" w:hAnsi="Arial" w:cs="Arial"/>
          <w:i/>
          <w:iCs/>
          <w:sz w:val="18"/>
          <w:szCs w:val="18"/>
        </w:rPr>
        <w:t>and</w:t>
      </w:r>
      <w:r w:rsidRPr="006F18D5">
        <w:rPr>
          <w:rFonts w:ascii="Arial" w:hAnsi="Arial" w:cs="Arial"/>
          <w:i/>
          <w:iCs/>
          <w:sz w:val="18"/>
          <w:szCs w:val="18"/>
        </w:rPr>
        <w:t xml:space="preserve"> identified Race in their profile)</w:t>
      </w:r>
    </w:p>
    <w:p w14:paraId="4A51A1DA" w14:textId="3E0D8F88"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lastRenderedPageBreak/>
        <w:t>Tesla outlined that their Board of Directors continuously evaluates its organisations composition, ‘seeking to ensure the right mix of skills, experience, background and diversity to ensure the exceptional leadership necessary to fulfil our mission’ (Tesla, 2023). However, First Officials &amp; Managers (47% of workforce)</w:t>
      </w:r>
      <w:r w:rsidR="00815F99">
        <w:rPr>
          <w:rFonts w:ascii="Arial" w:hAnsi="Arial" w:cs="Arial"/>
          <w:sz w:val="22"/>
          <w:szCs w:val="22"/>
        </w:rPr>
        <w:t xml:space="preserve"> and</w:t>
      </w:r>
      <w:r w:rsidRPr="003B5F9A">
        <w:rPr>
          <w:rFonts w:ascii="Arial" w:hAnsi="Arial" w:cs="Arial"/>
          <w:sz w:val="22"/>
          <w:szCs w:val="22"/>
        </w:rPr>
        <w:t xml:space="preserve"> Executive/Senior Officials &amp; Managers (55%) employed within Tesla</w:t>
      </w:r>
      <w:r w:rsidR="00815F99">
        <w:rPr>
          <w:rFonts w:ascii="Arial" w:hAnsi="Arial" w:cs="Arial"/>
          <w:sz w:val="22"/>
          <w:szCs w:val="22"/>
        </w:rPr>
        <w:t xml:space="preserve"> US</w:t>
      </w:r>
      <w:r w:rsidRPr="003B5F9A">
        <w:rPr>
          <w:rFonts w:ascii="Arial" w:hAnsi="Arial" w:cs="Arial"/>
          <w:sz w:val="22"/>
          <w:szCs w:val="22"/>
        </w:rPr>
        <w:t xml:space="preserve"> are predominantly white. This can lead to challenges as the executive level population are the ones to set policies and define the culture of the organisation. </w:t>
      </w:r>
    </w:p>
    <w:p w14:paraId="527914A2" w14:textId="77777777" w:rsidR="00815F99" w:rsidRPr="003B5F9A" w:rsidRDefault="00815F99" w:rsidP="00C00FE9">
      <w:pPr>
        <w:spacing w:after="0" w:line="360" w:lineRule="auto"/>
        <w:jc w:val="both"/>
        <w:rPr>
          <w:rFonts w:ascii="Arial" w:hAnsi="Arial" w:cs="Arial"/>
          <w:sz w:val="22"/>
          <w:szCs w:val="22"/>
        </w:rPr>
      </w:pPr>
    </w:p>
    <w:p w14:paraId="38BB0721" w14:textId="108AF0C5"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Despite the criticism facing Tesla about the company’s approach (or lack of) to diversity, it has been reported that the Board of Directors are looking to take responsibility for how the company treats employees, pledging ‘to pay closer attention to human resources’ (Ewing, 2025). However, with a predominantly white Board of Directors, power dynamics at the highest level in the workplace (perceived, as well as actual) can affect the implementation of diversity, equality and inclusion (DEI) policies.  Farmer, </w:t>
      </w:r>
      <w:proofErr w:type="spellStart"/>
      <w:r w:rsidRPr="003B5F9A">
        <w:rPr>
          <w:rFonts w:ascii="Arial" w:hAnsi="Arial" w:cs="Arial"/>
          <w:sz w:val="22"/>
          <w:szCs w:val="22"/>
        </w:rPr>
        <w:t>Atewologun</w:t>
      </w:r>
      <w:proofErr w:type="spellEnd"/>
      <w:r w:rsidRPr="003B5F9A">
        <w:rPr>
          <w:rFonts w:ascii="Arial" w:hAnsi="Arial" w:cs="Arial"/>
          <w:sz w:val="22"/>
          <w:szCs w:val="22"/>
        </w:rPr>
        <w:t xml:space="preserve"> and Iwata (2025</w:t>
      </w:r>
      <w:r w:rsidR="009569CD">
        <w:rPr>
          <w:rFonts w:ascii="Arial" w:hAnsi="Arial" w:cs="Arial"/>
          <w:sz w:val="22"/>
          <w:szCs w:val="22"/>
        </w:rPr>
        <w:t xml:space="preserve">, </w:t>
      </w:r>
      <w:proofErr w:type="spellStart"/>
      <w:r w:rsidR="009569CD">
        <w:rPr>
          <w:rFonts w:ascii="Arial" w:hAnsi="Arial" w:cs="Arial"/>
          <w:sz w:val="22"/>
          <w:szCs w:val="22"/>
        </w:rPr>
        <w:t>pgs</w:t>
      </w:r>
      <w:proofErr w:type="spellEnd"/>
      <w:r w:rsidR="009569CD">
        <w:rPr>
          <w:rFonts w:ascii="Arial" w:hAnsi="Arial" w:cs="Arial"/>
          <w:sz w:val="22"/>
          <w:szCs w:val="22"/>
        </w:rPr>
        <w:t xml:space="preserve"> 12-24</w:t>
      </w:r>
      <w:r w:rsidRPr="003B5F9A">
        <w:rPr>
          <w:rFonts w:ascii="Arial" w:hAnsi="Arial" w:cs="Arial"/>
          <w:sz w:val="22"/>
          <w:szCs w:val="22"/>
        </w:rPr>
        <w:t xml:space="preserve">) outlined that whilst there has been some improvement in global diversity management, there should be a consistent integrated intersectional lens to better understand the ‘complexities of intersecting identities and how these affect experiences and outcomes in global organisations.’ If Tesla are to be successful in preventing future mounting lawsuits alleging racial harassment and/or workplace discrimination, it is imperative that they move quickly to develop robust and comprehensive DEI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that are founded from/in diverse employee engagement and an acknowledgement and acceptance of culture change. Not doing so could ultimately lead to low morale, high rates of absenteeism or even turnover in staff. With Tesla going to such efforts to attract and retain the best talent to enable achievement of their mission, threats to losing this talent will detrimentally impact their competitive advantage.</w:t>
      </w:r>
    </w:p>
    <w:p w14:paraId="7A0D5C25" w14:textId="77777777" w:rsidR="003B5F9A" w:rsidRPr="003B5F9A" w:rsidRDefault="003B5F9A" w:rsidP="00C00FE9">
      <w:pPr>
        <w:spacing w:after="0" w:line="360" w:lineRule="auto"/>
        <w:jc w:val="both"/>
        <w:rPr>
          <w:rFonts w:ascii="Arial" w:hAnsi="Arial" w:cs="Arial"/>
          <w:sz w:val="22"/>
          <w:szCs w:val="22"/>
        </w:rPr>
      </w:pPr>
    </w:p>
    <w:p w14:paraId="051B9BA5" w14:textId="6A217CDE" w:rsidR="003B5F9A" w:rsidRDefault="00D07161" w:rsidP="00C00FE9">
      <w:pPr>
        <w:spacing w:after="0" w:line="360" w:lineRule="auto"/>
        <w:jc w:val="both"/>
        <w:rPr>
          <w:rFonts w:ascii="Arial" w:hAnsi="Arial" w:cs="Arial"/>
          <w:sz w:val="22"/>
          <w:szCs w:val="22"/>
        </w:rPr>
      </w:pPr>
      <w:r w:rsidRPr="00B15086">
        <w:rPr>
          <w:rFonts w:ascii="Arial" w:hAnsi="Arial" w:cs="Arial"/>
          <w:i/>
          <w:iCs/>
          <w:sz w:val="22"/>
          <w:szCs w:val="22"/>
        </w:rPr>
        <w:t>Technological</w:t>
      </w:r>
      <w:r>
        <w:rPr>
          <w:rFonts w:ascii="Arial" w:hAnsi="Arial" w:cs="Arial"/>
          <w:sz w:val="22"/>
          <w:szCs w:val="22"/>
        </w:rPr>
        <w:t>: A</w:t>
      </w:r>
      <w:r w:rsidR="003B5F9A" w:rsidRPr="003B5F9A">
        <w:rPr>
          <w:rFonts w:ascii="Arial" w:hAnsi="Arial" w:cs="Arial"/>
          <w:sz w:val="22"/>
          <w:szCs w:val="22"/>
        </w:rPr>
        <w:t xml:space="preserve">lthough still in development, Tesla’s Optimus robot is suggesting promise for the company. The advanced automation and AI in its design is intended to increase efficiency and productivity across Tesla’s operations. In addition, it can also enable 24/7 operations as well be used to reduce risk and improve workplace safety. Tesla are known for their vertically integrated manufacturing processes, so this development is not surprising. </w:t>
      </w:r>
    </w:p>
    <w:p w14:paraId="316E00A8" w14:textId="77777777" w:rsidR="00120FBE" w:rsidRPr="003B5F9A" w:rsidRDefault="00120FBE" w:rsidP="00C00FE9">
      <w:pPr>
        <w:spacing w:after="0" w:line="360" w:lineRule="auto"/>
        <w:jc w:val="both"/>
        <w:rPr>
          <w:rFonts w:ascii="Arial" w:hAnsi="Arial" w:cs="Arial"/>
          <w:sz w:val="22"/>
          <w:szCs w:val="22"/>
        </w:rPr>
      </w:pPr>
    </w:p>
    <w:p w14:paraId="0F2EAC16" w14:textId="213DCA70"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There are limited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(even studies) that exist that can be applied for social robots’ integration in the workplace. Ulrich’s model of HR outlined that ‘organisational success and competitiveness rely heavily on the capacity to adapt and evolve’ (</w:t>
      </w:r>
      <w:proofErr w:type="spellStart"/>
      <w:r w:rsidRPr="003B5F9A">
        <w:rPr>
          <w:rFonts w:ascii="Arial" w:hAnsi="Arial" w:cs="Arial"/>
          <w:sz w:val="22"/>
          <w:szCs w:val="22"/>
        </w:rPr>
        <w:t>HRM</w:t>
      </w:r>
      <w:proofErr w:type="spellEnd"/>
      <w:r w:rsidRPr="003B5F9A">
        <w:rPr>
          <w:rFonts w:ascii="Arial" w:hAnsi="Arial" w:cs="Arial"/>
          <w:sz w:val="22"/>
          <w:szCs w:val="22"/>
        </w:rPr>
        <w:t xml:space="preserve"> Handbook, 2022). Key to the success of Optimus’ integration in the workforce will be Change Agents to drive the transformation. The benefits of adopting Ulrichs’ Change Agents approach will mean that individuals in the workforce can understand the positives of the integration, i.e., reducing </w:t>
      </w:r>
      <w:r w:rsidRPr="003B5F9A">
        <w:rPr>
          <w:rFonts w:ascii="Arial" w:hAnsi="Arial" w:cs="Arial"/>
          <w:sz w:val="22"/>
          <w:szCs w:val="22"/>
        </w:rPr>
        <w:lastRenderedPageBreak/>
        <w:t xml:space="preserve">complexities on tasks, reducing stress and undertaking unsafe or risky activities. In using HR as Change Agents, individuals’ apprehensions regarding emerging technologies can be mitigated, collaboration can be </w:t>
      </w:r>
      <w:proofErr w:type="gramStart"/>
      <w:r w:rsidRPr="003B5F9A">
        <w:rPr>
          <w:rFonts w:ascii="Arial" w:hAnsi="Arial" w:cs="Arial"/>
          <w:sz w:val="22"/>
          <w:szCs w:val="22"/>
        </w:rPr>
        <w:t>bolstered</w:t>
      </w:r>
      <w:proofErr w:type="gramEnd"/>
      <w:r w:rsidRPr="003B5F9A">
        <w:rPr>
          <w:rFonts w:ascii="Arial" w:hAnsi="Arial" w:cs="Arial"/>
          <w:sz w:val="22"/>
          <w:szCs w:val="22"/>
        </w:rPr>
        <w:t xml:space="preserve"> and integration can be associated as supportive rather than a hinderance (</w:t>
      </w:r>
      <w:r w:rsidR="004D5797">
        <w:rPr>
          <w:rFonts w:ascii="Arial" w:hAnsi="Arial" w:cs="Arial"/>
          <w:sz w:val="22"/>
          <w:szCs w:val="22"/>
        </w:rPr>
        <w:t>Bedi and Arora</w:t>
      </w:r>
      <w:r w:rsidRPr="003B5F9A">
        <w:rPr>
          <w:rFonts w:ascii="Arial" w:hAnsi="Arial" w:cs="Arial"/>
          <w:sz w:val="22"/>
          <w:szCs w:val="22"/>
        </w:rPr>
        <w:t xml:space="preserve">, 2024). The capacity and potential of social robots alongside humans in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 has much to offer, however, there should be an emphasis on ‘balancing technological effectiveness with employee involvement and meaningfulness to ensure successful implementation and engagement’ (Shahid et al, 2025).</w:t>
      </w:r>
    </w:p>
    <w:p w14:paraId="0C8C82BD" w14:textId="77777777" w:rsidR="003B5F9A" w:rsidRPr="003B5F9A" w:rsidRDefault="003B5F9A" w:rsidP="00C00FE9">
      <w:pPr>
        <w:spacing w:after="0" w:line="360" w:lineRule="auto"/>
        <w:jc w:val="both"/>
        <w:rPr>
          <w:rFonts w:ascii="Arial" w:hAnsi="Arial" w:cs="Arial"/>
          <w:sz w:val="22"/>
          <w:szCs w:val="22"/>
        </w:rPr>
      </w:pPr>
    </w:p>
    <w:p w14:paraId="05804FBA" w14:textId="35FC4826" w:rsidR="003B5F9A" w:rsidRDefault="00A342AB" w:rsidP="00C00FE9">
      <w:pPr>
        <w:spacing w:after="0" w:line="360" w:lineRule="auto"/>
        <w:jc w:val="both"/>
        <w:rPr>
          <w:rFonts w:ascii="Arial" w:hAnsi="Arial" w:cs="Arial"/>
          <w:sz w:val="22"/>
          <w:szCs w:val="22"/>
        </w:rPr>
      </w:pPr>
      <w:r w:rsidRPr="00671E89">
        <w:rPr>
          <w:rFonts w:ascii="Arial" w:hAnsi="Arial" w:cs="Arial"/>
          <w:i/>
          <w:iCs/>
          <w:sz w:val="22"/>
          <w:szCs w:val="22"/>
        </w:rPr>
        <w:t>Legal:</w:t>
      </w:r>
      <w:r>
        <w:rPr>
          <w:rFonts w:ascii="Arial" w:hAnsi="Arial" w:cs="Arial"/>
          <w:sz w:val="22"/>
          <w:szCs w:val="22"/>
        </w:rPr>
        <w:t xml:space="preserve"> </w:t>
      </w:r>
      <w:r w:rsidR="003B5F9A" w:rsidRPr="003B5F9A">
        <w:rPr>
          <w:rFonts w:ascii="Arial" w:hAnsi="Arial" w:cs="Arial"/>
          <w:sz w:val="22"/>
          <w:szCs w:val="22"/>
        </w:rPr>
        <w:t xml:space="preserve">Another external factor challenging Tesla’s business operations is the poaching of its employees by its competitor, Rivian. Rivian was set to face trial after Tesla has accused the company of stealing trade secrets and ‘misappropriating confidential information’, (Reuters, 2024), however, a settlement was recently offered by Tesla. </w:t>
      </w:r>
    </w:p>
    <w:p w14:paraId="2B96A844" w14:textId="77777777" w:rsidR="00FA7E52" w:rsidRPr="003B5F9A" w:rsidRDefault="00FA7E52" w:rsidP="00C00FE9">
      <w:pPr>
        <w:spacing w:after="0" w:line="360" w:lineRule="auto"/>
        <w:jc w:val="both"/>
        <w:rPr>
          <w:rFonts w:ascii="Arial" w:hAnsi="Arial" w:cs="Arial"/>
          <w:sz w:val="22"/>
          <w:szCs w:val="22"/>
        </w:rPr>
      </w:pPr>
    </w:p>
    <w:p w14:paraId="267F357D" w14:textId="77777777"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With the US Federal Trade Commission banning non-compete clauses in employee contracts in 2024, Tesla has been challenged to look to alternative measures to safeguard its intellectual property (IP). This is going to have a significant impact on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as inability to protect Tesla’s IP through employee contracts could lead to significant implications for innovation and future research and development (R&amp;D). Additionally, if the lawsuit were to impose restrictions or force Tesla to licence its IP, this would have substantial impact on Tesla’s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as it may have to rework its own technologies.</w:t>
      </w:r>
    </w:p>
    <w:p w14:paraId="25D03864" w14:textId="77777777" w:rsidR="00FA7E52" w:rsidRPr="003B5F9A" w:rsidRDefault="00FA7E52" w:rsidP="00C00FE9">
      <w:pPr>
        <w:spacing w:after="0" w:line="360" w:lineRule="auto"/>
        <w:jc w:val="both"/>
        <w:rPr>
          <w:rFonts w:ascii="Arial" w:hAnsi="Arial" w:cs="Arial"/>
          <w:sz w:val="22"/>
          <w:szCs w:val="22"/>
        </w:rPr>
      </w:pPr>
    </w:p>
    <w:p w14:paraId="7933C89C" w14:textId="5B2E2EF0" w:rsidR="003B5F9A" w:rsidRP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To combat restrictions to innovation and IP, Tesla will need to adopt </w:t>
      </w:r>
      <w:proofErr w:type="spellStart"/>
      <w:r w:rsidRPr="003B5F9A">
        <w:rPr>
          <w:rFonts w:ascii="Arial" w:hAnsi="Arial" w:cs="Arial"/>
          <w:sz w:val="22"/>
          <w:szCs w:val="22"/>
        </w:rPr>
        <w:t>HRM</w:t>
      </w:r>
      <w:proofErr w:type="spellEnd"/>
      <w:r w:rsidRPr="003B5F9A">
        <w:rPr>
          <w:rFonts w:ascii="Arial" w:hAnsi="Arial" w:cs="Arial"/>
          <w:sz w:val="22"/>
          <w:szCs w:val="22"/>
        </w:rPr>
        <w:t xml:space="preserve"> practices that enable employees – especially R&amp;D personnel – to have ‘independent rights and independent research space’ in producing IP (</w:t>
      </w:r>
      <w:proofErr w:type="spellStart"/>
      <w:r w:rsidR="001E6E25">
        <w:rPr>
          <w:rFonts w:ascii="Arial" w:hAnsi="Arial" w:cs="Arial"/>
          <w:sz w:val="22"/>
          <w:szCs w:val="22"/>
        </w:rPr>
        <w:t>Jingchao</w:t>
      </w:r>
      <w:proofErr w:type="spellEnd"/>
      <w:r w:rsidRPr="003B5F9A">
        <w:rPr>
          <w:rFonts w:ascii="Arial" w:hAnsi="Arial" w:cs="Arial"/>
          <w:sz w:val="22"/>
          <w:szCs w:val="22"/>
        </w:rPr>
        <w:t xml:space="preserve">, 2024). </w:t>
      </w:r>
      <w:proofErr w:type="spellStart"/>
      <w:r w:rsidR="001E6E25">
        <w:rPr>
          <w:rFonts w:ascii="Arial" w:hAnsi="Arial" w:cs="Arial"/>
          <w:sz w:val="22"/>
          <w:szCs w:val="22"/>
        </w:rPr>
        <w:t>Jingc</w:t>
      </w:r>
      <w:r w:rsidR="001F2228">
        <w:rPr>
          <w:rFonts w:ascii="Arial" w:hAnsi="Arial" w:cs="Arial"/>
          <w:sz w:val="22"/>
          <w:szCs w:val="22"/>
        </w:rPr>
        <w:t>hao</w:t>
      </w:r>
      <w:proofErr w:type="spellEnd"/>
      <w:r w:rsidRPr="003B5F9A">
        <w:rPr>
          <w:rFonts w:ascii="Arial" w:hAnsi="Arial" w:cs="Arial"/>
          <w:sz w:val="22"/>
          <w:szCs w:val="22"/>
        </w:rPr>
        <w:t xml:space="preserve"> (2024) argues that to retain talents to meet R&amp;D ambitions, HR in organisations should work to reduce power gaps between superiors and subordinates, creating an ‘innovative environment that is people-orientated, fully empowered and self-governing’.  Although, this does not offer Tesla direct ownership of IP or innovation, it would offer employees unrestricted creativity thereby improving job satisfaction and loyalty. </w:t>
      </w:r>
    </w:p>
    <w:p w14:paraId="52A3FE75" w14:textId="77777777" w:rsidR="003B5F9A" w:rsidRPr="003B5F9A" w:rsidRDefault="003B5F9A" w:rsidP="00C00FE9">
      <w:pPr>
        <w:spacing w:after="0" w:line="360" w:lineRule="auto"/>
        <w:jc w:val="both"/>
        <w:rPr>
          <w:rFonts w:ascii="Arial" w:hAnsi="Arial" w:cs="Arial"/>
          <w:sz w:val="22"/>
          <w:szCs w:val="22"/>
        </w:rPr>
      </w:pPr>
    </w:p>
    <w:p w14:paraId="721165F2" w14:textId="42B5BB6C" w:rsidR="003B5F9A" w:rsidRDefault="00A342AB" w:rsidP="00C00FE9">
      <w:pPr>
        <w:spacing w:after="0" w:line="360" w:lineRule="auto"/>
        <w:jc w:val="both"/>
        <w:rPr>
          <w:rFonts w:ascii="Arial" w:hAnsi="Arial" w:cs="Arial"/>
          <w:sz w:val="22"/>
          <w:szCs w:val="22"/>
        </w:rPr>
      </w:pPr>
      <w:r w:rsidRPr="00FA7E52">
        <w:rPr>
          <w:rFonts w:ascii="Arial" w:hAnsi="Arial" w:cs="Arial"/>
          <w:i/>
          <w:iCs/>
          <w:sz w:val="22"/>
          <w:szCs w:val="22"/>
        </w:rPr>
        <w:t>Environmentally:</w:t>
      </w:r>
      <w:r>
        <w:rPr>
          <w:rFonts w:ascii="Arial" w:hAnsi="Arial" w:cs="Arial"/>
          <w:sz w:val="22"/>
          <w:szCs w:val="22"/>
        </w:rPr>
        <w:t xml:space="preserve"> </w:t>
      </w:r>
      <w:r w:rsidR="003B5F9A" w:rsidRPr="003B5F9A">
        <w:rPr>
          <w:rFonts w:ascii="Arial" w:hAnsi="Arial" w:cs="Arial"/>
          <w:sz w:val="22"/>
          <w:szCs w:val="22"/>
        </w:rPr>
        <w:t xml:space="preserve">In Tesla’s mission for acceleration to sustainable energy, they have also developed strategies for vertical integration; looking to have greater control over the environment and ethical practices in their supply chain. Studies have shown that when </w:t>
      </w:r>
      <w:proofErr w:type="spellStart"/>
      <w:r w:rsidR="003B5F9A" w:rsidRPr="003B5F9A">
        <w:rPr>
          <w:rFonts w:ascii="Arial" w:hAnsi="Arial" w:cs="Arial"/>
          <w:sz w:val="22"/>
          <w:szCs w:val="22"/>
        </w:rPr>
        <w:t>HRM</w:t>
      </w:r>
      <w:proofErr w:type="spellEnd"/>
      <w:r w:rsidR="003B5F9A" w:rsidRPr="003B5F9A">
        <w:rPr>
          <w:rFonts w:ascii="Arial" w:hAnsi="Arial" w:cs="Arial"/>
          <w:sz w:val="22"/>
          <w:szCs w:val="22"/>
        </w:rPr>
        <w:t xml:space="preserve"> practices are combined with green supply chain management practices, it does not only improve environmental performance, but also innovation, efficient and cost effectiveness (Ye et al., 2023, cited in Samuels and Takawira (2024). However, care should be taken when interpreting the benefits around vertical integration and </w:t>
      </w:r>
      <w:proofErr w:type="spellStart"/>
      <w:r w:rsidR="003B5F9A" w:rsidRPr="003B5F9A">
        <w:rPr>
          <w:rFonts w:ascii="Arial" w:hAnsi="Arial" w:cs="Arial"/>
          <w:sz w:val="22"/>
          <w:szCs w:val="22"/>
        </w:rPr>
        <w:t>HRM</w:t>
      </w:r>
      <w:proofErr w:type="spellEnd"/>
      <w:r w:rsidR="003B5F9A" w:rsidRPr="003B5F9A">
        <w:rPr>
          <w:rFonts w:ascii="Arial" w:hAnsi="Arial" w:cs="Arial"/>
          <w:sz w:val="22"/>
          <w:szCs w:val="22"/>
        </w:rPr>
        <w:t xml:space="preserve"> practices as more in-depth </w:t>
      </w:r>
      <w:r w:rsidR="003B5F9A" w:rsidRPr="003B5F9A">
        <w:rPr>
          <w:rFonts w:ascii="Arial" w:hAnsi="Arial" w:cs="Arial"/>
          <w:sz w:val="22"/>
          <w:szCs w:val="22"/>
        </w:rPr>
        <w:lastRenderedPageBreak/>
        <w:t xml:space="preserve">research is needed around the interrelationship between these two functions given the mutual relationship and requirement for environmental and ethical management - ‘few studies have simultaneously investigated these two functions and their interrelationship’ (Jabbour et al., 2017, referenced in </w:t>
      </w:r>
      <w:proofErr w:type="spellStart"/>
      <w:r w:rsidR="003B5F9A" w:rsidRPr="003B5F9A">
        <w:rPr>
          <w:rFonts w:ascii="Arial" w:hAnsi="Arial" w:cs="Arial"/>
          <w:sz w:val="22"/>
          <w:szCs w:val="22"/>
        </w:rPr>
        <w:t>Dwita</w:t>
      </w:r>
      <w:proofErr w:type="spellEnd"/>
      <w:r w:rsidR="003B5F9A" w:rsidRPr="003B5F9A">
        <w:rPr>
          <w:rFonts w:ascii="Arial" w:hAnsi="Arial" w:cs="Arial"/>
          <w:sz w:val="22"/>
          <w:szCs w:val="22"/>
        </w:rPr>
        <w:t xml:space="preserve"> et al., 2024).</w:t>
      </w:r>
    </w:p>
    <w:p w14:paraId="52D957C8" w14:textId="77777777" w:rsidR="00FA7E52" w:rsidRPr="003B5F9A" w:rsidRDefault="00FA7E52" w:rsidP="00C00FE9">
      <w:pPr>
        <w:spacing w:after="0" w:line="360" w:lineRule="auto"/>
        <w:jc w:val="both"/>
        <w:rPr>
          <w:rFonts w:ascii="Arial" w:hAnsi="Arial" w:cs="Arial"/>
          <w:sz w:val="22"/>
          <w:szCs w:val="22"/>
        </w:rPr>
      </w:pPr>
    </w:p>
    <w:p w14:paraId="2080DBF1" w14:textId="27A29248" w:rsidR="003B5F9A" w:rsidRDefault="003B5F9A" w:rsidP="00C00FE9">
      <w:pPr>
        <w:spacing w:after="0" w:line="360" w:lineRule="auto"/>
        <w:jc w:val="both"/>
        <w:rPr>
          <w:rFonts w:ascii="Arial" w:hAnsi="Arial" w:cs="Arial"/>
          <w:sz w:val="22"/>
          <w:szCs w:val="22"/>
        </w:rPr>
      </w:pPr>
      <w:r w:rsidRPr="003B5F9A">
        <w:rPr>
          <w:rFonts w:ascii="Arial" w:hAnsi="Arial" w:cs="Arial"/>
          <w:sz w:val="22"/>
          <w:szCs w:val="22"/>
        </w:rPr>
        <w:t xml:space="preserve">Zhu (2025) provided insight into how Tesla developed and implemented an Enterprise Resource Planning (ERP) system called Warp Drive and Manufacturing Execution System (MES), to centrally integrate and simplify business process areas including supply chain management and </w:t>
      </w:r>
      <w:proofErr w:type="spellStart"/>
      <w:r w:rsidRPr="003B5F9A">
        <w:rPr>
          <w:rFonts w:ascii="Arial" w:hAnsi="Arial" w:cs="Arial"/>
          <w:sz w:val="22"/>
          <w:szCs w:val="22"/>
        </w:rPr>
        <w:t>HRM</w:t>
      </w:r>
      <w:proofErr w:type="spellEnd"/>
      <w:r w:rsidRPr="003B5F9A">
        <w:rPr>
          <w:rFonts w:ascii="Arial" w:hAnsi="Arial" w:cs="Arial"/>
          <w:sz w:val="22"/>
          <w:szCs w:val="22"/>
        </w:rPr>
        <w:t xml:space="preserve">. Using these two systems, Tesla can realise ‘real-time monitoring and management of the production process, and the integration and optimisation of resources’, ‘for the timely supply and efficiency over the supply chain to support its manufacturing process’ </w:t>
      </w:r>
      <w:r w:rsidR="00CD1263">
        <w:rPr>
          <w:rFonts w:ascii="Arial" w:hAnsi="Arial" w:cs="Arial"/>
          <w:sz w:val="22"/>
          <w:szCs w:val="22"/>
        </w:rPr>
        <w:t>(</w:t>
      </w:r>
      <w:r w:rsidRPr="003B5F9A">
        <w:rPr>
          <w:rFonts w:ascii="Arial" w:hAnsi="Arial" w:cs="Arial"/>
          <w:sz w:val="22"/>
          <w:szCs w:val="22"/>
        </w:rPr>
        <w:t xml:space="preserve">Zhu, 2025). For Tesla, the implementation of data driven decisions for </w:t>
      </w:r>
      <w:proofErr w:type="spellStart"/>
      <w:r w:rsidRPr="003B5F9A">
        <w:rPr>
          <w:rFonts w:ascii="Arial" w:hAnsi="Arial" w:cs="Arial"/>
          <w:sz w:val="22"/>
          <w:szCs w:val="22"/>
        </w:rPr>
        <w:t>HRM</w:t>
      </w:r>
      <w:proofErr w:type="spellEnd"/>
      <w:r w:rsidRPr="003B5F9A">
        <w:rPr>
          <w:rFonts w:ascii="Arial" w:hAnsi="Arial" w:cs="Arial"/>
          <w:sz w:val="22"/>
          <w:szCs w:val="22"/>
        </w:rPr>
        <w:t xml:space="preserve"> and supply chain management have demonstrated a positive impact in their environmental performance. Zheng (2024) undertook a detailed examination of Tesla’s sustainable supply chain management processes, exploring Tesla’s methods in resource usage, environmental impact assessment and social responsibility management. They found that Tesla had not only successfully ‘implemented environmentally friendly changes in its supply chain using advanced technologies and management </w:t>
      </w:r>
      <w:proofErr w:type="gramStart"/>
      <w:r w:rsidRPr="003B5F9A">
        <w:rPr>
          <w:rFonts w:ascii="Arial" w:hAnsi="Arial" w:cs="Arial"/>
          <w:sz w:val="22"/>
          <w:szCs w:val="22"/>
        </w:rPr>
        <w:t>techniques’</w:t>
      </w:r>
      <w:proofErr w:type="gramEnd"/>
      <w:r w:rsidRPr="003B5F9A">
        <w:rPr>
          <w:rFonts w:ascii="Arial" w:hAnsi="Arial" w:cs="Arial"/>
          <w:sz w:val="22"/>
          <w:szCs w:val="22"/>
        </w:rPr>
        <w:t xml:space="preserve"> but its strategy of vertical integration also ‘enhanced</w:t>
      </w:r>
      <w:r w:rsidRPr="003B5F9A">
        <w:rPr>
          <w:rFonts w:ascii="Arial" w:hAnsi="Arial" w:cs="Arial"/>
          <w:b/>
          <w:bCs/>
          <w:sz w:val="22"/>
          <w:szCs w:val="22"/>
        </w:rPr>
        <w:t xml:space="preserve"> </w:t>
      </w:r>
      <w:r w:rsidRPr="003B5F9A">
        <w:rPr>
          <w:rFonts w:ascii="Arial" w:hAnsi="Arial" w:cs="Arial"/>
          <w:sz w:val="22"/>
          <w:szCs w:val="22"/>
        </w:rPr>
        <w:t xml:space="preserve">Tesla’s competitiveness’ (Zheng, 2024). </w:t>
      </w:r>
    </w:p>
    <w:p w14:paraId="5909494B" w14:textId="77777777" w:rsidR="00C00FE9" w:rsidRDefault="00C00FE9" w:rsidP="00C00FE9">
      <w:pPr>
        <w:spacing w:after="0" w:line="360" w:lineRule="auto"/>
        <w:jc w:val="both"/>
        <w:rPr>
          <w:rFonts w:ascii="Arial" w:hAnsi="Arial" w:cs="Arial"/>
          <w:sz w:val="22"/>
          <w:szCs w:val="22"/>
        </w:rPr>
      </w:pPr>
    </w:p>
    <w:p w14:paraId="5C4E14CE" w14:textId="6E1A0361" w:rsidR="00FA7E52" w:rsidRPr="00751529" w:rsidRDefault="00C00FE9" w:rsidP="00751529">
      <w:pPr>
        <w:pStyle w:val="Heading1"/>
        <w:spacing w:before="0" w:after="0" w:line="360" w:lineRule="auto"/>
        <w:rPr>
          <w:rFonts w:ascii="Arial" w:hAnsi="Arial" w:cs="Arial"/>
          <w:color w:val="auto"/>
        </w:rPr>
      </w:pPr>
      <w:bookmarkStart w:id="3" w:name="_Toc195035490"/>
      <w:r w:rsidRPr="000D6034">
        <w:rPr>
          <w:rFonts w:ascii="Arial" w:hAnsi="Arial" w:cs="Arial"/>
          <w:color w:val="auto"/>
        </w:rPr>
        <w:t>Conclusion</w:t>
      </w:r>
      <w:bookmarkEnd w:id="3"/>
    </w:p>
    <w:p w14:paraId="26B1953B" w14:textId="575E0FC7"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Tesla does not seem to follow a single HR model and its </w:t>
      </w:r>
      <w:proofErr w:type="spellStart"/>
      <w:r w:rsidRPr="00C00FE9">
        <w:rPr>
          <w:rFonts w:ascii="Arial" w:hAnsi="Arial" w:cs="Arial"/>
          <w:sz w:val="22"/>
          <w:szCs w:val="22"/>
        </w:rPr>
        <w:t>HRM</w:t>
      </w:r>
      <w:proofErr w:type="spellEnd"/>
      <w:r w:rsidRPr="00C00FE9">
        <w:rPr>
          <w:rFonts w:ascii="Arial" w:hAnsi="Arial" w:cs="Arial"/>
          <w:sz w:val="22"/>
          <w:szCs w:val="22"/>
        </w:rPr>
        <w:t xml:space="preserve"> practices appear to be focused on evolving and aligning with the organisation’s aggressive growth strategies and culture of high performance. This is positive for employees as it supports innovation, enabling the growth of the company, cementing reputation and belonging. However, this is also driving high turnover in staff due to pressurised work environments, burnout and impacting workplace culture. In an interview with the Financial Times in 2022 referencing manufacturing in China, Elon Musk outlined ‘They won’t just be burning the midnight oil, they will be burning the 3 a.m. oil. They won’t even leave the factory’ (Nazeer, 2022). </w:t>
      </w:r>
    </w:p>
    <w:p w14:paraId="29E195EE" w14:textId="77777777" w:rsidR="00C81EC3" w:rsidRPr="00C00FE9" w:rsidRDefault="00C81EC3" w:rsidP="00C00FE9">
      <w:pPr>
        <w:spacing w:after="0" w:line="360" w:lineRule="auto"/>
        <w:jc w:val="both"/>
        <w:rPr>
          <w:rFonts w:ascii="Arial" w:hAnsi="Arial" w:cs="Arial"/>
          <w:b/>
          <w:bCs/>
          <w:sz w:val="22"/>
          <w:szCs w:val="22"/>
          <w:u w:val="single"/>
        </w:rPr>
      </w:pPr>
    </w:p>
    <w:p w14:paraId="05B6BBCC" w14:textId="77777777"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The strengths and limitations of </w:t>
      </w:r>
      <w:proofErr w:type="spellStart"/>
      <w:r w:rsidRPr="00C00FE9">
        <w:rPr>
          <w:rFonts w:ascii="Arial" w:hAnsi="Arial" w:cs="Arial"/>
          <w:sz w:val="22"/>
          <w:szCs w:val="22"/>
        </w:rPr>
        <w:t>HRM</w:t>
      </w:r>
      <w:proofErr w:type="spellEnd"/>
      <w:r w:rsidRPr="00C00FE9">
        <w:rPr>
          <w:rFonts w:ascii="Arial" w:hAnsi="Arial" w:cs="Arial"/>
          <w:sz w:val="22"/>
          <w:szCs w:val="22"/>
        </w:rPr>
        <w:t xml:space="preserve"> practices in Tesla influence the organisation in many ways:</w:t>
      </w:r>
    </w:p>
    <w:p w14:paraId="467817C4" w14:textId="77777777" w:rsidR="00C81EC3" w:rsidRPr="00C00FE9" w:rsidRDefault="00C81EC3" w:rsidP="00C00FE9">
      <w:pPr>
        <w:spacing w:after="0"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C00FE9" w:rsidRPr="00C00FE9" w14:paraId="014A0A24" w14:textId="77777777" w:rsidTr="000C05A1">
        <w:tc>
          <w:tcPr>
            <w:tcW w:w="4508" w:type="dxa"/>
          </w:tcPr>
          <w:p w14:paraId="4E4F3FE6" w14:textId="77777777" w:rsidR="00C00FE9" w:rsidRPr="00C81EC3" w:rsidRDefault="00C00FE9" w:rsidP="00C81EC3">
            <w:pPr>
              <w:spacing w:line="360" w:lineRule="auto"/>
              <w:jc w:val="center"/>
              <w:rPr>
                <w:rFonts w:ascii="Arial" w:hAnsi="Arial" w:cs="Arial"/>
                <w:b/>
                <w:bCs/>
                <w:sz w:val="22"/>
                <w:szCs w:val="22"/>
              </w:rPr>
            </w:pPr>
            <w:r w:rsidRPr="00C81EC3">
              <w:rPr>
                <w:rFonts w:ascii="Arial" w:hAnsi="Arial" w:cs="Arial"/>
                <w:b/>
                <w:bCs/>
                <w:sz w:val="22"/>
                <w:szCs w:val="22"/>
              </w:rPr>
              <w:t>Strengths</w:t>
            </w:r>
          </w:p>
        </w:tc>
        <w:tc>
          <w:tcPr>
            <w:tcW w:w="4508" w:type="dxa"/>
          </w:tcPr>
          <w:p w14:paraId="51533CA3" w14:textId="77777777" w:rsidR="00C00FE9" w:rsidRPr="00C81EC3" w:rsidRDefault="00C00FE9" w:rsidP="00C81EC3">
            <w:pPr>
              <w:spacing w:line="360" w:lineRule="auto"/>
              <w:jc w:val="center"/>
              <w:rPr>
                <w:rFonts w:ascii="Arial" w:hAnsi="Arial" w:cs="Arial"/>
                <w:b/>
                <w:bCs/>
                <w:sz w:val="22"/>
                <w:szCs w:val="22"/>
              </w:rPr>
            </w:pPr>
            <w:r w:rsidRPr="00C81EC3">
              <w:rPr>
                <w:rFonts w:ascii="Arial" w:hAnsi="Arial" w:cs="Arial"/>
                <w:b/>
                <w:bCs/>
                <w:sz w:val="22"/>
                <w:szCs w:val="22"/>
              </w:rPr>
              <w:t>Limitations</w:t>
            </w:r>
          </w:p>
        </w:tc>
      </w:tr>
      <w:tr w:rsidR="00C00FE9" w:rsidRPr="00C00FE9" w14:paraId="0F934E40" w14:textId="77777777" w:rsidTr="000C05A1">
        <w:tc>
          <w:tcPr>
            <w:tcW w:w="4508" w:type="dxa"/>
          </w:tcPr>
          <w:p w14:paraId="1073C127"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lastRenderedPageBreak/>
              <w:t xml:space="preserve">Talent acquisition and recruitment: </w:t>
            </w:r>
            <w:r w:rsidRPr="00C81EC3">
              <w:rPr>
                <w:rFonts w:ascii="Arial" w:hAnsi="Arial" w:cs="Arial"/>
                <w:sz w:val="22"/>
                <w:szCs w:val="22"/>
              </w:rPr>
              <w:t>Attracts top talent from engineering, software and manufacturing fields</w:t>
            </w:r>
          </w:p>
        </w:tc>
        <w:tc>
          <w:tcPr>
            <w:tcW w:w="4508" w:type="dxa"/>
          </w:tcPr>
          <w:p w14:paraId="43C59FE1"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High employee workload and burnout:</w:t>
            </w:r>
            <w:r w:rsidRPr="00C81EC3">
              <w:rPr>
                <w:rFonts w:ascii="Arial" w:hAnsi="Arial" w:cs="Arial"/>
                <w:sz w:val="22"/>
                <w:szCs w:val="22"/>
              </w:rPr>
              <w:t xml:space="preserve"> Long hours and high-performance expectations can lead to stress</w:t>
            </w:r>
          </w:p>
        </w:tc>
      </w:tr>
      <w:tr w:rsidR="00C00FE9" w:rsidRPr="00C00FE9" w14:paraId="44903E4D" w14:textId="77777777" w:rsidTr="000C05A1">
        <w:tc>
          <w:tcPr>
            <w:tcW w:w="4508" w:type="dxa"/>
          </w:tcPr>
          <w:p w14:paraId="212D9E68"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Performance-based culture:</w:t>
            </w:r>
            <w:r w:rsidRPr="00C81EC3">
              <w:rPr>
                <w:rFonts w:ascii="Arial" w:hAnsi="Arial" w:cs="Arial"/>
                <w:sz w:val="22"/>
                <w:szCs w:val="22"/>
              </w:rPr>
              <w:t xml:space="preserve"> Focus on performance and rewarding top talent through stock options and competitive benefits</w:t>
            </w:r>
          </w:p>
        </w:tc>
        <w:tc>
          <w:tcPr>
            <w:tcW w:w="4508" w:type="dxa"/>
          </w:tcPr>
          <w:p w14:paraId="6E22B540"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High turnover rate:</w:t>
            </w:r>
            <w:r w:rsidRPr="00C81EC3">
              <w:rPr>
                <w:rFonts w:ascii="Arial" w:hAnsi="Arial" w:cs="Arial"/>
                <w:sz w:val="22"/>
                <w:szCs w:val="22"/>
              </w:rPr>
              <w:t xml:space="preserve"> High-pressure environment leads to higher employee turnover, especially in factory roles</w:t>
            </w:r>
          </w:p>
        </w:tc>
      </w:tr>
      <w:tr w:rsidR="00C00FE9" w:rsidRPr="00C00FE9" w14:paraId="27391309" w14:textId="77777777" w:rsidTr="000C05A1">
        <w:tc>
          <w:tcPr>
            <w:tcW w:w="4508" w:type="dxa"/>
          </w:tcPr>
          <w:p w14:paraId="6CB2F918"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Innovation and agility:</w:t>
            </w:r>
            <w:r w:rsidRPr="00C81EC3">
              <w:rPr>
                <w:rFonts w:ascii="Arial" w:hAnsi="Arial" w:cs="Arial"/>
                <w:sz w:val="22"/>
                <w:szCs w:val="22"/>
              </w:rPr>
              <w:t xml:space="preserve"> Encourages fast decision-making and creative problem-solving</w:t>
            </w:r>
          </w:p>
        </w:tc>
        <w:tc>
          <w:tcPr>
            <w:tcW w:w="4508" w:type="dxa"/>
          </w:tcPr>
          <w:p w14:paraId="290B07DB"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Challenges with labour relations:</w:t>
            </w:r>
            <w:r w:rsidRPr="00C81EC3">
              <w:rPr>
                <w:rFonts w:ascii="Arial" w:hAnsi="Arial" w:cs="Arial"/>
                <w:sz w:val="22"/>
                <w:szCs w:val="22"/>
              </w:rPr>
              <w:t xml:space="preserve"> Tension over unionisation efforts and treatment of factory workers</w:t>
            </w:r>
          </w:p>
        </w:tc>
      </w:tr>
      <w:tr w:rsidR="00C00FE9" w:rsidRPr="00C00FE9" w14:paraId="56291BE3" w14:textId="77777777" w:rsidTr="000C05A1">
        <w:tc>
          <w:tcPr>
            <w:tcW w:w="4508" w:type="dxa"/>
          </w:tcPr>
          <w:p w14:paraId="539BF5C4"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Commitment to diversity and inclusion:</w:t>
            </w:r>
            <w:r w:rsidRPr="00C81EC3">
              <w:rPr>
                <w:rFonts w:ascii="Arial" w:hAnsi="Arial" w:cs="Arial"/>
                <w:sz w:val="22"/>
                <w:szCs w:val="22"/>
              </w:rPr>
              <w:t xml:space="preserve"> Working to improve diversity, especially in leadership</w:t>
            </w:r>
          </w:p>
        </w:tc>
        <w:tc>
          <w:tcPr>
            <w:tcW w:w="4508" w:type="dxa"/>
          </w:tcPr>
          <w:p w14:paraId="21305492" w14:textId="77777777" w:rsidR="00C00FE9" w:rsidRPr="00C81EC3" w:rsidRDefault="00C00FE9" w:rsidP="00C81EC3">
            <w:pPr>
              <w:spacing w:line="276" w:lineRule="auto"/>
              <w:rPr>
                <w:rFonts w:ascii="Arial" w:hAnsi="Arial" w:cs="Arial"/>
                <w:sz w:val="22"/>
                <w:szCs w:val="22"/>
              </w:rPr>
            </w:pPr>
            <w:r w:rsidRPr="00C81EC3">
              <w:rPr>
                <w:rFonts w:ascii="Arial" w:hAnsi="Arial" w:cs="Arial"/>
                <w:b/>
                <w:bCs/>
                <w:sz w:val="22"/>
                <w:szCs w:val="22"/>
              </w:rPr>
              <w:t>Leadership and management challenges:</w:t>
            </w:r>
            <w:r w:rsidRPr="00C81EC3">
              <w:rPr>
                <w:rFonts w:ascii="Arial" w:hAnsi="Arial" w:cs="Arial"/>
                <w:sz w:val="22"/>
                <w:szCs w:val="22"/>
              </w:rPr>
              <w:t xml:space="preserve"> CEO’s management style can create a demanding work environment</w:t>
            </w:r>
          </w:p>
        </w:tc>
      </w:tr>
    </w:tbl>
    <w:p w14:paraId="021FABCF" w14:textId="77777777" w:rsidR="00C00FE9" w:rsidRPr="00C00FE9" w:rsidRDefault="00C00FE9" w:rsidP="00C00FE9">
      <w:pPr>
        <w:spacing w:after="0" w:line="360" w:lineRule="auto"/>
        <w:jc w:val="both"/>
        <w:rPr>
          <w:rFonts w:ascii="Arial" w:hAnsi="Arial" w:cs="Arial"/>
          <w:sz w:val="22"/>
          <w:szCs w:val="22"/>
        </w:rPr>
      </w:pPr>
    </w:p>
    <w:p w14:paraId="0A932F7C" w14:textId="75570649" w:rsidR="00C81EC3"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Tesla’s </w:t>
      </w:r>
      <w:proofErr w:type="spellStart"/>
      <w:r w:rsidRPr="00C00FE9">
        <w:rPr>
          <w:rFonts w:ascii="Arial" w:hAnsi="Arial" w:cs="Arial"/>
          <w:sz w:val="22"/>
          <w:szCs w:val="22"/>
        </w:rPr>
        <w:t>HRM</w:t>
      </w:r>
      <w:proofErr w:type="spellEnd"/>
      <w:r w:rsidRPr="00C00FE9">
        <w:rPr>
          <w:rFonts w:ascii="Arial" w:hAnsi="Arial" w:cs="Arial"/>
          <w:sz w:val="22"/>
          <w:szCs w:val="22"/>
        </w:rPr>
        <w:t xml:space="preserve"> is currently enabling its success, but if the limitations above are not addressed, this will have a detrimental impact on the organisation and its competitive advantage. Despite the challenges from primary competitors </w:t>
      </w:r>
      <w:proofErr w:type="spellStart"/>
      <w:r w:rsidRPr="00C00FE9">
        <w:rPr>
          <w:rFonts w:ascii="Arial" w:hAnsi="Arial" w:cs="Arial"/>
          <w:sz w:val="22"/>
          <w:szCs w:val="22"/>
        </w:rPr>
        <w:t>BYD</w:t>
      </w:r>
      <w:proofErr w:type="spellEnd"/>
      <w:r w:rsidRPr="00C00FE9">
        <w:rPr>
          <w:rFonts w:ascii="Arial" w:hAnsi="Arial" w:cs="Arial"/>
          <w:sz w:val="22"/>
          <w:szCs w:val="22"/>
        </w:rPr>
        <w:t xml:space="preserve">, the </w:t>
      </w:r>
      <w:proofErr w:type="spellStart"/>
      <w:r w:rsidRPr="00C00FE9">
        <w:rPr>
          <w:rFonts w:ascii="Arial" w:hAnsi="Arial" w:cs="Arial"/>
          <w:sz w:val="22"/>
          <w:szCs w:val="22"/>
        </w:rPr>
        <w:t>VRIO</w:t>
      </w:r>
      <w:proofErr w:type="spellEnd"/>
      <w:r w:rsidRPr="00C00FE9">
        <w:rPr>
          <w:rFonts w:ascii="Arial" w:hAnsi="Arial" w:cs="Arial"/>
          <w:sz w:val="22"/>
          <w:szCs w:val="22"/>
        </w:rPr>
        <w:t xml:space="preserve"> analysis below demonstrates how Tesla’s </w:t>
      </w:r>
      <w:proofErr w:type="spellStart"/>
      <w:r w:rsidRPr="00C00FE9">
        <w:rPr>
          <w:rFonts w:ascii="Arial" w:hAnsi="Arial" w:cs="Arial"/>
          <w:sz w:val="22"/>
          <w:szCs w:val="22"/>
        </w:rPr>
        <w:t>HRM</w:t>
      </w:r>
      <w:proofErr w:type="spellEnd"/>
      <w:r w:rsidRPr="00C00FE9">
        <w:rPr>
          <w:rFonts w:ascii="Arial" w:hAnsi="Arial" w:cs="Arial"/>
          <w:sz w:val="22"/>
          <w:szCs w:val="22"/>
        </w:rPr>
        <w:t xml:space="preserve"> practices are enabling resources and capabilities to support their competitive advantage:</w:t>
      </w:r>
    </w:p>
    <w:p w14:paraId="57C718C9" w14:textId="77777777" w:rsidR="00C81EC3" w:rsidRPr="00C00FE9" w:rsidRDefault="00C81EC3" w:rsidP="00C00FE9">
      <w:pPr>
        <w:spacing w:after="0" w:line="360" w:lineRule="auto"/>
        <w:jc w:val="both"/>
        <w:rPr>
          <w:rFonts w:ascii="Arial" w:hAnsi="Arial" w:cs="Arial"/>
          <w:sz w:val="22"/>
          <w:szCs w:val="22"/>
        </w:rPr>
      </w:pPr>
    </w:p>
    <w:p w14:paraId="5D846112" w14:textId="77777777" w:rsidR="00C00FE9" w:rsidRPr="00C00FE9" w:rsidRDefault="00C00FE9" w:rsidP="00C81EC3">
      <w:pPr>
        <w:spacing w:after="0" w:line="360" w:lineRule="auto"/>
        <w:jc w:val="center"/>
        <w:rPr>
          <w:rFonts w:ascii="Arial" w:hAnsi="Arial" w:cs="Arial"/>
          <w:sz w:val="22"/>
          <w:szCs w:val="22"/>
        </w:rPr>
      </w:pPr>
      <w:r w:rsidRPr="00C00FE9">
        <w:rPr>
          <w:rFonts w:ascii="Arial" w:hAnsi="Arial" w:cs="Arial"/>
          <w:noProof/>
          <w:sz w:val="22"/>
          <w:szCs w:val="22"/>
        </w:rPr>
        <w:drawing>
          <wp:inline distT="0" distB="0" distL="0" distR="0" wp14:anchorId="26258006" wp14:editId="1D6C77DB">
            <wp:extent cx="5814045" cy="2415540"/>
            <wp:effectExtent l="0" t="0" r="0" b="3810"/>
            <wp:docPr id="1547602744" name="Picture 1" descr="A group of ticks and check mar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02744" name="Picture 1" descr="A group of ticks and check marks&#10;&#10;AI-generated content may be incorrect."/>
                    <pic:cNvPicPr/>
                  </pic:nvPicPr>
                  <pic:blipFill>
                    <a:blip r:embed="rId13"/>
                    <a:stretch>
                      <a:fillRect/>
                    </a:stretch>
                  </pic:blipFill>
                  <pic:spPr>
                    <a:xfrm>
                      <a:off x="0" y="0"/>
                      <a:ext cx="5838142" cy="2425551"/>
                    </a:xfrm>
                    <a:prstGeom prst="rect">
                      <a:avLst/>
                    </a:prstGeom>
                  </pic:spPr>
                </pic:pic>
              </a:graphicData>
            </a:graphic>
          </wp:inline>
        </w:drawing>
      </w:r>
    </w:p>
    <w:p w14:paraId="245C7F3D" w14:textId="77777777" w:rsidR="00C81EC3" w:rsidRDefault="00C81EC3" w:rsidP="00C00FE9">
      <w:pPr>
        <w:spacing w:after="0" w:line="360" w:lineRule="auto"/>
        <w:jc w:val="both"/>
        <w:rPr>
          <w:rFonts w:ascii="Arial" w:hAnsi="Arial" w:cs="Arial"/>
          <w:sz w:val="22"/>
          <w:szCs w:val="22"/>
        </w:rPr>
      </w:pPr>
    </w:p>
    <w:p w14:paraId="3A8CD24C" w14:textId="4B916856" w:rsidR="00C00FE9" w:rsidRDefault="00C00FE9" w:rsidP="00C00FE9">
      <w:pPr>
        <w:spacing w:after="0" w:line="360" w:lineRule="auto"/>
        <w:jc w:val="both"/>
        <w:rPr>
          <w:rFonts w:ascii="Arial" w:hAnsi="Arial" w:cs="Arial"/>
          <w:sz w:val="22"/>
          <w:szCs w:val="22"/>
        </w:rPr>
      </w:pPr>
      <w:r w:rsidRPr="00C00FE9">
        <w:rPr>
          <w:rFonts w:ascii="Arial" w:hAnsi="Arial" w:cs="Arial"/>
          <w:sz w:val="22"/>
          <w:szCs w:val="22"/>
        </w:rPr>
        <w:t xml:space="preserve">Overall, Tesla’s resources are highly valuable and mostly rare, particularly in markets where it has established leadership. </w:t>
      </w:r>
      <w:proofErr w:type="spellStart"/>
      <w:r w:rsidRPr="00C00FE9">
        <w:rPr>
          <w:rFonts w:ascii="Arial" w:hAnsi="Arial" w:cs="Arial"/>
          <w:sz w:val="22"/>
          <w:szCs w:val="22"/>
        </w:rPr>
        <w:t>BYD</w:t>
      </w:r>
      <w:proofErr w:type="spellEnd"/>
      <w:r w:rsidRPr="00C00FE9">
        <w:rPr>
          <w:rFonts w:ascii="Arial" w:hAnsi="Arial" w:cs="Arial"/>
          <w:sz w:val="22"/>
          <w:szCs w:val="22"/>
        </w:rPr>
        <w:t xml:space="preserve"> on the other hand leverages its strength in innovation in its battery technology and increasing brand reputation to build its competitive advantage. </w:t>
      </w:r>
    </w:p>
    <w:p w14:paraId="4AF047E4" w14:textId="77777777" w:rsidR="00C81EC3" w:rsidRPr="00C00FE9" w:rsidRDefault="00C81EC3" w:rsidP="00C00FE9">
      <w:pPr>
        <w:spacing w:after="0" w:line="360" w:lineRule="auto"/>
        <w:jc w:val="both"/>
        <w:rPr>
          <w:rFonts w:ascii="Arial" w:hAnsi="Arial" w:cs="Arial"/>
          <w:sz w:val="22"/>
          <w:szCs w:val="22"/>
        </w:rPr>
      </w:pPr>
    </w:p>
    <w:p w14:paraId="305D22B3" w14:textId="6023A9C1" w:rsidR="000D6034" w:rsidRPr="00751529" w:rsidRDefault="00C00FE9" w:rsidP="00751529">
      <w:pPr>
        <w:spacing w:after="0" w:line="360" w:lineRule="auto"/>
        <w:jc w:val="both"/>
        <w:rPr>
          <w:rFonts w:ascii="Arial" w:hAnsi="Arial" w:cs="Arial"/>
          <w:sz w:val="22"/>
          <w:szCs w:val="22"/>
        </w:rPr>
      </w:pPr>
      <w:r w:rsidRPr="00C00FE9">
        <w:rPr>
          <w:rFonts w:ascii="Arial" w:hAnsi="Arial" w:cs="Arial"/>
          <w:sz w:val="22"/>
          <w:szCs w:val="22"/>
        </w:rPr>
        <w:t xml:space="preserve">Whilst Tesla’s approach to workforce planning and talent management is clearly fostering innovation, maintaining agility, and attracting top talent, it also has implications for employee well-being, company culture and retention. If there is insufficient focus on wellbeing and/or a lack of structure from HR in support, policies or processes, Tesla are going to see their </w:t>
      </w:r>
      <w:r w:rsidRPr="00C00FE9">
        <w:rPr>
          <w:rFonts w:ascii="Arial" w:hAnsi="Arial" w:cs="Arial"/>
          <w:sz w:val="22"/>
          <w:szCs w:val="22"/>
        </w:rPr>
        <w:lastRenderedPageBreak/>
        <w:t>ambitious plans for growth and innovation challenged. They therefore need to adapt HR practices at a pace mirroring the company’s’ evolution, to ensure long-term sustainability, mitigate burnout, and build a more inclusive and supportive workplace, protecting their mission.</w:t>
      </w:r>
    </w:p>
    <w:p w14:paraId="02B717D2" w14:textId="57FD8A59" w:rsidR="00DA4D40" w:rsidRPr="000D6034" w:rsidRDefault="00DA4D40" w:rsidP="000D6034">
      <w:pPr>
        <w:pStyle w:val="Heading1"/>
        <w:spacing w:before="0" w:after="0" w:line="360" w:lineRule="auto"/>
        <w:rPr>
          <w:rFonts w:ascii="Arial" w:hAnsi="Arial" w:cs="Arial"/>
          <w:color w:val="auto"/>
        </w:rPr>
      </w:pPr>
    </w:p>
    <w:sectPr w:rsidR="00DA4D40" w:rsidRPr="000D6034" w:rsidSect="00DA4D40">
      <w:footerReference w:type="default" r:id="rId14"/>
      <w:footerReference w:type="first" r:id="rId15"/>
      <w:pgSz w:w="11906" w:h="16838"/>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A75A3" w14:textId="77777777" w:rsidR="00DA4D40" w:rsidRDefault="00DA4D40" w:rsidP="00DA4D40">
      <w:pPr>
        <w:spacing w:after="0" w:line="240" w:lineRule="auto"/>
      </w:pPr>
      <w:r>
        <w:separator/>
      </w:r>
    </w:p>
  </w:endnote>
  <w:endnote w:type="continuationSeparator" w:id="0">
    <w:p w14:paraId="3E22C592" w14:textId="77777777" w:rsidR="00DA4D40" w:rsidRDefault="00DA4D40" w:rsidP="00DA4D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6"/>
        <w:szCs w:val="16"/>
      </w:rPr>
      <w:id w:val="37253594"/>
      <w:docPartObj>
        <w:docPartGallery w:val="Page Numbers (Bottom of Page)"/>
        <w:docPartUnique/>
      </w:docPartObj>
    </w:sdtPr>
    <w:sdtEndPr/>
    <w:sdtContent>
      <w:sdt>
        <w:sdtPr>
          <w:rPr>
            <w:rFonts w:ascii="Arial" w:hAnsi="Arial" w:cs="Arial"/>
            <w:sz w:val="16"/>
            <w:szCs w:val="16"/>
          </w:rPr>
          <w:id w:val="-1769616900"/>
          <w:docPartObj>
            <w:docPartGallery w:val="Page Numbers (Top of Page)"/>
            <w:docPartUnique/>
          </w:docPartObj>
        </w:sdtPr>
        <w:sdtEndPr/>
        <w:sdtContent>
          <w:p w14:paraId="7914A903" w14:textId="56AE8B21" w:rsidR="00DA4D40" w:rsidRPr="00DA4D40" w:rsidRDefault="00DA4D40">
            <w:pPr>
              <w:pStyle w:val="Footer"/>
              <w:jc w:val="right"/>
              <w:rPr>
                <w:rFonts w:ascii="Arial" w:hAnsi="Arial" w:cs="Arial"/>
                <w:sz w:val="16"/>
                <w:szCs w:val="16"/>
              </w:rPr>
            </w:pPr>
            <w:r w:rsidRPr="00DA4D40">
              <w:rPr>
                <w:rFonts w:ascii="Arial" w:hAnsi="Arial" w:cs="Arial"/>
                <w:sz w:val="16"/>
                <w:szCs w:val="16"/>
              </w:rPr>
              <w:t xml:space="preserve">Page </w:t>
            </w:r>
            <w:r w:rsidRPr="00DA4D40">
              <w:rPr>
                <w:rFonts w:ascii="Arial" w:hAnsi="Arial" w:cs="Arial"/>
                <w:b/>
                <w:bCs/>
                <w:sz w:val="16"/>
                <w:szCs w:val="16"/>
              </w:rPr>
              <w:fldChar w:fldCharType="begin"/>
            </w:r>
            <w:r w:rsidRPr="00DA4D40">
              <w:rPr>
                <w:rFonts w:ascii="Arial" w:hAnsi="Arial" w:cs="Arial"/>
                <w:b/>
                <w:bCs/>
                <w:sz w:val="16"/>
                <w:szCs w:val="16"/>
              </w:rPr>
              <w:instrText xml:space="preserve"> PAGE </w:instrText>
            </w:r>
            <w:r w:rsidRPr="00DA4D40">
              <w:rPr>
                <w:rFonts w:ascii="Arial" w:hAnsi="Arial" w:cs="Arial"/>
                <w:b/>
                <w:bCs/>
                <w:sz w:val="16"/>
                <w:szCs w:val="16"/>
              </w:rPr>
              <w:fldChar w:fldCharType="separate"/>
            </w:r>
            <w:r w:rsidRPr="00DA4D40">
              <w:rPr>
                <w:rFonts w:ascii="Arial" w:hAnsi="Arial" w:cs="Arial"/>
                <w:b/>
                <w:bCs/>
                <w:noProof/>
                <w:sz w:val="16"/>
                <w:szCs w:val="16"/>
              </w:rPr>
              <w:t>2</w:t>
            </w:r>
            <w:r w:rsidRPr="00DA4D40">
              <w:rPr>
                <w:rFonts w:ascii="Arial" w:hAnsi="Arial" w:cs="Arial"/>
                <w:b/>
                <w:bCs/>
                <w:sz w:val="16"/>
                <w:szCs w:val="16"/>
              </w:rPr>
              <w:fldChar w:fldCharType="end"/>
            </w:r>
            <w:r w:rsidRPr="00DA4D40">
              <w:rPr>
                <w:rFonts w:ascii="Arial" w:hAnsi="Arial" w:cs="Arial"/>
                <w:sz w:val="16"/>
                <w:szCs w:val="16"/>
              </w:rPr>
              <w:t xml:space="preserve"> of </w:t>
            </w:r>
            <w:r w:rsidRPr="00DA4D40">
              <w:rPr>
                <w:rFonts w:ascii="Arial" w:hAnsi="Arial" w:cs="Arial"/>
                <w:b/>
                <w:bCs/>
                <w:sz w:val="16"/>
                <w:szCs w:val="16"/>
              </w:rPr>
              <w:fldChar w:fldCharType="begin"/>
            </w:r>
            <w:r w:rsidRPr="00DA4D40">
              <w:rPr>
                <w:rFonts w:ascii="Arial" w:hAnsi="Arial" w:cs="Arial"/>
                <w:b/>
                <w:bCs/>
                <w:sz w:val="16"/>
                <w:szCs w:val="16"/>
              </w:rPr>
              <w:instrText xml:space="preserve"> NUMPAGES  </w:instrText>
            </w:r>
            <w:r w:rsidRPr="00DA4D40">
              <w:rPr>
                <w:rFonts w:ascii="Arial" w:hAnsi="Arial" w:cs="Arial"/>
                <w:b/>
                <w:bCs/>
                <w:sz w:val="16"/>
                <w:szCs w:val="16"/>
              </w:rPr>
              <w:fldChar w:fldCharType="separate"/>
            </w:r>
            <w:r w:rsidRPr="00DA4D40">
              <w:rPr>
                <w:rFonts w:ascii="Arial" w:hAnsi="Arial" w:cs="Arial"/>
                <w:b/>
                <w:bCs/>
                <w:noProof/>
                <w:sz w:val="16"/>
                <w:szCs w:val="16"/>
              </w:rPr>
              <w:t>2</w:t>
            </w:r>
            <w:r w:rsidRPr="00DA4D40">
              <w:rPr>
                <w:rFonts w:ascii="Arial" w:hAnsi="Arial" w:cs="Arial"/>
                <w:b/>
                <w:bCs/>
                <w:sz w:val="16"/>
                <w:szCs w:val="16"/>
              </w:rPr>
              <w:fldChar w:fldCharType="end"/>
            </w:r>
          </w:p>
        </w:sdtContent>
      </w:sdt>
    </w:sdtContent>
  </w:sdt>
  <w:p w14:paraId="72E33998" w14:textId="77777777" w:rsidR="00DA4D40" w:rsidRDefault="00DA4D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7B9D4A" w14:textId="32B27FCB" w:rsidR="00DA4D40" w:rsidRPr="00DA4D40" w:rsidRDefault="00DA4D40" w:rsidP="00DA4D40">
    <w:pPr>
      <w:pStyle w:val="Footer"/>
      <w:jc w:val="right"/>
      <w:rPr>
        <w:rFonts w:ascii="Arial" w:hAnsi="Arial" w:cs="Arial"/>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2464C6" w14:textId="77777777" w:rsidR="00DA4D40" w:rsidRDefault="00DA4D40" w:rsidP="00DA4D40">
      <w:pPr>
        <w:spacing w:after="0" w:line="240" w:lineRule="auto"/>
      </w:pPr>
      <w:r>
        <w:separator/>
      </w:r>
    </w:p>
  </w:footnote>
  <w:footnote w:type="continuationSeparator" w:id="0">
    <w:p w14:paraId="155384D2" w14:textId="77777777" w:rsidR="00DA4D40" w:rsidRDefault="00DA4D40" w:rsidP="00DA4D40">
      <w:pPr>
        <w:spacing w:after="0" w:line="240" w:lineRule="auto"/>
      </w:pPr>
      <w:r>
        <w:continuationSeparator/>
      </w:r>
    </w:p>
  </w:footnote>
  <w:footnote w:id="1">
    <w:p w14:paraId="2A1CDB97" w14:textId="77777777" w:rsidR="003B5F9A" w:rsidRDefault="003B5F9A" w:rsidP="003B5F9A">
      <w:pPr>
        <w:pStyle w:val="FootnoteText"/>
      </w:pPr>
      <w:r>
        <w:rPr>
          <w:rStyle w:val="FootnoteReference"/>
        </w:rPr>
        <w:footnoteRef/>
      </w:r>
      <w:r>
        <w:t xml:space="preserve"> </w:t>
      </w:r>
      <w:hyperlink r:id="rId1" w:history="1">
        <w:r w:rsidRPr="009F0908">
          <w:rPr>
            <w:rStyle w:val="Hyperlink"/>
          </w:rPr>
          <w:t>https://www.gov.uk/government/publications/coronavirus-job-retention-scheme-screening-equality-impact-assessment/coronavirus-job-retention-scheme</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64122"/>
    <w:multiLevelType w:val="hybridMultilevel"/>
    <w:tmpl w:val="28D26D6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CA777CA"/>
    <w:multiLevelType w:val="hybridMultilevel"/>
    <w:tmpl w:val="3446C4E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68325477">
    <w:abstractNumId w:val="0"/>
  </w:num>
  <w:num w:numId="2" w16cid:durableId="1334989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D40"/>
    <w:rsid w:val="000A2418"/>
    <w:rsid w:val="000D6034"/>
    <w:rsid w:val="00106138"/>
    <w:rsid w:val="00120FBE"/>
    <w:rsid w:val="0015754A"/>
    <w:rsid w:val="001E6E25"/>
    <w:rsid w:val="001F2228"/>
    <w:rsid w:val="002B42DC"/>
    <w:rsid w:val="0033516A"/>
    <w:rsid w:val="00364764"/>
    <w:rsid w:val="003A2EBE"/>
    <w:rsid w:val="003A45C1"/>
    <w:rsid w:val="003B5F9A"/>
    <w:rsid w:val="003C708A"/>
    <w:rsid w:val="0043583A"/>
    <w:rsid w:val="004D434D"/>
    <w:rsid w:val="004D5797"/>
    <w:rsid w:val="004E15AE"/>
    <w:rsid w:val="005C1A2D"/>
    <w:rsid w:val="005D7AFE"/>
    <w:rsid w:val="00671E89"/>
    <w:rsid w:val="006F18D5"/>
    <w:rsid w:val="006F7367"/>
    <w:rsid w:val="00751529"/>
    <w:rsid w:val="00777F92"/>
    <w:rsid w:val="007F23A5"/>
    <w:rsid w:val="00815F99"/>
    <w:rsid w:val="0083538B"/>
    <w:rsid w:val="00923790"/>
    <w:rsid w:val="009569CD"/>
    <w:rsid w:val="009A6759"/>
    <w:rsid w:val="00A163C8"/>
    <w:rsid w:val="00A215D8"/>
    <w:rsid w:val="00A342AB"/>
    <w:rsid w:val="00A349C7"/>
    <w:rsid w:val="00A636B4"/>
    <w:rsid w:val="00A96672"/>
    <w:rsid w:val="00AD15E0"/>
    <w:rsid w:val="00B15086"/>
    <w:rsid w:val="00B2532D"/>
    <w:rsid w:val="00B278D7"/>
    <w:rsid w:val="00BD2CD2"/>
    <w:rsid w:val="00C00FE9"/>
    <w:rsid w:val="00C81EC3"/>
    <w:rsid w:val="00CD1263"/>
    <w:rsid w:val="00D07161"/>
    <w:rsid w:val="00D373E0"/>
    <w:rsid w:val="00DA4D40"/>
    <w:rsid w:val="00E27A8B"/>
    <w:rsid w:val="00E75B70"/>
    <w:rsid w:val="00E8207E"/>
    <w:rsid w:val="00FA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9D25D"/>
  <w15:chartTrackingRefBased/>
  <w15:docId w15:val="{3168957E-DA3C-4833-80C1-7872BF679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4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4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D40"/>
    <w:rPr>
      <w:rFonts w:eastAsiaTheme="majorEastAsia" w:cstheme="majorBidi"/>
      <w:color w:val="272727" w:themeColor="text1" w:themeTint="D8"/>
    </w:rPr>
  </w:style>
  <w:style w:type="paragraph" w:styleId="Title">
    <w:name w:val="Title"/>
    <w:basedOn w:val="Normal"/>
    <w:next w:val="Normal"/>
    <w:link w:val="TitleChar"/>
    <w:uiPriority w:val="10"/>
    <w:qFormat/>
    <w:rsid w:val="00DA4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D40"/>
    <w:pPr>
      <w:spacing w:before="160"/>
      <w:jc w:val="center"/>
    </w:pPr>
    <w:rPr>
      <w:i/>
      <w:iCs/>
      <w:color w:val="404040" w:themeColor="text1" w:themeTint="BF"/>
    </w:rPr>
  </w:style>
  <w:style w:type="character" w:customStyle="1" w:styleId="QuoteChar">
    <w:name w:val="Quote Char"/>
    <w:basedOn w:val="DefaultParagraphFont"/>
    <w:link w:val="Quote"/>
    <w:uiPriority w:val="29"/>
    <w:rsid w:val="00DA4D40"/>
    <w:rPr>
      <w:i/>
      <w:iCs/>
      <w:color w:val="404040" w:themeColor="text1" w:themeTint="BF"/>
    </w:rPr>
  </w:style>
  <w:style w:type="paragraph" w:styleId="ListParagraph">
    <w:name w:val="List Paragraph"/>
    <w:basedOn w:val="Normal"/>
    <w:uiPriority w:val="34"/>
    <w:qFormat/>
    <w:rsid w:val="00DA4D40"/>
    <w:pPr>
      <w:ind w:left="720"/>
      <w:contextualSpacing/>
    </w:pPr>
  </w:style>
  <w:style w:type="character" w:styleId="IntenseEmphasis">
    <w:name w:val="Intense Emphasis"/>
    <w:basedOn w:val="DefaultParagraphFont"/>
    <w:uiPriority w:val="21"/>
    <w:qFormat/>
    <w:rsid w:val="00DA4D40"/>
    <w:rPr>
      <w:i/>
      <w:iCs/>
      <w:color w:val="0F4761" w:themeColor="accent1" w:themeShade="BF"/>
    </w:rPr>
  </w:style>
  <w:style w:type="paragraph" w:styleId="IntenseQuote">
    <w:name w:val="Intense Quote"/>
    <w:basedOn w:val="Normal"/>
    <w:next w:val="Normal"/>
    <w:link w:val="IntenseQuoteChar"/>
    <w:uiPriority w:val="30"/>
    <w:qFormat/>
    <w:rsid w:val="00DA4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D40"/>
    <w:rPr>
      <w:i/>
      <w:iCs/>
      <w:color w:val="0F4761" w:themeColor="accent1" w:themeShade="BF"/>
    </w:rPr>
  </w:style>
  <w:style w:type="character" w:styleId="IntenseReference">
    <w:name w:val="Intense Reference"/>
    <w:basedOn w:val="DefaultParagraphFont"/>
    <w:uiPriority w:val="32"/>
    <w:qFormat/>
    <w:rsid w:val="00DA4D40"/>
    <w:rPr>
      <w:b/>
      <w:bCs/>
      <w:smallCaps/>
      <w:color w:val="0F4761" w:themeColor="accent1" w:themeShade="BF"/>
      <w:spacing w:val="5"/>
    </w:rPr>
  </w:style>
  <w:style w:type="paragraph" w:styleId="Header">
    <w:name w:val="header"/>
    <w:basedOn w:val="Normal"/>
    <w:link w:val="HeaderChar"/>
    <w:uiPriority w:val="99"/>
    <w:unhideWhenUsed/>
    <w:rsid w:val="00DA4D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D40"/>
  </w:style>
  <w:style w:type="paragraph" w:styleId="Footer">
    <w:name w:val="footer"/>
    <w:basedOn w:val="Normal"/>
    <w:link w:val="FooterChar"/>
    <w:uiPriority w:val="99"/>
    <w:unhideWhenUsed/>
    <w:rsid w:val="00DA4D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40"/>
  </w:style>
  <w:style w:type="character" w:styleId="CommentReference">
    <w:name w:val="annotation reference"/>
    <w:basedOn w:val="DefaultParagraphFont"/>
    <w:uiPriority w:val="99"/>
    <w:semiHidden/>
    <w:unhideWhenUsed/>
    <w:rsid w:val="00A349C7"/>
    <w:rPr>
      <w:sz w:val="16"/>
      <w:szCs w:val="16"/>
    </w:rPr>
  </w:style>
  <w:style w:type="paragraph" w:styleId="CommentText">
    <w:name w:val="annotation text"/>
    <w:basedOn w:val="Normal"/>
    <w:link w:val="CommentTextChar"/>
    <w:uiPriority w:val="99"/>
    <w:unhideWhenUsed/>
    <w:rsid w:val="00A349C7"/>
    <w:pPr>
      <w:spacing w:line="240" w:lineRule="auto"/>
    </w:pPr>
    <w:rPr>
      <w:sz w:val="20"/>
      <w:szCs w:val="20"/>
    </w:rPr>
  </w:style>
  <w:style w:type="character" w:customStyle="1" w:styleId="CommentTextChar">
    <w:name w:val="Comment Text Char"/>
    <w:basedOn w:val="DefaultParagraphFont"/>
    <w:link w:val="CommentText"/>
    <w:uiPriority w:val="99"/>
    <w:rsid w:val="00A349C7"/>
    <w:rPr>
      <w:sz w:val="20"/>
      <w:szCs w:val="20"/>
    </w:rPr>
  </w:style>
  <w:style w:type="character" w:styleId="Hyperlink">
    <w:name w:val="Hyperlink"/>
    <w:basedOn w:val="DefaultParagraphFont"/>
    <w:uiPriority w:val="99"/>
    <w:unhideWhenUsed/>
    <w:rsid w:val="00A349C7"/>
    <w:rPr>
      <w:color w:val="467886" w:themeColor="hyperlink"/>
      <w:u w:val="single"/>
    </w:rPr>
  </w:style>
  <w:style w:type="paragraph" w:styleId="FootnoteText">
    <w:name w:val="footnote text"/>
    <w:basedOn w:val="Normal"/>
    <w:link w:val="FootnoteTextChar"/>
    <w:uiPriority w:val="99"/>
    <w:semiHidden/>
    <w:unhideWhenUsed/>
    <w:rsid w:val="003B5F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5F9A"/>
    <w:rPr>
      <w:sz w:val="20"/>
      <w:szCs w:val="20"/>
    </w:rPr>
  </w:style>
  <w:style w:type="character" w:styleId="FootnoteReference">
    <w:name w:val="footnote reference"/>
    <w:basedOn w:val="DefaultParagraphFont"/>
    <w:uiPriority w:val="99"/>
    <w:semiHidden/>
    <w:unhideWhenUsed/>
    <w:rsid w:val="003B5F9A"/>
    <w:rPr>
      <w:vertAlign w:val="superscript"/>
    </w:rPr>
  </w:style>
  <w:style w:type="table" w:styleId="TableGrid">
    <w:name w:val="Table Grid"/>
    <w:basedOn w:val="TableNormal"/>
    <w:uiPriority w:val="39"/>
    <w:rsid w:val="00C00F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45C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75B7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252481">
      <w:bodyDiv w:val="1"/>
      <w:marLeft w:val="0"/>
      <w:marRight w:val="0"/>
      <w:marTop w:val="0"/>
      <w:marBottom w:val="0"/>
      <w:divBdr>
        <w:top w:val="none" w:sz="0" w:space="0" w:color="auto"/>
        <w:left w:val="none" w:sz="0" w:space="0" w:color="auto"/>
        <w:bottom w:val="none" w:sz="0" w:space="0" w:color="auto"/>
        <w:right w:val="none" w:sz="0" w:space="0" w:color="auto"/>
      </w:divBdr>
    </w:div>
    <w:div w:id="873077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gov.uk/government/publications/coronavirus-job-retention-scheme-screening-equality-impact-assessment/coronavirus-job-retention-sche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43bad2e9122e15c9375a66d84cf3c11a">
  <xsd:schema xmlns:xsd="http://www.w3.org/2001/XMLSchema" xmlns:xs="http://www.w3.org/2001/XMLSchema" xmlns:p="http://schemas.microsoft.com/office/2006/metadata/properties" xmlns:ns3="0085e1a2-9cbf-4b92-866b-21f3c89040b6" targetNamespace="http://schemas.microsoft.com/office/2006/metadata/properties" ma:root="true" ma:fieldsID="e074b9bcf47e4d577cf32cba7886fddd"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B4D336C-6DE5-410A-89C5-23FFDA6361A0}">
  <ds:schemaRefs>
    <ds:schemaRef ds:uri="http://schemas.microsoft.com/sharepoint/v3/contenttype/forms"/>
  </ds:schemaRefs>
</ds:datastoreItem>
</file>

<file path=customXml/itemProps2.xml><?xml version="1.0" encoding="utf-8"?>
<ds:datastoreItem xmlns:ds="http://schemas.openxmlformats.org/officeDocument/2006/customXml" ds:itemID="{CF120AB7-D485-46FB-8CBB-7F1E047366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1C9DE9-49A8-45B1-8862-28B51781C5E2}">
  <ds:schemaRefs>
    <ds:schemaRef ds:uri="http://schemas.openxmlformats.org/officeDocument/2006/bibliography"/>
  </ds:schemaRefs>
</ds:datastoreItem>
</file>

<file path=customXml/itemProps4.xml><?xml version="1.0" encoding="utf-8"?>
<ds:datastoreItem xmlns:ds="http://schemas.openxmlformats.org/officeDocument/2006/customXml" ds:itemID="{511744C9-C3F9-4D2A-8AE0-218D3D571BF3}">
  <ds:schemaRefs>
    <ds:schemaRef ds:uri="http://purl.org/dc/dcmitype/"/>
    <ds:schemaRef ds:uri="http://schemas.microsoft.com/office/infopath/2007/PartnerControls"/>
    <ds:schemaRef ds:uri="http://purl.org/dc/terms/"/>
    <ds:schemaRef ds:uri="http://purl.org/dc/elements/1.1/"/>
    <ds:schemaRef ds:uri="http://schemas.openxmlformats.org/package/2006/metadata/core-properties"/>
    <ds:schemaRef ds:uri="http://schemas.microsoft.com/office/2006/documentManagement/types"/>
    <ds:schemaRef ds:uri="0085e1a2-9cbf-4b92-866b-21f3c89040b6"/>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Thomas (2419388)</dc:creator>
  <cp:keywords/>
  <dc:description/>
  <cp:lastModifiedBy>Amy Thomas (2419388)</cp:lastModifiedBy>
  <cp:revision>3</cp:revision>
  <dcterms:created xsi:type="dcterms:W3CDTF">2025-04-08T20:31:00Z</dcterms:created>
  <dcterms:modified xsi:type="dcterms:W3CDTF">2025-04-08T20:31:00Z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