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966C0" w14:textId="7516DCBF" w:rsidR="002B1CF7" w:rsidRDefault="002B1CF7" w:rsidP="002B1CF7">
      <w:r>
        <w:rPr>
          <w:noProof/>
        </w:rPr>
        <w:drawing>
          <wp:inline distT="0" distB="0" distL="0" distR="0" wp14:anchorId="718E5615" wp14:editId="5B5BF18B">
            <wp:extent cx="5715000" cy="1897380"/>
            <wp:effectExtent l="0" t="0" r="0" b="7620"/>
            <wp:docPr id="21079371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3712"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3E37CF28" w14:textId="77777777" w:rsidR="002B1CF7" w:rsidRDefault="002B1CF7" w:rsidP="002B1CF7"/>
    <w:p w14:paraId="7E1311A9" w14:textId="77777777" w:rsidR="002B1CF7" w:rsidRDefault="002B1CF7" w:rsidP="002B1CF7"/>
    <w:p w14:paraId="3C998252" w14:textId="77777777" w:rsidR="002B1CF7" w:rsidRDefault="002B1CF7" w:rsidP="002B1CF7">
      <w:pPr>
        <w:jc w:val="center"/>
        <w:rPr>
          <w:rFonts w:ascii="Arial" w:hAnsi="Arial" w:cs="Arial"/>
          <w:b/>
          <w:bCs/>
          <w:sz w:val="52"/>
          <w:szCs w:val="52"/>
        </w:rPr>
      </w:pPr>
      <w:r>
        <w:rPr>
          <w:b/>
          <w:bCs/>
          <w:sz w:val="52"/>
          <w:szCs w:val="52"/>
        </w:rPr>
        <w:t>BA(Hons) Business Management</w:t>
      </w:r>
    </w:p>
    <w:p w14:paraId="68295C6D" w14:textId="77777777" w:rsidR="002B1CF7" w:rsidRDefault="002B1CF7" w:rsidP="002B1CF7">
      <w:pPr>
        <w:spacing w:line="600" w:lineRule="auto"/>
        <w:rPr>
          <w:rFonts w:ascii="Arial" w:hAnsi="Arial" w:cs="Arial"/>
          <w:i/>
          <w:iCs/>
        </w:rPr>
      </w:pPr>
    </w:p>
    <w:p w14:paraId="15CBBD3B" w14:textId="77777777" w:rsidR="002B1CF7" w:rsidRPr="00844791" w:rsidRDefault="002B1CF7" w:rsidP="002B1CF7">
      <w:pPr>
        <w:spacing w:line="600" w:lineRule="auto"/>
        <w:rPr>
          <w:rFonts w:ascii="Times New Roman" w:hAnsi="Times New Roman" w:cs="Times New Roman"/>
          <w:b/>
          <w:bCs/>
          <w:sz w:val="24"/>
          <w:szCs w:val="24"/>
        </w:rPr>
      </w:pPr>
      <w:r w:rsidRPr="00844791">
        <w:rPr>
          <w:rFonts w:ascii="Times New Roman" w:hAnsi="Times New Roman" w:cs="Times New Roman"/>
          <w:b/>
          <w:bCs/>
          <w:sz w:val="24"/>
          <w:szCs w:val="24"/>
        </w:rPr>
        <w:t xml:space="preserve">Student Name: </w:t>
      </w:r>
      <w:r w:rsidRPr="00844791">
        <w:rPr>
          <w:rFonts w:ascii="Times New Roman" w:hAnsi="Times New Roman" w:cs="Times New Roman"/>
          <w:sz w:val="24"/>
          <w:szCs w:val="24"/>
        </w:rPr>
        <w:t>Liliya Radoslavova Radeve</w:t>
      </w:r>
    </w:p>
    <w:p w14:paraId="44274F09" w14:textId="77777777" w:rsidR="002B1CF7" w:rsidRPr="00844791" w:rsidRDefault="002B1CF7" w:rsidP="002B1CF7">
      <w:pPr>
        <w:spacing w:line="600" w:lineRule="auto"/>
        <w:rPr>
          <w:rFonts w:ascii="Times New Roman" w:hAnsi="Times New Roman" w:cs="Times New Roman"/>
          <w:sz w:val="24"/>
          <w:szCs w:val="24"/>
        </w:rPr>
      </w:pPr>
      <w:r w:rsidRPr="00844791">
        <w:rPr>
          <w:rFonts w:ascii="Times New Roman" w:hAnsi="Times New Roman" w:cs="Times New Roman"/>
          <w:b/>
          <w:bCs/>
          <w:sz w:val="24"/>
          <w:szCs w:val="24"/>
        </w:rPr>
        <w:t xml:space="preserve">Student Number: </w:t>
      </w:r>
      <w:r w:rsidRPr="00844791">
        <w:rPr>
          <w:rFonts w:ascii="Times New Roman" w:hAnsi="Times New Roman" w:cs="Times New Roman"/>
          <w:sz w:val="24"/>
          <w:szCs w:val="24"/>
        </w:rPr>
        <w:t>2418897</w:t>
      </w:r>
    </w:p>
    <w:p w14:paraId="330FD480" w14:textId="601C65E3" w:rsidR="002B1CF7" w:rsidRPr="00844791" w:rsidRDefault="002B1CF7" w:rsidP="002B1CF7">
      <w:pPr>
        <w:spacing w:line="600" w:lineRule="auto"/>
        <w:rPr>
          <w:rFonts w:ascii="Times New Roman" w:hAnsi="Times New Roman" w:cs="Times New Roman"/>
          <w:sz w:val="24"/>
          <w:szCs w:val="24"/>
        </w:rPr>
      </w:pPr>
      <w:r w:rsidRPr="00844791">
        <w:rPr>
          <w:rFonts w:ascii="Times New Roman" w:hAnsi="Times New Roman" w:cs="Times New Roman"/>
          <w:b/>
          <w:bCs/>
          <w:sz w:val="24"/>
          <w:szCs w:val="24"/>
        </w:rPr>
        <w:t>Course Name:</w:t>
      </w:r>
      <w:r w:rsidRPr="00844791">
        <w:rPr>
          <w:rFonts w:ascii="Times New Roman" w:hAnsi="Times New Roman" w:cs="Times New Roman"/>
          <w:sz w:val="24"/>
          <w:szCs w:val="24"/>
        </w:rPr>
        <w:t xml:space="preserve"> </w:t>
      </w:r>
      <w:r w:rsidR="00A90082" w:rsidRPr="00844791">
        <w:rPr>
          <w:rFonts w:ascii="Times New Roman" w:hAnsi="Times New Roman" w:cs="Times New Roman"/>
          <w:sz w:val="24"/>
          <w:szCs w:val="24"/>
        </w:rPr>
        <w:t>Principles of Marketing (LCBB5015_LON)</w:t>
      </w:r>
    </w:p>
    <w:p w14:paraId="0158103D" w14:textId="2FCEDC7F" w:rsidR="002B1CF7" w:rsidRPr="00844791" w:rsidRDefault="002B1CF7" w:rsidP="002B1CF7">
      <w:pPr>
        <w:spacing w:line="600" w:lineRule="auto"/>
        <w:rPr>
          <w:rFonts w:ascii="Times New Roman" w:hAnsi="Times New Roman" w:cs="Times New Roman"/>
          <w:sz w:val="24"/>
          <w:szCs w:val="24"/>
        </w:rPr>
      </w:pPr>
      <w:r w:rsidRPr="00844791">
        <w:rPr>
          <w:rFonts w:ascii="Times New Roman" w:hAnsi="Times New Roman" w:cs="Times New Roman"/>
          <w:b/>
          <w:bCs/>
          <w:sz w:val="24"/>
          <w:szCs w:val="24"/>
        </w:rPr>
        <w:t xml:space="preserve">Lecturer Name: </w:t>
      </w:r>
      <w:proofErr w:type="spellStart"/>
      <w:r w:rsidR="008A5960" w:rsidRPr="008A5960">
        <w:rPr>
          <w:rFonts w:ascii="Times New Roman" w:hAnsi="Times New Roman" w:cs="Times New Roman"/>
          <w:sz w:val="24"/>
          <w:szCs w:val="24"/>
        </w:rPr>
        <w:t>Piyumika</w:t>
      </w:r>
      <w:proofErr w:type="spellEnd"/>
      <w:r w:rsidR="008A5960" w:rsidRPr="008A5960">
        <w:rPr>
          <w:rFonts w:ascii="Times New Roman" w:hAnsi="Times New Roman" w:cs="Times New Roman"/>
          <w:sz w:val="24"/>
          <w:szCs w:val="24"/>
        </w:rPr>
        <w:t xml:space="preserve"> K. Gamage</w:t>
      </w:r>
    </w:p>
    <w:p w14:paraId="2A73B08E" w14:textId="67167B62" w:rsidR="002B1CF7" w:rsidRDefault="002B1CF7" w:rsidP="002B1CF7">
      <w:pPr>
        <w:spacing w:line="600" w:lineRule="auto"/>
        <w:rPr>
          <w:rFonts w:ascii="Times New Roman" w:hAnsi="Times New Roman" w:cs="Times New Roman"/>
          <w:b/>
          <w:bCs/>
          <w:sz w:val="24"/>
          <w:szCs w:val="24"/>
        </w:rPr>
      </w:pPr>
      <w:r w:rsidRPr="00334F62">
        <w:rPr>
          <w:rFonts w:ascii="Times New Roman" w:hAnsi="Times New Roman" w:cs="Times New Roman"/>
          <w:b/>
          <w:bCs/>
          <w:sz w:val="24"/>
          <w:szCs w:val="24"/>
        </w:rPr>
        <w:t>Session:</w:t>
      </w:r>
      <w:r w:rsidRPr="00844791">
        <w:rPr>
          <w:rFonts w:ascii="Times New Roman" w:hAnsi="Times New Roman" w:cs="Times New Roman"/>
          <w:sz w:val="24"/>
          <w:szCs w:val="24"/>
        </w:rPr>
        <w:t xml:space="preserve"> </w:t>
      </w:r>
      <w:r w:rsidRPr="00844791">
        <w:rPr>
          <w:rFonts w:ascii="Times New Roman" w:hAnsi="Times New Roman" w:cs="Times New Roman"/>
          <w:sz w:val="24"/>
          <w:szCs w:val="24"/>
        </w:rPr>
        <w:t xml:space="preserve">December </w:t>
      </w:r>
      <w:r w:rsidRPr="00844791">
        <w:rPr>
          <w:rFonts w:ascii="Times New Roman" w:hAnsi="Times New Roman" w:cs="Times New Roman"/>
          <w:sz w:val="24"/>
          <w:szCs w:val="24"/>
        </w:rPr>
        <w:t>2025 Term</w:t>
      </w:r>
      <w:r w:rsidRPr="00844791">
        <w:rPr>
          <w:rFonts w:ascii="Times New Roman" w:hAnsi="Times New Roman" w:cs="Times New Roman"/>
          <w:b/>
          <w:bCs/>
          <w:sz w:val="24"/>
          <w:szCs w:val="24"/>
        </w:rPr>
        <w:t xml:space="preserve"> </w:t>
      </w:r>
    </w:p>
    <w:p w14:paraId="116E763E" w14:textId="77777777" w:rsidR="00334F62" w:rsidRDefault="00334F62" w:rsidP="002B1CF7">
      <w:pPr>
        <w:spacing w:line="600" w:lineRule="auto"/>
        <w:rPr>
          <w:rFonts w:ascii="Times New Roman" w:hAnsi="Times New Roman" w:cs="Times New Roman"/>
          <w:b/>
          <w:bCs/>
          <w:sz w:val="24"/>
          <w:szCs w:val="24"/>
        </w:rPr>
      </w:pPr>
      <w:r w:rsidRPr="00334F62">
        <w:rPr>
          <w:rFonts w:ascii="Times New Roman" w:hAnsi="Times New Roman" w:cs="Times New Roman"/>
          <w:b/>
          <w:bCs/>
          <w:sz w:val="24"/>
          <w:szCs w:val="24"/>
        </w:rPr>
        <w:t xml:space="preserve">Individual Report: </w:t>
      </w:r>
    </w:p>
    <w:p w14:paraId="094C2A44" w14:textId="70A8A929" w:rsidR="00334F62" w:rsidRPr="00334F62" w:rsidRDefault="00334F62" w:rsidP="002B1CF7">
      <w:pPr>
        <w:spacing w:line="600" w:lineRule="auto"/>
        <w:rPr>
          <w:rFonts w:ascii="Times New Roman" w:hAnsi="Times New Roman" w:cs="Times New Roman"/>
          <w:sz w:val="32"/>
          <w:szCs w:val="32"/>
        </w:rPr>
      </w:pPr>
      <w:r w:rsidRPr="00334F62">
        <w:rPr>
          <w:rFonts w:ascii="Times New Roman" w:hAnsi="Times New Roman" w:cs="Times New Roman"/>
          <w:sz w:val="32"/>
          <w:szCs w:val="32"/>
        </w:rPr>
        <w:t xml:space="preserve">Situational Analysis of </w:t>
      </w:r>
      <w:r w:rsidRPr="00334F62">
        <w:rPr>
          <w:rFonts w:ascii="Times New Roman" w:hAnsi="Times New Roman" w:cs="Times New Roman"/>
          <w:color w:val="0F9ED5" w:themeColor="accent4"/>
          <w:sz w:val="32"/>
          <w:szCs w:val="32"/>
        </w:rPr>
        <w:t xml:space="preserve">Barclays Bank PLC </w:t>
      </w:r>
      <w:r w:rsidRPr="00334F62">
        <w:rPr>
          <w:rFonts w:ascii="Times New Roman" w:hAnsi="Times New Roman" w:cs="Times New Roman"/>
          <w:sz w:val="32"/>
          <w:szCs w:val="32"/>
        </w:rPr>
        <w:t>Using the PESTLE Model</w:t>
      </w:r>
    </w:p>
    <w:p w14:paraId="119B28B9" w14:textId="77777777" w:rsidR="00444107" w:rsidRDefault="00444107" w:rsidP="002B1CF7">
      <w:pPr>
        <w:spacing w:line="600" w:lineRule="auto"/>
        <w:rPr>
          <w:rFonts w:ascii="Arial" w:hAnsi="Arial" w:cs="Arial"/>
          <w:b/>
          <w:bCs/>
          <w:i/>
          <w:iCs/>
        </w:rPr>
      </w:pPr>
    </w:p>
    <w:p w14:paraId="312A2462" w14:textId="77777777" w:rsidR="00444107" w:rsidRDefault="00444107" w:rsidP="002B1CF7">
      <w:pPr>
        <w:spacing w:line="600" w:lineRule="auto"/>
        <w:rPr>
          <w:rFonts w:ascii="Arial" w:hAnsi="Arial" w:cs="Arial"/>
          <w:b/>
          <w:bCs/>
          <w:i/>
          <w:iCs/>
        </w:rPr>
      </w:pPr>
    </w:p>
    <w:p w14:paraId="30897C61" w14:textId="77777777" w:rsidR="00A6066E" w:rsidRDefault="00A6066E" w:rsidP="002B1CF7">
      <w:pPr>
        <w:spacing w:line="600" w:lineRule="auto"/>
        <w:rPr>
          <w:rFonts w:ascii="Arial" w:hAnsi="Arial" w:cs="Arial"/>
          <w:b/>
          <w:bCs/>
          <w:i/>
          <w:iCs/>
        </w:rPr>
        <w:sectPr w:rsidR="00A6066E" w:rsidSect="00652380">
          <w:footerReference w:type="default" r:id="rId9"/>
          <w:pgSz w:w="11906" w:h="16838"/>
          <w:pgMar w:top="1440" w:right="1440" w:bottom="1440" w:left="1440" w:header="708" w:footer="708" w:gutter="0"/>
          <w:cols w:space="708"/>
          <w:titlePg/>
          <w:docGrid w:linePitch="360"/>
        </w:sectPr>
      </w:pPr>
    </w:p>
    <w:p w14:paraId="1B37AD2A" w14:textId="76FA0545" w:rsidR="00207152" w:rsidRPr="00194B73" w:rsidRDefault="00194B73" w:rsidP="00194B73">
      <w:pPr>
        <w:spacing w:after="120" w:line="360" w:lineRule="auto"/>
        <w:rPr>
          <w:rFonts w:ascii="Times New Roman" w:eastAsia="Times New Roman" w:hAnsi="Times New Roman" w:cs="Times New Roman"/>
          <w:b/>
          <w:bCs/>
          <w:color w:val="0F9ED5" w:themeColor="accent4"/>
          <w:sz w:val="28"/>
          <w:szCs w:val="28"/>
          <w:lang w:eastAsia="en-GB"/>
        </w:rPr>
      </w:pPr>
      <w:r>
        <w:rPr>
          <w:rFonts w:ascii="Times New Roman" w:eastAsia="Times New Roman" w:hAnsi="Times New Roman" w:cs="Times New Roman"/>
          <w:b/>
          <w:bCs/>
          <w:color w:val="0F9ED5" w:themeColor="accent4"/>
          <w:sz w:val="28"/>
          <w:szCs w:val="28"/>
          <w:lang w:eastAsia="en-GB"/>
        </w:rPr>
        <w:lastRenderedPageBreak/>
        <w:t xml:space="preserve">1. </w:t>
      </w:r>
      <w:r w:rsidR="00207152" w:rsidRPr="00194B73">
        <w:rPr>
          <w:rFonts w:ascii="Times New Roman" w:eastAsia="Times New Roman" w:hAnsi="Times New Roman" w:cs="Times New Roman"/>
          <w:b/>
          <w:bCs/>
          <w:color w:val="0F9ED5" w:themeColor="accent4"/>
          <w:sz w:val="28"/>
          <w:szCs w:val="28"/>
          <w:lang w:eastAsia="en-GB"/>
        </w:rPr>
        <w:t>Introduction</w:t>
      </w:r>
    </w:p>
    <w:p w14:paraId="243E6D4E"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 xml:space="preserve">As the newly appointed Marketing Manager at Barclays Bank PLC, one of the leading financial institutions in the United Kingdom, my role focuses on strengthening marketing decision-making through data-driven and customer-orientated strategies. Operating within the banking and financial services sector, Barclays offers retail and business banking, corporate lending, wealth management, and digital financial solutions. Founded in 1690 and headquartered in London, the bank serves millions of clients across over 40 countries, maintaining its position among the UK’s </w:t>
      </w:r>
      <w:r w:rsidRPr="00152983">
        <w:rPr>
          <w:rFonts w:ascii="Times New Roman" w:eastAsia="Times New Roman" w:hAnsi="Times New Roman" w:cs="Times New Roman"/>
          <w:iCs/>
          <w:sz w:val="24"/>
          <w:szCs w:val="24"/>
          <w:lang w:eastAsia="en-GB"/>
        </w:rPr>
        <w:t>“Big Four”</w:t>
      </w:r>
      <w:r w:rsidRPr="00152983">
        <w:rPr>
          <w:rFonts w:ascii="Times New Roman" w:eastAsia="Times New Roman" w:hAnsi="Times New Roman" w:cs="Times New Roman"/>
          <w:sz w:val="24"/>
          <w:szCs w:val="24"/>
          <w:lang w:eastAsia="en-GB"/>
        </w:rPr>
        <w:t xml:space="preserve"> banks alongside HSBC, Lloyds, and NatWest.</w:t>
      </w:r>
    </w:p>
    <w:p w14:paraId="09F4123F"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The purpose of this report is to conduct a PESTLE analysis to identify key macro-environmental factors influencing Barclays’ marketing performance. This analysis will inform strategic decisions, highlight emerging opportunities and risks, and provide recommendations to strengthen Barclays’ market leadership in an evolving global financial landscape.</w:t>
      </w:r>
    </w:p>
    <w:p w14:paraId="787A598A" w14:textId="1FB3DB4E" w:rsidR="007428C2" w:rsidRPr="00A772FE" w:rsidRDefault="00A772FE" w:rsidP="00152983">
      <w:pPr>
        <w:spacing w:after="120" w:line="360" w:lineRule="auto"/>
        <w:rPr>
          <w:rFonts w:ascii="Times New Roman" w:eastAsia="Times New Roman" w:hAnsi="Times New Roman" w:cs="Times New Roman"/>
          <w:b/>
          <w:bCs/>
          <w:color w:val="0F9ED5" w:themeColor="accent4"/>
          <w:sz w:val="28"/>
          <w:szCs w:val="28"/>
          <w:lang w:eastAsia="en-GB"/>
        </w:rPr>
      </w:pPr>
      <w:r>
        <w:rPr>
          <w:rFonts w:ascii="Times New Roman" w:eastAsia="Times New Roman" w:hAnsi="Times New Roman" w:cs="Times New Roman"/>
          <w:b/>
          <w:bCs/>
          <w:color w:val="0F9ED5" w:themeColor="accent4"/>
          <w:sz w:val="28"/>
          <w:szCs w:val="28"/>
          <w:lang w:eastAsia="en-GB"/>
        </w:rPr>
        <w:t xml:space="preserve">2. </w:t>
      </w:r>
      <w:r w:rsidR="007428C2" w:rsidRPr="00A772FE">
        <w:rPr>
          <w:rFonts w:ascii="Times New Roman" w:eastAsia="Times New Roman" w:hAnsi="Times New Roman" w:cs="Times New Roman"/>
          <w:b/>
          <w:bCs/>
          <w:color w:val="0F9ED5" w:themeColor="accent4"/>
          <w:sz w:val="28"/>
          <w:szCs w:val="28"/>
          <w:lang w:eastAsia="en-GB"/>
        </w:rPr>
        <w:t>Situational Analysis</w:t>
      </w:r>
    </w:p>
    <w:p w14:paraId="08C9EEE2"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 xml:space="preserve">As a marketing manager, understanding the macro-environmental factors that influence Barclays Bank PLC is essential for effective decision-making. The PESTLE framework helps analyse the political, economic, social, technological, legal, and environmental forces that shape the bank’s strategy and competitiveness (Kotler, Armstrong, &amp; </w:t>
      </w:r>
      <w:proofErr w:type="spellStart"/>
      <w:r w:rsidRPr="00152983">
        <w:rPr>
          <w:rFonts w:ascii="Times New Roman" w:eastAsia="Times New Roman" w:hAnsi="Times New Roman" w:cs="Times New Roman"/>
          <w:sz w:val="24"/>
          <w:szCs w:val="24"/>
          <w:lang w:eastAsia="en-GB"/>
        </w:rPr>
        <w:t>Opresnik</w:t>
      </w:r>
      <w:proofErr w:type="spellEnd"/>
      <w:r w:rsidRPr="00152983">
        <w:rPr>
          <w:rFonts w:ascii="Times New Roman" w:eastAsia="Times New Roman" w:hAnsi="Times New Roman" w:cs="Times New Roman"/>
          <w:sz w:val="24"/>
          <w:szCs w:val="24"/>
          <w:lang w:eastAsia="en-GB"/>
        </w:rPr>
        <w:t>, 2018).</w:t>
      </w:r>
    </w:p>
    <w:p w14:paraId="73007CFC"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Political Factors</w:t>
      </w:r>
    </w:p>
    <w:p w14:paraId="74C7C8B4"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The Financial Conduct Authority (FCA) and Bank of England policies shape the highly regulated banking sector in the UK. These institutions influence lending, credit marketing, and communication standards. Post-Brexit changes continue to affect EU operations and compliance. While regulation limits flexibility, it also promotes transparency and trust. By embedding ethical communication and regulatory responsibility, Barclays can strengthen its credibility and reputation (Blythe, 2013).</w:t>
      </w:r>
    </w:p>
    <w:p w14:paraId="003F1D1A" w14:textId="77777777" w:rsidR="000E74B5" w:rsidRPr="00152983" w:rsidRDefault="000E74B5" w:rsidP="00152983">
      <w:pPr>
        <w:spacing w:after="120" w:line="360" w:lineRule="auto"/>
        <w:rPr>
          <w:rFonts w:ascii="Times New Roman" w:eastAsia="Times New Roman" w:hAnsi="Times New Roman" w:cs="Times New Roman"/>
          <w:sz w:val="24"/>
          <w:szCs w:val="24"/>
          <w:lang w:eastAsia="en-GB"/>
        </w:rPr>
      </w:pPr>
    </w:p>
    <w:p w14:paraId="55EECA2F" w14:textId="77777777" w:rsidR="000E74B5" w:rsidRPr="00152983" w:rsidRDefault="000E74B5" w:rsidP="00152983">
      <w:pPr>
        <w:spacing w:after="120" w:line="360" w:lineRule="auto"/>
        <w:rPr>
          <w:rFonts w:ascii="Times New Roman" w:eastAsia="Times New Roman" w:hAnsi="Times New Roman" w:cs="Times New Roman"/>
          <w:sz w:val="24"/>
          <w:szCs w:val="24"/>
          <w:lang w:eastAsia="en-GB"/>
        </w:rPr>
      </w:pPr>
    </w:p>
    <w:p w14:paraId="77F562A7" w14:textId="77777777" w:rsidR="00045160" w:rsidRDefault="00045160" w:rsidP="00152983">
      <w:pPr>
        <w:spacing w:after="120" w:line="360" w:lineRule="auto"/>
        <w:rPr>
          <w:rFonts w:ascii="Times New Roman" w:eastAsia="Times New Roman" w:hAnsi="Times New Roman" w:cs="Times New Roman"/>
          <w:sz w:val="24"/>
          <w:szCs w:val="24"/>
          <w:lang w:eastAsia="en-GB"/>
        </w:rPr>
      </w:pPr>
    </w:p>
    <w:p w14:paraId="10AA8202" w14:textId="77777777" w:rsidR="00045160" w:rsidRDefault="00045160" w:rsidP="00152983">
      <w:pPr>
        <w:spacing w:after="120" w:line="360" w:lineRule="auto"/>
        <w:rPr>
          <w:rFonts w:ascii="Times New Roman" w:eastAsia="Times New Roman" w:hAnsi="Times New Roman" w:cs="Times New Roman"/>
          <w:sz w:val="24"/>
          <w:szCs w:val="24"/>
          <w:lang w:eastAsia="en-GB"/>
        </w:rPr>
      </w:pPr>
    </w:p>
    <w:p w14:paraId="4D7F68D9" w14:textId="4F69A2C5" w:rsidR="007428C2" w:rsidRPr="00045160" w:rsidRDefault="00F914AE" w:rsidP="00152983">
      <w:pPr>
        <w:spacing w:after="120" w:line="360" w:lineRule="auto"/>
        <w:rPr>
          <w:rFonts w:ascii="Times New Roman" w:eastAsia="Times New Roman" w:hAnsi="Times New Roman" w:cs="Times New Roman"/>
          <w:b/>
          <w:bCs/>
          <w:color w:val="0F9ED5" w:themeColor="accent4"/>
          <w:sz w:val="24"/>
          <w:szCs w:val="24"/>
          <w:lang w:eastAsia="en-GB"/>
        </w:rPr>
      </w:pPr>
      <w:r>
        <w:rPr>
          <w:rFonts w:ascii="Times New Roman" w:eastAsia="Times New Roman" w:hAnsi="Times New Roman" w:cs="Times New Roman"/>
          <w:b/>
          <w:bCs/>
          <w:color w:val="0F9ED5" w:themeColor="accent4"/>
          <w:sz w:val="24"/>
          <w:szCs w:val="24"/>
          <w:lang w:eastAsia="en-GB"/>
        </w:rPr>
        <w:lastRenderedPageBreak/>
        <w:t xml:space="preserve">2.1. </w:t>
      </w:r>
      <w:r w:rsidR="007428C2" w:rsidRPr="00045160">
        <w:rPr>
          <w:rFonts w:ascii="Times New Roman" w:eastAsia="Times New Roman" w:hAnsi="Times New Roman" w:cs="Times New Roman"/>
          <w:b/>
          <w:bCs/>
          <w:color w:val="0F9ED5" w:themeColor="accent4"/>
          <w:sz w:val="24"/>
          <w:szCs w:val="24"/>
          <w:lang w:eastAsia="en-GB"/>
        </w:rPr>
        <w:t>Economic Factors</w:t>
      </w:r>
    </w:p>
    <w:p w14:paraId="2BE6210E"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Macroeconomic trends directly impact consumer confidence. The IMF (2025) forecasts UK GDP growth of 0.6%, inflation at 2.2%, and interest rates at 4.5% (Bank of England, 2025). These conditions affect demand for loans and savings products. Aligning marketing campaigns with economic realities—through financial literacy programmes and flexible financial solutions—can enhance customer loyalty. As Baines, Fill &amp; Page (2014) note, economic sensitivity allows marketers to build stronger value propositions.</w:t>
      </w:r>
    </w:p>
    <w:p w14:paraId="1FC8E020" w14:textId="6C473EB3" w:rsidR="007428C2" w:rsidRPr="00045160" w:rsidRDefault="00F914AE" w:rsidP="00152983">
      <w:pPr>
        <w:spacing w:after="120" w:line="360" w:lineRule="auto"/>
        <w:rPr>
          <w:rFonts w:ascii="Times New Roman" w:eastAsia="Times New Roman" w:hAnsi="Times New Roman" w:cs="Times New Roman"/>
          <w:b/>
          <w:bCs/>
          <w:color w:val="0F9ED5" w:themeColor="accent4"/>
          <w:sz w:val="24"/>
          <w:szCs w:val="24"/>
          <w:lang w:eastAsia="en-GB"/>
        </w:rPr>
      </w:pPr>
      <w:r>
        <w:rPr>
          <w:rFonts w:ascii="Times New Roman" w:eastAsia="Times New Roman" w:hAnsi="Times New Roman" w:cs="Times New Roman"/>
          <w:b/>
          <w:bCs/>
          <w:color w:val="0F9ED5" w:themeColor="accent4"/>
          <w:sz w:val="24"/>
          <w:szCs w:val="24"/>
          <w:lang w:eastAsia="en-GB"/>
        </w:rPr>
        <w:t xml:space="preserve">2.2. </w:t>
      </w:r>
      <w:r w:rsidR="007428C2" w:rsidRPr="00045160">
        <w:rPr>
          <w:rFonts w:ascii="Times New Roman" w:eastAsia="Times New Roman" w:hAnsi="Times New Roman" w:cs="Times New Roman"/>
          <w:b/>
          <w:bCs/>
          <w:color w:val="0F9ED5" w:themeColor="accent4"/>
          <w:sz w:val="24"/>
          <w:szCs w:val="24"/>
          <w:lang w:eastAsia="en-GB"/>
        </w:rPr>
        <w:t>Social Factors</w:t>
      </w:r>
    </w:p>
    <w:p w14:paraId="784ADDC0"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Shifts in social attitudes highlight growing demand for ethical, inclusive, and digital banking. Customers value sustainability and community impact. Barclays’ diversity and social initiatives already enhance its image, yet greater focus on emotional connection and responsible communication can further strengthen trust and retention (Kotler &amp; Keller, 2016).</w:t>
      </w:r>
    </w:p>
    <w:p w14:paraId="44C67842" w14:textId="216C819A" w:rsidR="007428C2" w:rsidRPr="00045160" w:rsidRDefault="00F914AE" w:rsidP="00152983">
      <w:pPr>
        <w:spacing w:after="120" w:line="360" w:lineRule="auto"/>
        <w:rPr>
          <w:rFonts w:ascii="Times New Roman" w:eastAsia="Times New Roman" w:hAnsi="Times New Roman" w:cs="Times New Roman"/>
          <w:b/>
          <w:bCs/>
          <w:color w:val="0F9ED5" w:themeColor="accent4"/>
          <w:sz w:val="24"/>
          <w:szCs w:val="24"/>
          <w:lang w:eastAsia="en-GB"/>
        </w:rPr>
      </w:pPr>
      <w:r>
        <w:rPr>
          <w:rFonts w:ascii="Times New Roman" w:eastAsia="Times New Roman" w:hAnsi="Times New Roman" w:cs="Times New Roman"/>
          <w:b/>
          <w:bCs/>
          <w:color w:val="0F9ED5" w:themeColor="accent4"/>
          <w:sz w:val="24"/>
          <w:szCs w:val="24"/>
          <w:lang w:eastAsia="en-GB"/>
        </w:rPr>
        <w:t xml:space="preserve">2.3. </w:t>
      </w:r>
      <w:r w:rsidR="007428C2" w:rsidRPr="00045160">
        <w:rPr>
          <w:rFonts w:ascii="Times New Roman" w:eastAsia="Times New Roman" w:hAnsi="Times New Roman" w:cs="Times New Roman"/>
          <w:b/>
          <w:bCs/>
          <w:color w:val="0F9ED5" w:themeColor="accent4"/>
          <w:sz w:val="24"/>
          <w:szCs w:val="24"/>
          <w:lang w:eastAsia="en-GB"/>
        </w:rPr>
        <w:t>Technological Factors</w:t>
      </w:r>
    </w:p>
    <w:p w14:paraId="0D004389"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Technology remains a cornerstone of Barclays’ competitiveness. Continuous investment in AI, mobile apps, and cybersecurity improves efficiency and customer experience (Barclays Annual Report, 2024). However, innovation increases cyber risks. Responsible use of data and ongoing system improvements are vital for maintaining customer confidence and digital leadership.</w:t>
      </w:r>
    </w:p>
    <w:p w14:paraId="4B454DA6" w14:textId="12867284" w:rsidR="007428C2" w:rsidRPr="00045160" w:rsidRDefault="00F914AE" w:rsidP="00152983">
      <w:pPr>
        <w:spacing w:after="120" w:line="360" w:lineRule="auto"/>
        <w:rPr>
          <w:rFonts w:ascii="Times New Roman" w:eastAsia="Times New Roman" w:hAnsi="Times New Roman" w:cs="Times New Roman"/>
          <w:b/>
          <w:bCs/>
          <w:color w:val="0F9ED5" w:themeColor="accent4"/>
          <w:sz w:val="24"/>
          <w:szCs w:val="24"/>
          <w:lang w:eastAsia="en-GB"/>
        </w:rPr>
      </w:pPr>
      <w:r>
        <w:rPr>
          <w:rFonts w:ascii="Times New Roman" w:eastAsia="Times New Roman" w:hAnsi="Times New Roman" w:cs="Times New Roman"/>
          <w:b/>
          <w:bCs/>
          <w:color w:val="0F9ED5" w:themeColor="accent4"/>
          <w:sz w:val="24"/>
          <w:szCs w:val="24"/>
          <w:lang w:eastAsia="en-GB"/>
        </w:rPr>
        <w:t xml:space="preserve">2.4. </w:t>
      </w:r>
      <w:r w:rsidR="007428C2" w:rsidRPr="00045160">
        <w:rPr>
          <w:rFonts w:ascii="Times New Roman" w:eastAsia="Times New Roman" w:hAnsi="Times New Roman" w:cs="Times New Roman"/>
          <w:b/>
          <w:bCs/>
          <w:color w:val="0F9ED5" w:themeColor="accent4"/>
          <w:sz w:val="24"/>
          <w:szCs w:val="24"/>
          <w:lang w:eastAsia="en-GB"/>
        </w:rPr>
        <w:t>Legal Factors</w:t>
      </w:r>
    </w:p>
    <w:p w14:paraId="3CC0BF35" w14:textId="77777777"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Operating within GDPR, AML, and consumer protection laws, Barclays faces high compliance costs but benefits from increased brand reliability. Transparent communication of legal practices reinforces trust and positions the bank as a responsible institution (Kotler et al., 2018).</w:t>
      </w:r>
    </w:p>
    <w:p w14:paraId="09471E53" w14:textId="5AE7C713" w:rsidR="007428C2" w:rsidRPr="00045160" w:rsidRDefault="00F914AE" w:rsidP="00152983">
      <w:pPr>
        <w:spacing w:after="120" w:line="360" w:lineRule="auto"/>
        <w:rPr>
          <w:rFonts w:ascii="Times New Roman" w:eastAsia="Times New Roman" w:hAnsi="Times New Roman" w:cs="Times New Roman"/>
          <w:b/>
          <w:bCs/>
          <w:color w:val="0F9ED5" w:themeColor="accent4"/>
          <w:sz w:val="24"/>
          <w:szCs w:val="24"/>
          <w:lang w:eastAsia="en-GB"/>
        </w:rPr>
      </w:pPr>
      <w:r>
        <w:rPr>
          <w:rFonts w:ascii="Times New Roman" w:eastAsia="Times New Roman" w:hAnsi="Times New Roman" w:cs="Times New Roman"/>
          <w:b/>
          <w:bCs/>
          <w:color w:val="0F9ED5" w:themeColor="accent4"/>
          <w:sz w:val="24"/>
          <w:szCs w:val="24"/>
          <w:lang w:eastAsia="en-GB"/>
        </w:rPr>
        <w:t xml:space="preserve">2.5. </w:t>
      </w:r>
      <w:r w:rsidR="007428C2" w:rsidRPr="00045160">
        <w:rPr>
          <w:rFonts w:ascii="Times New Roman" w:eastAsia="Times New Roman" w:hAnsi="Times New Roman" w:cs="Times New Roman"/>
          <w:b/>
          <w:bCs/>
          <w:color w:val="0F9ED5" w:themeColor="accent4"/>
          <w:sz w:val="24"/>
          <w:szCs w:val="24"/>
          <w:lang w:eastAsia="en-GB"/>
        </w:rPr>
        <w:t>Environmental Factors</w:t>
      </w:r>
    </w:p>
    <w:p w14:paraId="431C4117" w14:textId="086313F9" w:rsidR="007428C2" w:rsidRPr="00152983" w:rsidRDefault="007428C2"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Barclays’ Net Zero by 2050 goal and Green Finance initiatives demonstrate leadership in sustainable banking (Barclays Sustainability Report, 2024). Promoting paperless banking and eco-friendly investment funds enhances brand image and aligns with Blythe’s (2013) societal marketing concept, combining profitability with social responsibility.</w:t>
      </w:r>
    </w:p>
    <w:p w14:paraId="57970677" w14:textId="77777777" w:rsidR="00045160" w:rsidRDefault="00045160" w:rsidP="00152983">
      <w:pPr>
        <w:spacing w:after="120" w:line="360" w:lineRule="auto"/>
        <w:rPr>
          <w:rFonts w:ascii="Times New Roman" w:eastAsia="Times New Roman" w:hAnsi="Times New Roman" w:cs="Times New Roman"/>
          <w:sz w:val="24"/>
          <w:szCs w:val="24"/>
          <w:lang w:eastAsia="en-GB"/>
        </w:rPr>
      </w:pPr>
    </w:p>
    <w:p w14:paraId="41A9B34A" w14:textId="77777777" w:rsidR="00045160" w:rsidRDefault="00045160" w:rsidP="00152983">
      <w:pPr>
        <w:spacing w:after="120" w:line="360" w:lineRule="auto"/>
        <w:rPr>
          <w:rFonts w:ascii="Times New Roman" w:eastAsia="Times New Roman" w:hAnsi="Times New Roman" w:cs="Times New Roman"/>
          <w:sz w:val="24"/>
          <w:szCs w:val="24"/>
          <w:lang w:eastAsia="en-GB"/>
        </w:rPr>
      </w:pPr>
    </w:p>
    <w:p w14:paraId="0440553E" w14:textId="563E3D04" w:rsidR="00806C39" w:rsidRPr="00045160" w:rsidRDefault="009134E7" w:rsidP="00152983">
      <w:pPr>
        <w:spacing w:after="120" w:line="360" w:lineRule="auto"/>
        <w:rPr>
          <w:rFonts w:ascii="Times New Roman" w:eastAsia="Times New Roman" w:hAnsi="Times New Roman" w:cs="Times New Roman"/>
          <w:b/>
          <w:bCs/>
          <w:color w:val="0F9ED5" w:themeColor="accent4"/>
          <w:sz w:val="28"/>
          <w:szCs w:val="28"/>
          <w:lang w:eastAsia="en-GB"/>
        </w:rPr>
      </w:pPr>
      <w:r>
        <w:rPr>
          <w:rFonts w:ascii="Times New Roman" w:eastAsia="Times New Roman" w:hAnsi="Times New Roman" w:cs="Times New Roman"/>
          <w:b/>
          <w:bCs/>
          <w:color w:val="0F9ED5" w:themeColor="accent4"/>
          <w:sz w:val="28"/>
          <w:szCs w:val="28"/>
          <w:lang w:eastAsia="en-GB"/>
        </w:rPr>
        <w:lastRenderedPageBreak/>
        <w:t xml:space="preserve">3. </w:t>
      </w:r>
      <w:r w:rsidR="00806C39" w:rsidRPr="00045160">
        <w:rPr>
          <w:rFonts w:ascii="Times New Roman" w:eastAsia="Times New Roman" w:hAnsi="Times New Roman" w:cs="Times New Roman"/>
          <w:b/>
          <w:bCs/>
          <w:color w:val="0F9ED5" w:themeColor="accent4"/>
          <w:sz w:val="28"/>
          <w:szCs w:val="28"/>
          <w:lang w:eastAsia="en-GB"/>
        </w:rPr>
        <w:t>Critical Analysis and Evaluation</w:t>
      </w:r>
    </w:p>
    <w:p w14:paraId="3312D7E2"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As a marketing manager, critically interpreting the results of the PESTLE analysis is essential to transform environmental insights into actionable strategies. The findings show that Barclays Bank PLC operates in a volatile but opportunity-rich macro environment, where regulatory pressures, economic shifts, and rapid technological change continually influence marketing decisions.</w:t>
      </w:r>
    </w:p>
    <w:p w14:paraId="74F0C0F4" w14:textId="21323E2A" w:rsidR="00806C39" w:rsidRPr="00152983" w:rsidRDefault="007D69F1" w:rsidP="00152983">
      <w:pPr>
        <w:spacing w:after="120" w:line="360" w:lineRule="auto"/>
        <w:rPr>
          <w:rFonts w:ascii="Times New Roman" w:eastAsia="Times New Roman" w:hAnsi="Times New Roman" w:cs="Times New Roman"/>
          <w:sz w:val="24"/>
          <w:szCs w:val="24"/>
          <w:lang w:eastAsia="en-GB"/>
        </w:rPr>
      </w:pPr>
      <w:r w:rsidRPr="007D69F1">
        <w:rPr>
          <w:rFonts w:ascii="Times New Roman" w:eastAsia="Times New Roman" w:hAnsi="Times New Roman" w:cs="Times New Roman"/>
          <w:b/>
          <w:bCs/>
          <w:color w:val="0F9ED5" w:themeColor="accent4"/>
          <w:sz w:val="24"/>
          <w:szCs w:val="24"/>
          <w:lang w:eastAsia="en-GB"/>
        </w:rPr>
        <w:t>3.1.</w:t>
      </w:r>
      <w:r w:rsidRPr="007D69F1">
        <w:rPr>
          <w:rFonts w:ascii="Times New Roman" w:eastAsia="Times New Roman" w:hAnsi="Times New Roman" w:cs="Times New Roman"/>
          <w:color w:val="0F9ED5" w:themeColor="accent4"/>
          <w:sz w:val="24"/>
          <w:szCs w:val="24"/>
          <w:lang w:eastAsia="en-GB"/>
        </w:rPr>
        <w:t xml:space="preserve"> </w:t>
      </w:r>
      <w:r w:rsidR="00806C39" w:rsidRPr="00152983">
        <w:rPr>
          <w:rFonts w:ascii="Times New Roman" w:eastAsia="Times New Roman" w:hAnsi="Times New Roman" w:cs="Times New Roman"/>
          <w:sz w:val="24"/>
          <w:szCs w:val="24"/>
          <w:lang w:eastAsia="en-GB"/>
        </w:rPr>
        <w:t xml:space="preserve">From a strategic perspective, political and legal frameworks create both constraints and opportunities. Although FCA compliance and GDPR requirements restrict some marketing flexibility, they also strengthen credibility and consumer trust. As Kotler, Armstrong and </w:t>
      </w:r>
      <w:proofErr w:type="spellStart"/>
      <w:r w:rsidR="00806C39" w:rsidRPr="00152983">
        <w:rPr>
          <w:rFonts w:ascii="Times New Roman" w:eastAsia="Times New Roman" w:hAnsi="Times New Roman" w:cs="Times New Roman"/>
          <w:sz w:val="24"/>
          <w:szCs w:val="24"/>
          <w:lang w:eastAsia="en-GB"/>
        </w:rPr>
        <w:t>Opresnik</w:t>
      </w:r>
      <w:proofErr w:type="spellEnd"/>
      <w:r w:rsidR="00806C39" w:rsidRPr="00152983">
        <w:rPr>
          <w:rFonts w:ascii="Times New Roman" w:eastAsia="Times New Roman" w:hAnsi="Times New Roman" w:cs="Times New Roman"/>
          <w:sz w:val="24"/>
          <w:szCs w:val="24"/>
          <w:lang w:eastAsia="en-GB"/>
        </w:rPr>
        <w:t xml:space="preserve"> (2018) note, transparency and ethical governance enhance brand loyalty</w:t>
      </w:r>
      <w:r w:rsidR="00194B73">
        <w:rPr>
          <w:rFonts w:ascii="Times New Roman" w:eastAsia="Times New Roman" w:hAnsi="Times New Roman" w:cs="Times New Roman"/>
          <w:sz w:val="24"/>
          <w:szCs w:val="24"/>
          <w:lang w:eastAsia="en-GB"/>
        </w:rPr>
        <w:t xml:space="preserve">, </w:t>
      </w:r>
      <w:r w:rsidR="00806C39" w:rsidRPr="00152983">
        <w:rPr>
          <w:rFonts w:ascii="Times New Roman" w:eastAsia="Times New Roman" w:hAnsi="Times New Roman" w:cs="Times New Roman"/>
          <w:sz w:val="24"/>
          <w:szCs w:val="24"/>
          <w:lang w:eastAsia="en-GB"/>
        </w:rPr>
        <w:t>an essential differentiator in the financial sector. By including compliance-based communication in marketing campaigns, Barclays can show that it is a responsible and customer-focused company.</w:t>
      </w:r>
    </w:p>
    <w:p w14:paraId="53275843" w14:textId="60E1AEBB" w:rsidR="00806C39" w:rsidRPr="00152983" w:rsidRDefault="007D69F1" w:rsidP="00152983">
      <w:pPr>
        <w:spacing w:after="120" w:line="360" w:lineRule="auto"/>
        <w:rPr>
          <w:rFonts w:ascii="Times New Roman" w:eastAsia="Times New Roman" w:hAnsi="Times New Roman" w:cs="Times New Roman"/>
          <w:sz w:val="24"/>
          <w:szCs w:val="24"/>
          <w:lang w:eastAsia="en-GB"/>
        </w:rPr>
      </w:pPr>
      <w:r w:rsidRPr="007D69F1">
        <w:rPr>
          <w:rFonts w:ascii="Times New Roman" w:eastAsia="Times New Roman" w:hAnsi="Times New Roman" w:cs="Times New Roman"/>
          <w:b/>
          <w:bCs/>
          <w:color w:val="0F9ED5" w:themeColor="accent4"/>
          <w:sz w:val="24"/>
          <w:szCs w:val="24"/>
          <w:lang w:eastAsia="en-GB"/>
        </w:rPr>
        <w:t>3.</w:t>
      </w:r>
      <w:r>
        <w:rPr>
          <w:rFonts w:ascii="Times New Roman" w:eastAsia="Times New Roman" w:hAnsi="Times New Roman" w:cs="Times New Roman"/>
          <w:b/>
          <w:bCs/>
          <w:color w:val="0F9ED5" w:themeColor="accent4"/>
          <w:sz w:val="24"/>
          <w:szCs w:val="24"/>
          <w:lang w:eastAsia="en-GB"/>
        </w:rPr>
        <w:t>2</w:t>
      </w:r>
      <w:r w:rsidRPr="007D69F1">
        <w:rPr>
          <w:rFonts w:ascii="Times New Roman" w:eastAsia="Times New Roman" w:hAnsi="Times New Roman" w:cs="Times New Roman"/>
          <w:b/>
          <w:bCs/>
          <w:color w:val="0F9ED5" w:themeColor="accent4"/>
          <w:sz w:val="24"/>
          <w:szCs w:val="24"/>
          <w:lang w:eastAsia="en-GB"/>
        </w:rPr>
        <w:t>.</w:t>
      </w:r>
      <w:r w:rsidRPr="007D69F1">
        <w:rPr>
          <w:rFonts w:ascii="Times New Roman" w:eastAsia="Times New Roman" w:hAnsi="Times New Roman" w:cs="Times New Roman"/>
          <w:color w:val="0F9ED5" w:themeColor="accent4"/>
          <w:sz w:val="24"/>
          <w:szCs w:val="24"/>
          <w:lang w:eastAsia="en-GB"/>
        </w:rPr>
        <w:t xml:space="preserve"> </w:t>
      </w:r>
      <w:r w:rsidR="00806C39" w:rsidRPr="00152983">
        <w:rPr>
          <w:rFonts w:ascii="Times New Roman" w:eastAsia="Times New Roman" w:hAnsi="Times New Roman" w:cs="Times New Roman"/>
          <w:sz w:val="24"/>
          <w:szCs w:val="24"/>
          <w:lang w:eastAsia="en-GB"/>
        </w:rPr>
        <w:t>Economic challenges such as interest rate fluctuations and inflation directly affect customers’ borrowing capacity and confidence. This requires adaptive marketing strategies that emphasise values and financial well-being. In line with Baines, Fill and Page (2014), marketing should drive sales and build resilience by aligning products with consumer needs during uncertainty. Offering flexible savings and credit solutions, supported by educational outreach, can reinforce customer trust and loyalty.</w:t>
      </w:r>
    </w:p>
    <w:p w14:paraId="2771D37D" w14:textId="0DB07CFB" w:rsidR="00806C39" w:rsidRPr="00152983" w:rsidRDefault="007D69F1" w:rsidP="00152983">
      <w:pPr>
        <w:spacing w:after="120" w:line="360" w:lineRule="auto"/>
        <w:rPr>
          <w:rFonts w:ascii="Times New Roman" w:eastAsia="Times New Roman" w:hAnsi="Times New Roman" w:cs="Times New Roman"/>
          <w:sz w:val="24"/>
          <w:szCs w:val="24"/>
          <w:lang w:eastAsia="en-GB"/>
        </w:rPr>
      </w:pPr>
      <w:r w:rsidRPr="007D69F1">
        <w:rPr>
          <w:rFonts w:ascii="Times New Roman" w:eastAsia="Times New Roman" w:hAnsi="Times New Roman" w:cs="Times New Roman"/>
          <w:b/>
          <w:bCs/>
          <w:color w:val="0F9ED5" w:themeColor="accent4"/>
          <w:sz w:val="24"/>
          <w:szCs w:val="24"/>
          <w:lang w:eastAsia="en-GB"/>
        </w:rPr>
        <w:t>3.</w:t>
      </w:r>
      <w:r>
        <w:rPr>
          <w:rFonts w:ascii="Times New Roman" w:eastAsia="Times New Roman" w:hAnsi="Times New Roman" w:cs="Times New Roman"/>
          <w:b/>
          <w:bCs/>
          <w:color w:val="0F9ED5" w:themeColor="accent4"/>
          <w:sz w:val="24"/>
          <w:szCs w:val="24"/>
          <w:lang w:eastAsia="en-GB"/>
        </w:rPr>
        <w:t>3</w:t>
      </w:r>
      <w:r w:rsidRPr="007D69F1">
        <w:rPr>
          <w:rFonts w:ascii="Times New Roman" w:eastAsia="Times New Roman" w:hAnsi="Times New Roman" w:cs="Times New Roman"/>
          <w:b/>
          <w:bCs/>
          <w:color w:val="0F9ED5" w:themeColor="accent4"/>
          <w:sz w:val="24"/>
          <w:szCs w:val="24"/>
          <w:lang w:eastAsia="en-GB"/>
        </w:rPr>
        <w:t>.</w:t>
      </w:r>
      <w:r w:rsidRPr="007D69F1">
        <w:rPr>
          <w:rFonts w:ascii="Times New Roman" w:eastAsia="Times New Roman" w:hAnsi="Times New Roman" w:cs="Times New Roman"/>
          <w:color w:val="0F9ED5" w:themeColor="accent4"/>
          <w:sz w:val="24"/>
          <w:szCs w:val="24"/>
          <w:lang w:eastAsia="en-GB"/>
        </w:rPr>
        <w:t xml:space="preserve"> </w:t>
      </w:r>
      <w:r w:rsidR="00806C39" w:rsidRPr="00152983">
        <w:rPr>
          <w:rFonts w:ascii="Times New Roman" w:eastAsia="Times New Roman" w:hAnsi="Times New Roman" w:cs="Times New Roman"/>
          <w:sz w:val="24"/>
          <w:szCs w:val="24"/>
          <w:lang w:eastAsia="en-GB"/>
        </w:rPr>
        <w:t>The growing demand for ethical and inclusive banking shows that people's values are changing. Customers now expect authenticity and social contribution beyond profit-making. Blythe (2013) argues that societal marketing, which balances business success with community welfare, enhances long-term brand equity. Therefore, Barclays should amplify its community engagement and sustainability messages through storytelling campaigns that foster emotional connection and authenticity.</w:t>
      </w:r>
    </w:p>
    <w:p w14:paraId="54CB3162" w14:textId="2AC830BE" w:rsidR="00806C39" w:rsidRPr="00152983" w:rsidRDefault="007D69F1" w:rsidP="00152983">
      <w:pPr>
        <w:spacing w:after="120" w:line="360" w:lineRule="auto"/>
        <w:rPr>
          <w:rFonts w:ascii="Times New Roman" w:eastAsia="Times New Roman" w:hAnsi="Times New Roman" w:cs="Times New Roman"/>
          <w:sz w:val="24"/>
          <w:szCs w:val="24"/>
          <w:lang w:eastAsia="en-GB"/>
        </w:rPr>
      </w:pPr>
      <w:r w:rsidRPr="007D69F1">
        <w:rPr>
          <w:rFonts w:ascii="Times New Roman" w:eastAsia="Times New Roman" w:hAnsi="Times New Roman" w:cs="Times New Roman"/>
          <w:b/>
          <w:bCs/>
          <w:color w:val="0F9ED5" w:themeColor="accent4"/>
          <w:sz w:val="24"/>
          <w:szCs w:val="24"/>
          <w:lang w:eastAsia="en-GB"/>
        </w:rPr>
        <w:t>3.4.</w:t>
      </w:r>
      <w:r w:rsidRPr="007D69F1">
        <w:rPr>
          <w:rFonts w:ascii="Times New Roman" w:eastAsia="Times New Roman" w:hAnsi="Times New Roman" w:cs="Times New Roman"/>
          <w:color w:val="0F9ED5" w:themeColor="accent4"/>
          <w:sz w:val="24"/>
          <w:szCs w:val="24"/>
          <w:lang w:eastAsia="en-GB"/>
        </w:rPr>
        <w:t xml:space="preserve"> </w:t>
      </w:r>
      <w:r w:rsidR="00806C39" w:rsidRPr="00152983">
        <w:rPr>
          <w:rFonts w:ascii="Times New Roman" w:eastAsia="Times New Roman" w:hAnsi="Times New Roman" w:cs="Times New Roman"/>
          <w:sz w:val="24"/>
          <w:szCs w:val="24"/>
          <w:lang w:eastAsia="en-GB"/>
        </w:rPr>
        <w:t xml:space="preserve">Technological innovation presents both opportunities and challenges. While AI and digital platforms improve convenience and efficiency, competition from fintech firms like Revolut and Monzo demands constant innovation. To sustain leadership, Barclays should invest in predictive analytics and real-time customer data to personalise offerings—turning information into a strategic advantage (Hooley &amp; </w:t>
      </w:r>
      <w:proofErr w:type="spellStart"/>
      <w:r w:rsidR="00806C39" w:rsidRPr="00152983">
        <w:rPr>
          <w:rFonts w:ascii="Times New Roman" w:eastAsia="Times New Roman" w:hAnsi="Times New Roman" w:cs="Times New Roman"/>
          <w:sz w:val="24"/>
          <w:szCs w:val="24"/>
          <w:lang w:eastAsia="en-GB"/>
        </w:rPr>
        <w:t>Nicoulaud</w:t>
      </w:r>
      <w:proofErr w:type="spellEnd"/>
      <w:r w:rsidR="00806C39" w:rsidRPr="00152983">
        <w:rPr>
          <w:rFonts w:ascii="Times New Roman" w:eastAsia="Times New Roman" w:hAnsi="Times New Roman" w:cs="Times New Roman"/>
          <w:sz w:val="24"/>
          <w:szCs w:val="24"/>
          <w:lang w:eastAsia="en-GB"/>
        </w:rPr>
        <w:t>, 2020).</w:t>
      </w:r>
    </w:p>
    <w:p w14:paraId="313C71E0" w14:textId="77777777" w:rsidR="00194B73" w:rsidRDefault="00194B73" w:rsidP="00152983">
      <w:pPr>
        <w:spacing w:after="120" w:line="360" w:lineRule="auto"/>
        <w:rPr>
          <w:rFonts w:ascii="Times New Roman" w:eastAsia="Times New Roman" w:hAnsi="Times New Roman" w:cs="Times New Roman"/>
          <w:sz w:val="24"/>
          <w:szCs w:val="24"/>
          <w:lang w:eastAsia="en-GB"/>
        </w:rPr>
      </w:pPr>
    </w:p>
    <w:p w14:paraId="123267AD" w14:textId="3967E98E" w:rsidR="00806C39" w:rsidRPr="00152983" w:rsidRDefault="007D69F1" w:rsidP="00152983">
      <w:pPr>
        <w:spacing w:after="120" w:line="360" w:lineRule="auto"/>
        <w:rPr>
          <w:rFonts w:ascii="Times New Roman" w:eastAsia="Times New Roman" w:hAnsi="Times New Roman" w:cs="Times New Roman"/>
          <w:sz w:val="24"/>
          <w:szCs w:val="24"/>
          <w:lang w:eastAsia="en-GB"/>
        </w:rPr>
      </w:pPr>
      <w:r w:rsidRPr="007D69F1">
        <w:rPr>
          <w:rFonts w:ascii="Times New Roman" w:eastAsia="Times New Roman" w:hAnsi="Times New Roman" w:cs="Times New Roman"/>
          <w:b/>
          <w:bCs/>
          <w:color w:val="0F9ED5" w:themeColor="accent4"/>
          <w:sz w:val="24"/>
          <w:szCs w:val="24"/>
          <w:lang w:eastAsia="en-GB"/>
        </w:rPr>
        <w:lastRenderedPageBreak/>
        <w:t>3.5.</w:t>
      </w:r>
      <w:r w:rsidRPr="007D69F1">
        <w:rPr>
          <w:rFonts w:ascii="Times New Roman" w:eastAsia="Times New Roman" w:hAnsi="Times New Roman" w:cs="Times New Roman"/>
          <w:color w:val="0F9ED5" w:themeColor="accent4"/>
          <w:sz w:val="24"/>
          <w:szCs w:val="24"/>
          <w:lang w:eastAsia="en-GB"/>
        </w:rPr>
        <w:t xml:space="preserve"> </w:t>
      </w:r>
      <w:r w:rsidR="00806C39" w:rsidRPr="00152983">
        <w:rPr>
          <w:rFonts w:ascii="Times New Roman" w:eastAsia="Times New Roman" w:hAnsi="Times New Roman" w:cs="Times New Roman"/>
          <w:sz w:val="24"/>
          <w:szCs w:val="24"/>
          <w:lang w:eastAsia="en-GB"/>
        </w:rPr>
        <w:t xml:space="preserve">Finally, environmental sustainability has become integral to marketing strategy. Barclays’ Net Zero by 2050 pledge positions it as a sustainability leader, but success depends on turning policy into customer value. Promoting eco-branded financial products, such as green savings and investment accounts, aligns with the </w:t>
      </w:r>
      <w:r w:rsidR="00806C39" w:rsidRPr="00152983">
        <w:rPr>
          <w:rFonts w:ascii="Times New Roman" w:eastAsia="Times New Roman" w:hAnsi="Times New Roman" w:cs="Times New Roman"/>
          <w:iCs/>
          <w:sz w:val="24"/>
          <w:szCs w:val="24"/>
          <w:lang w:eastAsia="en-GB"/>
        </w:rPr>
        <w:t>societal marketing concept</w:t>
      </w:r>
      <w:r w:rsidR="00806C39" w:rsidRPr="00152983">
        <w:rPr>
          <w:rFonts w:ascii="Times New Roman" w:eastAsia="Times New Roman" w:hAnsi="Times New Roman" w:cs="Times New Roman"/>
          <w:sz w:val="24"/>
          <w:szCs w:val="24"/>
          <w:lang w:eastAsia="en-GB"/>
        </w:rPr>
        <w:t xml:space="preserve"> (Kotler &amp; Keller, 2016), attracting ethically conscious consumers and reinforcing brand purpose.</w:t>
      </w:r>
    </w:p>
    <w:p w14:paraId="6CF48670" w14:textId="0EE67EA3" w:rsidR="00806C39" w:rsidRPr="007D69F1" w:rsidRDefault="007D69F1" w:rsidP="00152983">
      <w:pPr>
        <w:spacing w:after="120" w:line="360" w:lineRule="auto"/>
        <w:rPr>
          <w:rFonts w:ascii="Times New Roman" w:eastAsia="Times New Roman" w:hAnsi="Times New Roman" w:cs="Times New Roman"/>
          <w:b/>
          <w:bCs/>
          <w:color w:val="0F9ED5" w:themeColor="accent4"/>
          <w:sz w:val="28"/>
          <w:szCs w:val="28"/>
          <w:lang w:eastAsia="en-GB"/>
        </w:rPr>
      </w:pPr>
      <w:r w:rsidRPr="007D69F1">
        <w:rPr>
          <w:rFonts w:ascii="Times New Roman" w:eastAsia="Times New Roman" w:hAnsi="Times New Roman" w:cs="Times New Roman"/>
          <w:b/>
          <w:bCs/>
          <w:color w:val="0F9ED5" w:themeColor="accent4"/>
          <w:sz w:val="28"/>
          <w:szCs w:val="28"/>
          <w:lang w:eastAsia="en-GB"/>
        </w:rPr>
        <w:t xml:space="preserve">4. </w:t>
      </w:r>
      <w:r w:rsidR="00806C39" w:rsidRPr="007D69F1">
        <w:rPr>
          <w:rFonts w:ascii="Times New Roman" w:eastAsia="Times New Roman" w:hAnsi="Times New Roman" w:cs="Times New Roman"/>
          <w:b/>
          <w:bCs/>
          <w:color w:val="0F9ED5" w:themeColor="accent4"/>
          <w:sz w:val="28"/>
          <w:szCs w:val="28"/>
          <w:lang w:eastAsia="en-GB"/>
        </w:rPr>
        <w:t>Conclusions and Recommendations</w:t>
      </w:r>
    </w:p>
    <w:p w14:paraId="7BD65ADD"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The PESTLE analysis provides valuable insight into the macro-environmental forces shaping Barclays Bank PLC’s marketing and strategic decisions. Political regulation, economic volatility, technological innovation, and social transformation are the most significant influences. From my managerial perspective, these factors represent not limitations, but opportunities to innovate, strengthen customer trust, and achieve sustainable growth.</w:t>
      </w:r>
    </w:p>
    <w:p w14:paraId="6968CAF1"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To reinforce Barclays’ position in a competitive market, I recommend three focused strategies:</w:t>
      </w:r>
    </w:p>
    <w:p w14:paraId="743E66B9" w14:textId="4FCC1C63" w:rsidR="00806C39" w:rsidRPr="00152983" w:rsidRDefault="007D69F1" w:rsidP="00152983">
      <w:pPr>
        <w:spacing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F9ED5" w:themeColor="accent4"/>
          <w:sz w:val="24"/>
          <w:szCs w:val="24"/>
          <w:lang w:eastAsia="en-GB"/>
        </w:rPr>
        <w:t>4.</w:t>
      </w:r>
      <w:r w:rsidR="00194B73" w:rsidRPr="00194B73">
        <w:rPr>
          <w:rFonts w:ascii="Times New Roman" w:eastAsia="Times New Roman" w:hAnsi="Times New Roman" w:cs="Times New Roman"/>
          <w:b/>
          <w:bCs/>
          <w:color w:val="0F9ED5" w:themeColor="accent4"/>
          <w:sz w:val="24"/>
          <w:szCs w:val="24"/>
          <w:lang w:eastAsia="en-GB"/>
        </w:rPr>
        <w:t xml:space="preserve">1. </w:t>
      </w:r>
      <w:r w:rsidR="00806C39" w:rsidRPr="00194B73">
        <w:rPr>
          <w:rFonts w:ascii="Times New Roman" w:eastAsia="Times New Roman" w:hAnsi="Times New Roman" w:cs="Times New Roman"/>
          <w:b/>
          <w:bCs/>
          <w:color w:val="0F9ED5" w:themeColor="accent4"/>
          <w:sz w:val="24"/>
          <w:szCs w:val="24"/>
          <w:lang w:eastAsia="en-GB"/>
        </w:rPr>
        <w:t>Customer-Centric Digital Innovation:</w:t>
      </w:r>
      <w:r w:rsidR="00806C39" w:rsidRPr="00152983">
        <w:rPr>
          <w:rFonts w:ascii="Times New Roman" w:eastAsia="Times New Roman" w:hAnsi="Times New Roman" w:cs="Times New Roman"/>
          <w:sz w:val="24"/>
          <w:szCs w:val="24"/>
          <w:lang w:eastAsia="en-GB"/>
        </w:rPr>
        <w:br/>
        <w:t>Expand the use of AI and predictive analytics to deliver personalised customer experiences. Real-time data insights will enable tailored product recommendations, increasing engagement and loyalty.</w:t>
      </w:r>
    </w:p>
    <w:p w14:paraId="18F7CBFC" w14:textId="4CF6F5F0" w:rsidR="00806C39" w:rsidRPr="00152983" w:rsidRDefault="007D69F1" w:rsidP="00152983">
      <w:pPr>
        <w:spacing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F9ED5" w:themeColor="accent4"/>
          <w:sz w:val="24"/>
          <w:szCs w:val="24"/>
          <w:lang w:eastAsia="en-GB"/>
        </w:rPr>
        <w:t>4.</w:t>
      </w:r>
      <w:r w:rsidR="00194B73" w:rsidRPr="00194B73">
        <w:rPr>
          <w:rFonts w:ascii="Times New Roman" w:eastAsia="Times New Roman" w:hAnsi="Times New Roman" w:cs="Times New Roman"/>
          <w:b/>
          <w:bCs/>
          <w:color w:val="0F9ED5" w:themeColor="accent4"/>
          <w:sz w:val="24"/>
          <w:szCs w:val="24"/>
          <w:lang w:eastAsia="en-GB"/>
        </w:rPr>
        <w:t xml:space="preserve">2. </w:t>
      </w:r>
      <w:r w:rsidR="00806C39" w:rsidRPr="00194B73">
        <w:rPr>
          <w:rFonts w:ascii="Times New Roman" w:eastAsia="Times New Roman" w:hAnsi="Times New Roman" w:cs="Times New Roman"/>
          <w:b/>
          <w:bCs/>
          <w:color w:val="0F9ED5" w:themeColor="accent4"/>
          <w:sz w:val="24"/>
          <w:szCs w:val="24"/>
          <w:lang w:eastAsia="en-GB"/>
        </w:rPr>
        <w:t>Sustainability-Driven Branding:</w:t>
      </w:r>
      <w:r w:rsidR="00806C39" w:rsidRPr="00152983">
        <w:rPr>
          <w:rFonts w:ascii="Times New Roman" w:eastAsia="Times New Roman" w:hAnsi="Times New Roman" w:cs="Times New Roman"/>
          <w:sz w:val="24"/>
          <w:szCs w:val="24"/>
          <w:lang w:eastAsia="en-GB"/>
        </w:rPr>
        <w:br/>
        <w:t>Embed ethical and sustainable values across all marketing initiatives. Promoting green savings accounts, eco-investment products, and transparent sustainability reporting will enhance brand reputation and trust.</w:t>
      </w:r>
    </w:p>
    <w:p w14:paraId="755930ED" w14:textId="46D0A5A1" w:rsidR="00806C39" w:rsidRPr="00152983" w:rsidRDefault="007D69F1" w:rsidP="00152983">
      <w:pPr>
        <w:spacing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F9ED5" w:themeColor="accent4"/>
          <w:sz w:val="24"/>
          <w:szCs w:val="24"/>
          <w:lang w:eastAsia="en-GB"/>
        </w:rPr>
        <w:t>4.</w:t>
      </w:r>
      <w:r w:rsidR="00194B73" w:rsidRPr="00194B73">
        <w:rPr>
          <w:rFonts w:ascii="Times New Roman" w:eastAsia="Times New Roman" w:hAnsi="Times New Roman" w:cs="Times New Roman"/>
          <w:b/>
          <w:bCs/>
          <w:color w:val="0F9ED5" w:themeColor="accent4"/>
          <w:sz w:val="24"/>
          <w:szCs w:val="24"/>
          <w:lang w:eastAsia="en-GB"/>
        </w:rPr>
        <w:t xml:space="preserve">3. </w:t>
      </w:r>
      <w:r w:rsidR="00806C39" w:rsidRPr="00194B73">
        <w:rPr>
          <w:rFonts w:ascii="Times New Roman" w:eastAsia="Times New Roman" w:hAnsi="Times New Roman" w:cs="Times New Roman"/>
          <w:b/>
          <w:bCs/>
          <w:color w:val="0F9ED5" w:themeColor="accent4"/>
          <w:sz w:val="24"/>
          <w:szCs w:val="24"/>
          <w:lang w:eastAsia="en-GB"/>
        </w:rPr>
        <w:t>Adaptive Communication Strategy:</w:t>
      </w:r>
      <w:r w:rsidR="00806C39" w:rsidRPr="00152983">
        <w:rPr>
          <w:rFonts w:ascii="Times New Roman" w:eastAsia="Times New Roman" w:hAnsi="Times New Roman" w:cs="Times New Roman"/>
          <w:sz w:val="24"/>
          <w:szCs w:val="24"/>
          <w:lang w:eastAsia="en-GB"/>
        </w:rPr>
        <w:br/>
        <w:t>Strengthen transparency by communicating clearly about compliance, customer protection, and financial education. This approach will differentiate Barclays and reinforce confidence during economic uncertainty.</w:t>
      </w:r>
    </w:p>
    <w:p w14:paraId="79B6DEA4" w14:textId="77777777" w:rsidR="00806C39" w:rsidRPr="00152983" w:rsidRDefault="00806C39" w:rsidP="00152983">
      <w:pPr>
        <w:spacing w:after="120" w:line="360" w:lineRule="auto"/>
        <w:rPr>
          <w:rFonts w:ascii="Times New Roman" w:eastAsia="Times New Roman" w:hAnsi="Times New Roman" w:cs="Times New Roman"/>
          <w:sz w:val="24"/>
          <w:szCs w:val="24"/>
          <w:lang w:eastAsia="en-GB"/>
        </w:rPr>
      </w:pPr>
      <w:r w:rsidRPr="00152983">
        <w:rPr>
          <w:rFonts w:ascii="Times New Roman" w:eastAsia="Times New Roman" w:hAnsi="Times New Roman" w:cs="Times New Roman"/>
          <w:sz w:val="24"/>
          <w:szCs w:val="24"/>
          <w:lang w:eastAsia="en-GB"/>
        </w:rPr>
        <w:t>Ultimately, strategic success depends on transforming external pressures into innovation and ethical advantage. By aligning marketing with technological progress and societal expectations, Barclays can sustain profitability and reaffirm its position as a responsible, forward-thinking financial leader.</w:t>
      </w:r>
    </w:p>
    <w:p w14:paraId="31F3E95D" w14:textId="77777777" w:rsidR="009B3D99" w:rsidRPr="00713F89" w:rsidRDefault="009B3D99" w:rsidP="00713F89">
      <w:pPr>
        <w:spacing w:before="100" w:beforeAutospacing="1" w:after="100" w:afterAutospacing="1" w:line="360" w:lineRule="auto"/>
        <w:ind w:hanging="720"/>
        <w:mirrorIndents/>
        <w:rPr>
          <w:rFonts w:ascii="Times New Roman" w:eastAsia="Times New Roman" w:hAnsi="Times New Roman" w:cs="Times New Roman"/>
          <w:sz w:val="24"/>
          <w:szCs w:val="24"/>
          <w:lang w:eastAsia="en-GB"/>
        </w:rPr>
      </w:pPr>
    </w:p>
    <w:p w14:paraId="1F6DFE5D" w14:textId="33112342" w:rsidR="009B3D99" w:rsidRPr="009B3D99" w:rsidRDefault="009B3D99" w:rsidP="009B3D99">
      <w:pPr>
        <w:spacing w:before="100" w:beforeAutospacing="1" w:after="100" w:afterAutospacing="1" w:line="360" w:lineRule="auto"/>
        <w:ind w:left="720" w:hanging="720"/>
        <w:rPr>
          <w:rFonts w:ascii="Times New Roman" w:eastAsia="Times New Roman" w:hAnsi="Times New Roman" w:cs="Times New Roman"/>
          <w:b/>
          <w:color w:val="0F9ED5" w:themeColor="accent4"/>
          <w:kern w:val="36"/>
          <w:sz w:val="28"/>
          <w:szCs w:val="28"/>
          <w:lang w:eastAsia="en-GB"/>
        </w:rPr>
      </w:pPr>
      <w:r w:rsidRPr="009B3D99">
        <w:rPr>
          <w:rFonts w:ascii="Times New Roman" w:eastAsia="Times New Roman" w:hAnsi="Times New Roman" w:cs="Times New Roman"/>
          <w:b/>
          <w:color w:val="0F9ED5" w:themeColor="accent4"/>
          <w:kern w:val="36"/>
          <w:sz w:val="28"/>
          <w:szCs w:val="28"/>
          <w:lang w:eastAsia="en-GB"/>
        </w:rPr>
        <w:lastRenderedPageBreak/>
        <w:t>REFERENCE</w:t>
      </w:r>
      <w:r>
        <w:rPr>
          <w:rFonts w:ascii="Times New Roman" w:eastAsia="Times New Roman" w:hAnsi="Times New Roman" w:cs="Times New Roman"/>
          <w:b/>
          <w:color w:val="0F9ED5" w:themeColor="accent4"/>
          <w:kern w:val="36"/>
          <w:sz w:val="28"/>
          <w:szCs w:val="28"/>
          <w:lang w:eastAsia="en-GB"/>
        </w:rPr>
        <w:t>:</w:t>
      </w:r>
    </w:p>
    <w:p w14:paraId="5A8E693F" w14:textId="278E76BD"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Baines, P., Fill, C. and Page, K. (2014) </w:t>
      </w:r>
      <w:r w:rsidRPr="009B3D99">
        <w:rPr>
          <w:rFonts w:ascii="Times New Roman" w:eastAsia="Times New Roman" w:hAnsi="Times New Roman" w:cs="Times New Roman"/>
          <w:iCs/>
          <w:sz w:val="24"/>
          <w:szCs w:val="24"/>
          <w:lang w:eastAsia="en-GB"/>
        </w:rPr>
        <w:t>Marketing</w:t>
      </w:r>
      <w:r w:rsidRPr="009B3D99">
        <w:rPr>
          <w:rFonts w:ascii="Times New Roman" w:eastAsia="Times New Roman" w:hAnsi="Times New Roman" w:cs="Times New Roman"/>
          <w:sz w:val="24"/>
          <w:szCs w:val="24"/>
          <w:lang w:eastAsia="en-GB"/>
        </w:rPr>
        <w:t>. 3rd ed. Oxford: Oxford University Press.</w:t>
      </w:r>
    </w:p>
    <w:p w14:paraId="24687BA4"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Bank of England (2025) </w:t>
      </w:r>
      <w:r w:rsidRPr="009B3D99">
        <w:rPr>
          <w:rFonts w:ascii="Times New Roman" w:eastAsia="Times New Roman" w:hAnsi="Times New Roman" w:cs="Times New Roman"/>
          <w:iCs/>
          <w:sz w:val="24"/>
          <w:szCs w:val="24"/>
          <w:lang w:eastAsia="en-GB"/>
        </w:rPr>
        <w:t>Monetary Policy Report – Q2 2025</w:t>
      </w:r>
      <w:r w:rsidRPr="009B3D99">
        <w:rPr>
          <w:rFonts w:ascii="Times New Roman" w:eastAsia="Times New Roman" w:hAnsi="Times New Roman" w:cs="Times New Roman"/>
          <w:sz w:val="24"/>
          <w:szCs w:val="24"/>
          <w:lang w:eastAsia="en-GB"/>
        </w:rPr>
        <w:t>. London: Bank of England.</w:t>
      </w:r>
    </w:p>
    <w:p w14:paraId="575C0FAE"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Barclays Bank PLC (2024) </w:t>
      </w:r>
      <w:r w:rsidRPr="009B3D99">
        <w:rPr>
          <w:rFonts w:ascii="Times New Roman" w:eastAsia="Times New Roman" w:hAnsi="Times New Roman" w:cs="Times New Roman"/>
          <w:iCs/>
          <w:sz w:val="24"/>
          <w:szCs w:val="24"/>
          <w:lang w:eastAsia="en-GB"/>
        </w:rPr>
        <w:t>Annual Report 2024</w:t>
      </w:r>
      <w:r w:rsidRPr="009B3D99">
        <w:rPr>
          <w:rFonts w:ascii="Times New Roman" w:eastAsia="Times New Roman" w:hAnsi="Times New Roman" w:cs="Times New Roman"/>
          <w:sz w:val="24"/>
          <w:szCs w:val="24"/>
          <w:lang w:eastAsia="en-GB"/>
        </w:rPr>
        <w:t>. London: Barclays.</w:t>
      </w:r>
    </w:p>
    <w:p w14:paraId="01D25C88"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Barclays Bank PLC (2024) </w:t>
      </w:r>
      <w:r w:rsidRPr="009B3D99">
        <w:rPr>
          <w:rFonts w:ascii="Times New Roman" w:eastAsia="Times New Roman" w:hAnsi="Times New Roman" w:cs="Times New Roman"/>
          <w:iCs/>
          <w:sz w:val="24"/>
          <w:szCs w:val="24"/>
          <w:lang w:eastAsia="en-GB"/>
        </w:rPr>
        <w:t>Sustainability and ESG Report 2024</w:t>
      </w:r>
      <w:r w:rsidRPr="009B3D99">
        <w:rPr>
          <w:rFonts w:ascii="Times New Roman" w:eastAsia="Times New Roman" w:hAnsi="Times New Roman" w:cs="Times New Roman"/>
          <w:sz w:val="24"/>
          <w:szCs w:val="24"/>
          <w:lang w:eastAsia="en-GB"/>
        </w:rPr>
        <w:t>. London: Barclays.</w:t>
      </w:r>
    </w:p>
    <w:p w14:paraId="7E348A78"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Blythe, J. (2013) </w:t>
      </w:r>
      <w:r w:rsidRPr="009B3D99">
        <w:rPr>
          <w:rFonts w:ascii="Times New Roman" w:eastAsia="Times New Roman" w:hAnsi="Times New Roman" w:cs="Times New Roman"/>
          <w:iCs/>
          <w:sz w:val="24"/>
          <w:szCs w:val="24"/>
          <w:lang w:eastAsia="en-GB"/>
        </w:rPr>
        <w:t>Principles and Practice of Marketing</w:t>
      </w:r>
      <w:r w:rsidRPr="009B3D99">
        <w:rPr>
          <w:rFonts w:ascii="Times New Roman" w:eastAsia="Times New Roman" w:hAnsi="Times New Roman" w:cs="Times New Roman"/>
          <w:sz w:val="24"/>
          <w:szCs w:val="24"/>
          <w:lang w:eastAsia="en-GB"/>
        </w:rPr>
        <w:t>. 3rd ed. London: SAGE Publications.</w:t>
      </w:r>
    </w:p>
    <w:p w14:paraId="40B11F39"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Hooley, G.J. and </w:t>
      </w:r>
      <w:proofErr w:type="spellStart"/>
      <w:r w:rsidRPr="009B3D99">
        <w:rPr>
          <w:rFonts w:ascii="Times New Roman" w:eastAsia="Times New Roman" w:hAnsi="Times New Roman" w:cs="Times New Roman"/>
          <w:sz w:val="24"/>
          <w:szCs w:val="24"/>
          <w:lang w:eastAsia="en-GB"/>
        </w:rPr>
        <w:t>Nicoulaud</w:t>
      </w:r>
      <w:proofErr w:type="spellEnd"/>
      <w:r w:rsidRPr="009B3D99">
        <w:rPr>
          <w:rFonts w:ascii="Times New Roman" w:eastAsia="Times New Roman" w:hAnsi="Times New Roman" w:cs="Times New Roman"/>
          <w:sz w:val="24"/>
          <w:szCs w:val="24"/>
          <w:lang w:eastAsia="en-GB"/>
        </w:rPr>
        <w:t xml:space="preserve">, J.M. (2020) </w:t>
      </w:r>
      <w:r w:rsidRPr="009B3D99">
        <w:rPr>
          <w:rFonts w:ascii="Times New Roman" w:eastAsia="Times New Roman" w:hAnsi="Times New Roman" w:cs="Times New Roman"/>
          <w:iCs/>
          <w:sz w:val="24"/>
          <w:szCs w:val="24"/>
          <w:lang w:eastAsia="en-GB"/>
        </w:rPr>
        <w:t>Marketing Strategy and Competitive Positioning</w:t>
      </w:r>
      <w:r w:rsidRPr="009B3D99">
        <w:rPr>
          <w:rFonts w:ascii="Times New Roman" w:eastAsia="Times New Roman" w:hAnsi="Times New Roman" w:cs="Times New Roman"/>
          <w:sz w:val="24"/>
          <w:szCs w:val="24"/>
          <w:lang w:eastAsia="en-GB"/>
        </w:rPr>
        <w:t>. 7th ed. Harlow: Pearson Education.</w:t>
      </w:r>
    </w:p>
    <w:p w14:paraId="6607A166"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International Monetary Fund (IMF) (2025) </w:t>
      </w:r>
      <w:r w:rsidRPr="009B3D99">
        <w:rPr>
          <w:rFonts w:ascii="Times New Roman" w:eastAsia="Times New Roman" w:hAnsi="Times New Roman" w:cs="Times New Roman"/>
          <w:iCs/>
          <w:sz w:val="24"/>
          <w:szCs w:val="24"/>
          <w:lang w:eastAsia="en-GB"/>
        </w:rPr>
        <w:t>World Economic Outlook 2025</w:t>
      </w:r>
      <w:r w:rsidRPr="009B3D99">
        <w:rPr>
          <w:rFonts w:ascii="Times New Roman" w:eastAsia="Times New Roman" w:hAnsi="Times New Roman" w:cs="Times New Roman"/>
          <w:sz w:val="24"/>
          <w:szCs w:val="24"/>
          <w:lang w:eastAsia="en-GB"/>
        </w:rPr>
        <w:t>. Washington, D.C.: International Monetary Fund.</w:t>
      </w:r>
    </w:p>
    <w:p w14:paraId="4DC7C223"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Kotler, P. and Keller, K.L. (2016) </w:t>
      </w:r>
      <w:r w:rsidRPr="009B3D99">
        <w:rPr>
          <w:rFonts w:ascii="Times New Roman" w:eastAsia="Times New Roman" w:hAnsi="Times New Roman" w:cs="Times New Roman"/>
          <w:iCs/>
          <w:sz w:val="24"/>
          <w:szCs w:val="24"/>
          <w:lang w:eastAsia="en-GB"/>
        </w:rPr>
        <w:t>Marketing Management</w:t>
      </w:r>
      <w:r w:rsidRPr="009B3D99">
        <w:rPr>
          <w:rFonts w:ascii="Times New Roman" w:eastAsia="Times New Roman" w:hAnsi="Times New Roman" w:cs="Times New Roman"/>
          <w:sz w:val="24"/>
          <w:szCs w:val="24"/>
          <w:lang w:eastAsia="en-GB"/>
        </w:rPr>
        <w:t>. 15th ed. Harlow: Pearson Education.</w:t>
      </w:r>
    </w:p>
    <w:p w14:paraId="036F8AC4" w14:textId="77777777" w:rsidR="009B3D99" w:rsidRPr="009B3D99" w:rsidRDefault="009B3D99" w:rsidP="009B3D99">
      <w:pPr>
        <w:pStyle w:val="ListParagraph"/>
        <w:numPr>
          <w:ilvl w:val="0"/>
          <w:numId w:val="5"/>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B3D99">
        <w:rPr>
          <w:rFonts w:ascii="Times New Roman" w:eastAsia="Times New Roman" w:hAnsi="Times New Roman" w:cs="Times New Roman"/>
          <w:sz w:val="24"/>
          <w:szCs w:val="24"/>
          <w:lang w:eastAsia="en-GB"/>
        </w:rPr>
        <w:t xml:space="preserve">Kotler, P., Armstrong, G. and </w:t>
      </w:r>
      <w:proofErr w:type="spellStart"/>
      <w:r w:rsidRPr="009B3D99">
        <w:rPr>
          <w:rFonts w:ascii="Times New Roman" w:eastAsia="Times New Roman" w:hAnsi="Times New Roman" w:cs="Times New Roman"/>
          <w:sz w:val="24"/>
          <w:szCs w:val="24"/>
          <w:lang w:eastAsia="en-GB"/>
        </w:rPr>
        <w:t>Opresnik</w:t>
      </w:r>
      <w:proofErr w:type="spellEnd"/>
      <w:r w:rsidRPr="009B3D99">
        <w:rPr>
          <w:rFonts w:ascii="Times New Roman" w:eastAsia="Times New Roman" w:hAnsi="Times New Roman" w:cs="Times New Roman"/>
          <w:sz w:val="24"/>
          <w:szCs w:val="24"/>
          <w:lang w:eastAsia="en-GB"/>
        </w:rPr>
        <w:t xml:space="preserve">, M.O. (2018) </w:t>
      </w:r>
      <w:r w:rsidRPr="009B3D99">
        <w:rPr>
          <w:rFonts w:ascii="Times New Roman" w:eastAsia="Times New Roman" w:hAnsi="Times New Roman" w:cs="Times New Roman"/>
          <w:iCs/>
          <w:sz w:val="24"/>
          <w:szCs w:val="24"/>
          <w:lang w:eastAsia="en-GB"/>
        </w:rPr>
        <w:t>Principles of Marketing</w:t>
      </w:r>
      <w:r w:rsidRPr="009B3D99">
        <w:rPr>
          <w:rFonts w:ascii="Times New Roman" w:eastAsia="Times New Roman" w:hAnsi="Times New Roman" w:cs="Times New Roman"/>
          <w:sz w:val="24"/>
          <w:szCs w:val="24"/>
          <w:lang w:eastAsia="en-GB"/>
        </w:rPr>
        <w:t>. 17th ed. Harlow: Pearson Education.</w:t>
      </w:r>
    </w:p>
    <w:p w14:paraId="173F571F" w14:textId="77777777" w:rsidR="009B3D99" w:rsidRDefault="009B3D99" w:rsidP="00806C39">
      <w:pPr>
        <w:spacing w:before="100" w:beforeAutospacing="1" w:after="100" w:afterAutospacing="1" w:line="240" w:lineRule="auto"/>
        <w:rPr>
          <w:rFonts w:eastAsia="Times New Roman" w:cs="Times New Roman"/>
          <w:sz w:val="24"/>
          <w:szCs w:val="24"/>
          <w:lang w:eastAsia="en-GB"/>
        </w:rPr>
      </w:pPr>
    </w:p>
    <w:p w14:paraId="6F73F73A" w14:textId="77777777" w:rsidR="009B3D99" w:rsidRDefault="009B3D99" w:rsidP="00806C39">
      <w:pPr>
        <w:spacing w:before="100" w:beforeAutospacing="1" w:after="100" w:afterAutospacing="1" w:line="240" w:lineRule="auto"/>
        <w:rPr>
          <w:rFonts w:eastAsia="Times New Roman" w:cs="Times New Roman"/>
          <w:sz w:val="24"/>
          <w:szCs w:val="24"/>
          <w:lang w:eastAsia="en-GB"/>
        </w:rPr>
      </w:pPr>
    </w:p>
    <w:p w14:paraId="11EE9375" w14:textId="77777777" w:rsidR="009B3D99" w:rsidRDefault="009B3D99" w:rsidP="00806C39">
      <w:pPr>
        <w:spacing w:before="100" w:beforeAutospacing="1" w:after="100" w:afterAutospacing="1" w:line="240" w:lineRule="auto"/>
        <w:rPr>
          <w:rFonts w:eastAsia="Times New Roman" w:cs="Times New Roman"/>
          <w:sz w:val="24"/>
          <w:szCs w:val="24"/>
          <w:lang w:eastAsia="en-GB"/>
        </w:rPr>
      </w:pPr>
    </w:p>
    <w:p w14:paraId="560A65E1" w14:textId="77777777" w:rsidR="009B3D99" w:rsidRPr="00806C39" w:rsidRDefault="009B3D99" w:rsidP="00806C39">
      <w:pPr>
        <w:spacing w:before="100" w:beforeAutospacing="1" w:after="100" w:afterAutospacing="1" w:line="240" w:lineRule="auto"/>
        <w:rPr>
          <w:rFonts w:eastAsia="Times New Roman" w:cs="Times New Roman"/>
          <w:sz w:val="24"/>
          <w:szCs w:val="24"/>
          <w:lang w:eastAsia="en-GB"/>
        </w:rPr>
      </w:pPr>
    </w:p>
    <w:p w14:paraId="283572DA" w14:textId="77777777" w:rsidR="00806C39" w:rsidRPr="00806C39" w:rsidRDefault="00806C39" w:rsidP="00806C39">
      <w:pPr>
        <w:spacing w:before="100" w:beforeAutospacing="1" w:after="100" w:afterAutospacing="1" w:line="240" w:lineRule="auto"/>
        <w:rPr>
          <w:rFonts w:eastAsia="Times New Roman" w:cs="Times New Roman"/>
          <w:sz w:val="24"/>
          <w:szCs w:val="24"/>
          <w:lang w:eastAsia="en-GB"/>
        </w:rPr>
      </w:pPr>
    </w:p>
    <w:p w14:paraId="62F62CFC" w14:textId="77777777" w:rsidR="00806C39" w:rsidRDefault="00806C39" w:rsidP="007428C2">
      <w:pPr>
        <w:spacing w:before="100" w:beforeAutospacing="1" w:after="100" w:afterAutospacing="1" w:line="240" w:lineRule="auto"/>
        <w:rPr>
          <w:rFonts w:eastAsia="Times New Roman" w:cs="Times New Roman"/>
          <w:sz w:val="24"/>
          <w:szCs w:val="24"/>
          <w:lang w:eastAsia="en-GB"/>
        </w:rPr>
      </w:pPr>
    </w:p>
    <w:p w14:paraId="6008B47E" w14:textId="77777777" w:rsidR="00FA0CD2" w:rsidRPr="00207152" w:rsidRDefault="00FA0CD2" w:rsidP="00FA0CD2">
      <w:pPr>
        <w:spacing w:before="100" w:beforeAutospacing="1" w:after="100" w:afterAutospacing="1" w:line="240" w:lineRule="auto"/>
        <w:rPr>
          <w:rFonts w:eastAsia="Times New Roman" w:cs="Times New Roman"/>
          <w:sz w:val="24"/>
          <w:szCs w:val="24"/>
          <w:lang w:eastAsia="en-GB"/>
        </w:rPr>
      </w:pPr>
    </w:p>
    <w:sectPr w:rsidR="00FA0CD2" w:rsidRPr="00207152" w:rsidSect="00A6066E">
      <w:pgSz w:w="11906" w:h="16838"/>
      <w:pgMar w:top="1440" w:right="1440" w:bottom="1440" w:left="1440" w:header="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F34E" w14:textId="77777777" w:rsidR="00DC3919" w:rsidRDefault="00DC3919" w:rsidP="00A6066E">
      <w:pPr>
        <w:spacing w:after="0" w:line="240" w:lineRule="auto"/>
      </w:pPr>
      <w:r>
        <w:separator/>
      </w:r>
    </w:p>
  </w:endnote>
  <w:endnote w:type="continuationSeparator" w:id="0">
    <w:p w14:paraId="6CF3A040" w14:textId="77777777" w:rsidR="00DC3919" w:rsidRDefault="00DC3919" w:rsidP="00A60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616352"/>
      <w:docPartObj>
        <w:docPartGallery w:val="Page Numbers (Bottom of Page)"/>
        <w:docPartUnique/>
      </w:docPartObj>
    </w:sdtPr>
    <w:sdtEndPr>
      <w:rPr>
        <w:noProof/>
      </w:rPr>
    </w:sdtEndPr>
    <w:sdtContent>
      <w:p w14:paraId="5F296CEB" w14:textId="14E0EA0C" w:rsidR="00A6066E" w:rsidRDefault="00A606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164939" w14:textId="77777777" w:rsidR="00A6066E" w:rsidRDefault="00A60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25446" w14:textId="77777777" w:rsidR="00DC3919" w:rsidRDefault="00DC3919" w:rsidP="00A6066E">
      <w:pPr>
        <w:spacing w:after="0" w:line="240" w:lineRule="auto"/>
      </w:pPr>
      <w:r>
        <w:separator/>
      </w:r>
    </w:p>
  </w:footnote>
  <w:footnote w:type="continuationSeparator" w:id="0">
    <w:p w14:paraId="70ABC62A" w14:textId="77777777" w:rsidR="00DC3919" w:rsidRDefault="00DC3919" w:rsidP="00A60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44F8"/>
    <w:multiLevelType w:val="multilevel"/>
    <w:tmpl w:val="60503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D77019"/>
    <w:multiLevelType w:val="multilevel"/>
    <w:tmpl w:val="6F685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E6930"/>
    <w:multiLevelType w:val="multilevel"/>
    <w:tmpl w:val="2D9E5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053E39"/>
    <w:multiLevelType w:val="hybridMultilevel"/>
    <w:tmpl w:val="196EE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58470A"/>
    <w:multiLevelType w:val="hybridMultilevel"/>
    <w:tmpl w:val="9F365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F3B70"/>
    <w:multiLevelType w:val="hybridMultilevel"/>
    <w:tmpl w:val="E2BE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236487">
    <w:abstractNumId w:val="3"/>
  </w:num>
  <w:num w:numId="2" w16cid:durableId="945427537">
    <w:abstractNumId w:val="0"/>
  </w:num>
  <w:num w:numId="3" w16cid:durableId="1976989073">
    <w:abstractNumId w:val="2"/>
  </w:num>
  <w:num w:numId="4" w16cid:durableId="454983053">
    <w:abstractNumId w:val="1"/>
  </w:num>
  <w:num w:numId="5" w16cid:durableId="1551530241">
    <w:abstractNumId w:val="5"/>
  </w:num>
  <w:num w:numId="6" w16cid:durableId="791103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155"/>
    <w:rsid w:val="00045160"/>
    <w:rsid w:val="000E74B5"/>
    <w:rsid w:val="00152983"/>
    <w:rsid w:val="001912C3"/>
    <w:rsid w:val="00194B73"/>
    <w:rsid w:val="00207152"/>
    <w:rsid w:val="002B1CF7"/>
    <w:rsid w:val="002E7A90"/>
    <w:rsid w:val="00334F62"/>
    <w:rsid w:val="00444107"/>
    <w:rsid w:val="004856CD"/>
    <w:rsid w:val="00561464"/>
    <w:rsid w:val="00640E89"/>
    <w:rsid w:val="00652380"/>
    <w:rsid w:val="00713F89"/>
    <w:rsid w:val="007428C2"/>
    <w:rsid w:val="007D69F1"/>
    <w:rsid w:val="00806C39"/>
    <w:rsid w:val="00844791"/>
    <w:rsid w:val="008A5960"/>
    <w:rsid w:val="00906B47"/>
    <w:rsid w:val="009134E7"/>
    <w:rsid w:val="00975ABB"/>
    <w:rsid w:val="009B3D99"/>
    <w:rsid w:val="00A6066E"/>
    <w:rsid w:val="00A772FE"/>
    <w:rsid w:val="00A90082"/>
    <w:rsid w:val="00AC7C9B"/>
    <w:rsid w:val="00AC7F48"/>
    <w:rsid w:val="00BC0340"/>
    <w:rsid w:val="00CA6D19"/>
    <w:rsid w:val="00D26DE8"/>
    <w:rsid w:val="00D736EF"/>
    <w:rsid w:val="00D77155"/>
    <w:rsid w:val="00DC3919"/>
    <w:rsid w:val="00F914AE"/>
    <w:rsid w:val="00FA0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F59F73"/>
  <w15:chartTrackingRefBased/>
  <w15:docId w15:val="{021C97A0-7AA7-4438-BA4B-3D0167196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CF7"/>
    <w:pPr>
      <w:spacing w:line="256"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77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155"/>
    <w:rPr>
      <w:rFonts w:eastAsiaTheme="majorEastAsia" w:cstheme="majorBidi"/>
      <w:color w:val="272727" w:themeColor="text1" w:themeTint="D8"/>
    </w:rPr>
  </w:style>
  <w:style w:type="paragraph" w:styleId="Title">
    <w:name w:val="Title"/>
    <w:basedOn w:val="Normal"/>
    <w:next w:val="Normal"/>
    <w:link w:val="TitleChar"/>
    <w:uiPriority w:val="10"/>
    <w:qFormat/>
    <w:rsid w:val="00D77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155"/>
    <w:pPr>
      <w:spacing w:before="160"/>
      <w:jc w:val="center"/>
    </w:pPr>
    <w:rPr>
      <w:i/>
      <w:iCs/>
      <w:color w:val="404040" w:themeColor="text1" w:themeTint="BF"/>
    </w:rPr>
  </w:style>
  <w:style w:type="character" w:customStyle="1" w:styleId="QuoteChar">
    <w:name w:val="Quote Char"/>
    <w:basedOn w:val="DefaultParagraphFont"/>
    <w:link w:val="Quote"/>
    <w:uiPriority w:val="29"/>
    <w:rsid w:val="00D77155"/>
    <w:rPr>
      <w:i/>
      <w:iCs/>
      <w:color w:val="404040" w:themeColor="text1" w:themeTint="BF"/>
    </w:rPr>
  </w:style>
  <w:style w:type="paragraph" w:styleId="ListParagraph">
    <w:name w:val="List Paragraph"/>
    <w:basedOn w:val="Normal"/>
    <w:uiPriority w:val="34"/>
    <w:qFormat/>
    <w:rsid w:val="00D77155"/>
    <w:pPr>
      <w:ind w:left="720"/>
      <w:contextualSpacing/>
    </w:pPr>
  </w:style>
  <w:style w:type="character" w:styleId="IntenseEmphasis">
    <w:name w:val="Intense Emphasis"/>
    <w:basedOn w:val="DefaultParagraphFont"/>
    <w:uiPriority w:val="21"/>
    <w:qFormat/>
    <w:rsid w:val="00D77155"/>
    <w:rPr>
      <w:i/>
      <w:iCs/>
      <w:color w:val="0F4761" w:themeColor="accent1" w:themeShade="BF"/>
    </w:rPr>
  </w:style>
  <w:style w:type="paragraph" w:styleId="IntenseQuote">
    <w:name w:val="Intense Quote"/>
    <w:basedOn w:val="Normal"/>
    <w:next w:val="Normal"/>
    <w:link w:val="IntenseQuoteChar"/>
    <w:uiPriority w:val="30"/>
    <w:qFormat/>
    <w:rsid w:val="00D77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155"/>
    <w:rPr>
      <w:i/>
      <w:iCs/>
      <w:color w:val="0F4761" w:themeColor="accent1" w:themeShade="BF"/>
    </w:rPr>
  </w:style>
  <w:style w:type="character" w:styleId="IntenseReference">
    <w:name w:val="Intense Reference"/>
    <w:basedOn w:val="DefaultParagraphFont"/>
    <w:uiPriority w:val="32"/>
    <w:qFormat/>
    <w:rsid w:val="00D77155"/>
    <w:rPr>
      <w:b/>
      <w:bCs/>
      <w:smallCaps/>
      <w:color w:val="0F4761" w:themeColor="accent1" w:themeShade="BF"/>
      <w:spacing w:val="5"/>
    </w:rPr>
  </w:style>
  <w:style w:type="paragraph" w:styleId="Header">
    <w:name w:val="header"/>
    <w:basedOn w:val="Normal"/>
    <w:link w:val="HeaderChar"/>
    <w:uiPriority w:val="99"/>
    <w:unhideWhenUsed/>
    <w:rsid w:val="00A60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66E"/>
    <w:rPr>
      <w:rFonts w:eastAsiaTheme="minorEastAsia"/>
      <w:kern w:val="0"/>
      <w:sz w:val="22"/>
      <w:szCs w:val="22"/>
      <w:lang w:eastAsia="zh-CN"/>
      <w14:ligatures w14:val="none"/>
    </w:rPr>
  </w:style>
  <w:style w:type="paragraph" w:styleId="Footer">
    <w:name w:val="footer"/>
    <w:basedOn w:val="Normal"/>
    <w:link w:val="FooterChar"/>
    <w:uiPriority w:val="99"/>
    <w:unhideWhenUsed/>
    <w:rsid w:val="00A60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66E"/>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9CC7-1555-4A02-84C3-780CEB924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6</Pages>
  <Words>1217</Words>
  <Characters>8240</Characters>
  <Application>Microsoft Office Word</Application>
  <DocSecurity>0</DocSecurity>
  <Lines>158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 Radoslavova Radeva (2418897)</cp:lastModifiedBy>
  <cp:revision>21</cp:revision>
  <dcterms:created xsi:type="dcterms:W3CDTF">2025-11-06T17:07:00Z</dcterms:created>
  <dcterms:modified xsi:type="dcterms:W3CDTF">2025-11-06T20:44:00Z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939f940f-859b-41ac-8832-3464188fef6b</vt:lpwstr>
  </property>
</Properties>
</file>