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611FC0"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Rebecca Dean</w:t>
      </w:r>
    </w:p>
    <w:p w14:paraId="240BC78B"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Student ID: 1604311</w:t>
      </w:r>
    </w:p>
    <w:p w14:paraId="72F2DB36"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69D09DE7"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Assignment title: Leadership and Management of Change (BMHP6002_LON)</w:t>
      </w:r>
    </w:p>
    <w:p w14:paraId="0346875B"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Name: Rebecca Dean</w:t>
      </w:r>
    </w:p>
    <w:p w14:paraId="43C358C5"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Student ID: 1604311</w:t>
      </w:r>
    </w:p>
    <w:p w14:paraId="38314593"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Lecturer: Jacqueline Comerasamy</w:t>
      </w:r>
    </w:p>
    <w:p w14:paraId="5546F83C"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1EADFBDA"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13A39CCF"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06C37709"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13BA52D6"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6E08A8EA"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5D451CA8"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3F69386A"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42A61D1D"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79B7BCDF"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18D5A0F7"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568CD136"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7342E845"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68D58F3B"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63E4C77D"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5AC5E651"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75219E72"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25C86045"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1321FD6D"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1A040795"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27A38F76"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48C35B69"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0996B82B"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7624081C" w14:textId="77777777" w:rsidR="00F467A1" w:rsidRDefault="00F467A1">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5F5806BE"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lastRenderedPageBreak/>
        <w:t>Table of contents                                                                                                           Page</w:t>
      </w:r>
    </w:p>
    <w:p w14:paraId="4F078881"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1 Introduction…………………………………………………………………………..2</w:t>
      </w:r>
    </w:p>
    <w:p w14:paraId="6F0CA2C3"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2 Need for change in a healthcare setting in 21st century…………………………...2</w:t>
      </w:r>
    </w:p>
    <w:p w14:paraId="52CD143D"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 Process and models of change……………………………………………………….3</w:t>
      </w:r>
    </w:p>
    <w:p w14:paraId="208E5CAD"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3.1 Planned change models…………………………………………………………….3</w:t>
      </w:r>
    </w:p>
    <w:p w14:paraId="10861DA3"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3.1.1 Field Theory………………………………………………………………………3</w:t>
      </w:r>
    </w:p>
    <w:p w14:paraId="042B9FF4"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3.1.2 Group Dynamics………………………………………………………………….4</w:t>
      </w:r>
    </w:p>
    <w:p w14:paraId="18A40DCA"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3.1.3 Action Research…………………………………………………………………..4</w:t>
      </w:r>
    </w:p>
    <w:p w14:paraId="68B1B00F"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3.1.4 3-step model……………………………………………………………………....4</w:t>
      </w:r>
    </w:p>
    <w:p w14:paraId="03BC19B4"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3.2 Emergent change models…………………………………………………………..</w:t>
      </w:r>
      <w:r w:rsidR="00F467A1">
        <w:rPr>
          <w:rFonts w:ascii="Times New Roman" w:eastAsia="Times New Roman" w:hAnsi="Times New Roman" w:cs="Times New Roman"/>
          <w:b/>
          <w:color w:val="1B1C2A"/>
          <w:sz w:val="24"/>
          <w:szCs w:val="24"/>
        </w:rPr>
        <w:t>4</w:t>
      </w:r>
    </w:p>
    <w:p w14:paraId="6232B13B"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color w:val="1B1C2A"/>
          <w:sz w:val="24"/>
          <w:szCs w:val="24"/>
        </w:rPr>
        <w:t xml:space="preserve">3.2.1 </w:t>
      </w:r>
      <w:r>
        <w:rPr>
          <w:rFonts w:ascii="Times New Roman" w:eastAsia="Times New Roman" w:hAnsi="Times New Roman" w:cs="Times New Roman"/>
          <w:b/>
          <w:sz w:val="24"/>
          <w:szCs w:val="24"/>
        </w:rPr>
        <w:t>Hinings and Greenwood’s Model of Change Dynamics</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5</w:t>
      </w:r>
    </w:p>
    <w:p w14:paraId="4DC61008"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3.2.2 Pettigrew’s Context  Model </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5</w:t>
      </w:r>
    </w:p>
    <w:p w14:paraId="4261D674"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3.2.3 Kanter et al.’s “Big Three” Model of Organizational Change</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5</w:t>
      </w:r>
    </w:p>
    <w:p w14:paraId="3E6CE7EC"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 Issues and concerns related to change management</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5</w:t>
      </w:r>
    </w:p>
    <w:p w14:paraId="730A2305"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4.1 Employee resistance</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..5</w:t>
      </w:r>
    </w:p>
    <w:p w14:paraId="66EE724C"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sz w:val="24"/>
          <w:szCs w:val="24"/>
        </w:rPr>
        <w:t>4.2 Communication</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6</w:t>
      </w:r>
    </w:p>
    <w:p w14:paraId="64A3B4A2" w14:textId="77777777" w:rsidR="00F467A1" w:rsidRDefault="00F467A1">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color w:val="1B1C2A"/>
          <w:sz w:val="24"/>
          <w:szCs w:val="24"/>
        </w:rPr>
        <w:t>4.3 Build trust</w:t>
      </w:r>
      <w:r>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.............6</w:t>
      </w:r>
    </w:p>
    <w:p w14:paraId="7755A1AF"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5 People’s perceptions and their impacts on implementation of change within organisations</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6</w:t>
      </w:r>
    </w:p>
    <w:p w14:paraId="2B28B9ED"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6 Organisational effectiveness and role of change management</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w:t>
      </w:r>
      <w:r>
        <w:rPr>
          <w:rFonts w:ascii="Times New Roman" w:eastAsia="Times New Roman" w:hAnsi="Times New Roman" w:cs="Times New Roman"/>
          <w:b/>
          <w:color w:val="1B1C2A"/>
          <w:sz w:val="24"/>
          <w:szCs w:val="24"/>
        </w:rPr>
        <w:t>7</w:t>
      </w:r>
    </w:p>
    <w:p w14:paraId="54717C9B"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7 Conclusion</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...7</w:t>
      </w:r>
    </w:p>
    <w:p w14:paraId="20C63967"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 References</w:t>
      </w:r>
      <w:r>
        <w:rPr>
          <w:rFonts w:ascii="Times New Roman" w:eastAsia="Times New Roman" w:hAnsi="Times New Roman" w:cs="Times New Roman"/>
          <w:b/>
          <w:color w:val="1B1C2A"/>
          <w:sz w:val="24"/>
          <w:szCs w:val="24"/>
        </w:rPr>
        <w:t>…………………………………………………………………………....</w:t>
      </w:r>
      <w:r w:rsidR="00F467A1">
        <w:rPr>
          <w:rFonts w:ascii="Times New Roman" w:eastAsia="Times New Roman" w:hAnsi="Times New Roman" w:cs="Times New Roman"/>
          <w:b/>
          <w:color w:val="1B1C2A"/>
          <w:sz w:val="24"/>
          <w:szCs w:val="24"/>
        </w:rPr>
        <w:t>...8</w:t>
      </w:r>
    </w:p>
    <w:p w14:paraId="6F94D7E4"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p>
    <w:p w14:paraId="3C2B3DDD"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sz w:val="24"/>
          <w:szCs w:val="24"/>
        </w:rPr>
      </w:pPr>
    </w:p>
    <w:p w14:paraId="61F120D3"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7A851AD0"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5F62876F"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61F2A07D"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3403BC38"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0E587DE6"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73E293F4" w14:textId="77777777" w:rsidR="00342EA0" w:rsidRDefault="00342EA0">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p>
    <w:p w14:paraId="5652E8B5" w14:textId="77777777" w:rsidR="00342EA0" w:rsidRDefault="00650C4F">
      <w:pPr>
        <w:pStyle w:val="normal0"/>
        <w:pBdr>
          <w:bottom w:val="none" w:sz="0" w:space="15" w:color="auto"/>
        </w:pBdr>
        <w:shd w:val="clear" w:color="auto" w:fill="FFFFFF"/>
        <w:spacing w:line="388" w:lineRule="auto"/>
        <w:rPr>
          <w:rFonts w:ascii="Times New Roman" w:eastAsia="Times New Roman" w:hAnsi="Times New Roman" w:cs="Times New Roman"/>
          <w:b/>
          <w:color w:val="1B1C2A"/>
          <w:sz w:val="24"/>
          <w:szCs w:val="24"/>
        </w:rPr>
      </w:pPr>
      <w:bookmarkStart w:id="0" w:name="_GoBack"/>
      <w:bookmarkEnd w:id="0"/>
      <w:r>
        <w:rPr>
          <w:rFonts w:ascii="Times New Roman" w:eastAsia="Times New Roman" w:hAnsi="Times New Roman" w:cs="Times New Roman"/>
          <w:b/>
          <w:color w:val="1B1C2A"/>
          <w:sz w:val="24"/>
          <w:szCs w:val="24"/>
        </w:rPr>
        <w:lastRenderedPageBreak/>
        <w:t>1 Introduction</w:t>
      </w:r>
    </w:p>
    <w:p w14:paraId="45B64557"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 xml:space="preserve">In a health and social care setting, managing change is one of the major challenges for management (Bridges, 2002). In fact, managing change in healthcare is even more difficult than in most industries. Clinical and regulatory staff tend to see their work as a job as much as a profession, and they are truly suspicious of senior executives and impervious to vital motivation (Baldoni, 2005). The management team of a  healthcare organisation may need to implement a change as a top priority which can be viewed by staff as a fundamentally flawed activity. Overseeing change is tied in with dealing with the multifaceted nature of the procedure (Ash, 2000). It is tied in with assessing, arranging and actualising tasks, strategies and methodologies and ensuring that the change is advantageous and applicable (Bohmer, 2013). Overseeing change is a perplexing, dynamic and testing process. Managing change is about both dealing with technological and people-oriented issues.  </w:t>
      </w:r>
    </w:p>
    <w:p w14:paraId="7C8EEF6C" w14:textId="77777777" w:rsidR="00342EA0" w:rsidRDefault="00342EA0">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p>
    <w:p w14:paraId="1283F3C1"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2. Need for change in a healthcare setting in 21st century</w:t>
      </w:r>
    </w:p>
    <w:p w14:paraId="6B2AEDC8"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With the change of time, there is a need of a transformation of healthcare service too (Bohmer, 2013). In the 21st century, focus of healthcare system should be patients. This means service should be totally patient-oriented. A transformed healthcare system will give access to a safer and better quality care putting aside people’s ability to pay for it (Ackerman, 1997). Moreover, there is a need of reestablishing and promoting doctor-patient relationship in this modern era. In addition, electronic health record of patients is a key to improve service quality and embracing new technology can make it efficient. Most of these changes need plans and they are called planned changes. And the other types of changes are emergent changes (</w:t>
      </w:r>
      <w:r>
        <w:rPr>
          <w:rFonts w:ascii="Times New Roman" w:eastAsia="Times New Roman" w:hAnsi="Times New Roman" w:cs="Times New Roman"/>
          <w:sz w:val="24"/>
          <w:szCs w:val="24"/>
        </w:rPr>
        <w:t>William, 2015)</w:t>
      </w:r>
      <w:r>
        <w:rPr>
          <w:rFonts w:ascii="Times New Roman" w:eastAsia="Times New Roman" w:hAnsi="Times New Roman" w:cs="Times New Roman"/>
          <w:color w:val="1B1C2A"/>
          <w:sz w:val="24"/>
          <w:szCs w:val="24"/>
        </w:rPr>
        <w:t xml:space="preserve">. </w:t>
      </w:r>
    </w:p>
    <w:p w14:paraId="68F0F41C"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 xml:space="preserve">Planned changes in a healthcare setting usually take place in order to provide better service to service users especially in the 21st century when technology is advancing rapidly (Elving, 2005). In a planned change, staff get training on new machines or ways of caring. The planned change approach sees change as a transitional procedure between settled states. All through this procedure, a progression of preplanned actions are utilised, along these lines making this approach amiable to investigate examination (Elias, 2009). The planned change </w:t>
      </w:r>
      <w:r>
        <w:rPr>
          <w:rFonts w:ascii="Times New Roman" w:eastAsia="Times New Roman" w:hAnsi="Times New Roman" w:cs="Times New Roman"/>
          <w:color w:val="1B1C2A"/>
          <w:sz w:val="24"/>
          <w:szCs w:val="24"/>
        </w:rPr>
        <w:lastRenderedPageBreak/>
        <w:t>approach perceives that, keeping in mind the end goal to effectively receive new practices inside an association, old practices must be surrendered.</w:t>
      </w:r>
    </w:p>
    <w:p w14:paraId="7ED1CA15"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Emergent change is a fresher idea and does not have a solitary hypothetical contrasting option to arranged change. Or maybe, the eminent change field comprises of numerous irrelevant hypotheses showing shifting ways to deal with change management (Bate, 1994). The eminent change approach sees change as a less prescriptive but rather more logical endeavour. While change is about giving a new face to current working process, there is less emphasis put on the plan and predictions to understand the unpredictability of the business condition (</w:t>
      </w:r>
      <w:r>
        <w:rPr>
          <w:rFonts w:ascii="Times New Roman" w:eastAsia="Times New Roman" w:hAnsi="Times New Roman" w:cs="Times New Roman"/>
          <w:sz w:val="24"/>
          <w:szCs w:val="24"/>
        </w:rPr>
        <w:t>Holbeche, 2006)</w:t>
      </w:r>
      <w:r>
        <w:rPr>
          <w:rFonts w:ascii="Times New Roman" w:eastAsia="Times New Roman" w:hAnsi="Times New Roman" w:cs="Times New Roman"/>
          <w:color w:val="1B1C2A"/>
          <w:sz w:val="24"/>
          <w:szCs w:val="24"/>
        </w:rPr>
        <w:t xml:space="preserve"> This approach perceives that change must be connected to market forces, work associations, frameworks of administration control, and the moving idea of authoritative limits and connections (</w:t>
      </w:r>
      <w:r>
        <w:rPr>
          <w:rFonts w:ascii="Times New Roman" w:eastAsia="Times New Roman" w:hAnsi="Times New Roman" w:cs="Times New Roman"/>
          <w:sz w:val="24"/>
          <w:szCs w:val="24"/>
        </w:rPr>
        <w:t>Holbeche, 2006)</w:t>
      </w:r>
      <w:r>
        <w:rPr>
          <w:rFonts w:ascii="Times New Roman" w:eastAsia="Times New Roman" w:hAnsi="Times New Roman" w:cs="Times New Roman"/>
          <w:color w:val="1B1C2A"/>
          <w:sz w:val="24"/>
          <w:szCs w:val="24"/>
        </w:rPr>
        <w:t xml:space="preserve">. </w:t>
      </w:r>
    </w:p>
    <w:p w14:paraId="514287C1" w14:textId="77777777" w:rsidR="00342EA0" w:rsidRDefault="00342EA0">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p>
    <w:p w14:paraId="005EE856"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 Processes and models of change</w:t>
      </w:r>
    </w:p>
    <w:p w14:paraId="5403C9F6"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Change management models and processes for healthcare are not different from other organisations. This essay will discuss some of the change management models and processes appropriate for healthcare organisations (</w:t>
      </w:r>
      <w:r>
        <w:rPr>
          <w:rFonts w:ascii="Times New Roman" w:eastAsia="Times New Roman" w:hAnsi="Times New Roman" w:cs="Times New Roman"/>
          <w:sz w:val="24"/>
          <w:szCs w:val="24"/>
        </w:rPr>
        <w:t>Kanter, 2003)</w:t>
      </w:r>
      <w:r>
        <w:rPr>
          <w:rFonts w:ascii="Times New Roman" w:eastAsia="Times New Roman" w:hAnsi="Times New Roman" w:cs="Times New Roman"/>
          <w:color w:val="1B1C2A"/>
          <w:sz w:val="24"/>
          <w:szCs w:val="24"/>
        </w:rPr>
        <w:t>.</w:t>
      </w:r>
    </w:p>
    <w:p w14:paraId="3067CE57"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 xml:space="preserve">3.1 Planned Change Models </w:t>
      </w:r>
    </w:p>
    <w:p w14:paraId="1963BE05"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Majority of the organisations including healthcare organisations usually follow Kurt Lewin’s model of change while implementing a planned change (Bohmer, 2013). A sound understanding of the framework of a change can be obtained from Lewin’s four change theories. These theories are the Field Theory, group dynamics, action research and the 3-step model (</w:t>
      </w:r>
      <w:r>
        <w:rPr>
          <w:rFonts w:ascii="Times New Roman" w:eastAsia="Times New Roman" w:hAnsi="Times New Roman" w:cs="Times New Roman"/>
          <w:sz w:val="24"/>
          <w:szCs w:val="24"/>
          <w:highlight w:val="white"/>
        </w:rPr>
        <w:t>Ottaway, 1976)</w:t>
      </w:r>
      <w:r>
        <w:rPr>
          <w:rFonts w:ascii="Times New Roman" w:eastAsia="Times New Roman" w:hAnsi="Times New Roman" w:cs="Times New Roman"/>
          <w:color w:val="1B1C2A"/>
          <w:sz w:val="24"/>
          <w:szCs w:val="24"/>
        </w:rPr>
        <w:t>. These theories are seen as a one unified theory although they are often considered as separate theories of change (</w:t>
      </w:r>
      <w:r>
        <w:rPr>
          <w:rFonts w:ascii="Times New Roman" w:eastAsia="Times New Roman" w:hAnsi="Times New Roman" w:cs="Times New Roman"/>
          <w:sz w:val="24"/>
          <w:szCs w:val="24"/>
          <w:highlight w:val="white"/>
        </w:rPr>
        <w:t>Snaith, 2010)</w:t>
      </w:r>
      <w:r>
        <w:rPr>
          <w:rFonts w:ascii="Times New Roman" w:eastAsia="Times New Roman" w:hAnsi="Times New Roman" w:cs="Times New Roman"/>
          <w:color w:val="1B1C2A"/>
          <w:sz w:val="24"/>
          <w:szCs w:val="24"/>
        </w:rPr>
        <w:t xml:space="preserve">. </w:t>
      </w:r>
    </w:p>
    <w:p w14:paraId="227D7433"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3.1.1 Field theory</w:t>
      </w:r>
    </w:p>
    <w:p w14:paraId="41DF8CB6"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 xml:space="preserve">This hypothesis displays a way to deal with investigating the unique circumstance, or field, of group behaviour. This is a top level approach that keeps up that "an individual ought to see the current circumstance – the present state of affairs – as being kept up by specific conditions or powers" (Vaughan and Pillmoor, 1992). Group behaviours are the main </w:t>
      </w:r>
      <w:r>
        <w:rPr>
          <w:rFonts w:ascii="Times New Roman" w:eastAsia="Times New Roman" w:hAnsi="Times New Roman" w:cs="Times New Roman"/>
          <w:color w:val="1B1C2A"/>
          <w:sz w:val="24"/>
          <w:szCs w:val="24"/>
        </w:rPr>
        <w:lastRenderedPageBreak/>
        <w:t>elements of these conditions and powers which are depicted as an arrangement of emblematic connections that influence assemble results and individual conduct alike (Ottaway, 1976)</w:t>
      </w:r>
    </w:p>
    <w:p w14:paraId="38260732"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 xml:space="preserve">3.1.2 Group Dynamics </w:t>
      </w:r>
    </w:p>
    <w:p w14:paraId="25EEE447"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color w:val="1B1C2A"/>
          <w:sz w:val="24"/>
          <w:szCs w:val="24"/>
        </w:rPr>
        <w:t>This theory is about the investigation of the causes, modifiers, and results of forces in the workplace inside groups. in the Field theory, nature of the environment and its influence on group behaviour is looked at. However, in group dynamics, the nature and qualities of a group that encourage certain practices are looked at (</w:t>
      </w:r>
      <w:r>
        <w:rPr>
          <w:rFonts w:ascii="Times New Roman" w:eastAsia="Times New Roman" w:hAnsi="Times New Roman" w:cs="Times New Roman"/>
          <w:sz w:val="24"/>
          <w:szCs w:val="24"/>
        </w:rPr>
        <w:t>Aiken, 1997)</w:t>
      </w:r>
      <w:r>
        <w:rPr>
          <w:rFonts w:ascii="Times New Roman" w:eastAsia="Times New Roman" w:hAnsi="Times New Roman" w:cs="Times New Roman"/>
          <w:color w:val="1B1C2A"/>
          <w:sz w:val="24"/>
          <w:szCs w:val="24"/>
        </w:rPr>
        <w:t xml:space="preserve">. </w:t>
      </w:r>
    </w:p>
    <w:p w14:paraId="58B84CD6"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 xml:space="preserve">3.1.3 Action Research </w:t>
      </w:r>
    </w:p>
    <w:p w14:paraId="31688DCD"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color w:val="1B1C2A"/>
          <w:sz w:val="24"/>
          <w:szCs w:val="24"/>
        </w:rPr>
      </w:pPr>
      <w:r>
        <w:rPr>
          <w:rFonts w:ascii="Times New Roman" w:eastAsia="Times New Roman" w:hAnsi="Times New Roman" w:cs="Times New Roman"/>
          <w:color w:val="1B1C2A"/>
          <w:sz w:val="24"/>
          <w:szCs w:val="24"/>
        </w:rPr>
        <w:t>This is a type of approach for leading examination to improve coordinated practice (Hussey, 1996). This hypothesis hypotheses an approach for examining a circumstance, distinguishing conceivable arrangements, and deciding the best action-plan in light of the idea of the circumstance (Hersey and Blanchard, 1982).</w:t>
      </w:r>
    </w:p>
    <w:p w14:paraId="1314C612"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b/>
          <w:color w:val="1B1C2A"/>
          <w:sz w:val="24"/>
          <w:szCs w:val="24"/>
        </w:rPr>
      </w:pPr>
      <w:r>
        <w:rPr>
          <w:rFonts w:ascii="Times New Roman" w:eastAsia="Times New Roman" w:hAnsi="Times New Roman" w:cs="Times New Roman"/>
          <w:b/>
          <w:color w:val="1B1C2A"/>
          <w:sz w:val="24"/>
          <w:szCs w:val="24"/>
        </w:rPr>
        <w:t>3.1.4 3-step model</w:t>
      </w:r>
    </w:p>
    <w:p w14:paraId="1EFF56CA"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 posits a three step sequence of change: unfreezing, moving, and refreezing (Lewin, 1951). </w:t>
      </w:r>
    </w:p>
    <w:p w14:paraId="44B14A57"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Unfreeze</w:t>
      </w:r>
      <w:r>
        <w:rPr>
          <w:rFonts w:ascii="Times New Roman" w:eastAsia="Times New Roman" w:hAnsi="Times New Roman" w:cs="Times New Roman"/>
          <w:sz w:val="24"/>
          <w:szCs w:val="24"/>
        </w:rPr>
        <w:t xml:space="preserve"> – employees tend to resist change and this stage tries to examine the acceptability of change. It creates an awareness among employees of why the change is needed. Employees are clarified of the objectives of change (Lewin, 1951).</w:t>
      </w:r>
    </w:p>
    <w:p w14:paraId="607DC5F8"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Transition</w:t>
      </w:r>
      <w:r>
        <w:rPr>
          <w:rFonts w:ascii="Times New Roman" w:eastAsia="Times New Roman" w:hAnsi="Times New Roman" w:cs="Times New Roman"/>
          <w:sz w:val="24"/>
          <w:szCs w:val="24"/>
        </w:rPr>
        <w:t xml:space="preserve"> – In this stage, the change happens. Employees learn new behaviours. Management should handle this stage carefully as some employees may not want to comply with new approach. </w:t>
      </w:r>
    </w:p>
    <w:p w14:paraId="5420972E" w14:textId="77777777" w:rsidR="00342EA0" w:rsidRDefault="00650C4F">
      <w:pPr>
        <w:pStyle w:val="normal0"/>
        <w:pBdr>
          <w:bottom w:val="none" w:sz="0" w:space="15" w:color="auto"/>
        </w:pBdr>
        <w:shd w:val="clear" w:color="auto" w:fill="FFFFFF"/>
        <w:spacing w:before="160" w:after="160" w:line="388"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Refreeze </w:t>
      </w:r>
      <w:r>
        <w:rPr>
          <w:rFonts w:ascii="Times New Roman" w:eastAsia="Times New Roman" w:hAnsi="Times New Roman" w:cs="Times New Roman"/>
          <w:sz w:val="24"/>
          <w:szCs w:val="24"/>
        </w:rPr>
        <w:t>– after the change is completed it is the duty of management to  keep the change stable. The company becomes stable again in this stage (Bridges, 2002).</w:t>
      </w:r>
    </w:p>
    <w:p w14:paraId="0154A29F" w14:textId="77777777" w:rsidR="00342EA0" w:rsidRDefault="00650C4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3.2 Emergent Change Models </w:t>
      </w:r>
    </w:p>
    <w:p w14:paraId="26EF583F"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essay will mention three common emergent change models which are Hinings and Greenwood’s model of change dynamics; Kanter et al.’s “Big Three” model of organizational change; and Pettigrew’s process (Ash, 2000).</w:t>
      </w:r>
    </w:p>
    <w:p w14:paraId="4719425A" w14:textId="77777777" w:rsidR="00342EA0" w:rsidRDefault="00342EA0">
      <w:pPr>
        <w:pStyle w:val="normal0"/>
        <w:spacing w:line="360" w:lineRule="auto"/>
        <w:rPr>
          <w:rFonts w:ascii="Times New Roman" w:eastAsia="Times New Roman" w:hAnsi="Times New Roman" w:cs="Times New Roman"/>
          <w:sz w:val="24"/>
          <w:szCs w:val="24"/>
        </w:rPr>
      </w:pPr>
    </w:p>
    <w:p w14:paraId="2F135764" w14:textId="77777777" w:rsidR="00342EA0" w:rsidRDefault="00650C4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3.2.1 Hinings and Greenwood’s Model of Change Dynamics </w:t>
      </w:r>
    </w:p>
    <w:p w14:paraId="140C6DA6"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change model suggested by Hinings and Greenwood  recognises that change includes an unpredictable connection of hierarchical setting and inner authoritative procedures (Hinings and Greenwood, 1989). According to this model, change is an unfurling arrangement of conditions and activities originating from unforeseen outcomes and a moving setting (Hersey and Blanchard, 1982).</w:t>
      </w:r>
    </w:p>
    <w:p w14:paraId="3BD7365F" w14:textId="77777777" w:rsidR="00342EA0" w:rsidRDefault="00342EA0">
      <w:pPr>
        <w:pStyle w:val="normal0"/>
        <w:spacing w:line="360" w:lineRule="auto"/>
        <w:rPr>
          <w:rFonts w:ascii="Times New Roman" w:eastAsia="Times New Roman" w:hAnsi="Times New Roman" w:cs="Times New Roman"/>
          <w:b/>
          <w:sz w:val="24"/>
          <w:szCs w:val="24"/>
        </w:rPr>
      </w:pPr>
    </w:p>
    <w:p w14:paraId="4A4DB5C6" w14:textId="77777777" w:rsidR="00342EA0" w:rsidRDefault="00650C4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3.2.2 Kanter et al.’s “Big Three” Model of Organizational Change</w:t>
      </w:r>
    </w:p>
    <w:p w14:paraId="22434FE9"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Big Three model suggests that there are three sorts of motion, three types of progress, and three parts in the change procedure (Kanter, 2003). Regarding motions, the model recommends that there is the movement of the association in connection to the more extensive condition, the movement of the hierarchical segments in respect to each other, and the movement of people inside the association as they strive for power and control (Kanter, 2003)</w:t>
      </w:r>
    </w:p>
    <w:p w14:paraId="0B5D7577" w14:textId="77777777" w:rsidR="00342EA0" w:rsidRDefault="00342EA0">
      <w:pPr>
        <w:pStyle w:val="normal0"/>
        <w:spacing w:line="360" w:lineRule="auto"/>
        <w:rPr>
          <w:rFonts w:ascii="Times New Roman" w:eastAsia="Times New Roman" w:hAnsi="Times New Roman" w:cs="Times New Roman"/>
          <w:sz w:val="24"/>
          <w:szCs w:val="24"/>
        </w:rPr>
      </w:pPr>
    </w:p>
    <w:p w14:paraId="1B700537" w14:textId="77777777" w:rsidR="00342EA0" w:rsidRDefault="00650C4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3.2.3 Pettigrew’s Context Model </w:t>
      </w:r>
    </w:p>
    <w:p w14:paraId="3384BE30"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recognises the multifaceted nature and unending nature of progress, yet in addition sees change as purposive in light of the fact that it is attempted in search of a competitive advantage and not only as a tool to stay aware of the outer condition (Bohmer, 2013). This model places that change ought to be broke down in light of three measurements: setting, substance, and process.</w:t>
      </w:r>
    </w:p>
    <w:p w14:paraId="0680FB8D" w14:textId="77777777" w:rsidR="00342EA0" w:rsidRDefault="00342EA0">
      <w:pPr>
        <w:pStyle w:val="normal0"/>
        <w:spacing w:line="360" w:lineRule="auto"/>
        <w:rPr>
          <w:rFonts w:ascii="Times New Roman" w:eastAsia="Times New Roman" w:hAnsi="Times New Roman" w:cs="Times New Roman"/>
          <w:sz w:val="24"/>
          <w:szCs w:val="24"/>
        </w:rPr>
      </w:pPr>
    </w:p>
    <w:p w14:paraId="1D3F07F9" w14:textId="77777777" w:rsidR="00342EA0" w:rsidRDefault="00650C4F">
      <w:pPr>
        <w:pStyle w:val="normal0"/>
        <w:shd w:val="clear" w:color="auto" w:fill="FFFFFF"/>
        <w:spacing w:after="12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 Issues and concerns related to change management in healthcare</w:t>
      </w:r>
    </w:p>
    <w:p w14:paraId="16219455" w14:textId="77777777" w:rsidR="00342EA0" w:rsidRDefault="00650C4F">
      <w:pPr>
        <w:pStyle w:val="normal0"/>
        <w:spacing w:line="36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Resistance from employees is the key challenge of change management in a healthcare setting. Nurses or carers or other employees have interest in the causes and effects of change. If the objectives are not presented in front of them clearly then it may cause confusion and anger among them (Elias, 2009). </w:t>
      </w:r>
    </w:p>
    <w:p w14:paraId="21442F30" w14:textId="77777777" w:rsidR="00342EA0" w:rsidRDefault="00342EA0">
      <w:pPr>
        <w:pStyle w:val="normal0"/>
        <w:spacing w:line="360" w:lineRule="auto"/>
        <w:rPr>
          <w:rFonts w:ascii="Times New Roman" w:eastAsia="Times New Roman" w:hAnsi="Times New Roman" w:cs="Times New Roman"/>
          <w:b/>
          <w:color w:val="333333"/>
          <w:sz w:val="24"/>
          <w:szCs w:val="24"/>
          <w:highlight w:val="white"/>
        </w:rPr>
      </w:pPr>
    </w:p>
    <w:p w14:paraId="4FD301A7" w14:textId="77777777" w:rsidR="00F467A1" w:rsidRDefault="00650C4F" w:rsidP="00F467A1">
      <w:pPr>
        <w:pStyle w:val="normal0"/>
        <w:spacing w:line="360" w:lineRule="auto"/>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4.1 Employee resistance</w:t>
      </w:r>
    </w:p>
    <w:p w14:paraId="6CF34CDD" w14:textId="77777777" w:rsidR="00342EA0" w:rsidRPr="00F467A1" w:rsidRDefault="00650C4F" w:rsidP="00F467A1">
      <w:pPr>
        <w:pStyle w:val="normal0"/>
        <w:spacing w:line="360" w:lineRule="auto"/>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 xml:space="preserve">It is often noticed that resistance to change comes from middle management since they have concern of how their own department will be affected, as opposed to taking a gander at the change comprehensively (Ackerman, 1997). This disposition can likewise reach out to </w:t>
      </w:r>
      <w:r>
        <w:rPr>
          <w:rFonts w:ascii="Times New Roman" w:eastAsia="Times New Roman" w:hAnsi="Times New Roman" w:cs="Times New Roman"/>
          <w:color w:val="333333"/>
          <w:sz w:val="24"/>
          <w:szCs w:val="24"/>
          <w:highlight w:val="white"/>
        </w:rPr>
        <w:lastRenderedPageBreak/>
        <w:t xml:space="preserve">workers themselves, who are usually alright with the norm and careful about what a change may mean for them and their working lives (Bridges, 2002). </w:t>
      </w:r>
    </w:p>
    <w:p w14:paraId="4CD8BB63" w14:textId="77777777" w:rsidR="00342EA0" w:rsidRDefault="00342EA0">
      <w:pPr>
        <w:pStyle w:val="normal0"/>
        <w:spacing w:beforeAutospacing="1" w:line="352" w:lineRule="auto"/>
        <w:rPr>
          <w:rFonts w:ascii="Times New Roman" w:eastAsia="Times New Roman" w:hAnsi="Times New Roman" w:cs="Times New Roman"/>
          <w:color w:val="333333"/>
          <w:sz w:val="24"/>
          <w:szCs w:val="24"/>
          <w:highlight w:val="white"/>
        </w:rPr>
      </w:pPr>
    </w:p>
    <w:p w14:paraId="31999D9B" w14:textId="77777777" w:rsidR="00342EA0" w:rsidRDefault="00650C4F">
      <w:pPr>
        <w:pStyle w:val="Heading2"/>
        <w:keepNext w:val="0"/>
        <w:keepLines w:val="0"/>
        <w:spacing w:before="0" w:after="0" w:line="320" w:lineRule="auto"/>
        <w:rPr>
          <w:rFonts w:ascii="Times New Roman" w:eastAsia="Times New Roman" w:hAnsi="Times New Roman" w:cs="Times New Roman"/>
          <w:b/>
          <w:color w:val="333333"/>
          <w:sz w:val="24"/>
          <w:szCs w:val="24"/>
          <w:highlight w:val="white"/>
        </w:rPr>
      </w:pPr>
      <w:bookmarkStart w:id="1" w:name="_710dugpf6z0d" w:colFirst="0" w:colLast="0"/>
      <w:bookmarkEnd w:id="1"/>
      <w:r>
        <w:rPr>
          <w:rFonts w:ascii="Times New Roman" w:eastAsia="Times New Roman" w:hAnsi="Times New Roman" w:cs="Times New Roman"/>
          <w:b/>
          <w:color w:val="333333"/>
          <w:sz w:val="24"/>
          <w:szCs w:val="24"/>
          <w:highlight w:val="white"/>
        </w:rPr>
        <w:t>4.2  Communication</w:t>
      </w:r>
    </w:p>
    <w:p w14:paraId="6D401893" w14:textId="77777777" w:rsidR="00342EA0" w:rsidRDefault="00650C4F">
      <w:pPr>
        <w:pStyle w:val="normal0"/>
        <w:spacing w:line="36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Communication is one of the major issues of change management in a healthcare setting. Failure in communicating with employees properly lead to the failure of achieving the goal of change</w:t>
      </w:r>
      <w:r>
        <w:rPr>
          <w:rFonts w:ascii="Times New Roman" w:eastAsia="Times New Roman" w:hAnsi="Times New Roman" w:cs="Times New Roman"/>
          <w:color w:val="333333"/>
          <w:sz w:val="24"/>
          <w:szCs w:val="24"/>
          <w:highlight w:val="white"/>
        </w:rPr>
        <w:t xml:space="preserve"> (Cameroon, 2001)</w:t>
      </w:r>
      <w:r>
        <w:rPr>
          <w:rFonts w:ascii="Times New Roman" w:eastAsia="Times New Roman" w:hAnsi="Times New Roman" w:cs="Times New Roman"/>
          <w:sz w:val="24"/>
          <w:szCs w:val="24"/>
        </w:rPr>
        <w:t xml:space="preserve">. If the objectives, process and redesigning of the workplace is not well communicated with employees, then it may cause confusion and anger. Regardless, of the size of change, if employees are left aside and not communicated then it can be disruptive. The best way to deal with it is to establish a company-wide communication system before implementing any change </w:t>
      </w:r>
      <w:r>
        <w:rPr>
          <w:rFonts w:ascii="Times New Roman" w:eastAsia="Times New Roman" w:hAnsi="Times New Roman" w:cs="Times New Roman"/>
          <w:color w:val="333333"/>
          <w:sz w:val="24"/>
          <w:szCs w:val="24"/>
          <w:highlight w:val="white"/>
        </w:rPr>
        <w:t>(</w:t>
      </w:r>
      <w:r>
        <w:rPr>
          <w:rFonts w:ascii="Times New Roman" w:eastAsia="Times New Roman" w:hAnsi="Times New Roman" w:cs="Times New Roman"/>
          <w:sz w:val="24"/>
          <w:szCs w:val="24"/>
        </w:rPr>
        <w:t xml:space="preserve">Holbeche, 2006). </w:t>
      </w:r>
    </w:p>
    <w:p w14:paraId="4EFBB45D" w14:textId="77777777" w:rsidR="00342EA0" w:rsidRDefault="00342EA0">
      <w:pPr>
        <w:pStyle w:val="normal0"/>
        <w:rPr>
          <w:rFonts w:ascii="Times New Roman" w:eastAsia="Times New Roman" w:hAnsi="Times New Roman" w:cs="Times New Roman"/>
          <w:b/>
          <w:sz w:val="24"/>
          <w:szCs w:val="24"/>
        </w:rPr>
      </w:pPr>
    </w:p>
    <w:p w14:paraId="29434275" w14:textId="77777777" w:rsidR="00342EA0" w:rsidRDefault="00650C4F">
      <w:pPr>
        <w:pStyle w:val="norm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4.3 Build trust</w:t>
      </w:r>
    </w:p>
    <w:p w14:paraId="145940D9" w14:textId="77777777" w:rsidR="00342EA0" w:rsidRDefault="00650C4F">
      <w:pPr>
        <w:pStyle w:val="normal0"/>
        <w:shd w:val="clear" w:color="auto" w:fill="FFFFFF"/>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363636"/>
          <w:sz w:val="24"/>
          <w:szCs w:val="24"/>
        </w:rPr>
        <w:t xml:space="preserve">It is the duty of the management of a healthcare organisation that they make people believe that they can make the changes happen and the changes are best for the organisation. Employees need to be reminded of their past achievements. Lack of this effort from management is often noticed in organisations and employees lack trust of themselves of being capable of making a success of the change (Hussey, 1996).  </w:t>
      </w:r>
    </w:p>
    <w:p w14:paraId="3F197D1B" w14:textId="77777777" w:rsidR="00342EA0" w:rsidRDefault="00342EA0">
      <w:pPr>
        <w:pStyle w:val="normal0"/>
        <w:rPr>
          <w:rFonts w:ascii="Times New Roman" w:eastAsia="Times New Roman" w:hAnsi="Times New Roman" w:cs="Times New Roman"/>
          <w:sz w:val="24"/>
          <w:szCs w:val="24"/>
        </w:rPr>
      </w:pPr>
    </w:p>
    <w:p w14:paraId="4FE13818" w14:textId="77777777" w:rsidR="00342EA0" w:rsidRDefault="00342EA0">
      <w:pPr>
        <w:pStyle w:val="normal0"/>
        <w:spacing w:line="360" w:lineRule="auto"/>
        <w:rPr>
          <w:rFonts w:ascii="Times New Roman" w:eastAsia="Times New Roman" w:hAnsi="Times New Roman" w:cs="Times New Roman"/>
          <w:b/>
          <w:sz w:val="24"/>
          <w:szCs w:val="24"/>
        </w:rPr>
      </w:pPr>
    </w:p>
    <w:p w14:paraId="0E31CEE8" w14:textId="77777777" w:rsidR="00342EA0" w:rsidRDefault="00650C4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5 People’s perceptions and their impacts on implementation of change within organisations</w:t>
      </w:r>
    </w:p>
    <w:p w14:paraId="27DB5A1F"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in organisation has a major influence on people’s perception and belief. This happens because the result of the change is unknown to employees and they have fear of losing their  jobs (Hallier, &amp; James, 1997). Uncertainty afflicts them. This can lead employees to develop different beliefs and perceptions of the change (Elving, 2005). So, management has a big role to play in changing employees’ belief and perception before implementing any change (Hallier, &amp; James, 1997). This belief and perception should be mitigated as soon as they are measured before or during the change. If employees have negative belief and perceptions then it will have negative impacts on the organisation (Bridges, 2002). </w:t>
      </w:r>
    </w:p>
    <w:p w14:paraId="251D27D0" w14:textId="77777777" w:rsidR="00342EA0" w:rsidRDefault="00342EA0">
      <w:pPr>
        <w:pStyle w:val="normal0"/>
        <w:spacing w:line="360" w:lineRule="auto"/>
        <w:rPr>
          <w:rFonts w:ascii="Times New Roman" w:eastAsia="Times New Roman" w:hAnsi="Times New Roman" w:cs="Times New Roman"/>
          <w:sz w:val="24"/>
          <w:szCs w:val="24"/>
        </w:rPr>
      </w:pPr>
    </w:p>
    <w:p w14:paraId="6A8D1427"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change is clarified as a modification of an association's situation, structure, culture, innovation, or individuals (Ansoff, 1965). Resistance from employees is expected although planned change targeted to make the association more compelling and productive. </w:t>
      </w:r>
      <w:r>
        <w:rPr>
          <w:rFonts w:ascii="Times New Roman" w:eastAsia="Times New Roman" w:hAnsi="Times New Roman" w:cs="Times New Roman"/>
          <w:sz w:val="24"/>
          <w:szCs w:val="24"/>
        </w:rPr>
        <w:lastRenderedPageBreak/>
        <w:t>This negative response is to a great extent affects the organisation since change carries with it expanded  stress and vulnerability for workers (Bridges, 2002). Therefore, organisation need to increase their capacity to get more support and acceptance from employees for change initiatives through their availability and beliefs about the change. Subsequently, it is imperative that workers hold positive perspectives about the requirement for authoritative change, and they ought to trust that such changes are probably going to have positive ramifications for themselves and the more extensive association.</w:t>
      </w:r>
    </w:p>
    <w:p w14:paraId="414B01D9" w14:textId="77777777" w:rsidR="00342EA0" w:rsidRDefault="00342EA0">
      <w:pPr>
        <w:pStyle w:val="normal0"/>
        <w:spacing w:line="360" w:lineRule="auto"/>
        <w:rPr>
          <w:rFonts w:ascii="Times New Roman" w:eastAsia="Times New Roman" w:hAnsi="Times New Roman" w:cs="Times New Roman"/>
          <w:sz w:val="24"/>
          <w:szCs w:val="24"/>
        </w:rPr>
      </w:pPr>
    </w:p>
    <w:p w14:paraId="7592A7F6" w14:textId="77777777" w:rsidR="00342EA0" w:rsidRDefault="00650C4F">
      <w:pPr>
        <w:pStyle w:val="norm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6 Organisational effectiveness and role of change management</w:t>
      </w:r>
    </w:p>
    <w:p w14:paraId="1642892C"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make change effective, management of a healthcare organisation needs to play an important role as change is not easy. There are barriers that they have to face and they need to be overcome efficiently. Some senior and old employees may not like the change and influence others to resist. Some of the employees even may call for strike (Hinings, and Greenwood, 1989). Therefore, management of the organisation should consider communication as the key strategy to block resistance. They need to clearly communicate the aims, objectives and benefits of the change. Failure to do this will result negative outcome (Aiken, 1997). A clear vision needs to be created about the direction of change by the management of the organisation which is the key of a successful change. They need to continuously measure and monitor the outcome of the change to recognise whether the change process has fulfilled its purpose (Bohmer, 2013).  </w:t>
      </w:r>
    </w:p>
    <w:p w14:paraId="119519C1" w14:textId="77777777" w:rsidR="00342EA0" w:rsidRDefault="00342EA0">
      <w:pPr>
        <w:pStyle w:val="normal0"/>
        <w:spacing w:line="360" w:lineRule="auto"/>
        <w:rPr>
          <w:rFonts w:ascii="Times New Roman" w:eastAsia="Times New Roman" w:hAnsi="Times New Roman" w:cs="Times New Roman"/>
          <w:sz w:val="24"/>
          <w:szCs w:val="24"/>
        </w:rPr>
      </w:pPr>
    </w:p>
    <w:p w14:paraId="2009C081"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during the transition period employees need to be supported properly because they are the one who make change happen. Also, taking feedback from employees is very important in order for an effective change (Hussey, 1996). Engaging employees effectively will make the change process as well as the organisation effective. </w:t>
      </w:r>
    </w:p>
    <w:p w14:paraId="312AE1F7" w14:textId="77777777" w:rsidR="00342EA0" w:rsidRDefault="00342EA0">
      <w:pPr>
        <w:pStyle w:val="normal0"/>
        <w:spacing w:line="360" w:lineRule="auto"/>
        <w:jc w:val="both"/>
        <w:rPr>
          <w:rFonts w:ascii="Times New Roman" w:eastAsia="Times New Roman" w:hAnsi="Times New Roman" w:cs="Times New Roman"/>
          <w:b/>
          <w:sz w:val="24"/>
          <w:szCs w:val="24"/>
        </w:rPr>
      </w:pPr>
    </w:p>
    <w:p w14:paraId="552B970C" w14:textId="77777777" w:rsidR="00342EA0" w:rsidRDefault="00650C4F">
      <w:pPr>
        <w:pStyle w:val="norm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Conclusion</w:t>
      </w:r>
    </w:p>
    <w:p w14:paraId="044E8ACB" w14:textId="77777777" w:rsidR="00F467A1" w:rsidRDefault="00650C4F" w:rsidP="00F467A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 in the 21st century healthcare system is necessary as the nature of diseases have changed. A more patient centred treatment and care in needed to provide best quality service. Use of technology to keep patient’s health information is an example of implementing change in a healthcare organisation. When change happens resistance happens too. Therefore, there are change models suggested by scholars to manage change effectively. Following appropriate change model for appropriate health organisation can benefit both service users and providers. </w:t>
      </w:r>
    </w:p>
    <w:p w14:paraId="542F42A5" w14:textId="77777777" w:rsidR="00342EA0" w:rsidRPr="00F467A1" w:rsidRDefault="00650C4F" w:rsidP="00F467A1">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8 References</w:t>
      </w:r>
    </w:p>
    <w:p w14:paraId="341C96EC"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Ansoff, H. I. 1965. Corporate Strategy. First ed. Harmondworth. Penguine Books.</w:t>
      </w:r>
    </w:p>
    <w:p w14:paraId="47D6B38D"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Ackerman, L. (1997). Development, transition or transformation: the question of change in organisations. In Organisation Development Classics, San Francisco: Jossey Bass</w:t>
      </w:r>
    </w:p>
    <w:p w14:paraId="12B2FD92"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Aiken, L. H., Sochalski, J. and Lake, E. T. (1997). Studying outcomes of organisational change in health services. Medical Care 35, no. 11, SS: NS6-NS18</w:t>
      </w:r>
    </w:p>
    <w:p w14:paraId="77B6793E"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Ash, J.S., et al., 2000. Managing Change: Analysis of a Hypothetical Case. Journal of the American Medical Informatics Association. 7 (2), pp 125-134.</w:t>
      </w:r>
    </w:p>
    <w:p w14:paraId="2E5629FF" w14:textId="77777777" w:rsidR="00342EA0" w:rsidRDefault="00650C4F">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Baldoni, J., 2005. Organisation &amp; People: Coaching the Organisation. Vol 12 No4. [Online]. Available at: http://www.lc21.com/directions/articles_pdfs/organisations-baldoni-coaching.pdf [Accessed 05/5/2017].</w:t>
      </w:r>
    </w:p>
    <w:p w14:paraId="3A95F9D2"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Bate, P. 1994. Strategies for cultural change. Oxford:Butterworth</w:t>
      </w:r>
    </w:p>
    <w:p w14:paraId="269DD37E"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Bohmer, R.M. (2013). Leading clinicians and clinicians leading. New Engl. J. Med. 368, 1468–1470.</w:t>
      </w:r>
    </w:p>
    <w:p w14:paraId="0FC75953"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Bridges W. (2002). Managing Transitions: Making the Most of Change. 2nd ed. Cambridge, MA: Perseus Publishing.</w:t>
      </w:r>
    </w:p>
    <w:p w14:paraId="6DBA82BE"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Burnes, B., Lewin, k. 2004. the Planned Approach to Change: A Re‐appraisal. Journal of Management studies, 41(6): p. 977-1002. 12. Lewin, K., Defining the'field at a given time.'. Psychological review, 1943. 50(3): p. 292.</w:t>
      </w:r>
    </w:p>
    <w:p w14:paraId="273698B4"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Cameroon, D. 2001. Mission Impenetrable. Critical quarterly. 42. 2, 99-103</w:t>
      </w:r>
    </w:p>
    <w:p w14:paraId="748CF798"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Elias, S. M. (2009). Employee commitment in times of change: Assessing the importance of attitudes toward organizational change. Journal of Management , 1, 37-55.</w:t>
      </w:r>
    </w:p>
    <w:p w14:paraId="5F0389FD"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Elving, W. J. L. (2005). The role of communication in organizational change. Corporate Communications: An International Journal. 10(2), 129-138.</w:t>
      </w:r>
    </w:p>
    <w:p w14:paraId="25D18DD9"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Gouldner, A. W. (1960). The norm of reciprocity: A preliminary statement. American Sociological Review, 25, 161-178.</w:t>
      </w:r>
    </w:p>
    <w:p w14:paraId="733B76A0"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Hallier, J., &amp; James, P. (1997). Management enforced job change and employee perceptions of the psychological contract. Employee Relations, 19(3), 222-247.</w:t>
      </w:r>
    </w:p>
    <w:p w14:paraId="4B42CC30"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Hinings, C.R. and R. Greenwood. 1989. The dynamics of strategic change</w:t>
      </w:r>
    </w:p>
    <w:p w14:paraId="5CA03536"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Holbeche, L. (2006) Understanding change: Theory, implementation and success. New York, Butterworth-Heinemann.</w:t>
      </w:r>
    </w:p>
    <w:p w14:paraId="0926486A"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Hersey, P. and Blanchard, K. (1982),</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u w:val="single"/>
        </w:rPr>
        <w:t>Management of organization behavior.</w:t>
      </w:r>
      <w:r>
        <w:rPr>
          <w:rFonts w:ascii="Times New Roman" w:eastAsia="Times New Roman" w:hAnsi="Times New Roman" w:cs="Times New Roman"/>
          <w:color w:val="555555"/>
          <w:sz w:val="24"/>
          <w:szCs w:val="24"/>
          <w:u w:val="single"/>
        </w:rPr>
        <w:t xml:space="preserve"> </w:t>
      </w:r>
      <w:r>
        <w:rPr>
          <w:rFonts w:ascii="Times New Roman" w:eastAsia="Times New Roman" w:hAnsi="Times New Roman" w:cs="Times New Roman"/>
          <w:sz w:val="24"/>
          <w:szCs w:val="24"/>
        </w:rPr>
        <w:t>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rPr>
        <w:t>Edition. Prentice Hall, Hemel Hemstead.</w:t>
      </w:r>
    </w:p>
    <w:p w14:paraId="1CB4BE49" w14:textId="77777777" w:rsidR="00342EA0" w:rsidRDefault="00650C4F">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Hussey T 1996 Nursing ethics and codes of professional conduct.</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u w:val="single"/>
        </w:rPr>
        <w:t>Nursing ethics</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rPr>
        <w:t>3(3): 250-252</w:t>
      </w:r>
    </w:p>
    <w:p w14:paraId="5CF4BDB3"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Kanter, R.M., 2003. Challenge of organizational change: How companies experience it and leaders guide it.</w:t>
      </w:r>
    </w:p>
    <w:p w14:paraId="341E6B4C" w14:textId="77777777" w:rsidR="00342EA0" w:rsidRDefault="00650C4F">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Lewin, K., Field theory in social science; selected theoretical papers. 1951, New York,: Harper &amp; Row. 346 p. diagrs.</w:t>
      </w:r>
    </w:p>
    <w:p w14:paraId="0E071256" w14:textId="77777777" w:rsidR="00342EA0" w:rsidRDefault="00650C4F">
      <w:pPr>
        <w:pStyle w:val="norm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Ottaway, R.N. (1976) A change strategy to implement new norms, new style and new envoirments in the work organization.</w:t>
      </w:r>
      <w:r>
        <w:rPr>
          <w:rFonts w:ascii="Times New Roman" w:eastAsia="Times New Roman" w:hAnsi="Times New Roman" w:cs="Times New Roman"/>
          <w:color w:val="555555"/>
          <w:sz w:val="24"/>
          <w:szCs w:val="24"/>
          <w:highlight w:val="white"/>
        </w:rPr>
        <w:t xml:space="preserve"> </w:t>
      </w:r>
      <w:r>
        <w:rPr>
          <w:rFonts w:ascii="Times New Roman" w:eastAsia="Times New Roman" w:hAnsi="Times New Roman" w:cs="Times New Roman"/>
          <w:sz w:val="24"/>
          <w:szCs w:val="24"/>
          <w:highlight w:val="white"/>
          <w:u w:val="single"/>
        </w:rPr>
        <w:t>Personal review</w:t>
      </w:r>
      <w:r>
        <w:rPr>
          <w:rFonts w:ascii="Times New Roman" w:eastAsia="Times New Roman" w:hAnsi="Times New Roman" w:cs="Times New Roman"/>
          <w:color w:val="555555"/>
          <w:sz w:val="24"/>
          <w:szCs w:val="24"/>
          <w:highlight w:val="white"/>
        </w:rPr>
        <w:t xml:space="preserve"> </w:t>
      </w:r>
      <w:r>
        <w:rPr>
          <w:rFonts w:ascii="Times New Roman" w:eastAsia="Times New Roman" w:hAnsi="Times New Roman" w:cs="Times New Roman"/>
          <w:sz w:val="24"/>
          <w:szCs w:val="24"/>
          <w:highlight w:val="white"/>
        </w:rPr>
        <w:t>(1). 1315.</w:t>
      </w:r>
    </w:p>
    <w:p w14:paraId="40572AE9" w14:textId="77777777" w:rsidR="00342EA0" w:rsidRDefault="00342EA0">
      <w:pPr>
        <w:pStyle w:val="normal0"/>
        <w:rPr>
          <w:rFonts w:ascii="Times New Roman" w:eastAsia="Times New Roman" w:hAnsi="Times New Roman" w:cs="Times New Roman"/>
          <w:sz w:val="24"/>
          <w:szCs w:val="24"/>
          <w:highlight w:val="white"/>
        </w:rPr>
      </w:pPr>
    </w:p>
    <w:p w14:paraId="6B15F2ED" w14:textId="77777777" w:rsidR="00342EA0" w:rsidRDefault="00650C4F">
      <w:pPr>
        <w:pStyle w:val="normal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Snaith, N., 2010. Employment News: The Importance of Managing Change in Organizations. [Online]. Available at:</w:t>
      </w:r>
      <w:hyperlink r:id="rId7">
        <w:r>
          <w:rPr>
            <w:rFonts w:ascii="Times New Roman" w:eastAsia="Times New Roman" w:hAnsi="Times New Roman" w:cs="Times New Roman"/>
            <w:sz w:val="24"/>
            <w:szCs w:val="24"/>
            <w:highlight w:val="white"/>
          </w:rPr>
          <w:t xml:space="preserve"> </w:t>
        </w:r>
      </w:hyperlink>
      <w:hyperlink r:id="rId8">
        <w:r>
          <w:rPr>
            <w:rFonts w:ascii="Times New Roman" w:eastAsia="Times New Roman" w:hAnsi="Times New Roman" w:cs="Times New Roman"/>
            <w:color w:val="1155CC"/>
            <w:sz w:val="24"/>
            <w:szCs w:val="24"/>
            <w:highlight w:val="white"/>
            <w:u w:val="single"/>
          </w:rPr>
          <w:t>http://www.ebslaw.co.uk/employment_law_news_home/The_importance_of_managing_change_in_organisations2.shtml</w:t>
        </w:r>
      </w:hyperlink>
      <w:r>
        <w:rPr>
          <w:rFonts w:ascii="Times New Roman" w:eastAsia="Times New Roman" w:hAnsi="Times New Roman" w:cs="Times New Roman"/>
          <w:sz w:val="24"/>
          <w:szCs w:val="24"/>
          <w:highlight w:val="white"/>
        </w:rPr>
        <w:t>.</w:t>
      </w:r>
    </w:p>
    <w:p w14:paraId="44155679" w14:textId="77777777" w:rsidR="00342EA0" w:rsidRDefault="00342EA0">
      <w:pPr>
        <w:pStyle w:val="normal0"/>
        <w:rPr>
          <w:rFonts w:ascii="Times New Roman" w:eastAsia="Times New Roman" w:hAnsi="Times New Roman" w:cs="Times New Roman"/>
          <w:color w:val="333333"/>
          <w:sz w:val="24"/>
          <w:szCs w:val="24"/>
        </w:rPr>
      </w:pPr>
    </w:p>
    <w:p w14:paraId="01A33AD9" w14:textId="77777777" w:rsidR="00342EA0" w:rsidRDefault="00650C4F">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Vaughan, B. &amp; Pillmoor, M. (1992)</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u w:val="single"/>
        </w:rPr>
        <w:t>Managing Nursing care.</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rPr>
        <w:t>pp200 Scutari Press. London.</w:t>
      </w:r>
    </w:p>
    <w:p w14:paraId="6E1556F8" w14:textId="77777777" w:rsidR="00342EA0" w:rsidRDefault="00650C4F">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Wright, S. (1998)</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u w:val="single"/>
        </w:rPr>
        <w:t>Changing Nursing Practice,</w:t>
      </w:r>
      <w:r>
        <w:rPr>
          <w:rFonts w:ascii="Times New Roman" w:eastAsia="Times New Roman" w:hAnsi="Times New Roman" w:cs="Times New Roman"/>
          <w:color w:val="555555"/>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Edition. PP 8 Pub. Arnold London, Sydney, Auckland.</w:t>
      </w:r>
    </w:p>
    <w:p w14:paraId="43B65484" w14:textId="77777777" w:rsidR="00342EA0" w:rsidRDefault="00342EA0">
      <w:pPr>
        <w:pStyle w:val="normal0"/>
        <w:rPr>
          <w:rFonts w:ascii="Times New Roman" w:eastAsia="Times New Roman" w:hAnsi="Times New Roman" w:cs="Times New Roman"/>
          <w:sz w:val="24"/>
          <w:szCs w:val="24"/>
        </w:rPr>
      </w:pPr>
    </w:p>
    <w:p w14:paraId="44D52B0A" w14:textId="77777777" w:rsidR="00342EA0" w:rsidRDefault="00650C4F">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 H. 2015. Healthcare in the 21st century. [Online]. Available at: </w:t>
      </w:r>
      <w:hyperlink r:id="rId9">
        <w:r>
          <w:rPr>
            <w:rFonts w:ascii="Times New Roman" w:eastAsia="Times New Roman" w:hAnsi="Times New Roman" w:cs="Times New Roman"/>
            <w:color w:val="1155CC"/>
            <w:sz w:val="24"/>
            <w:szCs w:val="24"/>
            <w:u w:val="single"/>
          </w:rPr>
          <w:t>http://www.nejm.org/doi/pdf/10.1056/NEJMsa04501</w:t>
        </w:r>
      </w:hyperlink>
      <w:r>
        <w:rPr>
          <w:rFonts w:ascii="Times New Roman" w:eastAsia="Times New Roman" w:hAnsi="Times New Roman" w:cs="Times New Roman"/>
          <w:sz w:val="24"/>
          <w:szCs w:val="24"/>
        </w:rPr>
        <w:t xml:space="preserve">. [Last accessed: 15/04/2018]. </w:t>
      </w:r>
    </w:p>
    <w:p w14:paraId="40E0E55E" w14:textId="77777777" w:rsidR="00342EA0" w:rsidRDefault="00650C4F">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ECC0C9C" w14:textId="77777777" w:rsidR="00342EA0" w:rsidRDefault="00650C4F">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0C7EC2" w14:textId="77777777" w:rsidR="00342EA0" w:rsidRDefault="00342EA0">
      <w:pPr>
        <w:pStyle w:val="normal0"/>
        <w:rPr>
          <w:rFonts w:ascii="Times New Roman" w:eastAsia="Times New Roman" w:hAnsi="Times New Roman" w:cs="Times New Roman"/>
          <w:sz w:val="24"/>
          <w:szCs w:val="24"/>
        </w:rPr>
      </w:pPr>
    </w:p>
    <w:sectPr w:rsidR="00342EA0">
      <w:footerReference w:type="default" r:id="rId10"/>
      <w:footerReference w:type="first" r:id="rId11"/>
      <w:pgSz w:w="11909" w:h="16834"/>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F4A6F0" w14:textId="77777777" w:rsidR="00CF6D23" w:rsidRDefault="00650C4F">
      <w:pPr>
        <w:spacing w:line="240" w:lineRule="auto"/>
      </w:pPr>
      <w:r>
        <w:separator/>
      </w:r>
    </w:p>
  </w:endnote>
  <w:endnote w:type="continuationSeparator" w:id="0">
    <w:p w14:paraId="3081D288" w14:textId="77777777" w:rsidR="00CF6D23" w:rsidRDefault="00650C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667EF" w14:textId="77777777" w:rsidR="00342EA0" w:rsidRDefault="00650C4F">
    <w:pPr>
      <w:pStyle w:val="normal0"/>
      <w:jc w:val="right"/>
    </w:pPr>
    <w:r>
      <w:fldChar w:fldCharType="begin"/>
    </w:r>
    <w:r>
      <w:instrText>PAGE</w:instrText>
    </w:r>
    <w:r>
      <w:fldChar w:fldCharType="separate"/>
    </w:r>
    <w:r w:rsidR="00F467A1">
      <w:rPr>
        <w:noProof/>
      </w:rPr>
      <w:t>5</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C0BA7" w14:textId="77777777" w:rsidR="00342EA0" w:rsidRDefault="00342EA0">
    <w:pPr>
      <w:pStyle w:val="normal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67BA43" w14:textId="77777777" w:rsidR="00CF6D23" w:rsidRDefault="00650C4F">
      <w:pPr>
        <w:spacing w:line="240" w:lineRule="auto"/>
      </w:pPr>
      <w:r>
        <w:separator/>
      </w:r>
    </w:p>
  </w:footnote>
  <w:footnote w:type="continuationSeparator" w:id="0">
    <w:p w14:paraId="217C33E2" w14:textId="77777777" w:rsidR="00CF6D23" w:rsidRDefault="00650C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42EA0"/>
    <w:rsid w:val="00342EA0"/>
    <w:rsid w:val="00650C4F"/>
    <w:rsid w:val="00CF6D23"/>
    <w:rsid w:val="00F467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82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uz-Cyrl-UZ"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ebslaw.co.uk/employment_law_news_home/The_importance_of_managing_change_in_organisations2.shtml" TargetMode="External"/><Relationship Id="rId8" Type="http://schemas.openxmlformats.org/officeDocument/2006/relationships/hyperlink" Target="http://www.ebslaw.co.uk/employment_law_news_home/The_importance_of_managing_change_in_organisations2.shtml" TargetMode="External"/><Relationship Id="rId9" Type="http://schemas.openxmlformats.org/officeDocument/2006/relationships/hyperlink" Target="http://www.nejm.org/doi/pdf/10.1056/NEJMsa04501"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2718</Words>
  <Characters>15497</Characters>
  <Application>Microsoft Macintosh Word</Application>
  <DocSecurity>0</DocSecurity>
  <Lines>129</Lines>
  <Paragraphs>36</Paragraphs>
  <ScaleCrop>false</ScaleCrop>
  <Company>Underman</Company>
  <LinksUpToDate>false</LinksUpToDate>
  <CharactersWithSpaces>18179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Imran Hossain</cp:lastModifiedBy>
  <cp:revision>3</cp:revision>
  <dcterms:created xsi:type="dcterms:W3CDTF">2018-04-24T10:54:00Z</dcterms:created>
  <dcterms:modified xsi:type="dcterms:W3CDTF">2018-04-24T11:18:00Z</dcterms:modified>
</cp:coreProperties>
</file>