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jc w:val="center"/>
      </w:pPr>
      <w:r>
        <w:rPr>
          <w:b/>
          <w:sz w:val="32"/>
        </w:rPr>
        <w:t>Cohabitation and Co-Ownership: Case Law Revision Table</w:t>
      </w:r>
    </w:p>
    <w:p>
      <w:r>
        <w:rPr>
          <w:b/>
        </w:rPr>
        <w:t>Express Trusts and Declarations of Trust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4320"/>
        <w:gridCol w:w="4320"/>
      </w:tblGrid>
      <w:tr>
        <w:tc>
          <w:tcPr>
            <w:tcW w:type="dxa" w:w="4320"/>
          </w:tcPr>
          <w:p>
            <w:r>
              <w:t>Case</w:t>
            </w:r>
          </w:p>
        </w:tc>
        <w:tc>
          <w:tcPr>
            <w:tcW w:type="dxa" w:w="4320"/>
          </w:tcPr>
          <w:p>
            <w:r>
              <w:t>Key Legal Principle</w:t>
            </w:r>
          </w:p>
        </w:tc>
      </w:tr>
      <w:tr>
        <w:tc>
          <w:tcPr>
            <w:tcW w:type="dxa" w:w="4320"/>
          </w:tcPr>
          <w:p>
            <w:r>
              <w:t>Goodman v Gallant</w:t>
            </w:r>
          </w:p>
        </w:tc>
        <w:tc>
          <w:tcPr>
            <w:tcW w:type="dxa" w:w="4320"/>
          </w:tcPr>
          <w:p>
            <w:r>
              <w:t>Express declaration of trust is conclusive as to beneficial ownership.</w:t>
            </w:r>
          </w:p>
        </w:tc>
      </w:tr>
      <w:tr>
        <w:tc>
          <w:tcPr>
            <w:tcW w:type="dxa" w:w="4320"/>
          </w:tcPr>
          <w:p>
            <w:r>
              <w:t>Wallbank v Price</w:t>
            </w:r>
          </w:p>
        </w:tc>
        <w:tc>
          <w:tcPr>
            <w:tcW w:type="dxa" w:w="4320"/>
          </w:tcPr>
          <w:p>
            <w:r>
              <w:t>Express trust can be varied by later express agreement.</w:t>
            </w:r>
          </w:p>
        </w:tc>
      </w:tr>
      <w:tr>
        <w:tc>
          <w:tcPr>
            <w:tcW w:type="dxa" w:w="4320"/>
          </w:tcPr>
          <w:p>
            <w:r>
              <w:t>Pankhania v Chandegra</w:t>
            </w:r>
          </w:p>
        </w:tc>
        <w:tc>
          <w:tcPr>
            <w:tcW w:type="dxa" w:w="4320"/>
          </w:tcPr>
          <w:p>
            <w:r>
              <w:t>Constructive trust principles cannot override a valid express declaration.</w:t>
            </w:r>
          </w:p>
        </w:tc>
      </w:tr>
    </w:tbl>
    <w:p/>
    <w:p>
      <w:r>
        <w:rPr>
          <w:b/>
        </w:rPr>
        <w:t>Resulting Trusts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4320"/>
        <w:gridCol w:w="4320"/>
      </w:tblGrid>
      <w:tr>
        <w:tc>
          <w:tcPr>
            <w:tcW w:type="dxa" w:w="4320"/>
          </w:tcPr>
          <w:p>
            <w:r>
              <w:t>Case</w:t>
            </w:r>
          </w:p>
        </w:tc>
        <w:tc>
          <w:tcPr>
            <w:tcW w:type="dxa" w:w="4320"/>
          </w:tcPr>
          <w:p>
            <w:r>
              <w:t>Key Legal Principle</w:t>
            </w:r>
          </w:p>
        </w:tc>
      </w:tr>
      <w:tr>
        <w:tc>
          <w:tcPr>
            <w:tcW w:type="dxa" w:w="4320"/>
          </w:tcPr>
          <w:p>
            <w:r>
              <w:t>Dyer v Dyer</w:t>
            </w:r>
          </w:p>
        </w:tc>
        <w:tc>
          <w:tcPr>
            <w:tcW w:type="dxa" w:w="4320"/>
          </w:tcPr>
          <w:p>
            <w:r>
              <w:t>Beneficial ownership follows purchase price contributions.</w:t>
            </w:r>
          </w:p>
        </w:tc>
      </w:tr>
      <w:tr>
        <w:tc>
          <w:tcPr>
            <w:tcW w:type="dxa" w:w="4320"/>
          </w:tcPr>
          <w:p>
            <w:r>
              <w:t>Lake v Gibson</w:t>
            </w:r>
          </w:p>
        </w:tc>
        <w:tc>
          <w:tcPr>
            <w:tcW w:type="dxa" w:w="4320"/>
          </w:tcPr>
          <w:p>
            <w:r>
              <w:t>Shares generally proportionate to contributions.</w:t>
            </w:r>
          </w:p>
        </w:tc>
      </w:tr>
      <w:tr>
        <w:tc>
          <w:tcPr>
            <w:tcW w:type="dxa" w:w="4320"/>
          </w:tcPr>
          <w:p>
            <w:r>
              <w:t>Laskar v Laskar</w:t>
            </w:r>
          </w:p>
        </w:tc>
        <w:tc>
          <w:tcPr>
            <w:tcW w:type="dxa" w:w="4320"/>
          </w:tcPr>
          <w:p>
            <w:r>
              <w:t>Resulting trusts remain important in family investment properties.</w:t>
            </w:r>
          </w:p>
        </w:tc>
      </w:tr>
      <w:tr>
        <w:tc>
          <w:tcPr>
            <w:tcW w:type="dxa" w:w="4320"/>
          </w:tcPr>
          <w:p>
            <w:r>
              <w:t>Fowkes v Pascoe</w:t>
            </w:r>
          </w:p>
        </w:tc>
        <w:tc>
          <w:tcPr>
            <w:tcW w:type="dxa" w:w="4320"/>
          </w:tcPr>
          <w:p>
            <w:r>
              <w:t>Gift intention rebuts resulting trust presumption.</w:t>
            </w:r>
          </w:p>
        </w:tc>
      </w:tr>
      <w:tr>
        <w:tc>
          <w:tcPr>
            <w:tcW w:type="dxa" w:w="4320"/>
          </w:tcPr>
          <w:p>
            <w:r>
              <w:t>Marr v Collie</w:t>
            </w:r>
          </w:p>
        </w:tc>
        <w:tc>
          <w:tcPr>
            <w:tcW w:type="dxa" w:w="4320"/>
          </w:tcPr>
          <w:p>
            <w:r>
              <w:t>Resulting trusts remain important outside domestic contexts.</w:t>
            </w:r>
          </w:p>
        </w:tc>
      </w:tr>
    </w:tbl>
    <w:p/>
    <w:p>
      <w:r>
        <w:rPr>
          <w:b/>
        </w:rPr>
        <w:t>Constructive Trusts and Common Intention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4320"/>
        <w:gridCol w:w="4320"/>
      </w:tblGrid>
      <w:tr>
        <w:tc>
          <w:tcPr>
            <w:tcW w:type="dxa" w:w="4320"/>
          </w:tcPr>
          <w:p>
            <w:r>
              <w:t>Case</w:t>
            </w:r>
          </w:p>
        </w:tc>
        <w:tc>
          <w:tcPr>
            <w:tcW w:type="dxa" w:w="4320"/>
          </w:tcPr>
          <w:p>
            <w:r>
              <w:t>Key Legal Principle</w:t>
            </w:r>
          </w:p>
        </w:tc>
      </w:tr>
      <w:tr>
        <w:tc>
          <w:tcPr>
            <w:tcW w:type="dxa" w:w="4320"/>
          </w:tcPr>
          <w:p>
            <w:r>
              <w:t>Lloyds Bank v Rosset</w:t>
            </w:r>
          </w:p>
        </w:tc>
        <w:tc>
          <w:tcPr>
            <w:tcW w:type="dxa" w:w="4320"/>
          </w:tcPr>
          <w:p>
            <w:r>
              <w:t>Common intention plus detrimental reliance required.</w:t>
            </w:r>
          </w:p>
        </w:tc>
      </w:tr>
      <w:tr>
        <w:tc>
          <w:tcPr>
            <w:tcW w:type="dxa" w:w="4320"/>
          </w:tcPr>
          <w:p>
            <w:r>
              <w:t>Stack v Dowden</w:t>
            </w:r>
          </w:p>
        </w:tc>
        <w:tc>
          <w:tcPr>
            <w:tcW w:type="dxa" w:w="4320"/>
          </w:tcPr>
          <w:p>
            <w:r>
              <w:t>Presumption of equal ownership in domestic joint names cases.</w:t>
            </w:r>
          </w:p>
        </w:tc>
      </w:tr>
      <w:tr>
        <w:tc>
          <w:tcPr>
            <w:tcW w:type="dxa" w:w="4320"/>
          </w:tcPr>
          <w:p>
            <w:r>
              <w:t>Jones v Kernott</w:t>
            </w:r>
          </w:p>
        </w:tc>
        <w:tc>
          <w:tcPr>
            <w:tcW w:type="dxa" w:w="4320"/>
          </w:tcPr>
          <w:p>
            <w:r>
              <w:t>Intentions may change over time; equality presumed unless rebutted.</w:t>
            </w:r>
          </w:p>
        </w:tc>
      </w:tr>
      <w:tr>
        <w:tc>
          <w:tcPr>
            <w:tcW w:type="dxa" w:w="4320"/>
          </w:tcPr>
          <w:p>
            <w:r>
              <w:t>Oxley v Hiscock</w:t>
            </w:r>
          </w:p>
        </w:tc>
        <w:tc>
          <w:tcPr>
            <w:tcW w:type="dxa" w:w="4320"/>
          </w:tcPr>
          <w:p>
            <w:r>
              <w:t>Court may determine fair shares where intention unclear.</w:t>
            </w:r>
          </w:p>
        </w:tc>
      </w:tr>
      <w:tr>
        <w:tc>
          <w:tcPr>
            <w:tcW w:type="dxa" w:w="4320"/>
          </w:tcPr>
          <w:p>
            <w:r>
              <w:t>Eves v Eves</w:t>
            </w:r>
          </w:p>
        </w:tc>
        <w:tc>
          <w:tcPr>
            <w:tcW w:type="dxa" w:w="4320"/>
          </w:tcPr>
          <w:p>
            <w:r>
              <w:t>Assurances/excuses may evidence common intention.</w:t>
            </w:r>
          </w:p>
        </w:tc>
      </w:tr>
      <w:tr>
        <w:tc>
          <w:tcPr>
            <w:tcW w:type="dxa" w:w="4320"/>
          </w:tcPr>
          <w:p>
            <w:r>
              <w:t>Grant v Edwards</w:t>
            </w:r>
          </w:p>
        </w:tc>
        <w:tc>
          <w:tcPr>
            <w:tcW w:type="dxa" w:w="4320"/>
          </w:tcPr>
          <w:p>
            <w:r>
              <w:t>Common intention inferred from exclusion from title and reliance.</w:t>
            </w:r>
          </w:p>
        </w:tc>
      </w:tr>
      <w:tr>
        <w:tc>
          <w:tcPr>
            <w:tcW w:type="dxa" w:w="4320"/>
          </w:tcPr>
          <w:p>
            <w:r>
              <w:t>Abbott v Abbott</w:t>
            </w:r>
          </w:p>
        </w:tc>
        <w:tc>
          <w:tcPr>
            <w:tcW w:type="dxa" w:w="4320"/>
          </w:tcPr>
          <w:p>
            <w:r>
              <w:t>Whole course of conduct considered.</w:t>
            </w:r>
          </w:p>
        </w:tc>
      </w:tr>
    </w:tbl>
    <w:p/>
    <w:p>
      <w:r>
        <w:rPr>
          <w:b/>
        </w:rPr>
        <w:t>Detrimental Reliance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4320"/>
        <w:gridCol w:w="4320"/>
      </w:tblGrid>
      <w:tr>
        <w:tc>
          <w:tcPr>
            <w:tcW w:type="dxa" w:w="4320"/>
          </w:tcPr>
          <w:p>
            <w:r>
              <w:t>Case</w:t>
            </w:r>
          </w:p>
        </w:tc>
        <w:tc>
          <w:tcPr>
            <w:tcW w:type="dxa" w:w="4320"/>
          </w:tcPr>
          <w:p>
            <w:r>
              <w:t>Key Legal Principle</w:t>
            </w:r>
          </w:p>
        </w:tc>
      </w:tr>
      <w:tr>
        <w:tc>
          <w:tcPr>
            <w:tcW w:type="dxa" w:w="4320"/>
          </w:tcPr>
          <w:p>
            <w:r>
              <w:t>Le Foe v Le Foe</w:t>
            </w:r>
          </w:p>
        </w:tc>
        <w:tc>
          <w:tcPr>
            <w:tcW w:type="dxa" w:w="4320"/>
          </w:tcPr>
          <w:p>
            <w:r>
              <w:t>Indirect financial contributions may amount to detriment.</w:t>
            </w:r>
          </w:p>
        </w:tc>
      </w:tr>
      <w:tr>
        <w:tc>
          <w:tcPr>
            <w:tcW w:type="dxa" w:w="4320"/>
          </w:tcPr>
          <w:p>
            <w:r>
              <w:t>Pascoe v Turner</w:t>
            </w:r>
          </w:p>
        </w:tc>
        <w:tc>
          <w:tcPr>
            <w:tcW w:type="dxa" w:w="4320"/>
          </w:tcPr>
          <w:p>
            <w:r>
              <w:t>Significant reliance can establish equitable rights.</w:t>
            </w:r>
          </w:p>
        </w:tc>
      </w:tr>
      <w:tr>
        <w:tc>
          <w:tcPr>
            <w:tcW w:type="dxa" w:w="4320"/>
          </w:tcPr>
          <w:p>
            <w:r>
              <w:t>Crossley v Crossley</w:t>
            </w:r>
          </w:p>
        </w:tc>
        <w:tc>
          <w:tcPr>
            <w:tcW w:type="dxa" w:w="4320"/>
          </w:tcPr>
          <w:p>
            <w:r>
              <w:t>Assuming mortgage liabilities may be detriment.</w:t>
            </w:r>
          </w:p>
        </w:tc>
      </w:tr>
      <w:tr>
        <w:tc>
          <w:tcPr>
            <w:tcW w:type="dxa" w:w="4320"/>
          </w:tcPr>
          <w:p>
            <w:r>
              <w:t>Ungurian v Lesnoff</w:t>
            </w:r>
          </w:p>
        </w:tc>
        <w:tc>
          <w:tcPr>
            <w:tcW w:type="dxa" w:w="4320"/>
          </w:tcPr>
          <w:p>
            <w:r>
              <w:t>Major life changes can constitute detriment.</w:t>
            </w:r>
          </w:p>
        </w:tc>
      </w:tr>
    </w:tbl>
    <w:p/>
    <w:p>
      <w:r>
        <w:rPr>
          <w:b/>
        </w:rPr>
        <w:t>Contributions Insufficient Alone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4320"/>
        <w:gridCol w:w="4320"/>
      </w:tblGrid>
      <w:tr>
        <w:tc>
          <w:tcPr>
            <w:tcW w:type="dxa" w:w="4320"/>
          </w:tcPr>
          <w:p>
            <w:r>
              <w:t>Case</w:t>
            </w:r>
          </w:p>
        </w:tc>
        <w:tc>
          <w:tcPr>
            <w:tcW w:type="dxa" w:w="4320"/>
          </w:tcPr>
          <w:p>
            <w:r>
              <w:t>Key Legal Principle</w:t>
            </w:r>
          </w:p>
        </w:tc>
      </w:tr>
      <w:tr>
        <w:tc>
          <w:tcPr>
            <w:tcW w:type="dxa" w:w="4320"/>
          </w:tcPr>
          <w:p>
            <w:r>
              <w:t>Burns v Burns</w:t>
            </w:r>
          </w:p>
        </w:tc>
        <w:tc>
          <w:tcPr>
            <w:tcW w:type="dxa" w:w="4320"/>
          </w:tcPr>
          <w:p>
            <w:r>
              <w:t>Domestic contributions alone do not create beneficial interest.</w:t>
            </w:r>
          </w:p>
        </w:tc>
      </w:tr>
      <w:tr>
        <w:tc>
          <w:tcPr>
            <w:tcW w:type="dxa" w:w="4320"/>
          </w:tcPr>
          <w:p>
            <w:r>
              <w:t>Pettitt v Pettitt</w:t>
            </w:r>
          </w:p>
        </w:tc>
        <w:tc>
          <w:tcPr>
            <w:tcW w:type="dxa" w:w="4320"/>
          </w:tcPr>
          <w:p>
            <w:r>
              <w:t>DIY and improvements alone usually insufficient.</w:t>
            </w:r>
          </w:p>
        </w:tc>
      </w:tr>
      <w:tr>
        <w:tc>
          <w:tcPr>
            <w:tcW w:type="dxa" w:w="4320"/>
          </w:tcPr>
          <w:p>
            <w:r>
              <w:t>Midland Bank v Dobson</w:t>
            </w:r>
          </w:p>
        </w:tc>
        <w:tc>
          <w:tcPr>
            <w:tcW w:type="dxa" w:w="4320"/>
          </w:tcPr>
          <w:p>
            <w:r>
              <w:t>Trivial payments and ordinary decorating insufficient.</w:t>
            </w:r>
          </w:p>
        </w:tc>
      </w:tr>
      <w:tr>
        <w:tc>
          <w:tcPr>
            <w:tcW w:type="dxa" w:w="4320"/>
          </w:tcPr>
          <w:p>
            <w:r>
              <w:t>Thomas v Fuller-Brown</w:t>
            </w:r>
          </w:p>
        </w:tc>
        <w:tc>
          <w:tcPr>
            <w:tcW w:type="dxa" w:w="4320"/>
          </w:tcPr>
          <w:p>
            <w:r>
              <w:t>General maintenance work unlikely to create interest.</w:t>
            </w:r>
          </w:p>
        </w:tc>
      </w:tr>
    </w:tbl>
    <w:p/>
    <w:p>
      <w:r>
        <w:rPr>
          <w:b/>
        </w:rPr>
        <w:t>Overriding Interests</w:t>
      </w:r>
    </w:p>
    <w:tbl>
      <w:tblPr>
        <w:tblStyle w:val="TableGrid"/>
        <w:tblW w:type="auto" w:w="0"/>
        <w:tblLook w:firstColumn="1" w:firstRow="1" w:lastColumn="0" w:lastRow="0" w:noHBand="0" w:noVBand="1" w:val="04A0"/>
      </w:tblPr>
      <w:tblGrid>
        <w:gridCol w:w="4320"/>
        <w:gridCol w:w="4320"/>
      </w:tblGrid>
      <w:tr>
        <w:tc>
          <w:tcPr>
            <w:tcW w:type="dxa" w:w="4320"/>
          </w:tcPr>
          <w:p>
            <w:r>
              <w:t>Case</w:t>
            </w:r>
          </w:p>
        </w:tc>
        <w:tc>
          <w:tcPr>
            <w:tcW w:type="dxa" w:w="4320"/>
          </w:tcPr>
          <w:p>
            <w:r>
              <w:t>Key Legal Principle</w:t>
            </w:r>
          </w:p>
        </w:tc>
      </w:tr>
      <w:tr>
        <w:tc>
          <w:tcPr>
            <w:tcW w:type="dxa" w:w="4320"/>
          </w:tcPr>
          <w:p>
            <w:r>
              <w:t>Williams &amp; Glyns Bank v Boland</w:t>
            </w:r>
          </w:p>
        </w:tc>
        <w:tc>
          <w:tcPr>
            <w:tcW w:type="dxa" w:w="4320"/>
          </w:tcPr>
          <w:p>
            <w:r>
              <w:t>Beneficial interest plus actual occupation can bind purchasers/lenders.</w:t>
            </w:r>
          </w:p>
        </w:tc>
      </w:tr>
    </w:tbl>
    <w:p/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Kireene David</dc:creator>
  <keywords/>
  <dc:description>generated by python-docx</dc:description>
  <lastModifiedBy>Kireene David</lastModifiedBy>
  <revision>1</revision>
  <dcterms:created xsi:type="dcterms:W3CDTF">2026-10-11T12:20:08.0739749Z</dcterms:created>
  <dcterms:modified xsi:type="dcterms:W3CDTF">2026-10-11T12:20:08.0739749Z</dcterms:modified>
  <category/>
</coreProperties>
</file>