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jc w:val="both"/>
        <w:rPr>
          <w:b w:val="1"/>
          <w:bCs w:val="1"/>
          <w:sz w:val="18"/>
          <w:szCs w:val="18"/>
        </w:rPr>
      </w:pPr>
      <w:r>
        <w:rPr>
          <w:b w:val="1"/>
          <w:bCs w:val="1"/>
          <w:sz w:val="18"/>
          <w:szCs w:val="18"/>
          <w:rtl w:val="0"/>
          <w:lang w:val="en-US"/>
        </w:rPr>
        <w:t>Has the DDSA 2020 had a positive or negative effect on divorce cases being brought in England &amp; Wales. Discuss.</w:t>
      </w:r>
    </w:p>
    <w:p>
      <w:pPr>
        <w:pStyle w:val="Body"/>
        <w:jc w:val="both"/>
        <w:rPr>
          <w:b w:val="1"/>
          <w:bCs w:val="1"/>
          <w:sz w:val="18"/>
          <w:szCs w:val="18"/>
        </w:rPr>
      </w:pPr>
    </w:p>
    <w:p>
      <w:pPr>
        <w:pStyle w:val="Body"/>
        <w:jc w:val="both"/>
        <w:rPr>
          <w:b w:val="1"/>
          <w:bCs w:val="1"/>
          <w:sz w:val="18"/>
          <w:szCs w:val="18"/>
        </w:rPr>
      </w:pPr>
    </w:p>
    <w:p>
      <w:pPr>
        <w:pStyle w:val="Body"/>
        <w:jc w:val="both"/>
        <w:rPr>
          <w:b w:val="1"/>
          <w:bCs w:val="1"/>
          <w:sz w:val="18"/>
          <w:szCs w:val="18"/>
        </w:rPr>
      </w:pPr>
    </w:p>
    <w:p>
      <w:pPr>
        <w:pStyle w:val="Body"/>
        <w:rPr>
          <w:sz w:val="18"/>
          <w:szCs w:val="18"/>
        </w:rPr>
      </w:pPr>
      <w:r>
        <w:rPr>
          <w:sz w:val="18"/>
          <w:szCs w:val="18"/>
          <w:rtl w:val="0"/>
          <w:lang w:val="en-US"/>
        </w:rPr>
        <w:t xml:space="preserve">The Divorce, Dissolution and Separation Act 2020 was introduced with the aim of reducing conflict between parties that are either married or in a civil partnership. This act has had both positive and negative effects on divorce cases being brought in England and Wales as it has affected the reasoning for bringing divorce cases to the courts as previously there was a need for evidence of one of the five facts for divorce whereas now that is not required. The DDSA act 2020 introduced the no fault divorce system which allows for parties to not place blame on either side, as previously required, but instead can seek a divorce without this need. The DDSA act 2020 can be seen to have positive effects such as making divorce cases easier to obtain and take up less time in the courts, however this act also has drawbacks as it does not punish those who are abusive in relationships or commit adultery but instead allows for a divorce to be brought without the punishment they deserve and the other partner getting the justice that they should have. The overall effect on the divorce cases being brought in England and Wales will be seen and will also be shown the direct effects of the DDSA act 2020 on divorce in the UK.   </w:t>
      </w:r>
    </w:p>
    <w:p>
      <w:pPr>
        <w:pStyle w:val="Body"/>
        <w:rPr>
          <w:sz w:val="18"/>
          <w:szCs w:val="18"/>
        </w:rPr>
      </w:pPr>
    </w:p>
    <w:p>
      <w:pPr>
        <w:pStyle w:val="Body"/>
        <w:rPr>
          <w:sz w:val="18"/>
          <w:szCs w:val="18"/>
        </w:rPr>
      </w:pPr>
      <w:r>
        <w:rPr>
          <w:sz w:val="18"/>
          <w:szCs w:val="18"/>
          <w:rtl w:val="0"/>
          <w:lang w:val="en-US"/>
        </w:rPr>
        <w:t xml:space="preserve">Previously, to bring a divorce case to the court it was required that one of the five facts could be proven and used as evidence to allow the case to go forward. The five facts of divorce are unreasonable behaviour, separation (2 years and consent), adultery, separation (5 years and consent), and desertion. Unreasonable behaviour is cited 45% of the time as the reason for divorce as it covers a number of aspects. This aspect refers to either the husband or wife behaving in a way that is so bad that the other partner can no longer stay married to them as it affects them that much. Examples of this could be physical harm, verbal abuse, addiction or not paying for expenses that are for the marital home (Crisp&amp;Co, 2021).  Separation is another one of the facts that can be used in divorce cases to help couples get their divorce granted and is cited  27% in these cases. In order for this to be considered then the couple must have been separated and lived apart for more than 2 years and both must agree on a divorce. Adultery is cited 14% of times in divorce cases and can commonly be known as an affair. Adultery is when either party breaks the promise of a marriage to be faithful and has sex with another person of the opposite sex. There are some restrictions with claiming adultery in divorce cases such as if the couple have been living together for 6 months or more after the innocent party has been made aware of the affair. This can also not be claimed if the partner had the affair with someone of the same sex as </w:t>
      </w:r>
      <w:r>
        <w:rPr>
          <w:sz w:val="18"/>
          <w:szCs w:val="18"/>
          <w:rtl w:val="0"/>
          <w:lang w:val="en-US"/>
        </w:rPr>
        <w:t>themselves</w:t>
      </w:r>
      <w:r>
        <w:rPr>
          <w:sz w:val="18"/>
          <w:szCs w:val="18"/>
          <w:rtl w:val="0"/>
          <w:lang w:val="en-US"/>
        </w:rPr>
        <w:t xml:space="preserve"> as by law that does not constitute adultery (Ashcroft, 2021). Separation can be claimed in another way in these cases as both parties do not need to agree on a divorce for this form of separation and is claimed 13% of the time in divorce cases. The couple must have been separated and living apart for more than five years for this to be used even if one of the parties disagrees. The final of the five facts needed for divorce is desertion which is very rare and only cited in 1% of cases brought forward. This form of evidence is when either partner unexpectedly leaves the other without good reason or has been away for more than two of the last two and a half years (Crisp&amp;Co, 2021). The Matrimonial Causes Act 1973 contains two separate facts that are set out for the cases on adultery and shows the elements needed to prove adultery has been committed. In section one subsection two it states that </w:t>
      </w:r>
      <w:r>
        <w:rPr>
          <w:sz w:val="18"/>
          <w:szCs w:val="18"/>
          <w:rtl w:val="1"/>
          <w:lang w:val="ar-SA" w:bidi="ar-SA"/>
        </w:rPr>
        <w:t>“</w:t>
      </w:r>
      <w:r>
        <w:rPr>
          <w:sz w:val="18"/>
          <w:szCs w:val="18"/>
          <w:rtl w:val="0"/>
          <w:lang w:val="en-US"/>
        </w:rPr>
        <w:t>the respondent has committed adultery</w:t>
      </w:r>
      <w:r>
        <w:rPr>
          <w:sz w:val="18"/>
          <w:szCs w:val="18"/>
          <w:rtl w:val="0"/>
        </w:rPr>
        <w:t xml:space="preserve">” </w:t>
      </w:r>
      <w:r>
        <w:rPr>
          <w:sz w:val="18"/>
          <w:szCs w:val="18"/>
          <w:rtl w:val="0"/>
          <w:lang w:val="en-US"/>
        </w:rPr>
        <w:t xml:space="preserve">and also </w:t>
      </w:r>
      <w:r>
        <w:rPr>
          <w:sz w:val="18"/>
          <w:szCs w:val="18"/>
          <w:rtl w:val="1"/>
          <w:lang w:val="ar-SA" w:bidi="ar-SA"/>
        </w:rPr>
        <w:t>“</w:t>
      </w:r>
      <w:r>
        <w:rPr>
          <w:sz w:val="18"/>
          <w:szCs w:val="18"/>
          <w:rtl w:val="0"/>
          <w:lang w:val="en-US"/>
        </w:rPr>
        <w:t>that the applicant finds it intolerable to live with the respondent</w:t>
      </w:r>
      <w:r>
        <w:rPr>
          <w:sz w:val="18"/>
          <w:szCs w:val="18"/>
          <w:rtl w:val="0"/>
        </w:rPr>
        <w:t>”</w:t>
      </w:r>
      <w:r>
        <w:rPr>
          <w:sz w:val="18"/>
          <w:szCs w:val="18"/>
          <w:rtl w:val="0"/>
          <w:lang w:val="en-US"/>
        </w:rPr>
        <w:t xml:space="preserve">, however both of these elements do not need to be correlated but both must be present as confirmed by the case of Carr v Carr 1974. As both of these elements do not need to be connected with one another the reasoning for the second elements in this section could be something unrelated to the adultery that was committed and could be something separate that the partner finds so irritating that they can no longer live with that person. </w:t>
      </w:r>
    </w:p>
    <w:p>
      <w:pPr>
        <w:pStyle w:val="Body"/>
        <w:rPr>
          <w:sz w:val="18"/>
          <w:szCs w:val="18"/>
        </w:rPr>
      </w:pPr>
    </w:p>
    <w:p>
      <w:pPr>
        <w:pStyle w:val="Body"/>
        <w:rPr>
          <w:sz w:val="18"/>
          <w:szCs w:val="18"/>
        </w:rPr>
      </w:pPr>
      <w:r>
        <w:rPr>
          <w:sz w:val="18"/>
          <w:szCs w:val="18"/>
          <w:rtl w:val="0"/>
          <w:lang w:val="en-US"/>
        </w:rPr>
        <w:t xml:space="preserve">The Divorce, dissolution and Separation Act 2020 changed how divorce cases were brought to the courts and also how much evidence was needed to prove that a divorce is needed as the marriage had broken down. The DDSA act 2020 has made it so that all either party has to do is file a statement that </w:t>
      </w:r>
      <w:r>
        <w:rPr>
          <w:sz w:val="18"/>
          <w:szCs w:val="18"/>
          <w:rtl w:val="1"/>
          <w:lang w:val="ar-SA" w:bidi="ar-SA"/>
        </w:rPr>
        <w:t>“</w:t>
      </w:r>
      <w:r>
        <w:rPr>
          <w:sz w:val="18"/>
          <w:szCs w:val="18"/>
          <w:rtl w:val="0"/>
          <w:lang w:val="en-US"/>
        </w:rPr>
        <w:t>the marriage has irretrievably broken down</w:t>
      </w:r>
      <w:r>
        <w:rPr>
          <w:sz w:val="18"/>
          <w:szCs w:val="18"/>
          <w:rtl w:val="0"/>
        </w:rPr>
        <w:t>”</w:t>
      </w:r>
      <w:r>
        <w:rPr>
          <w:sz w:val="18"/>
          <w:szCs w:val="18"/>
          <w:rtl w:val="0"/>
          <w:lang w:val="en-US"/>
        </w:rPr>
        <w:t xml:space="preserve">, that is all that is needed to start the process of a divorce case under the DDSA act 2020. This act removes the need for one of the five facts to be proven and introduces the possibility of a joint application for divorce which can be seen to have both positive and negative effects on divorce cases. One of the main advantages of the DDSA act 2020 is that it introduced a no blame system and allowed couples to not focus on the negatives of either partner as to pass blame but to focus instead on how they can split assets and keep them focused on vital parts of their separation (Freeman, 2021). The care of children is one of the main focuses when looking at the advantages as a no blame system for divorce allows for a less stressful time and means both parties do not need to paint the other in a bad light. The Human Fertilisation and Embryology Act 1973 helped with the care of children in divorce cases when the parents of the child are the same sex as the act allowed for same sex couples to be recognised as the legal parents of children conceived through the use of donated sperm, eggs or embryos. This meant that the civil partner of a woman who carried a child through the use of IVF was recognised as that child's legal parent, which means in divorce cases they would be able to have their say in the care of the child that is shared between that partnership. The Civil Partnership Act 2004 is one that helped support this recognition for same sex couples as this act allowed for same sex couples to be legally recognised as a partnership by obtaining civil partnership. The significance of both of these acts for same sex couples is that if they were to eventually be in a divorce case, they would have legal rights and strong arguments in their own case to help with the separation of assets and division of properties as they would be seen in the legal view as a proper civil partnership. Another reason as to why the DDSA act has had a positive effect on divorce cases being brought forward is that the cases now take up less time in the courts and can be solved in a more timely manner (Freeman, 2021). This system also allows for individuals to feel as though divorce is now more accessible and can empower people to file for divorce who are trapped in partnerships that are either abusive or unhappy and can allow them to move on with their lives and be more happy with their situation. The arguments against the DDSA act and its effect on divorce cases is that the no fault system does not hold people accountable for their actions as one of the partners could commit adultery or even be abusive in the relationship but due to the no fault system they are not held responsible for these actions which could lead to the other partner feeling as though justice as not been served on their side, as the outcome is just that they are now divorced instead of something more serious that could have happened (Freeman, 2021). Even though the process to start a divorce between a couple has been made much easier through the DDSA act 2020, the rate of divorce has actually decreased as in 2020 the rate decreased by 37% since 1993 which had the largest number of divorces in a single year (NimbleFins, 2021). This rate of decrease can be related to couples taking marriage more seriously and pushing them to work issues out between them because if they give their marriage a proper attempt </w:t>
      </w:r>
      <w:r>
        <w:rPr>
          <w:sz w:val="18"/>
          <w:szCs w:val="18"/>
          <w:rtl w:val="0"/>
          <w:lang w:val="en-US"/>
        </w:rPr>
        <w:t>than</w:t>
      </w:r>
      <w:r>
        <w:rPr>
          <w:sz w:val="18"/>
          <w:szCs w:val="18"/>
          <w:rtl w:val="0"/>
          <w:lang w:val="en-US"/>
        </w:rPr>
        <w:t xml:space="preserve"> the option of divorce is one that will not be difficult to obtain. Similarly, to support this is the statistic of people not getting married which has increased by 10.6% in 2021 from 1991 (Office of National statistics, 2021) which can be linked back to people wanting to take the marriage more seriously and not get married with the idea in the back of their head that they can just get divorced if it does not work out.   </w:t>
      </w:r>
    </w:p>
    <w:p>
      <w:pPr>
        <w:pStyle w:val="Body"/>
        <w:rPr>
          <w:sz w:val="18"/>
          <w:szCs w:val="18"/>
        </w:rPr>
      </w:pPr>
    </w:p>
    <w:p>
      <w:pPr>
        <w:pStyle w:val="Body"/>
        <w:rPr>
          <w:sz w:val="18"/>
          <w:szCs w:val="18"/>
        </w:rPr>
      </w:pPr>
    </w:p>
    <w:p>
      <w:pPr>
        <w:pStyle w:val="Body"/>
        <w:rPr>
          <w:sz w:val="18"/>
          <w:szCs w:val="18"/>
        </w:rPr>
      </w:pPr>
      <w:r>
        <w:rPr>
          <w:sz w:val="18"/>
          <w:szCs w:val="18"/>
          <w:rtl w:val="0"/>
          <w:lang w:val="en-US"/>
        </w:rPr>
        <w:t xml:space="preserve">To conclude, The Divorce, Dissolution and Separation Act 2020 has had both positive and negative effects on the divorce cases being brought in England and Wales as it has changed the whole process for someone to get divorced now. The positive effects that it has had outweigh the negatives as the DDSA act 2020 has decreased divorce rates as shown by the statistics even though the process for obtaining a divorce has become much easier. Also, the DDSA act allows for divorce cases to be sought after more easily as there is no need for one of the five facts to be proven as evidence but instead just that the marriage has irretrievably broken down and can no longer be salvaged. This process now allows for more people to seek a divorce when they may have thought that it was not possible and allows for those in abusive or unhappy relationships to muster the courage to seek a divorce and a better life. The DDSA act also now helps value the care of children when going through a divorce as the tension between both parties is far less and there can be more attention placed on the child and where they will end up and who will be able to take care of them after the divorce case ends. While the DDSA act has its drawbacks such as some people not being held accountable for their action if they were abusive to their partner or committed adultery and instead now will only be faced with a divorce instead of more justice that should be served, the positives of this act eclipse the negatives and show the effects that this act has had on divorce cases and how it has helped them in the UK. </w:t>
      </w:r>
    </w:p>
    <w:p>
      <w:pPr>
        <w:pStyle w:val="Body"/>
        <w:rPr>
          <w:sz w:val="18"/>
          <w:szCs w:val="18"/>
        </w:rPr>
      </w:pPr>
    </w:p>
    <w:p>
      <w:pPr>
        <w:pStyle w:val="Body"/>
        <w:rPr>
          <w:sz w:val="18"/>
          <w:szCs w:val="18"/>
        </w:rPr>
      </w:pPr>
    </w:p>
    <w:p>
      <w:pPr>
        <w:pStyle w:val="Body"/>
        <w:rPr>
          <w:sz w:val="18"/>
          <w:szCs w:val="18"/>
        </w:rPr>
      </w:pPr>
    </w:p>
    <w:p>
      <w:pPr>
        <w:pStyle w:val="Body"/>
        <w:rPr>
          <w:sz w:val="18"/>
          <w:szCs w:val="18"/>
        </w:rPr>
      </w:pPr>
    </w:p>
    <w:p>
      <w:pPr>
        <w:pStyle w:val="Body"/>
        <w:rPr>
          <w:sz w:val="18"/>
          <w:szCs w:val="18"/>
        </w:rPr>
      </w:pPr>
    </w:p>
    <w:p>
      <w:pPr>
        <w:pStyle w:val="Body"/>
        <w:rPr>
          <w:sz w:val="18"/>
          <w:szCs w:val="18"/>
        </w:rPr>
      </w:pPr>
    </w:p>
    <w:p>
      <w:pPr>
        <w:pStyle w:val="Body"/>
        <w:rPr>
          <w:sz w:val="18"/>
          <w:szCs w:val="18"/>
        </w:rPr>
      </w:pPr>
    </w:p>
    <w:p>
      <w:pPr>
        <w:pStyle w:val="Body"/>
        <w:rPr>
          <w:sz w:val="18"/>
          <w:szCs w:val="18"/>
        </w:rPr>
      </w:pPr>
    </w:p>
    <w:p>
      <w:pPr>
        <w:pStyle w:val="Body"/>
        <w:rPr>
          <w:sz w:val="18"/>
          <w:szCs w:val="18"/>
        </w:rPr>
      </w:pPr>
    </w:p>
    <w:p>
      <w:pPr>
        <w:pStyle w:val="Body"/>
        <w:rPr>
          <w:sz w:val="18"/>
          <w:szCs w:val="18"/>
        </w:rPr>
      </w:pPr>
    </w:p>
    <w:p>
      <w:pPr>
        <w:pStyle w:val="Body"/>
        <w:rPr>
          <w:sz w:val="18"/>
          <w:szCs w:val="18"/>
        </w:rPr>
      </w:pPr>
    </w:p>
    <w:p>
      <w:pPr>
        <w:pStyle w:val="Body"/>
        <w:rPr>
          <w:sz w:val="18"/>
          <w:szCs w:val="18"/>
        </w:rPr>
      </w:pPr>
    </w:p>
    <w:p>
      <w:pPr>
        <w:pStyle w:val="Body"/>
        <w:rPr>
          <w:sz w:val="18"/>
          <w:szCs w:val="18"/>
        </w:rPr>
      </w:pPr>
    </w:p>
    <w:p>
      <w:pPr>
        <w:pStyle w:val="Body"/>
        <w:rPr>
          <w:sz w:val="18"/>
          <w:szCs w:val="18"/>
        </w:rPr>
      </w:pPr>
    </w:p>
    <w:p>
      <w:pPr>
        <w:pStyle w:val="Body"/>
        <w:rPr>
          <w:sz w:val="18"/>
          <w:szCs w:val="18"/>
        </w:rPr>
      </w:pPr>
    </w:p>
    <w:p>
      <w:pPr>
        <w:pStyle w:val="Body"/>
        <w:jc w:val="center"/>
        <w:rPr>
          <w:sz w:val="18"/>
          <w:szCs w:val="18"/>
        </w:rPr>
      </w:pPr>
      <w:r>
        <w:rPr>
          <w:sz w:val="18"/>
          <w:szCs w:val="18"/>
          <w:rtl w:val="0"/>
          <w:lang w:val="pt-PT"/>
        </w:rPr>
        <w:t>Reference List</w:t>
      </w:r>
    </w:p>
    <w:p>
      <w:pPr>
        <w:pStyle w:val="Body"/>
        <w:jc w:val="center"/>
        <w:rPr>
          <w:sz w:val="18"/>
          <w:szCs w:val="18"/>
        </w:rPr>
      </w:pPr>
    </w:p>
    <w:p>
      <w:pPr>
        <w:pStyle w:val="Body"/>
        <w:rPr>
          <w:rStyle w:val="None"/>
          <w:outline w:val="0"/>
          <w:color w:val="333333"/>
          <w:sz w:val="18"/>
          <w:szCs w:val="18"/>
          <w:u w:color="333333"/>
          <w:shd w:val="clear" w:color="auto" w:fill="fbfbfb"/>
          <w14:textFill>
            <w14:solidFill>
              <w14:srgbClr w14:val="333333"/>
            </w14:solidFill>
          </w14:textFill>
        </w:rPr>
      </w:pPr>
      <w:r>
        <w:rPr>
          <w:outline w:val="0"/>
          <w:color w:val="333333"/>
          <w:sz w:val="18"/>
          <w:szCs w:val="18"/>
          <w:u w:color="333333"/>
          <w:shd w:val="clear" w:color="auto" w:fill="fbfbfb"/>
          <w:rtl w:val="0"/>
          <w14:textFill>
            <w14:solidFill>
              <w14:srgbClr w14:val="333333"/>
            </w14:solidFill>
          </w14:textFill>
        </w:rPr>
        <w:t xml:space="preserve">Ashcroft, A. (2021) </w:t>
      </w:r>
      <w:r>
        <w:rPr>
          <w:i w:val="1"/>
          <w:iCs w:val="1"/>
          <w:outline w:val="0"/>
          <w:color w:val="333333"/>
          <w:sz w:val="18"/>
          <w:szCs w:val="18"/>
          <w:u w:color="333333"/>
          <w:shd w:val="clear" w:color="auto" w:fill="fbfbfb"/>
          <w:rtl w:val="0"/>
          <w:lang w:val="en-US"/>
          <w14:textFill>
            <w14:solidFill>
              <w14:srgbClr w14:val="333333"/>
            </w14:solidFill>
          </w14:textFill>
        </w:rPr>
        <w:t>What is adultery and how can it be proved</w:t>
      </w:r>
      <w:r>
        <w:rPr>
          <w:outline w:val="0"/>
          <w:color w:val="333333"/>
          <w:sz w:val="18"/>
          <w:szCs w:val="18"/>
          <w:u w:color="333333"/>
          <w:shd w:val="clear" w:color="auto" w:fill="fbfbfb"/>
          <w:rtl w:val="0"/>
          <w:lang w:val="en-US"/>
          <w14:textFill>
            <w14:solidFill>
              <w14:srgbClr w14:val="333333"/>
            </w14:solidFill>
          </w14:textFill>
        </w:rPr>
        <w:t xml:space="preserve">. Available at: </w:t>
      </w:r>
      <w:r>
        <w:rPr>
          <w:rStyle w:val="Hyperlink.0"/>
        </w:rPr>
        <w:fldChar w:fldCharType="begin" w:fldLock="0"/>
      </w:r>
      <w:r>
        <w:rPr>
          <w:rStyle w:val="Hyperlink.0"/>
        </w:rPr>
        <w:instrText xml:space="preserve"> HYPERLINK "https://lgbtlawyers.co.uk/2021/11/05/what-is-adultery-and-how-can-it-be-proved/%23:~:text=If%2520your%2520partner%2520has%2520been,commits%2520a%2520same-sex%2520affair"</w:instrText>
      </w:r>
      <w:r>
        <w:rPr>
          <w:rStyle w:val="Hyperlink.0"/>
        </w:rPr>
        <w:fldChar w:fldCharType="separate" w:fldLock="0"/>
      </w:r>
      <w:r>
        <w:rPr>
          <w:rStyle w:val="Hyperlink.0"/>
          <w:rtl w:val="0"/>
        </w:rPr>
        <w:t>https://lgbtlawyers.co.uk/2021/11/05/what-is-adultery-and-how-can-it-be-proved/#:~:text=If%20your%20partner%20has%20been,commits%20a%20same%2Dsex%20affair</w:t>
      </w:r>
      <w:r>
        <w:rPr/>
        <w:fldChar w:fldCharType="end" w:fldLock="0"/>
      </w:r>
      <w:r>
        <w:rPr>
          <w:rStyle w:val="None"/>
          <w:outline w:val="0"/>
          <w:color w:val="333333"/>
          <w:sz w:val="18"/>
          <w:szCs w:val="18"/>
          <w:u w:color="333333"/>
          <w:shd w:val="clear" w:color="auto" w:fill="fbfbfb"/>
          <w:rtl w:val="0"/>
          <w:lang w:val="en-US"/>
          <w14:textFill>
            <w14:solidFill>
              <w14:srgbClr w14:val="333333"/>
            </w14:solidFill>
          </w14:textFill>
        </w:rPr>
        <w:t>. (Accessed: 30 November 2023).</w:t>
      </w:r>
    </w:p>
    <w:p>
      <w:pPr>
        <w:pStyle w:val="Body"/>
        <w:rPr>
          <w:rStyle w:val="None"/>
          <w:outline w:val="0"/>
          <w:color w:val="333333"/>
          <w:sz w:val="18"/>
          <w:szCs w:val="18"/>
          <w:u w:color="333333"/>
          <w:shd w:val="clear" w:color="auto" w:fill="fbfbfb"/>
          <w14:textFill>
            <w14:solidFill>
              <w14:srgbClr w14:val="333333"/>
            </w14:solidFill>
          </w14:textFill>
        </w:rPr>
      </w:pPr>
    </w:p>
    <w:p>
      <w:pPr>
        <w:pStyle w:val="Body"/>
        <w:rPr>
          <w:rStyle w:val="None"/>
          <w:outline w:val="0"/>
          <w:color w:val="333333"/>
          <w:sz w:val="18"/>
          <w:szCs w:val="18"/>
          <w:u w:color="333333"/>
          <w:shd w:val="clear" w:color="auto" w:fill="fbfbfb"/>
          <w14:textFill>
            <w14:solidFill>
              <w14:srgbClr w14:val="333333"/>
            </w14:solidFill>
          </w14:textFill>
        </w:rPr>
      </w:pPr>
      <w:r>
        <w:rPr>
          <w:rStyle w:val="None"/>
          <w:outline w:val="0"/>
          <w:color w:val="333333"/>
          <w:sz w:val="18"/>
          <w:szCs w:val="18"/>
          <w:u w:color="333333"/>
          <w:shd w:val="clear" w:color="auto" w:fill="fbfbfb"/>
          <w:rtl w:val="0"/>
          <w14:textFill>
            <w14:solidFill>
              <w14:srgbClr w14:val="333333"/>
            </w14:solidFill>
          </w14:textFill>
        </w:rPr>
        <w:t xml:space="preserve">Crisp &amp; Co (2023) </w:t>
      </w:r>
      <w:r>
        <w:rPr>
          <w:rStyle w:val="None"/>
          <w:i w:val="1"/>
          <w:iCs w:val="1"/>
          <w:outline w:val="0"/>
          <w:color w:val="333333"/>
          <w:sz w:val="18"/>
          <w:szCs w:val="18"/>
          <w:u w:color="333333"/>
          <w:shd w:val="clear" w:color="auto" w:fill="fbfbfb"/>
          <w:rtl w:val="0"/>
          <w:lang w:val="es-ES_tradnl"/>
          <w14:textFill>
            <w14:solidFill>
              <w14:srgbClr w14:val="333333"/>
            </w14:solidFill>
          </w14:textFill>
        </w:rPr>
        <w:t>Divorce</w:t>
      </w:r>
      <w:r>
        <w:rPr>
          <w:rStyle w:val="None"/>
          <w:outline w:val="0"/>
          <w:color w:val="333333"/>
          <w:sz w:val="18"/>
          <w:szCs w:val="18"/>
          <w:u w:color="333333"/>
          <w:shd w:val="clear" w:color="auto" w:fill="fbfbfb"/>
          <w:rtl w:val="0"/>
          <w:lang w:val="en-US"/>
          <w14:textFill>
            <w14:solidFill>
              <w14:srgbClr w14:val="333333"/>
            </w14:solidFill>
          </w14:textFill>
        </w:rPr>
        <w:t xml:space="preserve">. Available at: </w:t>
      </w:r>
      <w:r>
        <w:rPr>
          <w:rStyle w:val="Hyperlink.0"/>
        </w:rPr>
        <w:fldChar w:fldCharType="begin" w:fldLock="0"/>
      </w:r>
      <w:r>
        <w:rPr>
          <w:rStyle w:val="Hyperlink.0"/>
        </w:rPr>
        <w:instrText xml:space="preserve"> HYPERLINK "https://www.crispandco.com/site/services/divorce/grounds-for-divorce/"</w:instrText>
      </w:r>
      <w:r>
        <w:rPr>
          <w:rStyle w:val="Hyperlink.0"/>
        </w:rPr>
        <w:fldChar w:fldCharType="separate" w:fldLock="0"/>
      </w:r>
      <w:r>
        <w:rPr>
          <w:rStyle w:val="Hyperlink.0"/>
          <w:rtl w:val="0"/>
        </w:rPr>
        <w:t>https://www.crispandco.com/site/services/divorce/grounds-for-divorce/</w:t>
      </w:r>
      <w:r>
        <w:rPr/>
        <w:fldChar w:fldCharType="end" w:fldLock="0"/>
      </w:r>
      <w:r>
        <w:rPr>
          <w:rStyle w:val="None"/>
          <w:outline w:val="0"/>
          <w:color w:val="333333"/>
          <w:sz w:val="18"/>
          <w:szCs w:val="18"/>
          <w:u w:color="333333"/>
          <w:shd w:val="clear" w:color="auto" w:fill="fbfbfb"/>
          <w:rtl w:val="0"/>
          <w:lang w:val="en-US"/>
          <w14:textFill>
            <w14:solidFill>
              <w14:srgbClr w14:val="333333"/>
            </w14:solidFill>
          </w14:textFill>
        </w:rPr>
        <w:t xml:space="preserve"> (Accessed: 30 November 2023).</w:t>
      </w:r>
    </w:p>
    <w:p>
      <w:pPr>
        <w:pStyle w:val="Body"/>
        <w:rPr>
          <w:rStyle w:val="None"/>
          <w:outline w:val="0"/>
          <w:color w:val="333333"/>
          <w:sz w:val="18"/>
          <w:szCs w:val="18"/>
          <w:u w:color="333333"/>
          <w:shd w:val="clear" w:color="auto" w:fill="fbfbfb"/>
          <w14:textFill>
            <w14:solidFill>
              <w14:srgbClr w14:val="333333"/>
            </w14:solidFill>
          </w14:textFill>
        </w:rPr>
      </w:pPr>
    </w:p>
    <w:p>
      <w:pPr>
        <w:pStyle w:val="Body"/>
        <w:rPr>
          <w:rStyle w:val="None"/>
          <w:outline w:val="0"/>
          <w:color w:val="333333"/>
          <w:sz w:val="18"/>
          <w:szCs w:val="18"/>
          <w:u w:color="333333"/>
          <w:shd w:val="clear" w:color="auto" w:fill="fbfbfb"/>
          <w14:textFill>
            <w14:solidFill>
              <w14:srgbClr w14:val="333333"/>
            </w14:solidFill>
          </w14:textFill>
        </w:rPr>
      </w:pPr>
      <w:r>
        <w:rPr>
          <w:rStyle w:val="None"/>
          <w:outline w:val="0"/>
          <w:color w:val="333333"/>
          <w:sz w:val="18"/>
          <w:szCs w:val="18"/>
          <w:u w:color="333333"/>
          <w:shd w:val="clear" w:color="auto" w:fill="fbfbfb"/>
          <w:rtl w:val="0"/>
          <w14:textFill>
            <w14:solidFill>
              <w14:srgbClr w14:val="333333"/>
            </w14:solidFill>
          </w14:textFill>
        </w:rPr>
        <w:t xml:space="preserve">Freeman, C. (2021) </w:t>
      </w:r>
      <w:r>
        <w:rPr>
          <w:rStyle w:val="None"/>
          <w:i w:val="1"/>
          <w:iCs w:val="1"/>
          <w:outline w:val="0"/>
          <w:color w:val="333333"/>
          <w:sz w:val="18"/>
          <w:szCs w:val="18"/>
          <w:u w:color="333333"/>
          <w:shd w:val="clear" w:color="auto" w:fill="fbfbfb"/>
          <w:rtl w:val="0"/>
          <w:lang w:val="en-US"/>
          <w14:textFill>
            <w14:solidFill>
              <w14:srgbClr w14:val="333333"/>
            </w14:solidFill>
          </w14:textFill>
        </w:rPr>
        <w:t>What are the pros and cons of no fault divorce</w:t>
      </w:r>
      <w:r>
        <w:rPr>
          <w:rStyle w:val="None"/>
          <w:outline w:val="0"/>
          <w:color w:val="333333"/>
          <w:sz w:val="18"/>
          <w:szCs w:val="18"/>
          <w:u w:color="333333"/>
          <w:shd w:val="clear" w:color="auto" w:fill="fbfbfb"/>
          <w:rtl w:val="0"/>
          <w:lang w:val="en-US"/>
          <w14:textFill>
            <w14:solidFill>
              <w14:srgbClr w14:val="333333"/>
            </w14:solidFill>
          </w14:textFill>
        </w:rPr>
        <w:t xml:space="preserve">. Available at: </w:t>
      </w:r>
      <w:r>
        <w:rPr>
          <w:rStyle w:val="Hyperlink.0"/>
        </w:rPr>
        <w:fldChar w:fldCharType="begin" w:fldLock="0"/>
      </w:r>
      <w:r>
        <w:rPr>
          <w:rStyle w:val="Hyperlink.0"/>
        </w:rPr>
        <w:instrText xml:space="preserve"> HYPERLINK "https://www.fjsolicitors.co.uk/what-are-the-pros-and-cons-of-no-fault-divorce/"</w:instrText>
      </w:r>
      <w:r>
        <w:rPr>
          <w:rStyle w:val="Hyperlink.0"/>
        </w:rPr>
        <w:fldChar w:fldCharType="separate" w:fldLock="0"/>
      </w:r>
      <w:r>
        <w:rPr>
          <w:rStyle w:val="Hyperlink.0"/>
          <w:rtl w:val="0"/>
        </w:rPr>
        <w:t>https://www.fjsolicitors.co.uk/what-are-the-pros-and-cons-of-no-fault-divorce/</w:t>
      </w:r>
      <w:r>
        <w:rPr/>
        <w:fldChar w:fldCharType="end" w:fldLock="0"/>
      </w:r>
      <w:r>
        <w:rPr>
          <w:rStyle w:val="None"/>
          <w:outline w:val="0"/>
          <w:color w:val="333333"/>
          <w:sz w:val="18"/>
          <w:szCs w:val="18"/>
          <w:u w:color="333333"/>
          <w:shd w:val="clear" w:color="auto" w:fill="fbfbfb"/>
          <w:rtl w:val="0"/>
          <w:lang w:val="en-US"/>
          <w14:textFill>
            <w14:solidFill>
              <w14:srgbClr w14:val="333333"/>
            </w14:solidFill>
          </w14:textFill>
        </w:rPr>
        <w:t xml:space="preserve"> (Accessed: 30 November 2023).</w:t>
      </w:r>
    </w:p>
    <w:p>
      <w:pPr>
        <w:pStyle w:val="Body"/>
        <w:rPr>
          <w:rStyle w:val="None"/>
          <w:outline w:val="0"/>
          <w:color w:val="333333"/>
          <w:sz w:val="18"/>
          <w:szCs w:val="18"/>
          <w:u w:color="333333"/>
          <w:shd w:val="clear" w:color="auto" w:fill="fbfbfb"/>
          <w14:textFill>
            <w14:solidFill>
              <w14:srgbClr w14:val="333333"/>
            </w14:solidFill>
          </w14:textFill>
        </w:rPr>
      </w:pPr>
    </w:p>
    <w:p>
      <w:pPr>
        <w:pStyle w:val="Body"/>
        <w:rPr>
          <w:rStyle w:val="None"/>
          <w:sz w:val="18"/>
          <w:szCs w:val="18"/>
        </w:rPr>
      </w:pPr>
      <w:r>
        <w:rPr>
          <w:rStyle w:val="None"/>
          <w:outline w:val="0"/>
          <w:color w:val="333333"/>
          <w:sz w:val="18"/>
          <w:szCs w:val="18"/>
          <w:u w:color="333333"/>
          <w:shd w:val="clear" w:color="auto" w:fill="fbfbfb"/>
          <w:rtl w:val="0"/>
          <w14:textFill>
            <w14:solidFill>
              <w14:srgbClr w14:val="333333"/>
            </w14:solidFill>
          </w14:textFill>
        </w:rPr>
        <w:t xml:space="preserve">Lexis Nexis (2023) </w:t>
      </w:r>
      <w:r>
        <w:rPr>
          <w:rStyle w:val="None"/>
          <w:i w:val="1"/>
          <w:iCs w:val="1"/>
          <w:outline w:val="0"/>
          <w:color w:val="333333"/>
          <w:sz w:val="18"/>
          <w:szCs w:val="18"/>
          <w:u w:color="333333"/>
          <w:rtl w:val="0"/>
          <w:lang w:val="en-US"/>
          <w14:textFill>
            <w14:solidFill>
              <w14:srgbClr w14:val="333333"/>
            </w14:solidFill>
          </w14:textFill>
        </w:rPr>
        <w:t>Proceedings Under the Divorce, Dissolution and Separation Act 2020</w:t>
      </w:r>
      <w:r>
        <w:rPr>
          <w:rStyle w:val="None"/>
          <w:outline w:val="0"/>
          <w:color w:val="333333"/>
          <w:sz w:val="18"/>
          <w:szCs w:val="18"/>
          <w:u w:color="333333"/>
          <w:shd w:val="clear" w:color="auto" w:fill="fbfbfb"/>
          <w:rtl w:val="0"/>
          <w:lang w:val="en-US"/>
          <w14:textFill>
            <w14:solidFill>
              <w14:srgbClr w14:val="333333"/>
            </w14:solidFill>
          </w14:textFill>
        </w:rPr>
        <w:t xml:space="preserve">. Available at: </w:t>
      </w:r>
      <w:r>
        <w:rPr>
          <w:rStyle w:val="Hyperlink.0"/>
        </w:rPr>
        <w:fldChar w:fldCharType="begin" w:fldLock="0"/>
      </w:r>
      <w:r>
        <w:rPr>
          <w:rStyle w:val="Hyperlink.0"/>
        </w:rPr>
        <w:instrText xml:space="preserve"> HYPERLINK "https://www.lexisnexis.co.uk/legal/family-law/relationship-breakdown/proceedings-under-the-divorce-dissolution-separation-act-2020"</w:instrText>
      </w:r>
      <w:r>
        <w:rPr>
          <w:rStyle w:val="Hyperlink.0"/>
        </w:rPr>
        <w:fldChar w:fldCharType="separate" w:fldLock="0"/>
      </w:r>
      <w:r>
        <w:rPr>
          <w:rStyle w:val="Hyperlink.0"/>
          <w:rtl w:val="0"/>
        </w:rPr>
        <w:t>https://www.lexisnexis.co.uk/legal/family-law/relationship-breakdown/proceedings-under-the-divorce-dissolution-separation-act-2020</w:t>
      </w:r>
      <w:r>
        <w:rPr/>
        <w:fldChar w:fldCharType="end" w:fldLock="0"/>
      </w:r>
      <w:r>
        <w:rPr>
          <w:rStyle w:val="None"/>
          <w:outline w:val="0"/>
          <w:color w:val="333333"/>
          <w:sz w:val="18"/>
          <w:szCs w:val="18"/>
          <w:u w:color="333333"/>
          <w:shd w:val="clear" w:color="auto" w:fill="fbfbfb"/>
          <w:rtl w:val="0"/>
          <w:lang w:val="en-US"/>
          <w14:textFill>
            <w14:solidFill>
              <w14:srgbClr w14:val="333333"/>
            </w14:solidFill>
          </w14:textFill>
        </w:rPr>
        <w:t xml:space="preserve"> (Accessed: 29 November 2023).</w:t>
      </w:r>
      <w:r>
        <w:rPr>
          <w:rStyle w:val="None"/>
          <w:sz w:val="18"/>
          <w:szCs w:val="18"/>
          <w:rtl w:val="0"/>
        </w:rPr>
        <w:t xml:space="preserve">  </w:t>
      </w:r>
    </w:p>
    <w:p>
      <w:pPr>
        <w:pStyle w:val="Body"/>
        <w:rPr>
          <w:rStyle w:val="None"/>
          <w:sz w:val="18"/>
          <w:szCs w:val="18"/>
        </w:rPr>
      </w:pPr>
    </w:p>
    <w:p>
      <w:pPr>
        <w:pStyle w:val="Body"/>
        <w:rPr>
          <w:rStyle w:val="None"/>
          <w:sz w:val="18"/>
          <w:szCs w:val="18"/>
        </w:rPr>
      </w:pPr>
      <w:r>
        <w:rPr>
          <w:rStyle w:val="None"/>
          <w:outline w:val="0"/>
          <w:color w:val="333333"/>
          <w:sz w:val="18"/>
          <w:szCs w:val="18"/>
          <w:u w:color="333333"/>
          <w:shd w:val="clear" w:color="auto" w:fill="fbfbfb"/>
          <w:rtl w:val="0"/>
          <w14:textFill>
            <w14:solidFill>
              <w14:srgbClr w14:val="333333"/>
            </w14:solidFill>
          </w14:textFill>
        </w:rPr>
        <w:t xml:space="preserve">NimbleFins (2023) </w:t>
      </w:r>
      <w:r>
        <w:rPr>
          <w:rStyle w:val="None"/>
          <w:i w:val="1"/>
          <w:iCs w:val="1"/>
          <w:outline w:val="0"/>
          <w:color w:val="333333"/>
          <w:sz w:val="18"/>
          <w:szCs w:val="18"/>
          <w:u w:color="333333"/>
          <w:rtl w:val="0"/>
          <w:lang w:val="en-US"/>
          <w14:textFill>
            <w14:solidFill>
              <w14:srgbClr w14:val="333333"/>
            </w14:solidFill>
          </w14:textFill>
        </w:rPr>
        <w:t>Divorce Statistics UK 2023</w:t>
      </w:r>
      <w:r>
        <w:rPr>
          <w:rStyle w:val="None"/>
          <w:outline w:val="0"/>
          <w:color w:val="333333"/>
          <w:sz w:val="18"/>
          <w:szCs w:val="18"/>
          <w:u w:color="333333"/>
          <w:shd w:val="clear" w:color="auto" w:fill="fbfbfb"/>
          <w:rtl w:val="0"/>
          <w:lang w:val="en-US"/>
          <w14:textFill>
            <w14:solidFill>
              <w14:srgbClr w14:val="333333"/>
            </w14:solidFill>
          </w14:textFill>
        </w:rPr>
        <w:t xml:space="preserve">. Available at: </w:t>
      </w:r>
      <w:r>
        <w:rPr>
          <w:rStyle w:val="Hyperlink.0"/>
        </w:rPr>
        <w:fldChar w:fldCharType="begin" w:fldLock="0"/>
      </w:r>
      <w:r>
        <w:rPr>
          <w:rStyle w:val="Hyperlink.0"/>
        </w:rPr>
        <w:instrText xml:space="preserve"> HYPERLINK "https://www.nimblefins.co.uk/divorce-statistics-uk"</w:instrText>
      </w:r>
      <w:r>
        <w:rPr>
          <w:rStyle w:val="Hyperlink.0"/>
        </w:rPr>
        <w:fldChar w:fldCharType="separate" w:fldLock="0"/>
      </w:r>
      <w:r>
        <w:rPr>
          <w:rStyle w:val="Hyperlink.0"/>
          <w:rtl w:val="0"/>
        </w:rPr>
        <w:t>https://www.nimblefins.co.uk/divorce-statistics-uk</w:t>
      </w:r>
      <w:r>
        <w:rPr/>
        <w:fldChar w:fldCharType="end" w:fldLock="0"/>
      </w:r>
      <w:r>
        <w:rPr>
          <w:rStyle w:val="None"/>
          <w:outline w:val="0"/>
          <w:color w:val="333333"/>
          <w:sz w:val="18"/>
          <w:szCs w:val="18"/>
          <w:u w:color="333333"/>
          <w:shd w:val="clear" w:color="auto" w:fill="fbfbfb"/>
          <w:rtl w:val="0"/>
          <w:lang w:val="en-US"/>
          <w14:textFill>
            <w14:solidFill>
              <w14:srgbClr w14:val="333333"/>
            </w14:solidFill>
          </w14:textFill>
        </w:rPr>
        <w:t xml:space="preserve"> (Accessed: 30 November 2023).</w:t>
      </w:r>
    </w:p>
    <w:p>
      <w:pPr>
        <w:pStyle w:val="Body"/>
        <w:rPr>
          <w:rStyle w:val="None"/>
          <w:sz w:val="18"/>
          <w:szCs w:val="18"/>
        </w:rPr>
      </w:pPr>
    </w:p>
    <w:p>
      <w:pPr>
        <w:pStyle w:val="Body"/>
        <w:rPr>
          <w:rStyle w:val="None"/>
          <w:sz w:val="18"/>
          <w:szCs w:val="18"/>
        </w:rPr>
      </w:pPr>
      <w:r>
        <w:rPr>
          <w:rStyle w:val="None"/>
          <w:outline w:val="0"/>
          <w:color w:val="333333"/>
          <w:sz w:val="18"/>
          <w:szCs w:val="18"/>
          <w:u w:color="333333"/>
          <w:shd w:val="clear" w:color="auto" w:fill="fbfbfb"/>
          <w:rtl w:val="0"/>
          <w:lang w:val="en-US"/>
          <w14:textFill>
            <w14:solidFill>
              <w14:srgbClr w14:val="333333"/>
            </w14:solidFill>
          </w14:textFill>
        </w:rPr>
        <w:t xml:space="preserve">Office for National statistics (2023) </w:t>
      </w:r>
      <w:r>
        <w:rPr>
          <w:rStyle w:val="None"/>
          <w:i w:val="1"/>
          <w:iCs w:val="1"/>
          <w:outline w:val="0"/>
          <w:color w:val="333333"/>
          <w:sz w:val="18"/>
          <w:szCs w:val="18"/>
          <w:u w:color="333333"/>
          <w:rtl w:val="0"/>
          <w:lang w:val="en-US"/>
          <w14:textFill>
            <w14:solidFill>
              <w14:srgbClr w14:val="333333"/>
            </w14:solidFill>
          </w14:textFill>
        </w:rPr>
        <w:t>Marriage and civil partnership status in England and Wales: census 2021</w:t>
      </w:r>
      <w:r>
        <w:rPr>
          <w:rStyle w:val="None"/>
          <w:outline w:val="0"/>
          <w:color w:val="333333"/>
          <w:sz w:val="18"/>
          <w:szCs w:val="18"/>
          <w:u w:color="333333"/>
          <w:shd w:val="clear" w:color="auto" w:fill="fbfbfb"/>
          <w:rtl w:val="0"/>
          <w:lang w:val="en-US"/>
          <w14:textFill>
            <w14:solidFill>
              <w14:srgbClr w14:val="333333"/>
            </w14:solidFill>
          </w14:textFill>
        </w:rPr>
        <w:t xml:space="preserve">. Available at: </w:t>
      </w:r>
      <w:r>
        <w:rPr>
          <w:rStyle w:val="Hyperlink.0"/>
        </w:rPr>
        <w:fldChar w:fldCharType="begin" w:fldLock="0"/>
      </w:r>
      <w:r>
        <w:rPr>
          <w:rStyle w:val="Hyperlink.0"/>
        </w:rPr>
        <w:instrText xml:space="preserve"> HYPERLINK "https://www.ons.gov.uk/peoplepopulationandcommunity/birthsdeathsandmarriages/marriagecohabitationandcivilpartnerships/articles/marriageandcivilpartnershipstatusenglandandwalescensus2021/2023-02-22%23:~:text=The%2520proportion%2520of%2520adults%2520who,1991%2520to%252046.9%2525%2520in%25202021"</w:instrText>
      </w:r>
      <w:r>
        <w:rPr>
          <w:rStyle w:val="Hyperlink.0"/>
        </w:rPr>
        <w:fldChar w:fldCharType="separate" w:fldLock="0"/>
      </w:r>
      <w:r>
        <w:rPr>
          <w:rStyle w:val="Hyperlink.0"/>
          <w:rtl w:val="0"/>
        </w:rPr>
        <w:t>https://www.ons.gov.uk/peoplepopulationandcommunity/birthsdeathsandmarriages/marriagecohabitationandcivilpartnerships/articles/marriageandcivilpartnershipstatusenglandandwalescensus2021/2023-02-22#:~:text=The%20proportion%20of%20adults%20who,1991%20to%2046.9%25%20in%202021</w:t>
      </w:r>
      <w:r>
        <w:rPr/>
        <w:fldChar w:fldCharType="end" w:fldLock="0"/>
      </w:r>
      <w:r>
        <w:rPr>
          <w:rStyle w:val="None"/>
          <w:outline w:val="0"/>
          <w:color w:val="333333"/>
          <w:sz w:val="18"/>
          <w:szCs w:val="18"/>
          <w:u w:color="333333"/>
          <w:shd w:val="clear" w:color="auto" w:fill="fbfbfb"/>
          <w:rtl w:val="0"/>
          <w:lang w:val="en-US"/>
          <w14:textFill>
            <w14:solidFill>
              <w14:srgbClr w14:val="333333"/>
            </w14:solidFill>
          </w14:textFill>
        </w:rPr>
        <w:t>. (Accessed: 30 November 2023).</w:t>
      </w:r>
    </w:p>
    <w:p>
      <w:pPr>
        <w:pStyle w:val="Body"/>
        <w:rPr>
          <w:rStyle w:val="None"/>
          <w:sz w:val="18"/>
          <w:szCs w:val="18"/>
        </w:rPr>
      </w:pPr>
    </w:p>
    <w:p>
      <w:pPr>
        <w:pStyle w:val="Body"/>
        <w:rPr>
          <w:rStyle w:val="None"/>
          <w:outline w:val="0"/>
          <w:color w:val="333333"/>
          <w:sz w:val="18"/>
          <w:szCs w:val="18"/>
          <w:u w:color="333333"/>
          <w:shd w:val="clear" w:color="auto" w:fill="fbfbfb"/>
          <w14:textFill>
            <w14:solidFill>
              <w14:srgbClr w14:val="333333"/>
            </w14:solidFill>
          </w14:textFill>
        </w:rPr>
      </w:pPr>
      <w:r>
        <w:rPr>
          <w:rStyle w:val="None"/>
          <w:outline w:val="0"/>
          <w:color w:val="333333"/>
          <w:sz w:val="18"/>
          <w:szCs w:val="18"/>
          <w:u w:color="333333"/>
          <w:shd w:val="clear" w:color="auto" w:fill="fbfbfb"/>
          <w:rtl w:val="0"/>
          <w:lang w:val="en-US"/>
          <w14:textFill>
            <w14:solidFill>
              <w14:srgbClr w14:val="333333"/>
            </w14:solidFill>
          </w14:textFill>
        </w:rPr>
        <w:t xml:space="preserve">Rayden Solicitors (2023) </w:t>
      </w:r>
      <w:r>
        <w:rPr>
          <w:rStyle w:val="None"/>
          <w:i w:val="1"/>
          <w:iCs w:val="1"/>
          <w:outline w:val="0"/>
          <w:color w:val="333333"/>
          <w:sz w:val="18"/>
          <w:szCs w:val="18"/>
          <w:u w:color="333333"/>
          <w:rtl w:val="0"/>
          <w:lang w:val="en-US"/>
          <w14:textFill>
            <w14:solidFill>
              <w14:srgbClr w14:val="333333"/>
            </w14:solidFill>
          </w14:textFill>
        </w:rPr>
        <w:t xml:space="preserve">Divorce and Desertion: What to Consider </w:t>
      </w:r>
      <w:r>
        <w:rPr>
          <w:rStyle w:val="None"/>
          <w:outline w:val="0"/>
          <w:color w:val="333333"/>
          <w:sz w:val="18"/>
          <w:szCs w:val="18"/>
          <w:u w:color="333333"/>
          <w:shd w:val="clear" w:color="auto" w:fill="fbfbfb"/>
          <w:rtl w:val="0"/>
          <w:lang w:val="en-US"/>
          <w14:textFill>
            <w14:solidFill>
              <w14:srgbClr w14:val="333333"/>
            </w14:solidFill>
          </w14:textFill>
        </w:rPr>
        <w:t xml:space="preserve">. Available at: </w:t>
      </w:r>
      <w:r>
        <w:rPr>
          <w:rStyle w:val="Hyperlink.0"/>
        </w:rPr>
        <w:fldChar w:fldCharType="begin" w:fldLock="0"/>
      </w:r>
      <w:r>
        <w:rPr>
          <w:rStyle w:val="Hyperlink.0"/>
        </w:rPr>
        <w:instrText xml:space="preserve"> HYPERLINK "https://raydensolicitors.co.uk/blog/divorce-desertion-what-to-consider/%23:~:text=The%2520DDSA%25202020&amp;text=The%2520irretrievable%2520breakdown%2520of%2520the,the%2520cause%2520of%2520the%2520divorce"</w:instrText>
      </w:r>
      <w:r>
        <w:rPr>
          <w:rStyle w:val="Hyperlink.0"/>
        </w:rPr>
        <w:fldChar w:fldCharType="separate" w:fldLock="0"/>
      </w:r>
      <w:r>
        <w:rPr>
          <w:rStyle w:val="Hyperlink.0"/>
          <w:rtl w:val="0"/>
        </w:rPr>
        <w:t>https://raydensolicitors.co.uk/blog/divorce-desertion-what-to-consider/#:~:text=The%20DDSA%202020&amp;text=The%20irretrievable%20breakdown%20of%20the,the%20cause%20of%20the%20divorce</w:t>
      </w:r>
      <w:r>
        <w:rPr/>
        <w:fldChar w:fldCharType="end" w:fldLock="0"/>
      </w:r>
      <w:r>
        <w:rPr>
          <w:rStyle w:val="None"/>
          <w:outline w:val="0"/>
          <w:color w:val="333333"/>
          <w:sz w:val="18"/>
          <w:szCs w:val="18"/>
          <w:u w:color="333333"/>
          <w:shd w:val="clear" w:color="auto" w:fill="fbfbfb"/>
          <w:rtl w:val="0"/>
          <w:lang w:val="en-US"/>
          <w14:textFill>
            <w14:solidFill>
              <w14:srgbClr w14:val="333333"/>
            </w14:solidFill>
          </w14:textFill>
        </w:rPr>
        <w:t>. (Accessed: 30 November 2023).</w:t>
      </w:r>
    </w:p>
    <w:p>
      <w:pPr>
        <w:pStyle w:val="Body"/>
        <w:rPr>
          <w:rStyle w:val="None"/>
          <w:outline w:val="0"/>
          <w:color w:val="333333"/>
          <w:sz w:val="18"/>
          <w:szCs w:val="18"/>
          <w:u w:color="333333"/>
          <w:shd w:val="clear" w:color="auto" w:fill="fbfbfb"/>
          <w14:textFill>
            <w14:solidFill>
              <w14:srgbClr w14:val="333333"/>
            </w14:solidFill>
          </w14:textFill>
        </w:rPr>
      </w:pPr>
    </w:p>
    <w:p>
      <w:pPr>
        <w:pStyle w:val="Body"/>
        <w:rPr>
          <w:rStyle w:val="None"/>
          <w:outline w:val="0"/>
          <w:color w:val="333333"/>
          <w:sz w:val="18"/>
          <w:szCs w:val="18"/>
          <w:u w:color="333333"/>
          <w:shd w:val="clear" w:color="auto" w:fill="fbfbfb"/>
          <w14:textFill>
            <w14:solidFill>
              <w14:srgbClr w14:val="333333"/>
            </w14:solidFill>
          </w14:textFill>
        </w:rPr>
      </w:pPr>
      <w:r>
        <w:rPr>
          <w:rStyle w:val="None"/>
          <w:outline w:val="0"/>
          <w:color w:val="333333"/>
          <w:sz w:val="18"/>
          <w:szCs w:val="18"/>
          <w:u w:color="333333"/>
          <w:shd w:val="clear" w:color="auto" w:fill="fbfbfb"/>
          <w:rtl w:val="0"/>
          <w:lang w:val="en-US"/>
          <w14:textFill>
            <w14:solidFill>
              <w14:srgbClr w14:val="333333"/>
            </w14:solidFill>
          </w14:textFill>
        </w:rPr>
        <w:t xml:space="preserve">United Kingdom Government (2014) </w:t>
      </w:r>
      <w:r>
        <w:rPr>
          <w:rStyle w:val="None"/>
          <w:i w:val="1"/>
          <w:iCs w:val="1"/>
          <w:outline w:val="0"/>
          <w:color w:val="333333"/>
          <w:sz w:val="18"/>
          <w:szCs w:val="18"/>
          <w:u w:color="333333"/>
          <w:shd w:val="clear" w:color="auto" w:fill="fbfbfb"/>
          <w:rtl w:val="0"/>
          <w:lang w:val="en-US"/>
          <w14:textFill>
            <w14:solidFill>
              <w14:srgbClr w14:val="333333"/>
            </w14:solidFill>
          </w14:textFill>
        </w:rPr>
        <w:t>Marriage (Same sex couples) Act: a factsheet</w:t>
      </w:r>
      <w:r>
        <w:rPr>
          <w:rStyle w:val="None"/>
          <w:outline w:val="0"/>
          <w:color w:val="333333"/>
          <w:sz w:val="18"/>
          <w:szCs w:val="18"/>
          <w:u w:color="333333"/>
          <w:shd w:val="clear" w:color="auto" w:fill="fbfbfb"/>
          <w:rtl w:val="0"/>
          <w:lang w:val="en-US"/>
          <w14:textFill>
            <w14:solidFill>
              <w14:srgbClr w14:val="333333"/>
            </w14:solidFill>
          </w14:textFill>
        </w:rPr>
        <w:t xml:space="preserve">. Available at: </w:t>
      </w:r>
      <w:r>
        <w:rPr>
          <w:rStyle w:val="Hyperlink.0"/>
        </w:rPr>
        <w:fldChar w:fldCharType="begin" w:fldLock="0"/>
      </w:r>
      <w:r>
        <w:rPr>
          <w:rStyle w:val="Hyperlink.0"/>
        </w:rPr>
        <w:instrText xml:space="preserve"> HYPERLINK "https://assets.publishing.service.gov.uk/media/5a750cd2e5274a59fa717007/140423_M_SSC_Act_factsheet__web_version_.pdf"</w:instrText>
      </w:r>
      <w:r>
        <w:rPr>
          <w:rStyle w:val="Hyperlink.0"/>
        </w:rPr>
        <w:fldChar w:fldCharType="separate" w:fldLock="0"/>
      </w:r>
      <w:r>
        <w:rPr>
          <w:rStyle w:val="Hyperlink.0"/>
          <w:rtl w:val="0"/>
        </w:rPr>
        <w:t>https://assets.publishing.service.gov.uk/media/5a750cd2e5274a59fa717007/140423_M_SSC_Act_factsheet__web_version_.pdf</w:t>
      </w:r>
      <w:r>
        <w:rPr/>
        <w:fldChar w:fldCharType="end" w:fldLock="0"/>
      </w:r>
      <w:r>
        <w:rPr>
          <w:rStyle w:val="None"/>
          <w:outline w:val="0"/>
          <w:color w:val="333333"/>
          <w:sz w:val="18"/>
          <w:szCs w:val="18"/>
          <w:u w:color="333333"/>
          <w:shd w:val="clear" w:color="auto" w:fill="fbfbfb"/>
          <w:rtl w:val="0"/>
          <w:lang w:val="en-US"/>
          <w14:textFill>
            <w14:solidFill>
              <w14:srgbClr w14:val="333333"/>
            </w14:solidFill>
          </w14:textFill>
        </w:rPr>
        <w:t xml:space="preserve"> (Accessed: 29 November 2023).</w:t>
      </w:r>
    </w:p>
    <w:p>
      <w:pPr>
        <w:pStyle w:val="Body"/>
        <w:rPr>
          <w:rStyle w:val="None"/>
          <w:sz w:val="18"/>
          <w:szCs w:val="18"/>
        </w:rPr>
      </w:pPr>
    </w:p>
    <w:p>
      <w:pPr>
        <w:pStyle w:val="Body"/>
        <w:jc w:val="center"/>
        <w:rPr>
          <w:rStyle w:val="None"/>
          <w:sz w:val="18"/>
          <w:szCs w:val="18"/>
        </w:rPr>
      </w:pPr>
      <w:r>
        <w:rPr>
          <w:rStyle w:val="None"/>
          <w:sz w:val="18"/>
          <w:szCs w:val="18"/>
          <w:rtl w:val="0"/>
          <w:lang w:val="en-US"/>
        </w:rPr>
        <w:t>Legislation</w:t>
      </w:r>
    </w:p>
    <w:p>
      <w:pPr>
        <w:pStyle w:val="Body"/>
        <w:jc w:val="center"/>
        <w:rPr>
          <w:rStyle w:val="None"/>
          <w:sz w:val="18"/>
          <w:szCs w:val="18"/>
        </w:rPr>
      </w:pPr>
    </w:p>
    <w:p>
      <w:pPr>
        <w:pStyle w:val="Body"/>
        <w:rPr>
          <w:rStyle w:val="None"/>
          <w:sz w:val="18"/>
          <w:szCs w:val="18"/>
        </w:rPr>
      </w:pPr>
      <w:r>
        <w:rPr>
          <w:rStyle w:val="None"/>
          <w:i w:val="1"/>
          <w:iCs w:val="1"/>
          <w:sz w:val="18"/>
          <w:szCs w:val="18"/>
          <w:rtl w:val="0"/>
          <w:lang w:val="en-US"/>
        </w:rPr>
        <w:t xml:space="preserve">Civil Partnership Act 2004. </w:t>
      </w:r>
      <w:r>
        <w:rPr>
          <w:rStyle w:val="None"/>
          <w:sz w:val="18"/>
          <w:szCs w:val="18"/>
          <w:rtl w:val="0"/>
          <w:lang w:val="en-US"/>
        </w:rPr>
        <w:t xml:space="preserve">Available at: </w:t>
      </w:r>
      <w:r>
        <w:rPr>
          <w:rStyle w:val="Hyperlink.1"/>
        </w:rPr>
        <w:fldChar w:fldCharType="begin" w:fldLock="0"/>
      </w:r>
      <w:r>
        <w:rPr>
          <w:rStyle w:val="Hyperlink.1"/>
        </w:rPr>
        <w:instrText xml:space="preserve"> HYPERLINK "https://www.legislation.gov.uk/ukpga/2004/33/contents"</w:instrText>
      </w:r>
      <w:r>
        <w:rPr>
          <w:rStyle w:val="Hyperlink.1"/>
        </w:rPr>
        <w:fldChar w:fldCharType="separate" w:fldLock="0"/>
      </w:r>
      <w:r>
        <w:rPr>
          <w:rStyle w:val="Hyperlink.1"/>
          <w:rtl w:val="0"/>
        </w:rPr>
        <w:t>https://www.legislation.gov.uk/ukpga/2004/33/contents</w:t>
      </w:r>
      <w:r>
        <w:rPr/>
        <w:fldChar w:fldCharType="end" w:fldLock="0"/>
      </w:r>
      <w:r>
        <w:rPr>
          <w:rStyle w:val="None"/>
          <w:sz w:val="18"/>
          <w:szCs w:val="18"/>
          <w:rtl w:val="0"/>
          <w:lang w:val="en-US"/>
        </w:rPr>
        <w:t xml:space="preserve"> (Accessed: 29 November 2023)</w:t>
      </w:r>
    </w:p>
    <w:p>
      <w:pPr>
        <w:pStyle w:val="Body"/>
        <w:rPr>
          <w:rStyle w:val="None"/>
          <w:i w:val="1"/>
          <w:iCs w:val="1"/>
          <w:sz w:val="18"/>
          <w:szCs w:val="18"/>
        </w:rPr>
      </w:pPr>
    </w:p>
    <w:p>
      <w:pPr>
        <w:pStyle w:val="Body"/>
        <w:rPr>
          <w:rStyle w:val="None"/>
          <w:sz w:val="18"/>
          <w:szCs w:val="18"/>
        </w:rPr>
      </w:pPr>
      <w:r>
        <w:rPr>
          <w:rStyle w:val="None"/>
          <w:i w:val="1"/>
          <w:iCs w:val="1"/>
          <w:sz w:val="18"/>
          <w:szCs w:val="18"/>
          <w:rtl w:val="0"/>
          <w:lang w:val="en-US"/>
        </w:rPr>
        <w:t xml:space="preserve">Divorce, Dissolution and Separation Act 2020. </w:t>
      </w:r>
      <w:r>
        <w:rPr>
          <w:rStyle w:val="None"/>
          <w:sz w:val="18"/>
          <w:szCs w:val="18"/>
          <w:rtl w:val="0"/>
          <w:lang w:val="en-US"/>
        </w:rPr>
        <w:t xml:space="preserve">Available at: </w:t>
      </w:r>
      <w:r>
        <w:rPr>
          <w:rStyle w:val="Hyperlink.1"/>
        </w:rPr>
        <w:fldChar w:fldCharType="begin" w:fldLock="0"/>
      </w:r>
      <w:r>
        <w:rPr>
          <w:rStyle w:val="Hyperlink.1"/>
        </w:rPr>
        <w:instrText xml:space="preserve"> HYPERLINK "https://www.legislation.gov.uk/ukpga/2020/11"</w:instrText>
      </w:r>
      <w:r>
        <w:rPr>
          <w:rStyle w:val="Hyperlink.1"/>
        </w:rPr>
        <w:fldChar w:fldCharType="separate" w:fldLock="0"/>
      </w:r>
      <w:r>
        <w:rPr>
          <w:rStyle w:val="Hyperlink.1"/>
          <w:rtl w:val="0"/>
        </w:rPr>
        <w:t>https://www.legislation.gov.uk/ukpga/2020/11</w:t>
      </w:r>
      <w:r>
        <w:rPr/>
        <w:fldChar w:fldCharType="end" w:fldLock="0"/>
      </w:r>
      <w:r>
        <w:rPr>
          <w:rStyle w:val="None"/>
          <w:sz w:val="18"/>
          <w:szCs w:val="18"/>
          <w:rtl w:val="0"/>
          <w:lang w:val="en-US"/>
        </w:rPr>
        <w:t xml:space="preserve"> (Accessed: 29 November 2023)</w:t>
      </w:r>
    </w:p>
    <w:p>
      <w:pPr>
        <w:pStyle w:val="Body"/>
        <w:rPr>
          <w:rStyle w:val="None"/>
          <w:sz w:val="18"/>
          <w:szCs w:val="18"/>
        </w:rPr>
      </w:pPr>
    </w:p>
    <w:p>
      <w:pPr>
        <w:pStyle w:val="Body"/>
        <w:rPr>
          <w:rStyle w:val="None"/>
          <w:sz w:val="18"/>
          <w:szCs w:val="18"/>
        </w:rPr>
      </w:pPr>
      <w:r>
        <w:rPr>
          <w:rStyle w:val="None"/>
          <w:i w:val="1"/>
          <w:iCs w:val="1"/>
          <w:sz w:val="18"/>
          <w:szCs w:val="18"/>
          <w:rtl w:val="0"/>
          <w:lang w:val="en-US"/>
        </w:rPr>
        <w:t xml:space="preserve">Human Fertilisation and Embryology Act 2008. </w:t>
      </w:r>
      <w:r>
        <w:rPr>
          <w:rStyle w:val="None"/>
          <w:sz w:val="18"/>
          <w:szCs w:val="18"/>
          <w:rtl w:val="0"/>
          <w:lang w:val="en-US"/>
        </w:rPr>
        <w:t xml:space="preserve">Available at: </w:t>
      </w:r>
      <w:r>
        <w:rPr>
          <w:rStyle w:val="Hyperlink.1"/>
        </w:rPr>
        <w:fldChar w:fldCharType="begin" w:fldLock="0"/>
      </w:r>
      <w:r>
        <w:rPr>
          <w:rStyle w:val="Hyperlink.1"/>
        </w:rPr>
        <w:instrText xml:space="preserve"> HYPERLINK "https://www.legislation.gov.uk/ukpga/2008/22/contents"</w:instrText>
      </w:r>
      <w:r>
        <w:rPr>
          <w:rStyle w:val="Hyperlink.1"/>
        </w:rPr>
        <w:fldChar w:fldCharType="separate" w:fldLock="0"/>
      </w:r>
      <w:r>
        <w:rPr>
          <w:rStyle w:val="Hyperlink.1"/>
          <w:rtl w:val="0"/>
        </w:rPr>
        <w:t>https://www.legislation.gov.uk/ukpga/2008/22/contents</w:t>
      </w:r>
      <w:r>
        <w:rPr/>
        <w:fldChar w:fldCharType="end" w:fldLock="0"/>
      </w:r>
      <w:r>
        <w:rPr>
          <w:rStyle w:val="None"/>
          <w:sz w:val="18"/>
          <w:szCs w:val="18"/>
          <w:rtl w:val="0"/>
          <w:lang w:val="en-US"/>
        </w:rPr>
        <w:t xml:space="preserve"> (Accessed: 29 November 2023)</w:t>
      </w:r>
    </w:p>
    <w:p>
      <w:pPr>
        <w:pStyle w:val="Body"/>
        <w:rPr>
          <w:rStyle w:val="None"/>
          <w:sz w:val="18"/>
          <w:szCs w:val="18"/>
        </w:rPr>
      </w:pPr>
    </w:p>
    <w:p>
      <w:pPr>
        <w:pStyle w:val="Body"/>
        <w:rPr>
          <w:rStyle w:val="None"/>
          <w:sz w:val="18"/>
          <w:szCs w:val="18"/>
        </w:rPr>
      </w:pPr>
      <w:r>
        <w:rPr>
          <w:rStyle w:val="None"/>
          <w:i w:val="1"/>
          <w:iCs w:val="1"/>
          <w:sz w:val="18"/>
          <w:szCs w:val="18"/>
          <w:rtl w:val="0"/>
          <w:lang w:val="es-ES_tradnl"/>
        </w:rPr>
        <w:t xml:space="preserve">Matrimonial Causes Act 1973. </w:t>
      </w:r>
      <w:r>
        <w:rPr>
          <w:rStyle w:val="None"/>
          <w:sz w:val="18"/>
          <w:szCs w:val="18"/>
          <w:rtl w:val="0"/>
          <w:lang w:val="en-US"/>
        </w:rPr>
        <w:t xml:space="preserve">Available at: </w:t>
      </w:r>
      <w:r>
        <w:rPr>
          <w:rStyle w:val="Hyperlink.1"/>
        </w:rPr>
        <w:fldChar w:fldCharType="begin" w:fldLock="0"/>
      </w:r>
      <w:r>
        <w:rPr>
          <w:rStyle w:val="Hyperlink.1"/>
        </w:rPr>
        <w:instrText xml:space="preserve"> HYPERLINK "https://www.legislation.gov.uk/ukpga/1973/18"</w:instrText>
      </w:r>
      <w:r>
        <w:rPr>
          <w:rStyle w:val="Hyperlink.1"/>
        </w:rPr>
        <w:fldChar w:fldCharType="separate" w:fldLock="0"/>
      </w:r>
      <w:r>
        <w:rPr>
          <w:rStyle w:val="Hyperlink.1"/>
          <w:rtl w:val="0"/>
        </w:rPr>
        <w:t>https://www.legislation.gov.uk/ukpga/1973/18</w:t>
      </w:r>
      <w:r>
        <w:rPr/>
        <w:fldChar w:fldCharType="end" w:fldLock="0"/>
      </w:r>
      <w:r>
        <w:rPr>
          <w:rStyle w:val="None"/>
          <w:sz w:val="18"/>
          <w:szCs w:val="18"/>
          <w:rtl w:val="0"/>
          <w:lang w:val="en-US"/>
        </w:rPr>
        <w:t xml:space="preserve"> (Accessed 29 November 2023) </w:t>
      </w:r>
    </w:p>
    <w:p>
      <w:pPr>
        <w:pStyle w:val="Body"/>
        <w:rPr>
          <w:rStyle w:val="None"/>
          <w:sz w:val="18"/>
          <w:szCs w:val="18"/>
        </w:rPr>
      </w:pPr>
    </w:p>
    <w:p>
      <w:pPr>
        <w:pStyle w:val="Body"/>
        <w:rPr>
          <w:rStyle w:val="None"/>
          <w:sz w:val="18"/>
          <w:szCs w:val="18"/>
        </w:rPr>
      </w:pPr>
    </w:p>
    <w:p>
      <w:pPr>
        <w:pStyle w:val="Body"/>
        <w:rPr>
          <w:rStyle w:val="None"/>
          <w:sz w:val="18"/>
          <w:szCs w:val="18"/>
        </w:rPr>
      </w:pPr>
    </w:p>
    <w:p>
      <w:pPr>
        <w:pStyle w:val="Body"/>
      </w:pPr>
      <w:r>
        <w:rPr>
          <w:rStyle w:val="None"/>
          <w:sz w:val="18"/>
          <w:szCs w:val="18"/>
        </w:rPr>
      </w:r>
    </w:p>
    <w:sectPr>
      <w:headerReference w:type="default" r:id="rId4"/>
      <w:footerReference w:type="default" r:id="rId5"/>
      <w:pgSz w:w="12240" w:h="15840" w:orient="portrait"/>
      <w:pgMar w:top="1440" w:right="1440" w:bottom="1440" w:left="1440" w:header="720" w:footer="720"/>
      <w:pgNumType w:start="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76"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Outline>
        <w14:noFill/>
      </w14:textOutline>
      <w14:textFill>
        <w14:solidFill>
          <w14:srgbClr w14:val="000000"/>
        </w14:solidFill>
      </w14:textFill>
    </w:rPr>
  </w:style>
  <w:style w:type="character" w:styleId="None">
    <w:name w:val="None"/>
  </w:style>
  <w:style w:type="character" w:styleId="Hyperlink.0">
    <w:name w:val="Hyperlink.0"/>
    <w:basedOn w:val="None"/>
    <w:next w:val="Hyperlink.0"/>
    <w:rPr>
      <w:outline w:val="0"/>
      <w:color w:val="1155cc"/>
      <w:sz w:val="18"/>
      <w:szCs w:val="18"/>
      <w:u w:val="single" w:color="1155cc"/>
      <w:shd w:val="clear" w:color="auto" w:fill="fbfbfb"/>
      <w14:textFill>
        <w14:solidFill>
          <w14:srgbClr w14:val="1155CC"/>
        </w14:solidFill>
      </w14:textFill>
    </w:rPr>
  </w:style>
  <w:style w:type="character" w:styleId="Hyperlink.1">
    <w:name w:val="Hyperlink.1"/>
    <w:basedOn w:val="None"/>
    <w:next w:val="Hyperlink.1"/>
    <w:rPr>
      <w:outline w:val="0"/>
      <w:color w:val="1155cc"/>
      <w:sz w:val="18"/>
      <w:szCs w:val="18"/>
      <w:u w:val="single" w:color="1155cc"/>
      <w14:textFill>
        <w14:solidFill>
          <w14:srgbClr w14:val="1155CC"/>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