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E618EC">
      <w:pPr>
        <w:pStyle w:val="39"/>
        <w:spacing w:line="360" w:lineRule="auto"/>
        <w:rPr>
          <w:rFonts w:hint="default" w:ascii="Times New Roman" w:hAnsi="Times New Roman" w:cs="Times New Roman"/>
        </w:rPr>
      </w:pPr>
      <w:r>
        <w:rPr>
          <w:rFonts w:hint="default" w:ascii="Times New Roman" w:hAnsi="Times New Roman" w:cs="Times New Roman"/>
          <w:sz w:val="22"/>
          <w:szCs w:val="22"/>
        </w:rPr>
        <w:drawing>
          <wp:inline distT="0" distB="0" distL="0" distR="0">
            <wp:extent cx="2705735" cy="1550670"/>
            <wp:effectExtent l="0" t="0" r="0" b="0"/>
            <wp:docPr id="2125467494" name="Picture 1" descr="A white background with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2125467494" name="Picture 1" descr="A white background with black text&#10;&#10;Description automatically generated"/>
                    <pic:cNvPicPr/>
                  </pic:nvPicPr>
                  <pic:blipFill>
                    <a:blip r:embed="rId8"/>
                    <a:srcRect l="5440" t="3040" r="52960" b="73120"/>
                    <a:stretch>
                      <a:fillRect/>
                    </a:stretch>
                  </pic:blipFill>
                  <pic:spPr>
                    <a:xfrm>
                      <a:off x="0" y="0"/>
                      <a:ext cx="2706340" cy="1550941"/>
                    </a:xfrm>
                    <a:prstGeom prst="rect">
                      <a:avLst/>
                    </a:prstGeom>
                    <a:noFill/>
                    <a:ln>
                      <a:noFill/>
                      <a:prstDash val="solid"/>
                    </a:ln>
                  </pic:spPr>
                </pic:pic>
              </a:graphicData>
            </a:graphic>
          </wp:inline>
        </w:drawing>
      </w:r>
    </w:p>
    <w:p w14:paraId="50E618ED">
      <w:pPr>
        <w:pStyle w:val="39"/>
        <w:spacing w:line="360" w:lineRule="auto"/>
        <w:rPr>
          <w:rFonts w:hint="default" w:ascii="Times New Roman" w:hAnsi="Times New Roman" w:cs="Times New Roman"/>
        </w:rPr>
      </w:pPr>
    </w:p>
    <w:p w14:paraId="50E618EE">
      <w:pPr>
        <w:pStyle w:val="39"/>
        <w:spacing w:line="360" w:lineRule="auto"/>
        <w:rPr>
          <w:rFonts w:hint="default" w:ascii="Times New Roman" w:hAnsi="Times New Roman" w:cs="Times New Roman"/>
        </w:rPr>
      </w:pPr>
    </w:p>
    <w:p w14:paraId="50E618EF">
      <w:pPr>
        <w:pStyle w:val="39"/>
        <w:spacing w:line="360" w:lineRule="auto"/>
        <w:rPr>
          <w:rFonts w:hint="default" w:ascii="Times New Roman" w:hAnsi="Times New Roman" w:cs="Times New Roman"/>
        </w:rPr>
      </w:pPr>
    </w:p>
    <w:p w14:paraId="50E618F0">
      <w:pPr>
        <w:pStyle w:val="39"/>
        <w:spacing w:line="360" w:lineRule="auto"/>
        <w:rPr>
          <w:rFonts w:hint="default" w:ascii="Times New Roman" w:hAnsi="Times New Roman" w:cs="Times New Roman"/>
          <w:sz w:val="28"/>
          <w:szCs w:val="28"/>
        </w:rPr>
      </w:pPr>
      <w:r>
        <w:rPr>
          <w:rStyle w:val="40"/>
          <w:rFonts w:hint="default" w:ascii="Times New Roman" w:hAnsi="Times New Roman" w:cs="Times New Roman"/>
          <w:b/>
          <w:bCs/>
          <w:color w:val="000000"/>
          <w:sz w:val="28"/>
          <w:szCs w:val="28"/>
        </w:rPr>
        <w:t>Student name: Katarina Dydnanska</w:t>
      </w:r>
    </w:p>
    <w:p w14:paraId="50E618F1">
      <w:pPr>
        <w:pStyle w:val="39"/>
        <w:spacing w:line="360" w:lineRule="auto"/>
        <w:rPr>
          <w:rFonts w:hint="default" w:ascii="Times New Roman" w:hAnsi="Times New Roman" w:cs="Times New Roman"/>
          <w:sz w:val="28"/>
          <w:szCs w:val="28"/>
        </w:rPr>
      </w:pPr>
      <w:r>
        <w:rPr>
          <w:rStyle w:val="40"/>
          <w:rFonts w:hint="default" w:ascii="Times New Roman" w:hAnsi="Times New Roman" w:cs="Times New Roman"/>
          <w:b/>
          <w:bCs/>
          <w:color w:val="000000"/>
          <w:sz w:val="28"/>
          <w:szCs w:val="28"/>
        </w:rPr>
        <w:t>Student ID: 2247512</w:t>
      </w:r>
    </w:p>
    <w:p w14:paraId="50E618F2">
      <w:pPr>
        <w:pStyle w:val="39"/>
        <w:spacing w:line="360" w:lineRule="auto"/>
        <w:rPr>
          <w:rFonts w:hint="default" w:ascii="Times New Roman" w:hAnsi="Times New Roman" w:cs="Times New Roman"/>
          <w:b/>
          <w:bCs/>
          <w:sz w:val="28"/>
          <w:szCs w:val="28"/>
        </w:rPr>
      </w:pPr>
      <w:r>
        <w:rPr>
          <w:rStyle w:val="40"/>
          <w:rFonts w:hint="default" w:ascii="Times New Roman" w:hAnsi="Times New Roman" w:cs="Times New Roman"/>
          <w:b/>
          <w:bCs/>
          <w:color w:val="000000"/>
          <w:sz w:val="28"/>
          <w:szCs w:val="28"/>
        </w:rPr>
        <w:t>Module code:</w:t>
      </w:r>
      <w:r>
        <w:rPr>
          <w:rStyle w:val="40"/>
          <w:rFonts w:hint="default" w:ascii="Times New Roman" w:hAnsi="Times New Roman" w:cs="Times New Roman"/>
          <w:b/>
          <w:bCs/>
          <w:color w:val="000000"/>
          <w:sz w:val="28"/>
          <w:szCs w:val="28"/>
        </w:rPr>
        <w:t xml:space="preserve"> </w:t>
      </w:r>
      <w:r>
        <w:rPr>
          <w:rFonts w:hint="default" w:ascii="Times New Roman" w:hAnsi="Times New Roman" w:eastAsia="SimSun" w:cs="Times New Roman"/>
          <w:b/>
          <w:bCs/>
          <w:sz w:val="28"/>
          <w:szCs w:val="28"/>
        </w:rPr>
        <w:t>LCBB6006</w:t>
      </w:r>
    </w:p>
    <w:p w14:paraId="50E618F5">
      <w:pPr>
        <w:pStyle w:val="39"/>
        <w:spacing w:line="360" w:lineRule="auto"/>
        <w:rPr>
          <w:rFonts w:hint="default" w:ascii="Times New Roman" w:hAnsi="Times New Roman" w:cs="Times New Roman"/>
          <w:color w:val="000000"/>
          <w:sz w:val="28"/>
          <w:szCs w:val="28"/>
          <w:lang w:val="en-GB"/>
        </w:rPr>
      </w:pPr>
      <w:r>
        <w:rPr>
          <w:rStyle w:val="40"/>
          <w:rFonts w:hint="default" w:ascii="Times New Roman" w:hAnsi="Times New Roman" w:cs="Times New Roman"/>
          <w:b/>
          <w:bCs/>
          <w:color w:val="000000"/>
          <w:sz w:val="28"/>
          <w:szCs w:val="28"/>
        </w:rPr>
        <w:t>Module name</w:t>
      </w:r>
      <w:r>
        <w:rPr>
          <w:rStyle w:val="40"/>
          <w:rFonts w:hint="default" w:ascii="Times New Roman" w:hAnsi="Times New Roman" w:cs="Times New Roman"/>
          <w:b/>
          <w:bCs/>
          <w:color w:val="000000"/>
          <w:sz w:val="28"/>
          <w:szCs w:val="28"/>
        </w:rPr>
        <w:t>:</w:t>
      </w:r>
      <w:r>
        <w:rPr>
          <w:rStyle w:val="40"/>
          <w:rFonts w:hint="default" w:ascii="Times New Roman" w:hAnsi="Times New Roman" w:cs="Times New Roman"/>
          <w:b/>
          <w:bCs/>
          <w:color w:val="000000"/>
          <w:sz w:val="28"/>
          <w:szCs w:val="28"/>
          <w:lang w:val="en-GB"/>
        </w:rPr>
        <w:t xml:space="preserve"> </w:t>
      </w:r>
      <w:r>
        <w:rPr>
          <w:rFonts w:hint="default" w:ascii="Times New Roman" w:hAnsi="Times New Roman" w:eastAsia="SimSun" w:cs="Times New Roman"/>
          <w:b/>
          <w:bCs/>
          <w:sz w:val="28"/>
          <w:szCs w:val="28"/>
        </w:rPr>
        <w:t>Project Management</w:t>
      </w:r>
    </w:p>
    <w:p w14:paraId="50E618F6">
      <w:pPr>
        <w:rPr>
          <w:rFonts w:hint="default" w:ascii="Times New Roman" w:hAnsi="Times New Roman" w:cs="Times New Roman"/>
          <w:b/>
          <w:bCs/>
          <w:color w:val="000000"/>
        </w:rPr>
      </w:pPr>
    </w:p>
    <w:p w14:paraId="50E618F7">
      <w:pPr>
        <w:rPr>
          <w:rFonts w:hint="default" w:ascii="Times New Roman" w:hAnsi="Times New Roman" w:cs="Times New Roman"/>
          <w:b/>
          <w:bCs/>
          <w:color w:val="000000"/>
        </w:rPr>
      </w:pPr>
    </w:p>
    <w:p w14:paraId="50E618F8">
      <w:pPr>
        <w:rPr>
          <w:rFonts w:hint="default" w:ascii="Times New Roman" w:hAnsi="Times New Roman" w:cs="Times New Roman"/>
          <w:b/>
          <w:bCs/>
          <w:color w:val="000000"/>
        </w:rPr>
      </w:pPr>
    </w:p>
    <w:p w14:paraId="50E618F9">
      <w:pPr>
        <w:rPr>
          <w:rFonts w:hint="default" w:ascii="Times New Roman" w:hAnsi="Times New Roman" w:cs="Times New Roman"/>
          <w:b/>
          <w:bCs/>
          <w:color w:val="000000"/>
        </w:rPr>
      </w:pPr>
    </w:p>
    <w:p w14:paraId="50E618FA">
      <w:pPr>
        <w:rPr>
          <w:rFonts w:hint="default" w:ascii="Times New Roman" w:hAnsi="Times New Roman" w:cs="Times New Roman"/>
          <w:b/>
          <w:bCs/>
          <w:color w:val="000000"/>
        </w:rPr>
      </w:pPr>
    </w:p>
    <w:p w14:paraId="50E618FB">
      <w:pPr>
        <w:rPr>
          <w:rFonts w:hint="default" w:ascii="Times New Roman" w:hAnsi="Times New Roman" w:cs="Times New Roman"/>
          <w:b/>
          <w:bCs/>
          <w:color w:val="000000"/>
        </w:rPr>
      </w:pPr>
    </w:p>
    <w:p w14:paraId="50E618FC">
      <w:pPr>
        <w:rPr>
          <w:rFonts w:hint="default" w:ascii="Times New Roman" w:hAnsi="Times New Roman" w:cs="Times New Roman"/>
          <w:b/>
          <w:bCs/>
          <w:color w:val="000000"/>
        </w:rPr>
      </w:pPr>
    </w:p>
    <w:p w14:paraId="50E618FD">
      <w:pPr>
        <w:rPr>
          <w:rFonts w:hint="default" w:ascii="Times New Roman" w:hAnsi="Times New Roman" w:cs="Times New Roman"/>
          <w:b/>
          <w:bCs/>
          <w:color w:val="000000"/>
        </w:rPr>
      </w:pPr>
    </w:p>
    <w:p w14:paraId="50E618FE">
      <w:pPr>
        <w:rPr>
          <w:rFonts w:hint="default" w:ascii="Times New Roman" w:hAnsi="Times New Roman" w:cs="Times New Roman"/>
          <w:b/>
          <w:bCs/>
          <w:color w:val="000000"/>
        </w:rPr>
      </w:pPr>
    </w:p>
    <w:p w14:paraId="50E618FF">
      <w:pPr>
        <w:rPr>
          <w:rFonts w:hint="default" w:ascii="Times New Roman" w:hAnsi="Times New Roman" w:cs="Times New Roman"/>
          <w:b/>
          <w:bCs/>
          <w:color w:val="000000"/>
        </w:rPr>
      </w:pPr>
    </w:p>
    <w:p w14:paraId="50E61900">
      <w:pPr>
        <w:rPr>
          <w:rFonts w:hint="default" w:ascii="Times New Roman" w:hAnsi="Times New Roman" w:cs="Times New Roman"/>
          <w:b/>
          <w:bCs/>
          <w:color w:val="000000"/>
        </w:rPr>
      </w:pPr>
    </w:p>
    <w:p w14:paraId="5B86C998">
      <w:pPr>
        <w:rPr>
          <w:rFonts w:hint="default" w:ascii="Times New Roman" w:hAnsi="Times New Roman" w:cs="Times New Roman"/>
          <w:b/>
          <w:bCs/>
          <w:color w:val="000000"/>
        </w:rPr>
      </w:pPr>
    </w:p>
    <w:p w14:paraId="0424C229">
      <w:pPr>
        <w:rPr>
          <w:rFonts w:hint="default" w:ascii="Times New Roman" w:hAnsi="Times New Roman" w:cs="Times New Roman"/>
          <w:b/>
          <w:bCs/>
          <w:sz w:val="22"/>
          <w:szCs w:val="22"/>
        </w:rPr>
      </w:pPr>
    </w:p>
    <w:p w14:paraId="04301F71">
      <w:pPr>
        <w:rPr>
          <w:rFonts w:hint="default" w:ascii="Times New Roman" w:hAnsi="Times New Roman" w:cs="Times New Roman"/>
          <w:b/>
          <w:bCs/>
          <w:i/>
          <w:iCs/>
        </w:rPr>
      </w:pPr>
    </w:p>
    <w:p w14:paraId="2E65FB2D">
      <w:pPr>
        <w:rPr>
          <w:rFonts w:hint="default" w:ascii="Times New Roman" w:hAnsi="Times New Roman" w:cs="Times New Roman"/>
          <w:b/>
          <w:bCs/>
          <w:i/>
          <w:iCs/>
        </w:rPr>
      </w:pPr>
    </w:p>
    <w:p w14:paraId="3100DBDC">
      <w:pPr>
        <w:pStyle w:val="2"/>
        <w:keepNext w:val="0"/>
        <w:keepLines w:val="0"/>
        <w:widowControl/>
        <w:suppressLineNumbers w:val="0"/>
        <w:rPr>
          <w:rFonts w:hint="default" w:ascii="Times New Roman" w:hAnsi="Times New Roman" w:cs="Times New Roman"/>
        </w:rPr>
      </w:pPr>
      <w:r>
        <w:rPr>
          <w:rFonts w:hint="default" w:ascii="Times New Roman" w:hAnsi="Times New Roman" w:cs="Times New Roman"/>
          <w:sz w:val="28"/>
          <w:szCs w:val="28"/>
        </w:rPr>
        <w:t>Application and Evaluation of Four Contracting Methods for Designing and Constructing a New Community Centre</w:t>
      </w:r>
    </w:p>
    <w:p w14:paraId="4606F83A">
      <w:pPr>
        <w:pStyle w:val="3"/>
        <w:keepNext w:val="0"/>
        <w:keepLines w:val="0"/>
        <w:widowControl/>
        <w:suppressLineNumbers w:val="0"/>
        <w:rPr>
          <w:rFonts w:hint="default" w:ascii="Times New Roman" w:hAnsi="Times New Roman" w:cs="Times New Roman"/>
        </w:rPr>
      </w:pPr>
      <w:r>
        <w:rPr>
          <w:rFonts w:hint="default" w:ascii="Times New Roman" w:hAnsi="Times New Roman" w:cs="Times New Roman"/>
          <w:sz w:val="24"/>
          <w:szCs w:val="24"/>
        </w:rPr>
        <w:t>1. Introduction/Background</w:t>
      </w:r>
    </w:p>
    <w:p w14:paraId="5470F77D">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Project management encompasses the systematic application of knowledge, skills, tools, and techniques to project activities in order to fulfil specific requirements and achieve established objectives (Project Management Institute, 2021). This discipline entails planning, organising, coordinating and controlling resources while adhering to constraints related to time, cost, scope and quality. A crucial element of project management is contracting, which delineates responsibilities, decision-making authority, risk distribution and relationships among project stakeholders. Projects may outsource certain activities to obtain specialised expertise, enhance capacity, pursue competitive procurement, or transfer selected risks and responsibilities to external entities (Project Management Institute, 2021). The selection of an appropriate contracting approach is influenced by factors such as project complexity, client expertise, desired level of control and risk tolerance.</w:t>
      </w:r>
    </w:p>
    <w:p w14:paraId="3D4AF5DC">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The envisioned community centre requires architectural design, mechanical, electrical and plumbing (MEP) systems, interior finishing and landscaping. Community involvement may further influence the design and operational aspects of the centre. Consequently, selecting an appropriate contracting method is critical because it affects accountability, coordination, adaptability, financial considerations and project delivery (Project Management Institute, 2021).</w:t>
      </w:r>
    </w:p>
    <w:p w14:paraId="4F8AE528">
      <w:pPr>
        <w:pStyle w:val="17"/>
        <w:keepNext w:val="0"/>
        <w:keepLines w:val="0"/>
        <w:widowControl/>
        <w:suppressLineNumbers w:val="0"/>
        <w:rPr>
          <w:rFonts w:hint="default" w:ascii="Times New Roman" w:hAnsi="Times New Roman" w:cs="Times New Roman"/>
        </w:rPr>
      </w:pPr>
      <w:r>
        <w:rPr>
          <w:rFonts w:hint="default" w:ascii="Times New Roman" w:hAnsi="Times New Roman" w:cs="Times New Roman"/>
        </w:rPr>
        <w:t>The objective of this essay is to explain and evaluate four contracting methodologies: turnkey contracting, multicontracting, do-it-yourself (DIY), and a combination of multicontracting and DIY. The analysis considers the advantages and disadvantages of each method, their suitability for different project types, and their application to the proposed community centre.</w:t>
      </w:r>
    </w:p>
    <w:p w14:paraId="520219B7">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 Turnkey Contracting</w:t>
      </w:r>
    </w:p>
    <w:p w14:paraId="4F837CCC">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Turnkey contracting involves a single primary contract in which a contractor assumes responsibility for design, construction and, where necessary, testing and commissioning. This arrangement provides a unified accountability framework and transfers significant delivery responsibilities from the client to the contractor (UNIDO, 2018).</w:t>
      </w:r>
    </w:p>
    <w:p w14:paraId="3AE53004">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2.1. Definition</w:t>
      </w:r>
    </w:p>
    <w:p w14:paraId="15D13290">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In a turnkey arrangement, the contractor oversees the principal design and construction processes and provides a completed facility that meets the client's specified requirements. The integration of design and construction under one organisation can reduce contractual interfaces and simplify communication between the client and project delivery team (AIA and AGC, 2023).</w:t>
      </w:r>
    </w:p>
    <w:p w14:paraId="61D099D4">
      <w:pPr>
        <w:pStyle w:val="4"/>
        <w:keepNext w:val="0"/>
        <w:keepLines w:val="0"/>
        <w:widowControl/>
        <w:suppressLineNumbers w:val="0"/>
        <w:rPr>
          <w:rFonts w:hint="default" w:ascii="Times New Roman" w:hAnsi="Times New Roman" w:cs="Times New Roman"/>
          <w:sz w:val="24"/>
          <w:szCs w:val="24"/>
        </w:rPr>
      </w:pPr>
    </w:p>
    <w:p w14:paraId="6534675D">
      <w:pPr>
        <w:pStyle w:val="4"/>
        <w:keepNext w:val="0"/>
        <w:keepLines w:val="0"/>
        <w:widowControl/>
        <w:suppressLineNumbers w:val="0"/>
        <w:rPr>
          <w:rFonts w:hint="default" w:ascii="Times New Roman" w:hAnsi="Times New Roman" w:cs="Times New Roman"/>
          <w:sz w:val="24"/>
          <w:szCs w:val="24"/>
        </w:rPr>
      </w:pPr>
    </w:p>
    <w:p w14:paraId="39B36CFE">
      <w:pPr>
        <w:pStyle w:val="4"/>
        <w:keepNext w:val="0"/>
        <w:keepLines w:val="0"/>
        <w:widowControl/>
        <w:suppressLineNumbers w:val="0"/>
        <w:rPr>
          <w:rFonts w:hint="default" w:ascii="Times New Roman" w:hAnsi="Times New Roman" w:cs="Times New Roman"/>
          <w:sz w:val="24"/>
          <w:szCs w:val="24"/>
        </w:rPr>
      </w:pPr>
    </w:p>
    <w:p w14:paraId="36F459E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2.2. Advantages</w:t>
      </w:r>
    </w:p>
    <w:p w14:paraId="10F4F4E5">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primary benefit of turnkey contracting is its simplicity. Combining design and construction under a single responsibility can reduce the management burden on the client and improve coordination between project activities. A unified contract also provides clearer accountability and enables greater transfer of delivery risk to the contractor (UNIDO, 2018). Where the scope and performance requirements are clearly defined, turnkey delivery can support reliable scheduling and efficient implementation.</w:t>
      </w:r>
    </w:p>
    <w:p w14:paraId="3E795616">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turnkey model is particularly advantageous for projects with stable requirements and a well-defined scope, where the client prefers to delegate substantial delivery responsibilities to an experienced contractor (NSW Government, 2008). In the context of the community centre, this approach may facilitate governance and reduce the client's direct involvement in construction management.</w:t>
      </w:r>
    </w:p>
    <w:p w14:paraId="3939156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2.3. Disadvantages</w:t>
      </w:r>
    </w:p>
    <w:p w14:paraId="2FE03913">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Nonetheless, turnkey contracting can diminish the client's direct oversight of design and construction decisions. Changes introduced after contract award may be more complex or expensive, making the client dependent on the contractor's technical expertise and interpretation of the requirements (NSW Government, 2008). This can be problematic for a community centre where stakeholder preferences and user requirements may develop throughout the project.</w:t>
      </w:r>
    </w:p>
    <w:p w14:paraId="358518B0">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2.4. Suitability for the Community Centre Project</w:t>
      </w:r>
    </w:p>
    <w:p w14:paraId="2AD0A50D">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turnkey approach may be appropriate if the scope, design and performance requirements of the community centre are clearly established before procurement. A single point of responsibility would facilitate coordination and accountability. However, the project's stakeholder involvement and range of specialised requirements create a need for flexibility and active client engagement. Consequently, turnkey is feasible but may offer less adaptability than alternative approaches.</w:t>
      </w:r>
    </w:p>
    <w:p w14:paraId="6B74CB9E">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3. Multicontracting</w:t>
      </w:r>
    </w:p>
    <w:p w14:paraId="5567BBEC">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Multicontracting involves dividing a project into distinct work packages that are awarded to different contractors or specialists through separate contracts. The client, or an appointed coordinator, must effectively manage the interfaces between these contracts (NSW Government, 2008).</w:t>
      </w:r>
    </w:p>
    <w:p w14:paraId="7788ACF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3.1. Definition</w:t>
      </w:r>
    </w:p>
    <w:p w14:paraId="1CFAACAB">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Under multicontracting, separate contractors can be appointed for components such as construction, MEP systems, roofing, interior installations or landscaping. This enables the client to select contractors according to the requirements of individual work packages rather than relying on one organisation for the entire project. Multiple-contract arrangements can be particularly useful where different elements of a project require different types of specialist contractors (NSW Government, 2008).</w:t>
      </w:r>
    </w:p>
    <w:p w14:paraId="5AFF503D">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3.2. Advantages</w:t>
      </w:r>
    </w:p>
    <w:p w14:paraId="371F574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 significant benefit is access to specialised expertise. Contractors can be selected according to their technical capabilities, potentially improving the quality of complex project components. Competitive procurement can also support value for money and provide flexibility in contractor selection (NSW Government, 2008). Multicontracting may therefore be appropriate for large or technically demanding projects involving different specialist requirements.</w:t>
      </w:r>
    </w:p>
    <w:p w14:paraId="6BD323C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3.3. Disadvantages</w:t>
      </w:r>
    </w:p>
    <w:p w14:paraId="7B318497">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primary drawback is the increased need for coordination. Multiple contracts create additional interfaces, which can result in delays, disputes or uncertainty concerning responsibility for modifications, defects and sequencing. The client also faces a greater management burden and may require external project management assistance. Under multiple-contract arrangements, the client generally retains greater responsibility for coordinating contractors and managing interface risks (NSW Government, 2008).</w:t>
      </w:r>
    </w:p>
    <w:p w14:paraId="5D1025CF">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If coordination is inadequate, individual contractors may develop technically effective solutions that are poorly integrated with the overall project. Therefore, the benefits of specialist expertise depend on effective governance and project coordination.</w:t>
      </w:r>
    </w:p>
    <w:p w14:paraId="536F0947">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3.4. Suitability for the Community Centre Project</w:t>
      </w:r>
    </w:p>
    <w:p w14:paraId="5E2260D1">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Multicontracting may be advantageous because the community centre contains several specialised elements, particularly MEP systems, construction and landscaping. Separate procurement could provide access to appropriate specialists and allow the client to select contractors for specific work packages. However, effective project management would be required to integrate these packages and prevent interface problems. The method is therefore more suitable where the client possesses adequate management expertise or can obtain professional project management support.</w:t>
      </w:r>
    </w:p>
    <w:p w14:paraId="44850B72">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4. Do-it-yourself Contracting</w:t>
      </w:r>
    </w:p>
    <w:p w14:paraId="387BE3AA">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Do-it-yourself (DIY) contracting enables the client to assume direct responsibility for procurement, design coordination and construction management. Instead of appointing a principal contractor to manage the entire project, the client can directly appoint subcontractors or use internal resources.</w:t>
      </w:r>
    </w:p>
    <w:p w14:paraId="51BCF982">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4.1. Definition</w:t>
      </w:r>
    </w:p>
    <w:p w14:paraId="71033C37">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client is responsible for organising and managing project activities and may issue tenders, appoint subcontractors, coordinate suppliers and undertake selected activities internally. This approach provides considerable control but requires appropriate technical, procurement and project management competencies. In an owner-builder or self-managed arrangement, the client effectively assumes responsibilities normally undertaken by a general contractor (IJERT, 2022).</w:t>
      </w:r>
    </w:p>
    <w:p w14:paraId="17C5A10B">
      <w:pPr>
        <w:pStyle w:val="4"/>
        <w:keepNext w:val="0"/>
        <w:keepLines w:val="0"/>
        <w:widowControl/>
        <w:suppressLineNumbers w:val="0"/>
        <w:rPr>
          <w:rFonts w:hint="default" w:ascii="Times New Roman" w:hAnsi="Times New Roman" w:cs="Times New Roman"/>
          <w:sz w:val="24"/>
          <w:szCs w:val="24"/>
        </w:rPr>
      </w:pPr>
    </w:p>
    <w:p w14:paraId="012C50C9">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4.2. Advantages</w:t>
      </w:r>
    </w:p>
    <w:p w14:paraId="345ECEEB">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primary benefit of DIY contracting is the level of control provided to the client. The client can select contractors directly, make decisions without relying on a principal contractor and respond more quickly to stakeholder requirements. Direct procurement may also create opportunities for cost savings. DIY can therefore be suitable for projects where the client possesses sufficient internal expertise, time and resources to manage delivery effectively (Federation of Master Builders, 2021).</w:t>
      </w:r>
    </w:p>
    <w:p w14:paraId="2B3585D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4.3. Disadvantages</w:t>
      </w:r>
    </w:p>
    <w:p w14:paraId="78E48101">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primary disadvantage is the increased responsibility placed on the client. Procurement, scheduling, quality, contractor coordination and risk management must all be managed directly. This is particularly challenging where technically complex systems such as MEP installations are involved. Delays in one work package can also affect subsequent activities, increasing schedule and cost risks. Self-managed construction therefore requires considerable organisational and technical capability (IJERT, 2022).</w:t>
      </w:r>
    </w:p>
    <w:p w14:paraId="6249CC48">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4.4. Suitability for the Community Centre Project</w:t>
      </w:r>
    </w:p>
    <w:p w14:paraId="3AF794CC">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DIY would provide the community centre client with substantial control over design, procurement and stakeholder requirements. However, the diversity of specialised activities would create significant management demands. A fully DIY methodology would therefore only be appropriate if the client possessed adequate technical, contractual and project management expertise. Otherwise, external specialists would be necessary.</w:t>
      </w:r>
    </w:p>
    <w:p w14:paraId="0899282A">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 Multicontract Plus DIY Contracting</w:t>
      </w:r>
    </w:p>
    <w:p w14:paraId="26CA9E19">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Multicontract plus DIY represents a hybrid strategy that combines direct client oversight with multiple specialised contracts. The client assumes responsibility for selected tasks while engaging external specialists for more complex activities.</w:t>
      </w:r>
    </w:p>
    <w:p w14:paraId="2137F011">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5.1. Definition</w:t>
      </w:r>
    </w:p>
    <w:p w14:paraId="2EE771D9">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hybrid approach combines the client control associated with DIY with the specialist procurement associated with multicontracting. The client can directly oversee selected design or procurement tasks while engaging contractors for specialised work packages. This provides greater flexibility than a wholly integrated turnkey solution while reducing some of the technical responsibilities associated with a completely DIY approach.</w:t>
      </w:r>
    </w:p>
    <w:p w14:paraId="44AFEE6F">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5.2. Advantages</w:t>
      </w:r>
    </w:p>
    <w:p w14:paraId="29CA1908">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primary benefit is the balance between client control and specialised expertise. The client can retain authority over design, procurement and stakeholder-related decisions while engaging specialists for areas such as MEP installations, roofing and landscaping. Multiple contracts can also provide flexibility in selecting specialist contractors and adapting work packages where project requirements change (NSW Government, 2008).</w:t>
      </w:r>
    </w:p>
    <w:p w14:paraId="13DD966E">
      <w:pPr>
        <w:pStyle w:val="4"/>
        <w:keepNext w:val="0"/>
        <w:keepLines w:val="0"/>
        <w:widowControl/>
        <w:suppressLineNumbers w:val="0"/>
        <w:rPr>
          <w:rFonts w:hint="default" w:ascii="Times New Roman" w:hAnsi="Times New Roman" w:cs="Times New Roman"/>
          <w:sz w:val="24"/>
          <w:szCs w:val="24"/>
        </w:rPr>
      </w:pPr>
    </w:p>
    <w:p w14:paraId="2FDC4C5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5.3. Disadvantages</w:t>
      </w:r>
    </w:p>
    <w:p w14:paraId="0DF6FE88">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hybrid methodology still requires significant coordination. The client must manage its own responsibilities alongside several external contractors, making clear allocation of responsibilities essential. Inadequate coordination can result in delays, disputes or gaps between work packages. Consequently, this approach requires stronger governance and project management capacity than turnkey contracting.</w:t>
      </w:r>
    </w:p>
    <w:p w14:paraId="7509E635">
      <w:pPr>
        <w:pStyle w:val="4"/>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5.4. Suitability for the Community Centre Project</w:t>
      </w:r>
    </w:p>
    <w:p w14:paraId="17966227">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hybrid approach is suitable for projects requiring both stakeholder engagement and specialised knowledge. In the community centre case, the client can oversee design and procurement decisions while involving specialists for MEP systems, roofing and landscaping. This provides greater flexibility than a turnkey model while reducing the technical burden placed on the client.</w:t>
      </w:r>
    </w:p>
    <w:p w14:paraId="11AB04EE">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6. Comparative Evaluation Across Contracting Methods</w:t>
      </w:r>
    </w:p>
    <w:p w14:paraId="62C6491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four methodologies differ in the balance they establish between control, accountability, risk, expertise, cost and coordination. Turnkey provides the simplest contractual arrangement and transfers significant delivery responsibility to one contractor, but offers less direct client control. Multicontracting increases access to specialist expertise but also increases contractual interfaces. DIY maximises client control while placing the greatest responsibility on the client. The hybrid approach combines direct control with specialist support but still requires considerable coordination (NSW Government, 2008).</w:t>
      </w:r>
    </w:p>
    <w:p w14:paraId="602A09D8">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financial effects of these contracting approaches also vary. Turnkey can provide greater cost predictability through a single contract, while multicontracting may increase management and coordination costs. Direct procurement under DIY or hybrid approaches may provide opportunities for savings, but these depend on the client's ability to manage contractors, procurement and risk effectively.</w:t>
      </w:r>
    </w:p>
    <w:p w14:paraId="3A90BAA0">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community centre's specialised systems and stakeholder involvement highlight the importance of flexibility and coordination. Turnkey can streamline delivery but limit client participation. Multicontracting provides specialist expertise but requires strong interface management. DIY offers greater flexibility but increases client responsibility. The hybrid method consequently provides a balance between these factors.</w:t>
      </w:r>
    </w:p>
    <w:p w14:paraId="4052B2BD">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7. Recommended Contracting Approach for the Community Centre Project</w:t>
      </w:r>
    </w:p>
    <w:p w14:paraId="217C6F52">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multicontract plus DIY methodology represents the most appropriate strategy for the proposed community centre. The project requires active client participation in design and stakeholder decisions while also requiring specialist knowledge for technically complex components. The client can oversee selected procurement and community-related tasks directly while engaging specialist contractors for MEP installations, roofing, landscaping and other complex activities.</w:t>
      </w:r>
    </w:p>
    <w:p w14:paraId="1F6D4D7E">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Although this strategy requires stronger governance than a turnkey solution, it provides an appropriate balance between control, flexibility, technical expertise and risk management. Multicontracting alone would increase coordination requirements, while a completely DIY methodology would place considerable responsibility on the client. Turnkey would simplify accountability but may provide less adaptability to changing stakeholder requirements. The hybrid approach therefore best reflects the characteristics of the proposed community centre, provided that the client has sufficient management resources and clearly defined responsibilities.</w:t>
      </w:r>
    </w:p>
    <w:p w14:paraId="6B1D09E4">
      <w:pPr>
        <w:pStyle w:val="3"/>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8. Conclusion</w:t>
      </w:r>
    </w:p>
    <w:p w14:paraId="361F665B">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This essay assessed four contracting approaches—turnkey, multicontracting, DIY, and a combination of multicontracting and DIY—for the development of a new community centre. Turnkey provides accountability and risk transfer, while multicontracting provides access to specialised expertise but requires greater coordination. DIY offers substantial client control but places significant responsibility for procurement and project execution on the client.</w:t>
      </w:r>
    </w:p>
    <w:p w14:paraId="75433216">
      <w:pPr>
        <w:pStyle w:val="17"/>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The multicontract plus DIY approach is most suitable for the community centre because it combines direct client oversight with external expertise. I</w:t>
      </w:r>
      <w:bookmarkStart w:id="0" w:name="_GoBack"/>
      <w:bookmarkEnd w:id="0"/>
      <w:r>
        <w:rPr>
          <w:rFonts w:hint="default" w:ascii="Times New Roman" w:hAnsi="Times New Roman" w:cs="Times New Roman"/>
          <w:sz w:val="24"/>
          <w:szCs w:val="24"/>
        </w:rPr>
        <w:t>t allows the client to remain involved in key design and stakeholder decisions while appointing specialised contractors for technically complex activities. Successful implementation depends on strong governance, clear responsibilities and effective coordination. Therefore, no single contracting method is universally superior; the appropriate choice depends on project scope, complexity, available expertise, desired client control and risk tolerance.</w:t>
      </w:r>
    </w:p>
    <w:p w14:paraId="10C56491">
      <w:pPr>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pict>
          <v:rect id="_x0000_i1025" o:spt="1" style="height:1.5pt;width:432pt;" fillcolor="#A0A0A0" filled="t" stroked="f" coordsize="21600,21600" o:hr="t" o:hrstd="t" o:hralign="center">
            <v:path/>
            <v:fill on="t" focussize="0,0"/>
            <v:stroke on="f"/>
            <v:imagedata o:title=""/>
            <o:lock v:ext="edit"/>
            <w10:wrap type="none"/>
            <w10:anchorlock/>
          </v:rect>
        </w:pict>
      </w:r>
    </w:p>
    <w:p w14:paraId="6855AD9E">
      <w:pPr>
        <w:pStyle w:val="2"/>
        <w:keepNext w:val="0"/>
        <w:keepLines w:val="0"/>
        <w:widowControl/>
        <w:suppressLineNumbers w:val="0"/>
        <w:rPr>
          <w:rFonts w:hint="default" w:ascii="Times New Roman" w:hAnsi="Times New Roman" w:cs="Times New Roman"/>
          <w:sz w:val="24"/>
          <w:szCs w:val="24"/>
        </w:rPr>
      </w:pPr>
    </w:p>
    <w:p w14:paraId="4F5AF062">
      <w:pPr>
        <w:pStyle w:val="2"/>
        <w:keepNext w:val="0"/>
        <w:keepLines w:val="0"/>
        <w:widowControl/>
        <w:suppressLineNumbers w:val="0"/>
        <w:rPr>
          <w:rFonts w:hint="default" w:ascii="Times New Roman" w:hAnsi="Times New Roman" w:cs="Times New Roman"/>
          <w:sz w:val="24"/>
          <w:szCs w:val="24"/>
        </w:rPr>
      </w:pPr>
    </w:p>
    <w:p w14:paraId="26877A2F">
      <w:pPr>
        <w:pStyle w:val="2"/>
        <w:keepNext w:val="0"/>
        <w:keepLines w:val="0"/>
        <w:widowControl/>
        <w:suppressLineNumbers w:val="0"/>
        <w:rPr>
          <w:rFonts w:hint="default" w:ascii="Times New Roman" w:hAnsi="Times New Roman" w:cs="Times New Roman"/>
          <w:sz w:val="24"/>
          <w:szCs w:val="24"/>
        </w:rPr>
      </w:pPr>
    </w:p>
    <w:p w14:paraId="7A0235D0">
      <w:pPr>
        <w:pStyle w:val="2"/>
        <w:keepNext w:val="0"/>
        <w:keepLines w:val="0"/>
        <w:widowControl/>
        <w:suppressLineNumbers w:val="0"/>
        <w:rPr>
          <w:rFonts w:hint="default" w:ascii="Times New Roman" w:hAnsi="Times New Roman" w:cs="Times New Roman"/>
          <w:sz w:val="24"/>
          <w:szCs w:val="24"/>
        </w:rPr>
      </w:pPr>
    </w:p>
    <w:p w14:paraId="11E999AD">
      <w:pPr>
        <w:pStyle w:val="2"/>
        <w:keepNext w:val="0"/>
        <w:keepLines w:val="0"/>
        <w:widowControl/>
        <w:suppressLineNumbers w:val="0"/>
        <w:rPr>
          <w:rFonts w:hint="default" w:ascii="Times New Roman" w:hAnsi="Times New Roman" w:cs="Times New Roman"/>
          <w:sz w:val="24"/>
          <w:szCs w:val="24"/>
        </w:rPr>
      </w:pPr>
    </w:p>
    <w:p w14:paraId="61B3627B">
      <w:pPr>
        <w:pStyle w:val="2"/>
        <w:keepNext w:val="0"/>
        <w:keepLines w:val="0"/>
        <w:widowControl/>
        <w:suppressLineNumbers w:val="0"/>
        <w:rPr>
          <w:rFonts w:hint="default" w:ascii="Times New Roman" w:hAnsi="Times New Roman" w:cs="Times New Roman"/>
          <w:sz w:val="24"/>
          <w:szCs w:val="24"/>
        </w:rPr>
      </w:pPr>
    </w:p>
    <w:p w14:paraId="7746B8A2">
      <w:pPr>
        <w:pStyle w:val="2"/>
        <w:keepNext w:val="0"/>
        <w:keepLines w:val="0"/>
        <w:widowControl/>
        <w:suppressLineNumbers w:val="0"/>
        <w:rPr>
          <w:rFonts w:hint="default" w:ascii="Times New Roman" w:hAnsi="Times New Roman" w:cs="Times New Roman"/>
          <w:sz w:val="24"/>
          <w:szCs w:val="24"/>
        </w:rPr>
      </w:pPr>
    </w:p>
    <w:p w14:paraId="4F302B64">
      <w:pPr>
        <w:pStyle w:val="2"/>
        <w:keepNext w:val="0"/>
        <w:keepLines w:val="0"/>
        <w:widowControl/>
        <w:suppressLineNumbers w:val="0"/>
        <w:rPr>
          <w:rFonts w:hint="default" w:ascii="Times New Roman" w:hAnsi="Times New Roman" w:cs="Times New Roman"/>
          <w:sz w:val="24"/>
          <w:szCs w:val="24"/>
        </w:rPr>
      </w:pPr>
    </w:p>
    <w:p w14:paraId="162C4077">
      <w:pPr>
        <w:pStyle w:val="2"/>
        <w:keepNext w:val="0"/>
        <w:keepLines w:val="0"/>
        <w:widowControl/>
        <w:suppressLineNumbers w:val="0"/>
        <w:rPr>
          <w:rFonts w:hint="default" w:ascii="Times New Roman" w:hAnsi="Times New Roman" w:cs="Times New Roman"/>
          <w:sz w:val="24"/>
          <w:szCs w:val="24"/>
        </w:rPr>
      </w:pPr>
    </w:p>
    <w:p w14:paraId="7403580B">
      <w:pPr>
        <w:pStyle w:val="2"/>
        <w:keepNext w:val="0"/>
        <w:keepLines w:val="0"/>
        <w:widowControl/>
        <w:suppressLineNumbers w:val="0"/>
        <w:rPr>
          <w:rFonts w:hint="default" w:ascii="Times New Roman" w:hAnsi="Times New Roman" w:cs="Times New Roman"/>
          <w:sz w:val="24"/>
          <w:szCs w:val="24"/>
        </w:rPr>
      </w:pPr>
    </w:p>
    <w:p w14:paraId="5B337A7B">
      <w:pPr>
        <w:pStyle w:val="2"/>
        <w:keepNext w:val="0"/>
        <w:keepLines w:val="0"/>
        <w:widowControl/>
        <w:suppressLineNumbers w:val="0"/>
        <w:rPr>
          <w:rFonts w:hint="default" w:ascii="Times New Roman" w:hAnsi="Times New Roman" w:cs="Times New Roman"/>
          <w:sz w:val="24"/>
          <w:szCs w:val="24"/>
        </w:rPr>
      </w:pPr>
      <w:r>
        <w:rPr>
          <w:rFonts w:hint="default" w:ascii="Times New Roman" w:hAnsi="Times New Roman" w:cs="Times New Roman"/>
          <w:sz w:val="24"/>
          <w:szCs w:val="24"/>
        </w:rPr>
        <w:t>Reference List</w:t>
      </w:r>
    </w:p>
    <w:p w14:paraId="4B7798BB">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American Institute of Architects (AIA) and Associated General Contractors of America (AGC) (2023)</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A primer on project delivery terms</w:t>
      </w:r>
      <w:r>
        <w:rPr>
          <w:rFonts w:hint="default" w:ascii="Times New Roman" w:hAnsi="Times New Roman" w:cs="Times New Roman"/>
          <w:sz w:val="24"/>
          <w:szCs w:val="24"/>
        </w:rPr>
        <w:t xml:space="preserve">. Washington, DC: AIA.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"https://www.aia.org/resource-center/primer-project-delivery-terms?utm_source=chatgpt.com"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AIA project delivery primer</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36FABC45">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Albuquerque, A.E.C., Primo, M.A. de M. and Pereira, F.A. (2015)</w:t>
      </w:r>
      <w:r>
        <w:rPr>
          <w:rFonts w:hint="default" w:ascii="Times New Roman" w:hAnsi="Times New Roman" w:cs="Times New Roman"/>
          <w:sz w:val="24"/>
          <w:szCs w:val="24"/>
        </w:rPr>
        <w:t xml:space="preserve"> ‘Advantages, disadvantages and risks in the adoption of design-build contracting method in the Brazilian public sector’, </w:t>
      </w:r>
      <w:r>
        <w:rPr>
          <w:rStyle w:val="13"/>
          <w:rFonts w:hint="default" w:ascii="Times New Roman" w:hAnsi="Times New Roman" w:cs="Times New Roman"/>
          <w:sz w:val="24"/>
          <w:szCs w:val="24"/>
        </w:rPr>
        <w:t>Review of Business Management</w:t>
      </w:r>
      <w:r>
        <w:rPr>
          <w:rFonts w:hint="default" w:ascii="Times New Roman" w:hAnsi="Times New Roman" w:cs="Times New Roman"/>
          <w:sz w:val="24"/>
          <w:szCs w:val="24"/>
        </w:rPr>
        <w:t xml:space="preserve">, 17(54), pp. 822–838.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"https://rbgn.fecap.br/RBGN/article/view/1757?utm_source=chatgpt.com"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Journal article</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2188B6D9">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Federation of Master Builders (2021)</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Self-build: the ultimate guide to building a house</w:t>
      </w:r>
      <w:r>
        <w:rPr>
          <w:rFonts w:hint="default" w:ascii="Times New Roman" w:hAnsi="Times New Roman" w:cs="Times New Roman"/>
          <w:sz w:val="24"/>
          <w:szCs w:val="24"/>
        </w:rPr>
        <w:t xml:space="preserve">.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"https://www.fmb.org.uk/find-a-builder/ultimate-guides-to-home-renovation/self-build-the-ultimate-guide-to-building-a-house.html?utm_source=chatgpt.com"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Federation of Master Builders self-build guide</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63CE463F">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IJERT (2022)</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Project Delivery Systems and Contracting Strategies</w:t>
      </w:r>
      <w:r>
        <w:rPr>
          <w:rFonts w:hint="default" w:ascii="Times New Roman" w:hAnsi="Times New Roman" w:cs="Times New Roman"/>
          <w:sz w:val="24"/>
          <w:szCs w:val="24"/>
        </w:rPr>
        <w:t xml:space="preserve">. International Journal of Engineering Research &amp; Technology, 11(3).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"https://www.ijert.org/research/project-delivery-systems-and-contracting-strategies-IJERTV11IS030161.pdf?utm_source=chatgpt.com"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Project Delivery Systems and Contracting Strategies</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75BEFCB1">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NSW Government (2008)</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Construction procurement guide: single and multiple contract options</w:t>
      </w:r>
      <w:r>
        <w:rPr>
          <w:rFonts w:hint="default" w:ascii="Times New Roman" w:hAnsi="Times New Roman" w:cs="Times New Roman"/>
          <w:sz w:val="24"/>
          <w:szCs w:val="24"/>
        </w:rPr>
        <w:t xml:space="preserve">. Sydney: NSW Government.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"https://www.info.buy.nsw.gov.au/resources/construction/construction-procurement-guide-single-and-multiple-contract-options?utm_source=chatgpt.com"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NSW Government construction procurement guide</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135F0A69">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Project Management Institute (2021)</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A guide to the project management body of knowledge (PMBOK® Guide)</w:t>
      </w:r>
      <w:r>
        <w:rPr>
          <w:rFonts w:hint="default" w:ascii="Times New Roman" w:hAnsi="Times New Roman" w:cs="Times New Roman"/>
          <w:sz w:val="24"/>
          <w:szCs w:val="24"/>
        </w:rPr>
        <w:t>. 7th edn. Newtown Square, PA: Project Management Institute.</w:t>
      </w:r>
    </w:p>
    <w:p w14:paraId="27E635BB">
      <w:pPr>
        <w:pStyle w:val="17"/>
        <w:keepNext w:val="0"/>
        <w:keepLines w:val="0"/>
        <w:widowControl/>
        <w:suppressLineNumbers w:val="0"/>
        <w:rPr>
          <w:rFonts w:hint="default" w:ascii="Times New Roman" w:hAnsi="Times New Roman" w:cs="Times New Roman"/>
          <w:sz w:val="24"/>
          <w:szCs w:val="24"/>
        </w:rPr>
      </w:pPr>
      <w:r>
        <w:rPr>
          <w:rStyle w:val="18"/>
          <w:rFonts w:hint="default" w:ascii="Times New Roman" w:hAnsi="Times New Roman" w:cs="Times New Roman"/>
          <w:sz w:val="24"/>
          <w:szCs w:val="24"/>
        </w:rPr>
        <w:t>United Nations Industrial Development Organization (UNIDO) (2018)</w:t>
      </w:r>
      <w:r>
        <w:rPr>
          <w:rFonts w:hint="default" w:ascii="Times New Roman" w:hAnsi="Times New Roman" w:cs="Times New Roman"/>
          <w:sz w:val="24"/>
          <w:szCs w:val="24"/>
        </w:rPr>
        <w:t xml:space="preserve"> </w:t>
      </w:r>
      <w:r>
        <w:rPr>
          <w:rStyle w:val="13"/>
          <w:rFonts w:hint="default" w:ascii="Times New Roman" w:hAnsi="Times New Roman" w:cs="Times New Roman"/>
          <w:sz w:val="24"/>
          <w:szCs w:val="24"/>
        </w:rPr>
        <w:t>Features and issues in turnkey contracts in developing countries</w:t>
      </w:r>
      <w:r>
        <w:rPr>
          <w:rFonts w:hint="default" w:ascii="Times New Roman" w:hAnsi="Times New Roman" w:cs="Times New Roman"/>
          <w:sz w:val="24"/>
          <w:szCs w:val="24"/>
        </w:rPr>
        <w:t xml:space="preserve">. Vienna: United Nations Industrial Development Organization. Available at: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"https://www.unido.org/publications/ot/9644958/pdf?utm_source=chatgpt.com" \t "_blank" </w:instrText>
      </w:r>
      <w:r>
        <w:rPr>
          <w:rFonts w:hint="default" w:ascii="Times New Roman" w:hAnsi="Times New Roman" w:cs="Times New Roman"/>
          <w:sz w:val="24"/>
          <w:szCs w:val="24"/>
        </w:rPr>
        <w:fldChar w:fldCharType="separate"/>
      </w:r>
      <w:r>
        <w:rPr>
          <w:rStyle w:val="16"/>
          <w:rFonts w:hint="default" w:ascii="Times New Roman" w:hAnsi="Times New Roman" w:cs="Times New Roman"/>
          <w:sz w:val="24"/>
          <w:szCs w:val="24"/>
        </w:rPr>
        <w:t>UNIDO turnkey contracts publication</w:t>
      </w:r>
      <w:r>
        <w:rPr>
          <w:rFonts w:hint="default" w:ascii="Times New Roman" w:hAnsi="Times New Roman" w:cs="Times New Roman"/>
          <w:sz w:val="24"/>
          <w:szCs w:val="24"/>
        </w:rPr>
        <w:fldChar w:fldCharType="end"/>
      </w:r>
      <w:r>
        <w:rPr>
          <w:rFonts w:hint="default" w:ascii="Times New Roman" w:hAnsi="Times New Roman" w:cs="Times New Roman"/>
          <w:sz w:val="24"/>
          <w:szCs w:val="24"/>
        </w:rPr>
        <w:t xml:space="preserve"> (Accessed: 17 August 2026).</w:t>
      </w:r>
    </w:p>
    <w:p w14:paraId="35F1F9E6">
      <w:pPr>
        <w:rPr>
          <w:rFonts w:hint="default" w:ascii="Times New Roman" w:hAnsi="Times New Roman" w:cs="Times New Roman"/>
          <w:sz w:val="24"/>
          <w:szCs w:val="24"/>
        </w:rPr>
      </w:pPr>
    </w:p>
    <w:sectPr>
      <w:headerReference r:id="rId5" w:type="default"/>
      <w:footerReference r:id="rId6" w:type="default"/>
      <w:pgSz w:w="11906" w:h="16838"/>
      <w:pgMar w:top="1440" w:right="1440" w:bottom="1440" w:left="1440" w:header="708" w:footer="708"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Display">
    <w:altName w:val="Segoe UI Variable Display"/>
    <w:panose1 w:val="00000000000000000000"/>
    <w:charset w:val="00"/>
    <w:family w:val="swiss"/>
    <w:pitch w:val="default"/>
    <w:sig w:usb0="00000000" w:usb1="00000000" w:usb2="00000000" w:usb3="00000000" w:csb0="0000019F" w:csb1="00000000"/>
  </w:font>
  <w:font w:name="Segoe UI Variable Display">
    <w:panose1 w:val="00000000000000000000"/>
    <w:charset w:val="00"/>
    <w:family w:val="auto"/>
    <w:pitch w:val="default"/>
    <w:sig w:usb0="A00002FF" w:usb1="0000000B" w:usb2="00000000" w:usb3="00000000" w:csb0="2000019F"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55E06B4">
    <w:pPr>
      <w:pStyle w:val="14"/>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154AC95B">
    <w:pPr>
      <w:pStyle w:val="1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F9EAD21">
    <w:pPr>
      <w:pStyle w:val="1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autoHyphenation/>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0B44"/>
    <w:rsid w:val="0006018F"/>
    <w:rsid w:val="00080B44"/>
    <w:rsid w:val="000A2CF0"/>
    <w:rsid w:val="000F02C2"/>
    <w:rsid w:val="00101B7A"/>
    <w:rsid w:val="002F4290"/>
    <w:rsid w:val="003F03A7"/>
    <w:rsid w:val="00433699"/>
    <w:rsid w:val="0049564F"/>
    <w:rsid w:val="004D64CA"/>
    <w:rsid w:val="004E2201"/>
    <w:rsid w:val="0054368A"/>
    <w:rsid w:val="005C24D2"/>
    <w:rsid w:val="0062770F"/>
    <w:rsid w:val="00654D7F"/>
    <w:rsid w:val="00677F1B"/>
    <w:rsid w:val="006D568A"/>
    <w:rsid w:val="00727289"/>
    <w:rsid w:val="00737951"/>
    <w:rsid w:val="007407EA"/>
    <w:rsid w:val="008B457F"/>
    <w:rsid w:val="009703F2"/>
    <w:rsid w:val="009E7666"/>
    <w:rsid w:val="00A57F43"/>
    <w:rsid w:val="00AA2E37"/>
    <w:rsid w:val="00B0007E"/>
    <w:rsid w:val="00B800FB"/>
    <w:rsid w:val="00BC177E"/>
    <w:rsid w:val="00BC7877"/>
    <w:rsid w:val="00E10B95"/>
    <w:rsid w:val="00E90C82"/>
    <w:rsid w:val="00FB5093"/>
    <w:rsid w:val="022F4565"/>
    <w:rsid w:val="7FF33E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nhideWhenUsed="0" w:uiPriority="0" w:semiHidden="0" w:name="heading 7"/>
    <w:lsdException w:qFormat="1" w:unhideWhenUsed="0" w:uiPriority="0" w:semiHidden="0" w:name="heading 8"/>
    <w:lsdException w:qFormat="1" w:unhideWhenUsed="0" w:uiPriority="0"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0" w:semiHidden="0" w:name="header"/>
    <w:lsdException w:qFormat="1"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unhideWhenUsed="0" w:uiPriority="0" w:semiHidden="0" w:name="Quote"/>
    <w:lsdException w:unhideWhenUsed="0" w:uiPriority="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after="160" w:line="276" w:lineRule="auto"/>
    </w:pPr>
    <w:rPr>
      <w:rFonts w:ascii="Aptos" w:hAnsi="Aptos" w:eastAsia="Aptos" w:cs="Times New Roman"/>
      <w:kern w:val="3"/>
      <w:sz w:val="24"/>
      <w:szCs w:val="24"/>
      <w:lang w:val="en-GB" w:eastAsia="en-US" w:bidi="ar-SA"/>
    </w:rPr>
  </w:style>
  <w:style w:type="paragraph" w:styleId="2">
    <w:name w:val="heading 1"/>
    <w:basedOn w:val="1"/>
    <w:next w:val="1"/>
    <w:qFormat/>
    <w:uiPriority w:val="9"/>
    <w:pPr>
      <w:keepNext/>
      <w:keepLines/>
      <w:spacing w:before="360" w:after="80"/>
      <w:outlineLvl w:val="0"/>
    </w:pPr>
    <w:rPr>
      <w:rFonts w:ascii="Aptos Display" w:hAnsi="Aptos Display" w:eastAsia="Times New Roman"/>
      <w:color w:val="0F4761"/>
      <w:sz w:val="40"/>
      <w:szCs w:val="40"/>
    </w:rPr>
  </w:style>
  <w:style w:type="paragraph" w:styleId="3">
    <w:name w:val="heading 2"/>
    <w:basedOn w:val="1"/>
    <w:next w:val="1"/>
    <w:semiHidden/>
    <w:unhideWhenUsed/>
    <w:qFormat/>
    <w:uiPriority w:val="9"/>
    <w:pPr>
      <w:keepNext/>
      <w:keepLines/>
      <w:spacing w:before="160" w:after="80"/>
      <w:outlineLvl w:val="1"/>
    </w:pPr>
    <w:rPr>
      <w:rFonts w:ascii="Aptos Display" w:hAnsi="Aptos Display" w:eastAsia="Times New Roman"/>
      <w:color w:val="0F4761"/>
      <w:sz w:val="32"/>
      <w:szCs w:val="32"/>
    </w:rPr>
  </w:style>
  <w:style w:type="paragraph" w:styleId="4">
    <w:name w:val="heading 3"/>
    <w:basedOn w:val="1"/>
    <w:next w:val="1"/>
    <w:semiHidden/>
    <w:unhideWhenUsed/>
    <w:qFormat/>
    <w:uiPriority w:val="9"/>
    <w:pPr>
      <w:keepNext/>
      <w:keepLines/>
      <w:spacing w:before="160" w:after="80"/>
      <w:outlineLvl w:val="2"/>
    </w:pPr>
    <w:rPr>
      <w:rFonts w:eastAsia="Times New Roman"/>
      <w:color w:val="0F4761"/>
      <w:sz w:val="28"/>
      <w:szCs w:val="28"/>
    </w:rPr>
  </w:style>
  <w:style w:type="paragraph" w:styleId="5">
    <w:name w:val="heading 4"/>
    <w:basedOn w:val="1"/>
    <w:next w:val="1"/>
    <w:semiHidden/>
    <w:unhideWhenUsed/>
    <w:qFormat/>
    <w:uiPriority w:val="9"/>
    <w:pPr>
      <w:keepNext/>
      <w:keepLines/>
      <w:spacing w:before="80" w:after="40"/>
      <w:outlineLvl w:val="3"/>
    </w:pPr>
    <w:rPr>
      <w:rFonts w:eastAsia="Times New Roman"/>
      <w:i/>
      <w:iCs/>
      <w:color w:val="0F4761"/>
    </w:rPr>
  </w:style>
  <w:style w:type="paragraph" w:styleId="6">
    <w:name w:val="heading 5"/>
    <w:basedOn w:val="1"/>
    <w:next w:val="1"/>
    <w:semiHidden/>
    <w:unhideWhenUsed/>
    <w:qFormat/>
    <w:uiPriority w:val="9"/>
    <w:pPr>
      <w:keepNext/>
      <w:keepLines/>
      <w:spacing w:before="80" w:after="40"/>
      <w:outlineLvl w:val="4"/>
    </w:pPr>
    <w:rPr>
      <w:rFonts w:eastAsia="Times New Roman"/>
      <w:color w:val="0F4761"/>
    </w:rPr>
  </w:style>
  <w:style w:type="paragraph" w:styleId="7">
    <w:name w:val="heading 6"/>
    <w:basedOn w:val="1"/>
    <w:next w:val="1"/>
    <w:semiHidden/>
    <w:unhideWhenUsed/>
    <w:qFormat/>
    <w:uiPriority w:val="9"/>
    <w:pPr>
      <w:keepNext/>
      <w:keepLines/>
      <w:spacing w:before="40" w:after="0"/>
      <w:outlineLvl w:val="5"/>
    </w:pPr>
    <w:rPr>
      <w:rFonts w:eastAsia="Times New Roman"/>
      <w:i/>
      <w:iCs/>
      <w:color w:val="595959"/>
    </w:rPr>
  </w:style>
  <w:style w:type="paragraph" w:styleId="8">
    <w:name w:val="heading 7"/>
    <w:basedOn w:val="1"/>
    <w:next w:val="1"/>
    <w:qFormat/>
    <w:uiPriority w:val="0"/>
    <w:pPr>
      <w:keepNext/>
      <w:keepLines/>
      <w:spacing w:before="40" w:after="0"/>
      <w:outlineLvl w:val="6"/>
    </w:pPr>
    <w:rPr>
      <w:rFonts w:eastAsia="Times New Roman"/>
      <w:color w:val="595959"/>
    </w:rPr>
  </w:style>
  <w:style w:type="paragraph" w:styleId="9">
    <w:name w:val="heading 8"/>
    <w:basedOn w:val="1"/>
    <w:next w:val="1"/>
    <w:qFormat/>
    <w:uiPriority w:val="0"/>
    <w:pPr>
      <w:keepNext/>
      <w:keepLines/>
      <w:spacing w:after="0"/>
      <w:outlineLvl w:val="7"/>
    </w:pPr>
    <w:rPr>
      <w:rFonts w:eastAsia="Times New Roman"/>
      <w:i/>
      <w:iCs/>
      <w:color w:val="272727"/>
    </w:rPr>
  </w:style>
  <w:style w:type="paragraph" w:styleId="10">
    <w:name w:val="heading 9"/>
    <w:basedOn w:val="1"/>
    <w:next w:val="1"/>
    <w:qFormat/>
    <w:uiPriority w:val="0"/>
    <w:pPr>
      <w:keepNext/>
      <w:keepLines/>
      <w:spacing w:after="0"/>
      <w:outlineLvl w:val="8"/>
    </w:pPr>
    <w:rPr>
      <w:rFonts w:eastAsia="Times New Roman"/>
      <w:color w:val="272727"/>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Emphasis"/>
    <w:basedOn w:val="11"/>
    <w:qFormat/>
    <w:uiPriority w:val="20"/>
    <w:rPr>
      <w:i/>
      <w:iCs/>
    </w:rPr>
  </w:style>
  <w:style w:type="paragraph" w:styleId="14">
    <w:name w:val="footer"/>
    <w:basedOn w:val="1"/>
    <w:qFormat/>
    <w:uiPriority w:val="0"/>
    <w:pPr>
      <w:tabs>
        <w:tab w:val="center" w:pos="4513"/>
        <w:tab w:val="right" w:pos="9026"/>
      </w:tabs>
      <w:spacing w:after="0" w:line="240" w:lineRule="auto"/>
    </w:pPr>
  </w:style>
  <w:style w:type="paragraph" w:styleId="15">
    <w:name w:val="header"/>
    <w:basedOn w:val="1"/>
    <w:qFormat/>
    <w:uiPriority w:val="0"/>
    <w:pPr>
      <w:tabs>
        <w:tab w:val="center" w:pos="4513"/>
        <w:tab w:val="right" w:pos="9026"/>
      </w:tabs>
      <w:spacing w:after="0" w:line="240" w:lineRule="auto"/>
    </w:pPr>
  </w:style>
  <w:style w:type="character" w:styleId="16">
    <w:name w:val="Hyperlink"/>
    <w:basedOn w:val="11"/>
    <w:qFormat/>
    <w:uiPriority w:val="0"/>
    <w:rPr>
      <w:color w:val="467886"/>
      <w:u w:val="single"/>
    </w:rPr>
  </w:style>
  <w:style w:type="paragraph" w:styleId="17">
    <w:name w:val="Normal (Web)"/>
    <w:semiHidden/>
    <w:unhideWhenUsed/>
    <w:qFormat/>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18">
    <w:name w:val="Strong"/>
    <w:basedOn w:val="11"/>
    <w:qFormat/>
    <w:uiPriority w:val="22"/>
    <w:rPr>
      <w:b/>
      <w:bCs/>
    </w:rPr>
  </w:style>
  <w:style w:type="paragraph" w:styleId="19">
    <w:name w:val="Subtitle"/>
    <w:basedOn w:val="1"/>
    <w:next w:val="1"/>
    <w:qFormat/>
    <w:uiPriority w:val="11"/>
    <w:rPr>
      <w:rFonts w:eastAsia="Times New Roman"/>
      <w:color w:val="595959"/>
      <w:spacing w:val="15"/>
      <w:sz w:val="28"/>
      <w:szCs w:val="28"/>
    </w:rPr>
  </w:style>
  <w:style w:type="paragraph" w:styleId="20">
    <w:name w:val="Title"/>
    <w:basedOn w:val="1"/>
    <w:next w:val="1"/>
    <w:qFormat/>
    <w:uiPriority w:val="10"/>
    <w:pPr>
      <w:spacing w:after="80" w:line="240" w:lineRule="auto"/>
      <w:contextualSpacing/>
    </w:pPr>
    <w:rPr>
      <w:rFonts w:ascii="Aptos Display" w:hAnsi="Aptos Display" w:eastAsia="Times New Roman"/>
      <w:spacing w:val="-10"/>
      <w:sz w:val="56"/>
      <w:szCs w:val="56"/>
    </w:rPr>
  </w:style>
  <w:style w:type="character" w:customStyle="1" w:styleId="21">
    <w:name w:val="Heading 1 Char"/>
    <w:basedOn w:val="11"/>
    <w:qFormat/>
    <w:uiPriority w:val="0"/>
    <w:rPr>
      <w:rFonts w:ascii="Aptos Display" w:hAnsi="Aptos Display" w:eastAsia="Times New Roman" w:cs="Times New Roman"/>
      <w:color w:val="0F4761"/>
      <w:sz w:val="40"/>
      <w:szCs w:val="40"/>
    </w:rPr>
  </w:style>
  <w:style w:type="character" w:customStyle="1" w:styleId="22">
    <w:name w:val="Heading 2 Char"/>
    <w:basedOn w:val="11"/>
    <w:qFormat/>
    <w:uiPriority w:val="0"/>
    <w:rPr>
      <w:rFonts w:ascii="Aptos Display" w:hAnsi="Aptos Display" w:eastAsia="Times New Roman" w:cs="Times New Roman"/>
      <w:color w:val="0F4761"/>
      <w:sz w:val="32"/>
      <w:szCs w:val="32"/>
    </w:rPr>
  </w:style>
  <w:style w:type="character" w:customStyle="1" w:styleId="23">
    <w:name w:val="Heading 3 Char"/>
    <w:basedOn w:val="11"/>
    <w:qFormat/>
    <w:uiPriority w:val="0"/>
    <w:rPr>
      <w:rFonts w:eastAsia="Times New Roman" w:cs="Times New Roman"/>
      <w:color w:val="0F4761"/>
      <w:sz w:val="28"/>
      <w:szCs w:val="28"/>
    </w:rPr>
  </w:style>
  <w:style w:type="character" w:customStyle="1" w:styleId="24">
    <w:name w:val="Heading 4 Char"/>
    <w:basedOn w:val="11"/>
    <w:qFormat/>
    <w:uiPriority w:val="0"/>
    <w:rPr>
      <w:rFonts w:eastAsia="Times New Roman" w:cs="Times New Roman"/>
      <w:i/>
      <w:iCs/>
      <w:color w:val="0F4761"/>
    </w:rPr>
  </w:style>
  <w:style w:type="character" w:customStyle="1" w:styleId="25">
    <w:name w:val="Heading 5 Char"/>
    <w:basedOn w:val="11"/>
    <w:qFormat/>
    <w:uiPriority w:val="0"/>
    <w:rPr>
      <w:rFonts w:eastAsia="Times New Roman" w:cs="Times New Roman"/>
      <w:color w:val="0F4761"/>
    </w:rPr>
  </w:style>
  <w:style w:type="character" w:customStyle="1" w:styleId="26">
    <w:name w:val="Heading 6 Char"/>
    <w:basedOn w:val="11"/>
    <w:qFormat/>
    <w:uiPriority w:val="0"/>
    <w:rPr>
      <w:rFonts w:eastAsia="Times New Roman" w:cs="Times New Roman"/>
      <w:i/>
      <w:iCs/>
      <w:color w:val="595959"/>
    </w:rPr>
  </w:style>
  <w:style w:type="character" w:customStyle="1" w:styleId="27">
    <w:name w:val="Heading 7 Char"/>
    <w:basedOn w:val="11"/>
    <w:qFormat/>
    <w:uiPriority w:val="0"/>
    <w:rPr>
      <w:rFonts w:eastAsia="Times New Roman" w:cs="Times New Roman"/>
      <w:color w:val="595959"/>
    </w:rPr>
  </w:style>
  <w:style w:type="character" w:customStyle="1" w:styleId="28">
    <w:name w:val="Heading 8 Char"/>
    <w:basedOn w:val="11"/>
    <w:qFormat/>
    <w:uiPriority w:val="0"/>
    <w:rPr>
      <w:rFonts w:eastAsia="Times New Roman" w:cs="Times New Roman"/>
      <w:i/>
      <w:iCs/>
      <w:color w:val="272727"/>
    </w:rPr>
  </w:style>
  <w:style w:type="character" w:customStyle="1" w:styleId="29">
    <w:name w:val="Heading 9 Char"/>
    <w:basedOn w:val="11"/>
    <w:qFormat/>
    <w:uiPriority w:val="0"/>
    <w:rPr>
      <w:rFonts w:eastAsia="Times New Roman" w:cs="Times New Roman"/>
      <w:color w:val="272727"/>
    </w:rPr>
  </w:style>
  <w:style w:type="character" w:customStyle="1" w:styleId="30">
    <w:name w:val="Title Char"/>
    <w:basedOn w:val="11"/>
    <w:qFormat/>
    <w:uiPriority w:val="0"/>
    <w:rPr>
      <w:rFonts w:ascii="Aptos Display" w:hAnsi="Aptos Display" w:eastAsia="Times New Roman" w:cs="Times New Roman"/>
      <w:spacing w:val="-10"/>
      <w:kern w:val="3"/>
      <w:sz w:val="56"/>
      <w:szCs w:val="56"/>
    </w:rPr>
  </w:style>
  <w:style w:type="character" w:customStyle="1" w:styleId="31">
    <w:name w:val="Subtitle Char"/>
    <w:basedOn w:val="11"/>
    <w:qFormat/>
    <w:uiPriority w:val="0"/>
    <w:rPr>
      <w:rFonts w:eastAsia="Times New Roman" w:cs="Times New Roman"/>
      <w:color w:val="595959"/>
      <w:spacing w:val="15"/>
      <w:sz w:val="28"/>
      <w:szCs w:val="28"/>
    </w:rPr>
  </w:style>
  <w:style w:type="paragraph" w:styleId="32">
    <w:name w:val="Quote"/>
    <w:basedOn w:val="1"/>
    <w:next w:val="1"/>
    <w:uiPriority w:val="0"/>
    <w:pPr>
      <w:spacing w:before="160"/>
      <w:jc w:val="center"/>
    </w:pPr>
    <w:rPr>
      <w:i/>
      <w:iCs/>
      <w:color w:val="404040"/>
    </w:rPr>
  </w:style>
  <w:style w:type="character" w:customStyle="1" w:styleId="33">
    <w:name w:val="Quote Char"/>
    <w:basedOn w:val="11"/>
    <w:qFormat/>
    <w:uiPriority w:val="0"/>
    <w:rPr>
      <w:i/>
      <w:iCs/>
      <w:color w:val="404040"/>
    </w:rPr>
  </w:style>
  <w:style w:type="paragraph" w:styleId="34">
    <w:name w:val="List Paragraph"/>
    <w:basedOn w:val="1"/>
    <w:qFormat/>
    <w:uiPriority w:val="0"/>
    <w:pPr>
      <w:ind w:left="720"/>
      <w:contextualSpacing/>
    </w:pPr>
  </w:style>
  <w:style w:type="character" w:customStyle="1" w:styleId="35">
    <w:name w:val="Intense Emphasis"/>
    <w:basedOn w:val="11"/>
    <w:qFormat/>
    <w:uiPriority w:val="0"/>
    <w:rPr>
      <w:i/>
      <w:iCs/>
      <w:color w:val="0F4761"/>
    </w:rPr>
  </w:style>
  <w:style w:type="paragraph" w:styleId="36">
    <w:name w:val="Intense Quote"/>
    <w:basedOn w:val="1"/>
    <w:next w:val="1"/>
    <w:uiPriority w:val="0"/>
    <w:pPr>
      <w:pBdr>
        <w:top w:val="single" w:color="0F4761" w:sz="4" w:space="10"/>
        <w:bottom w:val="single" w:color="0F4761" w:sz="4" w:space="10"/>
      </w:pBdr>
      <w:spacing w:before="360" w:after="360"/>
      <w:ind w:left="864" w:right="864"/>
      <w:jc w:val="center"/>
    </w:pPr>
    <w:rPr>
      <w:i/>
      <w:iCs/>
      <w:color w:val="0F4761"/>
    </w:rPr>
  </w:style>
  <w:style w:type="character" w:customStyle="1" w:styleId="37">
    <w:name w:val="Intense Quote Char"/>
    <w:basedOn w:val="11"/>
    <w:qFormat/>
    <w:uiPriority w:val="0"/>
    <w:rPr>
      <w:i/>
      <w:iCs/>
      <w:color w:val="0F4761"/>
    </w:rPr>
  </w:style>
  <w:style w:type="character" w:customStyle="1" w:styleId="38">
    <w:name w:val="Intense Reference"/>
    <w:basedOn w:val="11"/>
    <w:qFormat/>
    <w:uiPriority w:val="0"/>
    <w:rPr>
      <w:b/>
      <w:bCs/>
      <w:smallCaps/>
      <w:color w:val="0F4761"/>
      <w:spacing w:val="5"/>
    </w:rPr>
  </w:style>
  <w:style w:type="paragraph" w:customStyle="1" w:styleId="39">
    <w:name w:val="cvgsua"/>
    <w:basedOn w:val="1"/>
    <w:uiPriority w:val="0"/>
    <w:pPr>
      <w:spacing w:before="100" w:after="100" w:line="240" w:lineRule="auto"/>
    </w:pPr>
    <w:rPr>
      <w:rFonts w:ascii="Times New Roman" w:hAnsi="Times New Roman" w:eastAsia="Times New Roman"/>
      <w:kern w:val="0"/>
      <w:lang w:eastAsia="en-GB"/>
    </w:rPr>
  </w:style>
  <w:style w:type="character" w:customStyle="1" w:styleId="40">
    <w:name w:val="oypena"/>
    <w:basedOn w:val="11"/>
    <w:qFormat/>
    <w:uiPriority w:val="0"/>
  </w:style>
  <w:style w:type="character" w:customStyle="1" w:styleId="41">
    <w:name w:val="Header Char"/>
    <w:basedOn w:val="11"/>
    <w:qFormat/>
    <w:uiPriority w:val="0"/>
  </w:style>
  <w:style w:type="character" w:customStyle="1" w:styleId="42">
    <w:name w:val="Footer Char"/>
    <w:basedOn w:val="11"/>
    <w:uiPriority w:val="0"/>
  </w:style>
  <w:style w:type="paragraph" w:styleId="43">
    <w:name w:val="No Spacing"/>
    <w:uiPriority w:val="0"/>
    <w:pPr>
      <w:suppressAutoHyphens/>
      <w:autoSpaceDN w:val="0"/>
      <w:spacing w:after="0" w:line="240" w:lineRule="auto"/>
    </w:pPr>
    <w:rPr>
      <w:rFonts w:ascii="Aptos" w:hAnsi="Aptos" w:eastAsia="Times New Roman" w:cs="Times New Roman"/>
      <w:kern w:val="0"/>
      <w:sz w:val="22"/>
      <w:szCs w:val="22"/>
      <w:lang w:val="en-GB" w:eastAsia="en-GB" w:bidi="ar-SA"/>
    </w:rPr>
  </w:style>
  <w:style w:type="character" w:customStyle="1" w:styleId="44">
    <w:name w:val="No Spacing Char"/>
    <w:basedOn w:val="11"/>
    <w:qFormat/>
    <w:uiPriority w:val="0"/>
    <w:rPr>
      <w:rFonts w:eastAsia="Times New Roman"/>
      <w:kern w:val="0"/>
      <w:sz w:val="22"/>
      <w:szCs w:val="22"/>
      <w:lang w:eastAsia="en-GB"/>
    </w:rPr>
  </w:style>
  <w:style w:type="character" w:customStyle="1" w:styleId="45">
    <w:name w:val="Unresolved Mention"/>
    <w:basedOn w:val="11"/>
    <w:qFormat/>
    <w:uiPriority w:val="0"/>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8</Pages>
  <Words>1905</Words>
  <Characters>13234</Characters>
  <Lines>170</Lines>
  <Paragraphs>47</Paragraphs>
  <TotalTime>82</TotalTime>
  <ScaleCrop>false</ScaleCrop>
  <LinksUpToDate>false</LinksUpToDate>
  <CharactersWithSpaces>15073</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2025-04-05T14:04:00Z</dcterms:created>
  <dc:creator>Katarína Dydňanská</dc:creator>
  <cp:lastModifiedBy>Katarína Dydňanská</cp:lastModifiedBy>
  <dcterms:modified xsi:type="dcterms:W3CDTF">2026-08-17T14:34:13Z</dcterms:modified>
  <cp:revision>8</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eyJoZGlkIjoiOWVmYTRmY2U2OWJkZjRkNDk1OWYzMzI5MWM5M2Y0YmUiLCJ1c2VySWQiOiIzNzI4MTQ1MDY4NDIwIn0=</vt:lpwstr>
  </property>
  <property fmtid="{D5CDD505-2E9C-101B-9397-08002B2CF9AE}" pid="3" name="KSOProductBuildVer">
    <vt:lpwstr>1033-12.1.0.28032</vt:lpwstr>
  </property>
  <property fmtid="{D5CDD505-2E9C-101B-9397-08002B2CF9AE}" pid="4" name="ICV">
    <vt:lpwstr>F809CE0131274274BD80F910C3903B42_13</vt:lpwstr>
  </property>
</Properties>
</file>