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81BD7" w:rsidRPr="00CA072B" w:rsidRDefault="00681BD7">
      <w:pPr>
        <w:rPr>
          <w:b/>
          <w:sz w:val="24"/>
          <w:u w:val="single"/>
        </w:rPr>
      </w:pPr>
      <w:r w:rsidRPr="00CA072B">
        <w:rPr>
          <w:b/>
          <w:sz w:val="24"/>
          <w:u w:val="single"/>
        </w:rPr>
        <w:t>Choosing a case study of your choice drawn from the Bronze Age East Mediterranean (Aegean) consider how theoretical perspectives might help archaeologists to interpret:</w:t>
      </w:r>
      <w:r w:rsidRPr="00CA072B">
        <w:rPr>
          <w:b/>
          <w:u w:val="single"/>
        </w:rPr>
        <w:t xml:space="preserve"> </w:t>
      </w:r>
      <w:r w:rsidRPr="00CA072B">
        <w:rPr>
          <w:b/>
          <w:sz w:val="24"/>
          <w:u w:val="single"/>
        </w:rPr>
        <w:t>Ritual and ceremony in palatial contexts.</w:t>
      </w:r>
    </w:p>
    <w:p w:rsidR="00CB2000" w:rsidRDefault="008E08C1">
      <w:pPr>
        <w:rPr>
          <w:sz w:val="24"/>
        </w:rPr>
      </w:pPr>
      <w:r w:rsidRPr="008E08C1">
        <w:rPr>
          <w:sz w:val="24"/>
        </w:rPr>
        <w:t>The civilisation I am focusing on is the Mycenaeans</w:t>
      </w:r>
      <w:r>
        <w:rPr>
          <w:sz w:val="24"/>
        </w:rPr>
        <w:t>, and the site that I am focusing on is the capital of the civilisation which is Mycenae. Within this case study I am going to examine the religious practice within the citadel of Mycenae</w:t>
      </w:r>
      <w:r w:rsidR="0066490C">
        <w:rPr>
          <w:sz w:val="24"/>
        </w:rPr>
        <w:t>, this is because rituals and ceremony were a significant section of the religious practise</w:t>
      </w:r>
      <w:r>
        <w:rPr>
          <w:sz w:val="24"/>
        </w:rPr>
        <w:t>.</w:t>
      </w:r>
      <w:r w:rsidR="00AB2537">
        <w:rPr>
          <w:sz w:val="24"/>
        </w:rPr>
        <w:t xml:space="preserve"> The site of Mycenae lies on the </w:t>
      </w:r>
      <w:r w:rsidR="00AB2537" w:rsidRPr="00AB2537">
        <w:rPr>
          <w:sz w:val="24"/>
        </w:rPr>
        <w:t xml:space="preserve">on the </w:t>
      </w:r>
      <w:proofErr w:type="spellStart"/>
      <w:r w:rsidR="00AB2537" w:rsidRPr="00AB2537">
        <w:rPr>
          <w:sz w:val="24"/>
        </w:rPr>
        <w:t>A</w:t>
      </w:r>
      <w:r w:rsidR="00AB2537">
        <w:rPr>
          <w:sz w:val="24"/>
        </w:rPr>
        <w:t>rgolid</w:t>
      </w:r>
      <w:proofErr w:type="spellEnd"/>
      <w:r w:rsidR="00AB2537">
        <w:rPr>
          <w:sz w:val="24"/>
        </w:rPr>
        <w:t xml:space="preserve"> plain of the Peloponnese within</w:t>
      </w:r>
      <w:r w:rsidR="00AB2537" w:rsidRPr="00AB2537">
        <w:rPr>
          <w:sz w:val="24"/>
        </w:rPr>
        <w:t xml:space="preserve"> Greece.</w:t>
      </w:r>
      <w:r w:rsidR="00AB2537">
        <w:rPr>
          <w:rStyle w:val="FootnoteReference"/>
          <w:sz w:val="24"/>
        </w:rPr>
        <w:footnoteReference w:id="1"/>
      </w:r>
      <w:r w:rsidR="00A95F47">
        <w:rPr>
          <w:sz w:val="24"/>
        </w:rPr>
        <w:t xml:space="preserve"> </w:t>
      </w:r>
      <w:r w:rsidR="00AB2537">
        <w:rPr>
          <w:sz w:val="24"/>
        </w:rPr>
        <w:t>The site is most famous for Schliemann’ excavations of the shaft graves from grave circle A,</w:t>
      </w:r>
      <w:r w:rsidR="007E1BC0">
        <w:rPr>
          <w:rStyle w:val="FootnoteReference"/>
          <w:sz w:val="24"/>
        </w:rPr>
        <w:footnoteReference w:id="2"/>
      </w:r>
      <w:r w:rsidR="00AB2537">
        <w:rPr>
          <w:sz w:val="24"/>
        </w:rPr>
        <w:t xml:space="preserve"> within these graves there was a </w:t>
      </w:r>
      <w:r w:rsidR="00DF1165">
        <w:rPr>
          <w:sz w:val="24"/>
        </w:rPr>
        <w:t xml:space="preserve">considerable </w:t>
      </w:r>
      <w:r w:rsidR="007E1BC0">
        <w:rPr>
          <w:sz w:val="24"/>
        </w:rPr>
        <w:t xml:space="preserve">amount of riches such as gold and silver. </w:t>
      </w:r>
      <w:r w:rsidR="007E1BC0">
        <w:rPr>
          <w:rStyle w:val="FootnoteReference"/>
          <w:sz w:val="24"/>
        </w:rPr>
        <w:footnoteReference w:id="3"/>
      </w:r>
      <w:r w:rsidR="009F64BE">
        <w:rPr>
          <w:sz w:val="24"/>
        </w:rPr>
        <w:t xml:space="preserve"> </w:t>
      </w:r>
      <w:r w:rsidR="005A5AC2">
        <w:rPr>
          <w:sz w:val="24"/>
        </w:rPr>
        <w:t>Within</w:t>
      </w:r>
      <w:r w:rsidR="00170F5E">
        <w:rPr>
          <w:sz w:val="24"/>
        </w:rPr>
        <w:t xml:space="preserve"> t</w:t>
      </w:r>
      <w:r w:rsidR="00DF1165">
        <w:rPr>
          <w:sz w:val="24"/>
        </w:rPr>
        <w:t xml:space="preserve">his case study I also intend to </w:t>
      </w:r>
      <w:r w:rsidR="00170F5E">
        <w:rPr>
          <w:sz w:val="24"/>
        </w:rPr>
        <w:t xml:space="preserve">examine the possible religious practice areas on </w:t>
      </w:r>
      <w:r w:rsidR="00271708">
        <w:rPr>
          <w:sz w:val="24"/>
        </w:rPr>
        <w:t>the site. Also</w:t>
      </w:r>
      <w:r w:rsidR="005A5AC2">
        <w:rPr>
          <w:sz w:val="24"/>
        </w:rPr>
        <w:t xml:space="preserve"> within this examination</w:t>
      </w:r>
      <w:r w:rsidR="00170F5E">
        <w:rPr>
          <w:sz w:val="24"/>
        </w:rPr>
        <w:t xml:space="preserve"> I also intend to apply</w:t>
      </w:r>
      <w:r w:rsidR="009F64BE">
        <w:rPr>
          <w:sz w:val="24"/>
        </w:rPr>
        <w:t xml:space="preserve"> the theoretical approaches of </w:t>
      </w:r>
      <w:r w:rsidR="009F64BE" w:rsidRPr="009F64BE">
        <w:rPr>
          <w:sz w:val="24"/>
        </w:rPr>
        <w:t>Actor Network Theory</w:t>
      </w:r>
      <w:r w:rsidR="007E005D">
        <w:rPr>
          <w:sz w:val="24"/>
        </w:rPr>
        <w:t xml:space="preserve"> (ANT)</w:t>
      </w:r>
      <w:r w:rsidR="00FE0AB6">
        <w:rPr>
          <w:sz w:val="24"/>
        </w:rPr>
        <w:t>,</w:t>
      </w:r>
      <w:r w:rsidR="009F64BE">
        <w:rPr>
          <w:sz w:val="24"/>
        </w:rPr>
        <w:t xml:space="preserve"> </w:t>
      </w:r>
      <w:r w:rsidR="009F64BE" w:rsidRPr="009F64BE">
        <w:rPr>
          <w:sz w:val="24"/>
        </w:rPr>
        <w:t>Material Culture &amp; Memory</w:t>
      </w:r>
      <w:r w:rsidR="00072735">
        <w:rPr>
          <w:sz w:val="24"/>
        </w:rPr>
        <w:t xml:space="preserve">, </w:t>
      </w:r>
      <w:r w:rsidR="00AC16DC" w:rsidRPr="00AC16DC">
        <w:rPr>
          <w:sz w:val="24"/>
        </w:rPr>
        <w:t>Post-processual</w:t>
      </w:r>
      <w:r w:rsidR="00DF1165">
        <w:rPr>
          <w:sz w:val="24"/>
        </w:rPr>
        <w:t xml:space="preserve"> theory </w:t>
      </w:r>
      <w:r w:rsidR="00DF1165" w:rsidRPr="00AC16DC">
        <w:rPr>
          <w:sz w:val="24"/>
        </w:rPr>
        <w:t>and</w:t>
      </w:r>
      <w:r w:rsidR="00072735">
        <w:rPr>
          <w:sz w:val="24"/>
        </w:rPr>
        <w:t xml:space="preserve"> Phenomenology</w:t>
      </w:r>
      <w:r w:rsidR="00FE0AB6">
        <w:rPr>
          <w:sz w:val="24"/>
        </w:rPr>
        <w:t xml:space="preserve"> </w:t>
      </w:r>
      <w:r w:rsidR="00170F5E">
        <w:rPr>
          <w:sz w:val="24"/>
        </w:rPr>
        <w:t>to the case study</w:t>
      </w:r>
      <w:r w:rsidR="009F64BE">
        <w:rPr>
          <w:sz w:val="24"/>
        </w:rPr>
        <w:t>.</w:t>
      </w:r>
    </w:p>
    <w:p w:rsidR="00E24491" w:rsidRDefault="0020361B" w:rsidP="00E24491">
      <w:pPr>
        <w:rPr>
          <w:sz w:val="24"/>
        </w:rPr>
      </w:pPr>
      <w:r>
        <w:rPr>
          <w:sz w:val="24"/>
        </w:rPr>
        <w:t>A</w:t>
      </w:r>
      <w:r w:rsidR="00FE0D5D">
        <w:rPr>
          <w:sz w:val="24"/>
        </w:rPr>
        <w:t>NT,</w:t>
      </w:r>
      <w:r w:rsidR="0095255E" w:rsidRPr="0095255E">
        <w:rPr>
          <w:sz w:val="24"/>
        </w:rPr>
        <w:t xml:space="preserve"> created by Bruno </w:t>
      </w:r>
      <w:proofErr w:type="spellStart"/>
      <w:r w:rsidR="0095255E" w:rsidRPr="0095255E">
        <w:rPr>
          <w:sz w:val="24"/>
        </w:rPr>
        <w:t>Latour</w:t>
      </w:r>
      <w:proofErr w:type="spellEnd"/>
      <w:r w:rsidR="00DF1165">
        <w:rPr>
          <w:sz w:val="24"/>
        </w:rPr>
        <w:t>,</w:t>
      </w:r>
      <w:r w:rsidR="0095255E" w:rsidRPr="0095255E">
        <w:rPr>
          <w:sz w:val="24"/>
        </w:rPr>
        <w:t xml:space="preserve"> argues that attention should not be purely be focused upon the action of humans, a common </w:t>
      </w:r>
      <w:r w:rsidR="00DF1165" w:rsidRPr="0095255E">
        <w:rPr>
          <w:sz w:val="24"/>
        </w:rPr>
        <w:t>mis</w:t>
      </w:r>
      <w:r w:rsidR="00DF1165">
        <w:rPr>
          <w:sz w:val="24"/>
        </w:rPr>
        <w:t xml:space="preserve">conception </w:t>
      </w:r>
      <w:r w:rsidR="0095255E" w:rsidRPr="0095255E">
        <w:rPr>
          <w:sz w:val="24"/>
        </w:rPr>
        <w:t>of archaeologists</w:t>
      </w:r>
      <w:r w:rsidR="00DF1165">
        <w:rPr>
          <w:sz w:val="24"/>
        </w:rPr>
        <w:t>,</w:t>
      </w:r>
      <w:r w:rsidR="0095255E" w:rsidRPr="0095255E">
        <w:rPr>
          <w:sz w:val="24"/>
        </w:rPr>
        <w:t xml:space="preserve"> but rather the relationship between objects and humans</w:t>
      </w:r>
      <w:r w:rsidR="0095255E">
        <w:rPr>
          <w:sz w:val="24"/>
        </w:rPr>
        <w:t>.</w:t>
      </w:r>
      <w:r w:rsidR="0095255E">
        <w:rPr>
          <w:rStyle w:val="FootnoteReference"/>
          <w:sz w:val="24"/>
        </w:rPr>
        <w:footnoteReference w:id="4"/>
      </w:r>
      <w:r w:rsidR="00116CDA">
        <w:rPr>
          <w:sz w:val="24"/>
        </w:rPr>
        <w:t xml:space="preserve"> </w:t>
      </w:r>
      <w:r w:rsidR="00E24491">
        <w:rPr>
          <w:sz w:val="24"/>
        </w:rPr>
        <w:t>This can then be added to the work of</w:t>
      </w:r>
      <w:r w:rsidR="00FE0D5D">
        <w:rPr>
          <w:sz w:val="24"/>
        </w:rPr>
        <w:t xml:space="preserve"> </w:t>
      </w:r>
      <w:proofErr w:type="spellStart"/>
      <w:r w:rsidR="00FE0D5D">
        <w:rPr>
          <w:sz w:val="24"/>
        </w:rPr>
        <w:t>Stockhammer</w:t>
      </w:r>
      <w:proofErr w:type="spellEnd"/>
      <w:r w:rsidR="00FE0D5D">
        <w:rPr>
          <w:sz w:val="24"/>
        </w:rPr>
        <w:t xml:space="preserve"> who combined ANT</w:t>
      </w:r>
      <w:r w:rsidR="00E24491">
        <w:rPr>
          <w:sz w:val="24"/>
        </w:rPr>
        <w:t xml:space="preserve"> with</w:t>
      </w:r>
      <w:r w:rsidR="00DF1165">
        <w:rPr>
          <w:sz w:val="24"/>
        </w:rPr>
        <w:t xml:space="preserve"> Theory of P</w:t>
      </w:r>
      <w:r w:rsidR="00E24491" w:rsidRPr="00E24491">
        <w:rPr>
          <w:sz w:val="24"/>
        </w:rPr>
        <w:t>ractice</w:t>
      </w:r>
      <w:r w:rsidR="00E24491">
        <w:rPr>
          <w:sz w:val="24"/>
        </w:rPr>
        <w:t xml:space="preserve">, </w:t>
      </w:r>
      <w:proofErr w:type="spellStart"/>
      <w:r w:rsidR="00E24491" w:rsidRPr="00E24491">
        <w:rPr>
          <w:sz w:val="24"/>
        </w:rPr>
        <w:t>Stockhammer</w:t>
      </w:r>
      <w:proofErr w:type="spellEnd"/>
      <w:r w:rsidR="00E24491">
        <w:rPr>
          <w:sz w:val="24"/>
        </w:rPr>
        <w:t xml:space="preserve"> argues that this a</w:t>
      </w:r>
      <w:r w:rsidR="00E24491" w:rsidRPr="00E24491">
        <w:rPr>
          <w:sz w:val="24"/>
        </w:rPr>
        <w:t>llo</w:t>
      </w:r>
      <w:r w:rsidR="00E24491">
        <w:rPr>
          <w:sz w:val="24"/>
        </w:rPr>
        <w:t>ws us to consider the action of human and</w:t>
      </w:r>
      <w:r w:rsidR="00E24491" w:rsidRPr="00E24491">
        <w:rPr>
          <w:sz w:val="24"/>
        </w:rPr>
        <w:t xml:space="preserve"> repeated use of objects in the past</w:t>
      </w:r>
      <w:r w:rsidR="00E24491">
        <w:rPr>
          <w:sz w:val="24"/>
        </w:rPr>
        <w:t xml:space="preserve">. </w:t>
      </w:r>
      <w:proofErr w:type="spellStart"/>
      <w:r w:rsidR="00E24491" w:rsidRPr="00E24491">
        <w:rPr>
          <w:sz w:val="24"/>
        </w:rPr>
        <w:t>Stockhammer</w:t>
      </w:r>
      <w:proofErr w:type="spellEnd"/>
      <w:r w:rsidR="00E24491">
        <w:rPr>
          <w:sz w:val="24"/>
        </w:rPr>
        <w:t xml:space="preserve"> also argues</w:t>
      </w:r>
      <w:r w:rsidR="00DF1165">
        <w:rPr>
          <w:sz w:val="24"/>
        </w:rPr>
        <w:t xml:space="preserve"> that</w:t>
      </w:r>
      <w:r w:rsidR="00E24491">
        <w:rPr>
          <w:sz w:val="24"/>
        </w:rPr>
        <w:t xml:space="preserve"> </w:t>
      </w:r>
      <w:r w:rsidR="00E24491" w:rsidRPr="00E24491">
        <w:rPr>
          <w:sz w:val="24"/>
        </w:rPr>
        <w:t>“Humans use things with multiple intentions, but at the same time feel that things move or force them to act. Humans communicate through objects but also with objects in the context of social practices</w:t>
      </w:r>
      <w:r w:rsidR="00DF1165">
        <w:rPr>
          <w:sz w:val="24"/>
        </w:rPr>
        <w:t>.</w:t>
      </w:r>
      <w:r w:rsidR="00E24491" w:rsidRPr="00E24491">
        <w:rPr>
          <w:sz w:val="24"/>
        </w:rPr>
        <w:t>”</w:t>
      </w:r>
      <w:r w:rsidR="00E24491">
        <w:rPr>
          <w:rStyle w:val="FootnoteReference"/>
          <w:sz w:val="24"/>
        </w:rPr>
        <w:footnoteReference w:id="5"/>
      </w:r>
      <w:r w:rsidR="00E24491" w:rsidRPr="00E24491">
        <w:rPr>
          <w:sz w:val="24"/>
        </w:rPr>
        <w:t xml:space="preserve"> </w:t>
      </w:r>
      <w:r w:rsidR="00E14FC6" w:rsidRPr="00E14FC6">
        <w:rPr>
          <w:sz w:val="24"/>
        </w:rPr>
        <w:t>This can be applied to the Mycenaeans because the</w:t>
      </w:r>
      <w:r w:rsidR="00DF1165">
        <w:rPr>
          <w:sz w:val="24"/>
        </w:rPr>
        <w:t xml:space="preserve"> relationship between</w:t>
      </w:r>
      <w:r w:rsidR="00E14FC6" w:rsidRPr="00E14FC6">
        <w:rPr>
          <w:sz w:val="24"/>
        </w:rPr>
        <w:t xml:space="preserve"> civili</w:t>
      </w:r>
      <w:r w:rsidR="00DF1165">
        <w:rPr>
          <w:sz w:val="24"/>
        </w:rPr>
        <w:t>sation and religion is connected to the</w:t>
      </w:r>
      <w:r w:rsidR="00E14FC6" w:rsidRPr="00E14FC6">
        <w:rPr>
          <w:sz w:val="24"/>
        </w:rPr>
        <w:t xml:space="preserve"> interaction between objects and the people of the civilisation.</w:t>
      </w:r>
    </w:p>
    <w:p w:rsidR="00AC16DC" w:rsidRDefault="0031673A">
      <w:pPr>
        <w:rPr>
          <w:sz w:val="24"/>
        </w:rPr>
      </w:pPr>
      <w:r>
        <w:rPr>
          <w:sz w:val="24"/>
        </w:rPr>
        <w:t xml:space="preserve">The theory of </w:t>
      </w:r>
      <w:r w:rsidRPr="0031673A">
        <w:rPr>
          <w:sz w:val="24"/>
        </w:rPr>
        <w:t>Phenomenology</w:t>
      </w:r>
      <w:r>
        <w:rPr>
          <w:sz w:val="24"/>
        </w:rPr>
        <w:t xml:space="preserve"> is based on the idea that archaeologists mu</w:t>
      </w:r>
      <w:r w:rsidR="00DF1165">
        <w:rPr>
          <w:sz w:val="24"/>
        </w:rPr>
        <w:t>st look at how people interact</w:t>
      </w:r>
      <w:r>
        <w:rPr>
          <w:sz w:val="24"/>
        </w:rPr>
        <w:t xml:space="preserve"> with the landscape, Till</w:t>
      </w:r>
      <w:r w:rsidR="00AC16DC">
        <w:rPr>
          <w:sz w:val="24"/>
        </w:rPr>
        <w:t>e</w:t>
      </w:r>
      <w:r>
        <w:rPr>
          <w:sz w:val="24"/>
        </w:rPr>
        <w:t xml:space="preserve">y </w:t>
      </w:r>
      <w:r w:rsidR="00AC16DC">
        <w:rPr>
          <w:sz w:val="24"/>
        </w:rPr>
        <w:t>argues</w:t>
      </w:r>
      <w:r>
        <w:rPr>
          <w:sz w:val="24"/>
        </w:rPr>
        <w:t xml:space="preserve"> that it is important to look at not just the</w:t>
      </w:r>
      <w:r w:rsidR="00DF1165">
        <w:rPr>
          <w:sz w:val="24"/>
        </w:rPr>
        <w:t xml:space="preserve"> interaction between </w:t>
      </w:r>
      <w:r>
        <w:rPr>
          <w:sz w:val="24"/>
        </w:rPr>
        <w:t xml:space="preserve">landscape and people, but to look at the </w:t>
      </w:r>
      <w:r w:rsidR="00397D6D">
        <w:rPr>
          <w:sz w:val="24"/>
        </w:rPr>
        <w:t>two together through the senses.</w:t>
      </w:r>
      <w:r w:rsidR="00462444">
        <w:rPr>
          <w:sz w:val="24"/>
        </w:rPr>
        <w:t xml:space="preserve"> </w:t>
      </w:r>
      <w:r w:rsidR="00DF1165">
        <w:rPr>
          <w:sz w:val="24"/>
        </w:rPr>
        <w:t>H</w:t>
      </w:r>
      <w:r w:rsidR="00004175">
        <w:rPr>
          <w:sz w:val="24"/>
        </w:rPr>
        <w:t>e discusses the impact that the land had on the people for example the names that the people gave to certain features within the landscape</w:t>
      </w:r>
      <w:r w:rsidR="00DF1165">
        <w:rPr>
          <w:sz w:val="24"/>
        </w:rPr>
        <w:t>,</w:t>
      </w:r>
      <w:r w:rsidR="00004175">
        <w:rPr>
          <w:rStyle w:val="FootnoteReference"/>
          <w:sz w:val="24"/>
        </w:rPr>
        <w:footnoteReference w:id="6"/>
      </w:r>
      <w:r w:rsidR="00004175">
        <w:rPr>
          <w:sz w:val="24"/>
        </w:rPr>
        <w:t xml:space="preserve"> this can be related to the excavation of the site of Mycenae, </w:t>
      </w:r>
      <w:proofErr w:type="gramStart"/>
      <w:r w:rsidR="00004175">
        <w:rPr>
          <w:sz w:val="24"/>
        </w:rPr>
        <w:t>in</w:t>
      </w:r>
      <w:proofErr w:type="gramEnd"/>
      <w:r w:rsidR="00004175">
        <w:rPr>
          <w:sz w:val="24"/>
        </w:rPr>
        <w:t xml:space="preserve"> certain areas of the site the archaeologists </w:t>
      </w:r>
      <w:r w:rsidR="00DF1165">
        <w:rPr>
          <w:sz w:val="24"/>
        </w:rPr>
        <w:t>have named sections based on</w:t>
      </w:r>
      <w:r w:rsidR="00004175">
        <w:rPr>
          <w:sz w:val="24"/>
        </w:rPr>
        <w:t xml:space="preserve"> what they have found there </w:t>
      </w:r>
      <w:r w:rsidR="00E14FC6">
        <w:rPr>
          <w:sz w:val="24"/>
        </w:rPr>
        <w:t>i.e.</w:t>
      </w:r>
      <w:r w:rsidR="00DF1165">
        <w:rPr>
          <w:sz w:val="24"/>
        </w:rPr>
        <w:t xml:space="preserve"> the ‘R</w:t>
      </w:r>
      <w:r w:rsidR="00004175">
        <w:rPr>
          <w:sz w:val="24"/>
        </w:rPr>
        <w:t>oom of Idols.</w:t>
      </w:r>
    </w:p>
    <w:p w:rsidR="00AC16DC" w:rsidRDefault="00AC16DC">
      <w:pPr>
        <w:rPr>
          <w:sz w:val="24"/>
        </w:rPr>
      </w:pPr>
      <w:r w:rsidRPr="00AC16DC">
        <w:rPr>
          <w:sz w:val="24"/>
        </w:rPr>
        <w:t xml:space="preserve">Post-processualism </w:t>
      </w:r>
      <w:r>
        <w:rPr>
          <w:sz w:val="24"/>
        </w:rPr>
        <w:t xml:space="preserve">argues that archaeologists are being subjective to the findings, often placing </w:t>
      </w:r>
      <w:r w:rsidR="00ED1D1B">
        <w:rPr>
          <w:sz w:val="24"/>
        </w:rPr>
        <w:t>their own bias onto the artefacts and sites, in other words archaeologists simply classify and describe findings</w:t>
      </w:r>
      <w:r w:rsidR="00DF1165">
        <w:rPr>
          <w:sz w:val="24"/>
        </w:rPr>
        <w:t xml:space="preserve"> based upon their own </w:t>
      </w:r>
      <w:r w:rsidR="00713975">
        <w:rPr>
          <w:sz w:val="24"/>
        </w:rPr>
        <w:t>experience.</w:t>
      </w:r>
      <w:r w:rsidR="00ED1D1B">
        <w:rPr>
          <w:rStyle w:val="FootnoteReference"/>
          <w:sz w:val="24"/>
        </w:rPr>
        <w:footnoteReference w:id="7"/>
      </w:r>
      <w:r w:rsidR="00ED1D1B">
        <w:rPr>
          <w:sz w:val="24"/>
        </w:rPr>
        <w:t xml:space="preserve"> The theory also suggests that th</w:t>
      </w:r>
      <w:r w:rsidR="00DF1165">
        <w:rPr>
          <w:sz w:val="24"/>
        </w:rPr>
        <w:t>e reactio</w:t>
      </w:r>
      <w:r w:rsidR="00713975">
        <w:rPr>
          <w:sz w:val="24"/>
        </w:rPr>
        <w:t>ns of people to objects and the</w:t>
      </w:r>
      <w:r w:rsidR="00DF1165">
        <w:rPr>
          <w:sz w:val="24"/>
        </w:rPr>
        <w:t xml:space="preserve"> </w:t>
      </w:r>
      <w:r w:rsidR="00713975">
        <w:rPr>
          <w:sz w:val="24"/>
        </w:rPr>
        <w:t>environment</w:t>
      </w:r>
      <w:r w:rsidR="00ED1D1B">
        <w:rPr>
          <w:sz w:val="24"/>
        </w:rPr>
        <w:t xml:space="preserve"> such as landscapes, is different between person to person, for example one person can see it as a form of resources, where </w:t>
      </w:r>
      <w:r w:rsidR="00ED1D1B">
        <w:rPr>
          <w:sz w:val="24"/>
        </w:rPr>
        <w:lastRenderedPageBreak/>
        <w:t>another could see it as the home of their ancestors.</w:t>
      </w:r>
      <w:r w:rsidR="00ED1D1B">
        <w:rPr>
          <w:rStyle w:val="FootnoteReference"/>
          <w:sz w:val="24"/>
        </w:rPr>
        <w:footnoteReference w:id="8"/>
      </w:r>
      <w:r w:rsidR="00ED1D1B">
        <w:rPr>
          <w:sz w:val="24"/>
        </w:rPr>
        <w:t xml:space="preserve"> The theory is mainly based upon the ideas</w:t>
      </w:r>
      <w:r w:rsidR="00BA5A0F">
        <w:rPr>
          <w:sz w:val="24"/>
        </w:rPr>
        <w:t xml:space="preserve"> of Hodder, who in the beginning of his career</w:t>
      </w:r>
      <w:r w:rsidR="00713975">
        <w:rPr>
          <w:sz w:val="24"/>
        </w:rPr>
        <w:t xml:space="preserve"> was very statistical and focused </w:t>
      </w:r>
      <w:r w:rsidR="00BA5A0F">
        <w:rPr>
          <w:sz w:val="24"/>
        </w:rPr>
        <w:t xml:space="preserve">heavily on the interpretation of data, however he started to question this as he felt that there were no ways to test or prove the data accurately, because there were alternative ways the data could be read. This is due to human activity being not clear cut but rather fluid. </w:t>
      </w:r>
    </w:p>
    <w:p w:rsidR="00675808" w:rsidRDefault="00CB2000">
      <w:pPr>
        <w:rPr>
          <w:sz w:val="24"/>
        </w:rPr>
      </w:pPr>
      <w:r>
        <w:rPr>
          <w:sz w:val="24"/>
        </w:rPr>
        <w:t>Material culture and memory relies upon the idea that the p</w:t>
      </w:r>
      <w:r w:rsidR="00713975">
        <w:rPr>
          <w:sz w:val="24"/>
        </w:rPr>
        <w:t>eople of the civilisation (in this</w:t>
      </w:r>
      <w:r>
        <w:rPr>
          <w:sz w:val="24"/>
        </w:rPr>
        <w:t xml:space="preserve"> case the Mycenaeans) </w:t>
      </w:r>
      <w:r w:rsidR="00713975">
        <w:rPr>
          <w:sz w:val="24"/>
        </w:rPr>
        <w:t xml:space="preserve">are </w:t>
      </w:r>
      <w:r w:rsidR="00D40665">
        <w:rPr>
          <w:sz w:val="24"/>
        </w:rPr>
        <w:t xml:space="preserve">acting upon the same beliefs and are performing the same rituals </w:t>
      </w:r>
      <w:r w:rsidR="00675808">
        <w:rPr>
          <w:sz w:val="24"/>
        </w:rPr>
        <w:t xml:space="preserve">or rites </w:t>
      </w:r>
      <w:r w:rsidR="00D40665">
        <w:rPr>
          <w:sz w:val="24"/>
        </w:rPr>
        <w:t xml:space="preserve">as a group. </w:t>
      </w:r>
      <w:r w:rsidR="00D40665">
        <w:rPr>
          <w:rStyle w:val="FootnoteReference"/>
          <w:sz w:val="24"/>
        </w:rPr>
        <w:footnoteReference w:id="9"/>
      </w:r>
      <w:r w:rsidR="00D40665">
        <w:rPr>
          <w:sz w:val="24"/>
        </w:rPr>
        <w:t xml:space="preserve"> </w:t>
      </w:r>
      <w:r w:rsidR="00675808">
        <w:rPr>
          <w:sz w:val="24"/>
        </w:rPr>
        <w:t xml:space="preserve">The main scholar behind this theory is </w:t>
      </w:r>
      <w:r w:rsidR="00D40665">
        <w:rPr>
          <w:sz w:val="24"/>
        </w:rPr>
        <w:t>Connerton</w:t>
      </w:r>
      <w:r w:rsidR="00675808">
        <w:rPr>
          <w:sz w:val="24"/>
        </w:rPr>
        <w:t>, who</w:t>
      </w:r>
      <w:r w:rsidR="00713975">
        <w:rPr>
          <w:sz w:val="24"/>
        </w:rPr>
        <w:t xml:space="preserve"> argues that the term ritual i</w:t>
      </w:r>
      <w:r w:rsidR="00D40665">
        <w:rPr>
          <w:sz w:val="24"/>
        </w:rPr>
        <w:t xml:space="preserve">s a “rule-governed </w:t>
      </w:r>
      <w:r w:rsidR="00675808">
        <w:rPr>
          <w:sz w:val="24"/>
        </w:rPr>
        <w:t>activity of a symbolic character which draws the attention of its participants to objects of though</w:t>
      </w:r>
      <w:r w:rsidR="00713975">
        <w:rPr>
          <w:sz w:val="24"/>
        </w:rPr>
        <w:t>t and feelings which they hold to be of</w:t>
      </w:r>
      <w:r w:rsidR="00675808">
        <w:rPr>
          <w:sz w:val="24"/>
        </w:rPr>
        <w:t xml:space="preserve"> special significance.”</w:t>
      </w:r>
      <w:r w:rsidR="00675808">
        <w:rPr>
          <w:rStyle w:val="FootnoteReference"/>
          <w:sz w:val="24"/>
        </w:rPr>
        <w:footnoteReference w:id="10"/>
      </w:r>
      <w:r w:rsidR="00713975">
        <w:rPr>
          <w:sz w:val="24"/>
        </w:rPr>
        <w:t xml:space="preserve"> I</w:t>
      </w:r>
      <w:r w:rsidR="00675808">
        <w:rPr>
          <w:sz w:val="24"/>
        </w:rPr>
        <w:t xml:space="preserve">n regards to rites he argues that they are repetitive and stylised, the </w:t>
      </w:r>
      <w:r w:rsidR="003B304A">
        <w:rPr>
          <w:sz w:val="24"/>
        </w:rPr>
        <w:t>repetition of the rites means that the actions become fixed into the</w:t>
      </w:r>
      <w:r w:rsidR="00713975">
        <w:rPr>
          <w:sz w:val="24"/>
        </w:rPr>
        <w:t xml:space="preserve"> memory of the group and form a</w:t>
      </w:r>
      <w:r w:rsidR="003B304A">
        <w:rPr>
          <w:sz w:val="24"/>
        </w:rPr>
        <w:t xml:space="preserve"> connection to the past.</w:t>
      </w:r>
      <w:r w:rsidR="003B304A">
        <w:rPr>
          <w:rStyle w:val="FootnoteReference"/>
          <w:sz w:val="24"/>
        </w:rPr>
        <w:footnoteReference w:id="11"/>
      </w:r>
    </w:p>
    <w:p w:rsidR="00E14178" w:rsidRDefault="008475CA">
      <w:pPr>
        <w:rPr>
          <w:sz w:val="24"/>
        </w:rPr>
      </w:pPr>
      <w:r>
        <w:rPr>
          <w:sz w:val="24"/>
        </w:rPr>
        <w:t xml:space="preserve">Mycenaean religion is a complex issue for Archaeologists, this is due to the findings being very fragmentary, and </w:t>
      </w:r>
      <w:r w:rsidR="00713975">
        <w:rPr>
          <w:sz w:val="24"/>
        </w:rPr>
        <w:t>what fragments that are found are</w:t>
      </w:r>
      <w:r>
        <w:rPr>
          <w:sz w:val="24"/>
        </w:rPr>
        <w:t xml:space="preserve"> the result of the belief not the belief itself.</w:t>
      </w:r>
      <w:r>
        <w:rPr>
          <w:rStyle w:val="FootnoteReference"/>
          <w:sz w:val="24"/>
        </w:rPr>
        <w:footnoteReference w:id="12"/>
      </w:r>
      <w:r>
        <w:rPr>
          <w:sz w:val="24"/>
        </w:rPr>
        <w:t xml:space="preserve"> </w:t>
      </w:r>
      <w:r w:rsidR="00713975">
        <w:rPr>
          <w:sz w:val="24"/>
        </w:rPr>
        <w:t>T</w:t>
      </w:r>
      <w:r>
        <w:rPr>
          <w:sz w:val="24"/>
        </w:rPr>
        <w:t xml:space="preserve">he </w:t>
      </w:r>
      <w:r w:rsidR="00A200CC">
        <w:rPr>
          <w:sz w:val="24"/>
        </w:rPr>
        <w:t>artefacts that are the consequence of the belief can include; vessels contain</w:t>
      </w:r>
      <w:r w:rsidR="00713975">
        <w:rPr>
          <w:sz w:val="24"/>
        </w:rPr>
        <w:t>ing</w:t>
      </w:r>
      <w:r w:rsidR="00A200CC">
        <w:rPr>
          <w:sz w:val="24"/>
        </w:rPr>
        <w:t xml:space="preserve"> cult images of the deities and their worshipers, the cult building </w:t>
      </w:r>
      <w:r w:rsidR="00713975">
        <w:rPr>
          <w:sz w:val="24"/>
        </w:rPr>
        <w:t>itself</w:t>
      </w:r>
      <w:r w:rsidR="00A200CC">
        <w:rPr>
          <w:sz w:val="24"/>
        </w:rPr>
        <w:t xml:space="preserve"> and finally Linear B tablets.</w:t>
      </w:r>
      <w:r w:rsidR="00A200CC">
        <w:rPr>
          <w:rStyle w:val="FootnoteReference"/>
          <w:sz w:val="24"/>
        </w:rPr>
        <w:footnoteReference w:id="13"/>
      </w:r>
      <w:r w:rsidR="00A200CC">
        <w:rPr>
          <w:sz w:val="24"/>
        </w:rPr>
        <w:t xml:space="preserve"> The tablets are useful as they provide the names of the deities, places of worship and the offerings given to the deities,</w:t>
      </w:r>
      <w:r w:rsidR="00A200CC">
        <w:rPr>
          <w:rStyle w:val="FootnoteReference"/>
          <w:sz w:val="24"/>
        </w:rPr>
        <w:footnoteReference w:id="14"/>
      </w:r>
      <w:r w:rsidR="00A200CC">
        <w:rPr>
          <w:sz w:val="24"/>
        </w:rPr>
        <w:t xml:space="preserve"> however the tablets do not contain any religious texts or myth so that aspect of the religion is lost.</w:t>
      </w:r>
      <w:r w:rsidR="00A200CC">
        <w:rPr>
          <w:rStyle w:val="FootnoteReference"/>
          <w:sz w:val="24"/>
        </w:rPr>
        <w:footnoteReference w:id="15"/>
      </w:r>
      <w:r w:rsidR="000825FF">
        <w:rPr>
          <w:sz w:val="24"/>
        </w:rPr>
        <w:t xml:space="preserve">  There is also another problem with the Mycenaean religion and that is that there is a lot of overlap with another power</w:t>
      </w:r>
      <w:r w:rsidR="00713975">
        <w:rPr>
          <w:sz w:val="24"/>
        </w:rPr>
        <w:t>ful</w:t>
      </w:r>
      <w:r w:rsidR="000825FF">
        <w:rPr>
          <w:sz w:val="24"/>
        </w:rPr>
        <w:t xml:space="preserve"> civilisation from the period known as the Minoans. The </w:t>
      </w:r>
      <w:r w:rsidR="00E14178">
        <w:rPr>
          <w:sz w:val="24"/>
        </w:rPr>
        <w:t xml:space="preserve">overlap </w:t>
      </w:r>
      <w:r w:rsidR="00713975">
        <w:rPr>
          <w:sz w:val="24"/>
        </w:rPr>
        <w:t>is caused by there being a significant</w:t>
      </w:r>
      <w:r w:rsidR="00E14178">
        <w:rPr>
          <w:sz w:val="24"/>
        </w:rPr>
        <w:t xml:space="preserve"> use of iconography</w:t>
      </w:r>
      <w:r w:rsidR="00713975">
        <w:rPr>
          <w:sz w:val="24"/>
        </w:rPr>
        <w:t xml:space="preserve"> in both</w:t>
      </w:r>
      <w:r w:rsidR="00E14178">
        <w:rPr>
          <w:sz w:val="24"/>
        </w:rPr>
        <w:t xml:space="preserve"> which is believed to originate in the Minoan civilisation, an example of this t</w:t>
      </w:r>
      <w:r w:rsidR="00E14178" w:rsidRPr="00E14178">
        <w:rPr>
          <w:sz w:val="24"/>
        </w:rPr>
        <w:t xml:space="preserve">he existence of </w:t>
      </w:r>
      <w:r w:rsidR="00E14178">
        <w:rPr>
          <w:sz w:val="24"/>
        </w:rPr>
        <w:t>the horns of consecration in the artwork.</w:t>
      </w:r>
      <w:r w:rsidR="00E14178">
        <w:rPr>
          <w:rStyle w:val="FootnoteReference"/>
          <w:sz w:val="24"/>
        </w:rPr>
        <w:footnoteReference w:id="16"/>
      </w:r>
      <w:r w:rsidR="00A409E9">
        <w:rPr>
          <w:sz w:val="24"/>
        </w:rPr>
        <w:t xml:space="preserve"> </w:t>
      </w:r>
      <w:r w:rsidR="00FE0AB6">
        <w:rPr>
          <w:sz w:val="24"/>
        </w:rPr>
        <w:t>Another artefact</w:t>
      </w:r>
      <w:r w:rsidR="00FE0AB6" w:rsidRPr="00FE0AB6">
        <w:rPr>
          <w:sz w:val="24"/>
        </w:rPr>
        <w:t xml:space="preserve"> that shows the mix of religion is a painted limestone tablet which contains a warrior godde</w:t>
      </w:r>
      <w:r w:rsidR="00FE0AB6">
        <w:rPr>
          <w:sz w:val="24"/>
        </w:rPr>
        <w:t>ss and ‘figure of eight’ shield,</w:t>
      </w:r>
      <w:r w:rsidR="00FE0AB6" w:rsidRPr="00FE0AB6">
        <w:rPr>
          <w:sz w:val="24"/>
        </w:rPr>
        <w:t xml:space="preserve"> </w:t>
      </w:r>
      <w:r w:rsidR="00FE0AB6" w:rsidRPr="00FE0AB6">
        <w:rPr>
          <w:sz w:val="24"/>
          <w:vertAlign w:val="superscript"/>
        </w:rPr>
        <w:footnoteReference w:id="17"/>
      </w:r>
      <w:r w:rsidR="00FE0AB6">
        <w:rPr>
          <w:sz w:val="24"/>
        </w:rPr>
        <w:t xml:space="preserve"> the shield is an image that appears in both religions so it is likely that the two civilisations adopted this shared belief. </w:t>
      </w:r>
      <w:r w:rsidR="00A409E9">
        <w:rPr>
          <w:sz w:val="24"/>
        </w:rPr>
        <w:t xml:space="preserve">There is more evidence of this mix of religion around the Aegean, for example on the Cycladic island of Kea </w:t>
      </w:r>
      <w:r w:rsidR="00891A9A">
        <w:rPr>
          <w:sz w:val="24"/>
        </w:rPr>
        <w:t xml:space="preserve">there is a site known as </w:t>
      </w:r>
      <w:proofErr w:type="spellStart"/>
      <w:r w:rsidR="00891A9A">
        <w:rPr>
          <w:sz w:val="24"/>
        </w:rPr>
        <w:t>Ayia</w:t>
      </w:r>
      <w:proofErr w:type="spellEnd"/>
      <w:r w:rsidR="00891A9A">
        <w:rPr>
          <w:sz w:val="24"/>
        </w:rPr>
        <w:t xml:space="preserve"> Irina. At </w:t>
      </w:r>
      <w:r w:rsidR="00891A9A" w:rsidRPr="00891A9A">
        <w:rPr>
          <w:sz w:val="24"/>
        </w:rPr>
        <w:t>Ayia Irina</w:t>
      </w:r>
      <w:r w:rsidR="00891A9A">
        <w:rPr>
          <w:sz w:val="24"/>
        </w:rPr>
        <w:t xml:space="preserve"> archaeologists found a distinct Minoan-Mycenaean shrine with multiple female terracotta figurines.</w:t>
      </w:r>
      <w:r w:rsidR="00891A9A">
        <w:rPr>
          <w:rStyle w:val="FootnoteReference"/>
          <w:sz w:val="24"/>
        </w:rPr>
        <w:footnoteReference w:id="18"/>
      </w:r>
      <w:r w:rsidR="003151F3">
        <w:rPr>
          <w:sz w:val="24"/>
        </w:rPr>
        <w:t xml:space="preserve"> When</w:t>
      </w:r>
      <w:r w:rsidR="000C15CD">
        <w:rPr>
          <w:sz w:val="24"/>
        </w:rPr>
        <w:t xml:space="preserve"> I stayed on the island for study, I visited the site and </w:t>
      </w:r>
      <w:r w:rsidR="003151F3">
        <w:rPr>
          <w:sz w:val="24"/>
        </w:rPr>
        <w:t xml:space="preserve">while on tour with one of the people who helped excavate the site it was clear that it was difficult for the team to define which civilisation it was from </w:t>
      </w:r>
      <w:r w:rsidR="000C15CD">
        <w:rPr>
          <w:sz w:val="24"/>
        </w:rPr>
        <w:t xml:space="preserve">because there was </w:t>
      </w:r>
      <w:r w:rsidR="003151F3">
        <w:rPr>
          <w:sz w:val="24"/>
        </w:rPr>
        <w:t>a hybrid mix</w:t>
      </w:r>
      <w:r w:rsidR="000C15CD">
        <w:rPr>
          <w:sz w:val="24"/>
        </w:rPr>
        <w:t xml:space="preserve"> of influences</w:t>
      </w:r>
      <w:r w:rsidR="003151F3">
        <w:rPr>
          <w:sz w:val="24"/>
        </w:rPr>
        <w:t>, and it was im</w:t>
      </w:r>
      <w:r w:rsidR="000C15CD">
        <w:rPr>
          <w:sz w:val="24"/>
        </w:rPr>
        <w:t xml:space="preserve">possible to separate Minoan and </w:t>
      </w:r>
      <w:r w:rsidR="000C15CD">
        <w:rPr>
          <w:sz w:val="24"/>
        </w:rPr>
        <w:lastRenderedPageBreak/>
        <w:t>Mycenaean</w:t>
      </w:r>
      <w:r w:rsidR="003151F3">
        <w:rPr>
          <w:sz w:val="24"/>
        </w:rPr>
        <w:t xml:space="preserve"> when looking at the structure. Later during my stay I went to the island’s archaeological museum to look at the artefact</w:t>
      </w:r>
      <w:r w:rsidR="000C15CD">
        <w:rPr>
          <w:sz w:val="24"/>
        </w:rPr>
        <w:t>s</w:t>
      </w:r>
      <w:r w:rsidR="003151F3">
        <w:rPr>
          <w:sz w:val="24"/>
        </w:rPr>
        <w:t xml:space="preserve"> from the site</w:t>
      </w:r>
      <w:r w:rsidR="000C15CD">
        <w:rPr>
          <w:sz w:val="24"/>
        </w:rPr>
        <w:t>,</w:t>
      </w:r>
      <w:r w:rsidR="003151F3">
        <w:rPr>
          <w:sz w:val="24"/>
        </w:rPr>
        <w:t xml:space="preserve"> and when looking at the </w:t>
      </w:r>
      <w:r w:rsidR="000C15CD">
        <w:rPr>
          <w:sz w:val="24"/>
        </w:rPr>
        <w:t xml:space="preserve">religious </w:t>
      </w:r>
      <w:r w:rsidR="003151F3">
        <w:rPr>
          <w:sz w:val="24"/>
        </w:rPr>
        <w:t>artefacts it was extremely</w:t>
      </w:r>
      <w:r w:rsidR="000C15CD">
        <w:rPr>
          <w:sz w:val="24"/>
        </w:rPr>
        <w:t xml:space="preserve"> difficult</w:t>
      </w:r>
      <w:r w:rsidR="003151F3">
        <w:rPr>
          <w:sz w:val="24"/>
        </w:rPr>
        <w:t xml:space="preserve"> to identify which civilisation the figurines were from because again they had aspects </w:t>
      </w:r>
      <w:r w:rsidR="000C15CD">
        <w:rPr>
          <w:sz w:val="24"/>
        </w:rPr>
        <w:t>of both civilisations mixed in</w:t>
      </w:r>
      <w:r w:rsidR="003151F3">
        <w:rPr>
          <w:sz w:val="24"/>
        </w:rPr>
        <w:t xml:space="preserve"> together. </w:t>
      </w:r>
    </w:p>
    <w:p w:rsidR="0031673A" w:rsidRDefault="008E08C1">
      <w:pPr>
        <w:rPr>
          <w:sz w:val="24"/>
        </w:rPr>
      </w:pPr>
      <w:r>
        <w:rPr>
          <w:sz w:val="24"/>
        </w:rPr>
        <w:t xml:space="preserve">I have visited the site </w:t>
      </w:r>
      <w:r w:rsidR="002047AD">
        <w:rPr>
          <w:sz w:val="24"/>
        </w:rPr>
        <w:t>of the</w:t>
      </w:r>
      <w:r w:rsidR="000C15CD">
        <w:rPr>
          <w:sz w:val="24"/>
        </w:rPr>
        <w:t xml:space="preserve"> citadel of Mycenae twice.</w:t>
      </w:r>
      <w:r>
        <w:rPr>
          <w:sz w:val="24"/>
        </w:rPr>
        <w:t xml:space="preserve"> </w:t>
      </w:r>
      <w:r w:rsidR="000C15CD">
        <w:rPr>
          <w:sz w:val="24"/>
        </w:rPr>
        <w:t>When</w:t>
      </w:r>
      <w:r>
        <w:rPr>
          <w:sz w:val="24"/>
        </w:rPr>
        <w:t xml:space="preserve"> you</w:t>
      </w:r>
      <w:r w:rsidR="000C15CD">
        <w:rPr>
          <w:sz w:val="24"/>
        </w:rPr>
        <w:t xml:space="preserve"> approach it on the modern road which follow the course of ancient pathways</w:t>
      </w:r>
      <w:r>
        <w:rPr>
          <w:sz w:val="24"/>
        </w:rPr>
        <w:t xml:space="preserve"> of Greece it is very difficult to see the site until you are nearly there. This </w:t>
      </w:r>
      <w:r w:rsidR="007E1BC0">
        <w:rPr>
          <w:sz w:val="24"/>
        </w:rPr>
        <w:t>therefore make the site a very defensible on</w:t>
      </w:r>
      <w:r w:rsidR="000C15CD">
        <w:rPr>
          <w:sz w:val="24"/>
        </w:rPr>
        <w:t>e</w:t>
      </w:r>
      <w:r w:rsidR="007E1BC0">
        <w:rPr>
          <w:sz w:val="24"/>
        </w:rPr>
        <w:t xml:space="preserve"> due to its location.</w:t>
      </w:r>
      <w:r w:rsidR="000C15CD">
        <w:rPr>
          <w:sz w:val="24"/>
        </w:rPr>
        <w:t xml:space="preserve"> It also provides great impact to</w:t>
      </w:r>
      <w:r w:rsidR="00170F5E">
        <w:rPr>
          <w:sz w:val="24"/>
        </w:rPr>
        <w:t xml:space="preserve"> a visitor, because suddenly </w:t>
      </w:r>
      <w:r w:rsidR="000C15CD">
        <w:rPr>
          <w:sz w:val="24"/>
        </w:rPr>
        <w:t>the site rises out of the hills. Whilst</w:t>
      </w:r>
      <w:r w:rsidR="00170F5E">
        <w:rPr>
          <w:sz w:val="24"/>
        </w:rPr>
        <w:t xml:space="preserve"> </w:t>
      </w:r>
      <w:r w:rsidR="000C15CD">
        <w:rPr>
          <w:sz w:val="24"/>
        </w:rPr>
        <w:t xml:space="preserve">it is now only ruins </w:t>
      </w:r>
      <w:r w:rsidR="00170F5E">
        <w:rPr>
          <w:sz w:val="24"/>
        </w:rPr>
        <w:t>the site would have be</w:t>
      </w:r>
      <w:r w:rsidR="000C15CD">
        <w:rPr>
          <w:sz w:val="24"/>
        </w:rPr>
        <w:t>en</w:t>
      </w:r>
      <w:r w:rsidR="00170F5E">
        <w:rPr>
          <w:sz w:val="24"/>
        </w:rPr>
        <w:t xml:space="preserve"> spectacular in the </w:t>
      </w:r>
      <w:r w:rsidR="00170F5E" w:rsidRPr="00170F5E">
        <w:rPr>
          <w:sz w:val="24"/>
        </w:rPr>
        <w:t>14th and 13th century BCE</w:t>
      </w:r>
      <w:r w:rsidR="005A5AC2">
        <w:rPr>
          <w:sz w:val="24"/>
        </w:rPr>
        <w:t xml:space="preserve"> </w:t>
      </w:r>
      <w:r w:rsidR="000C15CD">
        <w:rPr>
          <w:sz w:val="24"/>
        </w:rPr>
        <w:t>at</w:t>
      </w:r>
      <w:r w:rsidR="00170F5E">
        <w:rPr>
          <w:sz w:val="24"/>
        </w:rPr>
        <w:t xml:space="preserve"> the </w:t>
      </w:r>
      <w:r w:rsidR="005A5AC2">
        <w:rPr>
          <w:sz w:val="24"/>
        </w:rPr>
        <w:t>height</w:t>
      </w:r>
      <w:r w:rsidR="00170F5E">
        <w:rPr>
          <w:sz w:val="24"/>
        </w:rPr>
        <w:t xml:space="preserve"> of the Mycenaean</w:t>
      </w:r>
      <w:r w:rsidR="000C15CD">
        <w:rPr>
          <w:sz w:val="24"/>
        </w:rPr>
        <w:t>’</w:t>
      </w:r>
      <w:r w:rsidR="00170F5E">
        <w:rPr>
          <w:sz w:val="24"/>
        </w:rPr>
        <w:t xml:space="preserve">s power and when the Acropolis </w:t>
      </w:r>
      <w:r w:rsidR="000C15CD">
        <w:rPr>
          <w:sz w:val="24"/>
        </w:rPr>
        <w:t xml:space="preserve">which forms part of the citadel </w:t>
      </w:r>
      <w:r w:rsidR="00170F5E">
        <w:rPr>
          <w:sz w:val="24"/>
        </w:rPr>
        <w:t xml:space="preserve">was built. </w:t>
      </w:r>
      <w:r w:rsidR="00170F5E">
        <w:rPr>
          <w:rStyle w:val="FootnoteReference"/>
          <w:sz w:val="24"/>
        </w:rPr>
        <w:footnoteReference w:id="19"/>
      </w:r>
      <w:r w:rsidR="007E1BC0">
        <w:rPr>
          <w:sz w:val="24"/>
        </w:rPr>
        <w:t xml:space="preserve"> Another element of the sites defensibility </w:t>
      </w:r>
      <w:r w:rsidR="004B3A3E">
        <w:rPr>
          <w:sz w:val="24"/>
        </w:rPr>
        <w:t>can be seen in the freestanding stack rocks that form the walls of the citadel which a</w:t>
      </w:r>
      <w:r w:rsidR="000C15CD">
        <w:rPr>
          <w:sz w:val="24"/>
        </w:rPr>
        <w:t>re known as the Cyclopean walls. It was believed that</w:t>
      </w:r>
      <w:r w:rsidR="004B3A3E">
        <w:rPr>
          <w:sz w:val="24"/>
        </w:rPr>
        <w:t xml:space="preserve"> the walls </w:t>
      </w:r>
      <w:r w:rsidR="000C15CD">
        <w:rPr>
          <w:sz w:val="24"/>
        </w:rPr>
        <w:t xml:space="preserve">were built by a </w:t>
      </w:r>
      <w:r w:rsidR="000C15CD" w:rsidRPr="000C15CD">
        <w:rPr>
          <w:sz w:val="24"/>
        </w:rPr>
        <w:t>cyclops because the stones</w:t>
      </w:r>
      <w:r w:rsidR="000C15CD">
        <w:rPr>
          <w:sz w:val="24"/>
        </w:rPr>
        <w:t xml:space="preserve"> are so large</w:t>
      </w:r>
      <w:r w:rsidR="008948F3">
        <w:rPr>
          <w:sz w:val="24"/>
        </w:rPr>
        <w:t xml:space="preserve"> </w:t>
      </w:r>
      <w:r w:rsidR="004B3A3E">
        <w:rPr>
          <w:sz w:val="24"/>
        </w:rPr>
        <w:t>that no man could have moved them into place.</w:t>
      </w:r>
      <w:r w:rsidR="004B3A3E">
        <w:rPr>
          <w:rStyle w:val="FootnoteReference"/>
          <w:sz w:val="24"/>
        </w:rPr>
        <w:footnoteReference w:id="20"/>
      </w:r>
      <w:r w:rsidR="00A95F47">
        <w:rPr>
          <w:sz w:val="24"/>
        </w:rPr>
        <w:t xml:space="preserve"> </w:t>
      </w:r>
      <w:r w:rsidR="008948F3">
        <w:rPr>
          <w:sz w:val="24"/>
        </w:rPr>
        <w:t xml:space="preserve">This supports a Phenomenological approach, </w:t>
      </w:r>
      <w:r w:rsidR="0031673A">
        <w:rPr>
          <w:sz w:val="24"/>
        </w:rPr>
        <w:t>the rocks are so big</w:t>
      </w:r>
      <w:r w:rsidR="008948F3">
        <w:rPr>
          <w:sz w:val="24"/>
        </w:rPr>
        <w:t xml:space="preserve"> and bold they catch the eyes of</w:t>
      </w:r>
      <w:r w:rsidR="0031673A">
        <w:rPr>
          <w:sz w:val="24"/>
        </w:rPr>
        <w:t xml:space="preserve"> visitors,</w:t>
      </w:r>
      <w:r w:rsidR="008948F3">
        <w:rPr>
          <w:sz w:val="24"/>
        </w:rPr>
        <w:t xml:space="preserve"> past and present,</w:t>
      </w:r>
      <w:r w:rsidR="0031673A">
        <w:rPr>
          <w:sz w:val="24"/>
        </w:rPr>
        <w:t xml:space="preserve"> </w:t>
      </w:r>
      <w:r w:rsidR="008948F3">
        <w:rPr>
          <w:sz w:val="24"/>
        </w:rPr>
        <w:t xml:space="preserve">as they </w:t>
      </w:r>
      <w:r w:rsidR="0031673A">
        <w:rPr>
          <w:sz w:val="24"/>
        </w:rPr>
        <w:t xml:space="preserve">walk up to the lion gate and are flanked by these huge stone walls, </w:t>
      </w:r>
      <w:r w:rsidR="008948F3">
        <w:rPr>
          <w:sz w:val="24"/>
        </w:rPr>
        <w:t>the impression that is given</w:t>
      </w:r>
      <w:r w:rsidR="0031673A">
        <w:rPr>
          <w:sz w:val="24"/>
        </w:rPr>
        <w:t xml:space="preserve"> is fear and power</w:t>
      </w:r>
      <w:r w:rsidR="008948F3">
        <w:rPr>
          <w:sz w:val="24"/>
        </w:rPr>
        <w:t>.</w:t>
      </w:r>
      <w:r w:rsidR="00810177">
        <w:rPr>
          <w:sz w:val="24"/>
        </w:rPr>
        <w:t xml:space="preserve"> </w:t>
      </w:r>
      <w:r w:rsidR="008948F3">
        <w:rPr>
          <w:sz w:val="24"/>
        </w:rPr>
        <w:t>Walking</w:t>
      </w:r>
      <w:r w:rsidR="00810177">
        <w:rPr>
          <w:sz w:val="24"/>
        </w:rPr>
        <w:t xml:space="preserve"> up to the gate there is a sense of being enclosed </w:t>
      </w:r>
      <w:r w:rsidR="008948F3">
        <w:rPr>
          <w:sz w:val="24"/>
        </w:rPr>
        <w:t>which develops a sense of being funnelled in while</w:t>
      </w:r>
      <w:r w:rsidR="00810177">
        <w:rPr>
          <w:sz w:val="24"/>
        </w:rPr>
        <w:t xml:space="preserve"> entering the citadel.</w:t>
      </w:r>
      <w:r w:rsidR="008948F3">
        <w:rPr>
          <w:sz w:val="24"/>
        </w:rPr>
        <w:t xml:space="preserve"> This control over the visitor via the structure of the walls leading to the entrance</w:t>
      </w:r>
      <w:r w:rsidR="00AC16DC">
        <w:rPr>
          <w:sz w:val="24"/>
        </w:rPr>
        <w:t xml:space="preserve"> can also fit into the idea </w:t>
      </w:r>
      <w:r w:rsidR="00AC16DC" w:rsidRPr="00982D91">
        <w:rPr>
          <w:sz w:val="24"/>
        </w:rPr>
        <w:t>of</w:t>
      </w:r>
      <w:r w:rsidR="00AC16DC">
        <w:rPr>
          <w:sz w:val="24"/>
        </w:rPr>
        <w:t xml:space="preserve"> </w:t>
      </w:r>
      <w:r w:rsidR="00982D91">
        <w:rPr>
          <w:sz w:val="24"/>
        </w:rPr>
        <w:t>A</w:t>
      </w:r>
      <w:r w:rsidR="00FE0D5D">
        <w:rPr>
          <w:sz w:val="24"/>
        </w:rPr>
        <w:t>N</w:t>
      </w:r>
      <w:r w:rsidR="00982D91">
        <w:rPr>
          <w:sz w:val="24"/>
        </w:rPr>
        <w:t>T</w:t>
      </w:r>
      <w:r w:rsidR="008948F3">
        <w:rPr>
          <w:sz w:val="24"/>
        </w:rPr>
        <w:t>.</w:t>
      </w:r>
      <w:r w:rsidR="00502625">
        <w:rPr>
          <w:sz w:val="24"/>
        </w:rPr>
        <w:t xml:space="preserve"> </w:t>
      </w:r>
      <w:r w:rsidR="008948F3">
        <w:rPr>
          <w:sz w:val="24"/>
        </w:rPr>
        <w:t>The construction allows</w:t>
      </w:r>
      <w:r w:rsidR="00982D91">
        <w:rPr>
          <w:sz w:val="24"/>
        </w:rPr>
        <w:t xml:space="preserve"> the Mycenaeans to</w:t>
      </w:r>
      <w:r w:rsidR="008948F3">
        <w:rPr>
          <w:sz w:val="24"/>
        </w:rPr>
        <w:t xml:space="preserve"> continue to</w:t>
      </w:r>
      <w:r w:rsidR="00982D91">
        <w:rPr>
          <w:sz w:val="24"/>
        </w:rPr>
        <w:t xml:space="preserve"> manipulate the interactions of the visitors as the approach the citadel. </w:t>
      </w:r>
    </w:p>
    <w:p w:rsidR="00271708" w:rsidRDefault="008948F3">
      <w:pPr>
        <w:rPr>
          <w:sz w:val="24"/>
        </w:rPr>
      </w:pPr>
      <w:r>
        <w:rPr>
          <w:sz w:val="24"/>
        </w:rPr>
        <w:t xml:space="preserve">Contemporary visitors enter through the </w:t>
      </w:r>
      <w:r w:rsidR="00F34BA4">
        <w:rPr>
          <w:sz w:val="24"/>
        </w:rPr>
        <w:t xml:space="preserve">famous Lion Gate their </w:t>
      </w:r>
      <w:r w:rsidR="009F64BE" w:rsidRPr="009F64BE">
        <w:rPr>
          <w:sz w:val="24"/>
        </w:rPr>
        <w:t>eyes are immediately dr</w:t>
      </w:r>
      <w:r w:rsidR="00906EC3">
        <w:rPr>
          <w:sz w:val="24"/>
        </w:rPr>
        <w:t xml:space="preserve">awn to the right of the citadel, due it opening up to </w:t>
      </w:r>
      <w:r w:rsidR="009F64BE" w:rsidRPr="009F64BE">
        <w:rPr>
          <w:sz w:val="24"/>
        </w:rPr>
        <w:t>where the shaft graves lie</w:t>
      </w:r>
      <w:r w:rsidR="00906EC3">
        <w:rPr>
          <w:sz w:val="24"/>
        </w:rPr>
        <w:t xml:space="preserve"> (Grave Circle A)</w:t>
      </w:r>
      <w:r w:rsidR="009F64BE" w:rsidRPr="009F64BE">
        <w:rPr>
          <w:sz w:val="24"/>
        </w:rPr>
        <w:t>.</w:t>
      </w:r>
      <w:r w:rsidR="00F34BA4" w:rsidRPr="00F34BA4">
        <w:t xml:space="preserve"> </w:t>
      </w:r>
      <w:r w:rsidR="00F34BA4">
        <w:t>T</w:t>
      </w:r>
      <w:r w:rsidR="00F34BA4" w:rsidRPr="00F34BA4">
        <w:rPr>
          <w:sz w:val="24"/>
        </w:rPr>
        <w:t>h</w:t>
      </w:r>
      <w:r w:rsidR="00F34BA4">
        <w:rPr>
          <w:sz w:val="24"/>
        </w:rPr>
        <w:t xml:space="preserve">is </w:t>
      </w:r>
      <w:r w:rsidR="00906EC3">
        <w:rPr>
          <w:sz w:val="24"/>
        </w:rPr>
        <w:t>could show</w:t>
      </w:r>
      <w:r w:rsidR="00F34BA4">
        <w:rPr>
          <w:sz w:val="24"/>
        </w:rPr>
        <w:t xml:space="preserve"> that the</w:t>
      </w:r>
      <w:r w:rsidR="00F34BA4" w:rsidRPr="00F34BA4">
        <w:rPr>
          <w:sz w:val="24"/>
        </w:rPr>
        <w:t xml:space="preserve"> shaft graves were clearly a significant </w:t>
      </w:r>
      <w:r w:rsidR="00F34BA4">
        <w:rPr>
          <w:sz w:val="24"/>
        </w:rPr>
        <w:t xml:space="preserve">part </w:t>
      </w:r>
      <w:r w:rsidR="00F34BA4" w:rsidRPr="00F34BA4">
        <w:rPr>
          <w:sz w:val="24"/>
        </w:rPr>
        <w:t>of religious activit</w:t>
      </w:r>
      <w:r w:rsidR="00F34BA4">
        <w:rPr>
          <w:sz w:val="24"/>
        </w:rPr>
        <w:t>y on within the site of Mycenae</w:t>
      </w:r>
      <w:r w:rsidR="00906EC3">
        <w:rPr>
          <w:sz w:val="24"/>
        </w:rPr>
        <w:t xml:space="preserve"> and it may be possible </w:t>
      </w:r>
      <w:r w:rsidR="009F64BE" w:rsidRPr="009F64BE">
        <w:rPr>
          <w:sz w:val="24"/>
        </w:rPr>
        <w:t>that the M</w:t>
      </w:r>
      <w:r w:rsidR="00906EC3">
        <w:rPr>
          <w:sz w:val="24"/>
        </w:rPr>
        <w:t>ycenaeans were determined to display the status of their dead</w:t>
      </w:r>
      <w:r w:rsidR="009F64BE" w:rsidRPr="009F64BE">
        <w:rPr>
          <w:sz w:val="24"/>
        </w:rPr>
        <w:t xml:space="preserve"> to visitors</w:t>
      </w:r>
      <w:r w:rsidR="00F34BA4">
        <w:rPr>
          <w:sz w:val="24"/>
        </w:rPr>
        <w:t xml:space="preserve">, </w:t>
      </w:r>
      <w:r w:rsidR="00F34BA4" w:rsidRPr="00674645">
        <w:rPr>
          <w:sz w:val="24"/>
        </w:rPr>
        <w:t>this</w:t>
      </w:r>
      <w:r w:rsidR="00F34BA4">
        <w:rPr>
          <w:sz w:val="24"/>
        </w:rPr>
        <w:t xml:space="preserve"> </w:t>
      </w:r>
      <w:r w:rsidR="00674645">
        <w:rPr>
          <w:sz w:val="24"/>
        </w:rPr>
        <w:t xml:space="preserve">effect can still be felt as a contemporary visitor. In addition the location of the graves is intentional (as will be discussed later), </w:t>
      </w:r>
      <w:r w:rsidR="009F64BE" w:rsidRPr="009F64BE">
        <w:rPr>
          <w:sz w:val="24"/>
        </w:rPr>
        <w:t>because once you continue up into the citadel</w:t>
      </w:r>
      <w:r w:rsidR="00170F5E">
        <w:rPr>
          <w:sz w:val="24"/>
        </w:rPr>
        <w:t xml:space="preserve"> on the processional way</w:t>
      </w:r>
      <w:r w:rsidR="00170F5E">
        <w:rPr>
          <w:rStyle w:val="FootnoteReference"/>
          <w:sz w:val="24"/>
        </w:rPr>
        <w:footnoteReference w:id="21"/>
      </w:r>
      <w:r w:rsidR="00170F5E">
        <w:rPr>
          <w:sz w:val="24"/>
        </w:rPr>
        <w:t xml:space="preserve"> </w:t>
      </w:r>
      <w:r w:rsidR="009F64BE" w:rsidRPr="009F64BE">
        <w:rPr>
          <w:sz w:val="24"/>
        </w:rPr>
        <w:t>you have to then enter the possible cult centre</w:t>
      </w:r>
      <w:r w:rsidR="00674645">
        <w:rPr>
          <w:sz w:val="24"/>
        </w:rPr>
        <w:t xml:space="preserve"> which includes the Megaron</w:t>
      </w:r>
      <w:r w:rsidR="005A5AC2">
        <w:rPr>
          <w:sz w:val="24"/>
        </w:rPr>
        <w:t xml:space="preserve"> which wo</w:t>
      </w:r>
      <w:r w:rsidR="00F177BB">
        <w:rPr>
          <w:sz w:val="24"/>
        </w:rPr>
        <w:t>uld lie near the summit of the site</w:t>
      </w:r>
      <w:r w:rsidR="0090109A">
        <w:rPr>
          <w:sz w:val="24"/>
        </w:rPr>
        <w:t>.</w:t>
      </w:r>
      <w:r w:rsidR="00F177BB">
        <w:rPr>
          <w:rStyle w:val="FootnoteReference"/>
          <w:sz w:val="24"/>
        </w:rPr>
        <w:footnoteReference w:id="22"/>
      </w:r>
      <w:r w:rsidR="00F177BB">
        <w:rPr>
          <w:sz w:val="24"/>
        </w:rPr>
        <w:t xml:space="preserve"> </w:t>
      </w:r>
      <w:r w:rsidR="00EA50E0">
        <w:rPr>
          <w:sz w:val="24"/>
        </w:rPr>
        <w:t>The way that the citadel is structured</w:t>
      </w:r>
      <w:r w:rsidR="00FE0D5D">
        <w:rPr>
          <w:sz w:val="24"/>
        </w:rPr>
        <w:t xml:space="preserve"> demonstrates evidence for ANT</w:t>
      </w:r>
      <w:r w:rsidR="00EA50E0">
        <w:rPr>
          <w:sz w:val="24"/>
        </w:rPr>
        <w:t xml:space="preserve"> because it shows that human activity can be man</w:t>
      </w:r>
      <w:r w:rsidR="00674645">
        <w:rPr>
          <w:sz w:val="24"/>
        </w:rPr>
        <w:t>ipulated by the land because of the way that</w:t>
      </w:r>
      <w:r w:rsidR="00EA50E0">
        <w:rPr>
          <w:sz w:val="24"/>
        </w:rPr>
        <w:t xml:space="preserve"> processional way was built to follow the land. It also shows how the land</w:t>
      </w:r>
      <w:r w:rsidR="00674645">
        <w:rPr>
          <w:sz w:val="24"/>
        </w:rPr>
        <w:t xml:space="preserve">scape can be manipulated by </w:t>
      </w:r>
      <w:r w:rsidR="00EA50E0">
        <w:rPr>
          <w:sz w:val="24"/>
        </w:rPr>
        <w:t xml:space="preserve">people </w:t>
      </w:r>
      <w:r w:rsidR="00674645">
        <w:rPr>
          <w:sz w:val="24"/>
        </w:rPr>
        <w:t xml:space="preserve">in order to create an effect, </w:t>
      </w:r>
      <w:r w:rsidR="00EA50E0">
        <w:rPr>
          <w:sz w:val="24"/>
        </w:rPr>
        <w:t>because the graves which</w:t>
      </w:r>
      <w:r w:rsidR="00674645">
        <w:rPr>
          <w:sz w:val="24"/>
        </w:rPr>
        <w:t xml:space="preserve"> are built next to the entrance direct</w:t>
      </w:r>
      <w:r w:rsidR="00EA50E0">
        <w:rPr>
          <w:sz w:val="24"/>
        </w:rPr>
        <w:t xml:space="preserve"> the eyes of visitors to the</w:t>
      </w:r>
      <w:r w:rsidR="00674645">
        <w:rPr>
          <w:sz w:val="24"/>
        </w:rPr>
        <w:t xml:space="preserve"> summit</w:t>
      </w:r>
      <w:r w:rsidR="00EA50E0">
        <w:rPr>
          <w:sz w:val="24"/>
        </w:rPr>
        <w:t xml:space="preserve"> citadel. </w:t>
      </w:r>
      <w:r w:rsidR="00213BAF" w:rsidRPr="00FE0D5D">
        <w:rPr>
          <w:sz w:val="24"/>
        </w:rPr>
        <w:t>In my personal opinion, I believe that the location is intentional, because the left side of is built up so the brain is overloaded and looks for something less harsh so the eye looks over the right instead which is open spaced. Therefore putting the graves in the more open space means that they are more noticeable by visitors.</w:t>
      </w:r>
      <w:r w:rsidR="00FE0D5D" w:rsidRPr="00FE0D5D">
        <w:rPr>
          <w:rStyle w:val="FootnoteReference"/>
          <w:sz w:val="24"/>
        </w:rPr>
        <w:footnoteReference w:id="23"/>
      </w:r>
      <w:r w:rsidR="00213BAF">
        <w:rPr>
          <w:sz w:val="24"/>
        </w:rPr>
        <w:t xml:space="preserve"> </w:t>
      </w:r>
      <w:r w:rsidR="002047AD">
        <w:rPr>
          <w:sz w:val="24"/>
        </w:rPr>
        <w:t xml:space="preserve">It can be useful looking at the location of the </w:t>
      </w:r>
      <w:proofErr w:type="gramStart"/>
      <w:r w:rsidR="002047AD">
        <w:rPr>
          <w:sz w:val="24"/>
        </w:rPr>
        <w:lastRenderedPageBreak/>
        <w:t>graves</w:t>
      </w:r>
      <w:proofErr w:type="gramEnd"/>
      <w:r w:rsidR="00EA50E0">
        <w:rPr>
          <w:sz w:val="24"/>
        </w:rPr>
        <w:t xml:space="preserve"> </w:t>
      </w:r>
      <w:r w:rsidR="002047AD">
        <w:rPr>
          <w:sz w:val="24"/>
        </w:rPr>
        <w:t xml:space="preserve">from a Phenomenological approach </w:t>
      </w:r>
      <w:r w:rsidR="00EA50E0">
        <w:rPr>
          <w:sz w:val="24"/>
        </w:rPr>
        <w:t xml:space="preserve">because the graves were used as methods of displaying wealth, power and political positions within the Mycenae, therefore they could provide visitors with a sense of intimidation or </w:t>
      </w:r>
      <w:r w:rsidR="00271708">
        <w:rPr>
          <w:sz w:val="24"/>
        </w:rPr>
        <w:t>marvel when they have just entered through the large gate to the citadel</w:t>
      </w:r>
      <w:r w:rsidR="00200402">
        <w:rPr>
          <w:sz w:val="24"/>
        </w:rPr>
        <w:t>.</w:t>
      </w:r>
    </w:p>
    <w:p w:rsidR="003527CF" w:rsidRDefault="00F177BB">
      <w:pPr>
        <w:rPr>
          <w:sz w:val="24"/>
        </w:rPr>
      </w:pPr>
      <w:r>
        <w:rPr>
          <w:sz w:val="24"/>
        </w:rPr>
        <w:t xml:space="preserve">The cult centre </w:t>
      </w:r>
      <w:r w:rsidR="00674645">
        <w:rPr>
          <w:sz w:val="24"/>
        </w:rPr>
        <w:t xml:space="preserve">location </w:t>
      </w:r>
      <w:r>
        <w:rPr>
          <w:sz w:val="24"/>
        </w:rPr>
        <w:t>has change</w:t>
      </w:r>
      <w:r w:rsidR="0090109A">
        <w:rPr>
          <w:sz w:val="24"/>
        </w:rPr>
        <w:t>d</w:t>
      </w:r>
      <w:r>
        <w:rPr>
          <w:sz w:val="24"/>
        </w:rPr>
        <w:t xml:space="preserve"> throughout the occupation</w:t>
      </w:r>
      <w:r w:rsidR="0090109A">
        <w:rPr>
          <w:sz w:val="24"/>
        </w:rPr>
        <w:t xml:space="preserve"> of Mycenae</w:t>
      </w:r>
      <w:r w:rsidR="00674645">
        <w:rPr>
          <w:sz w:val="24"/>
        </w:rPr>
        <w:t xml:space="preserve"> as</w:t>
      </w:r>
      <w:r>
        <w:rPr>
          <w:sz w:val="24"/>
        </w:rPr>
        <w:t xml:space="preserve"> can be show by there being an archaic temple from the sixth century BC which is built over the Mycenaean Palace.</w:t>
      </w:r>
      <w:r>
        <w:rPr>
          <w:rStyle w:val="FootnoteReference"/>
          <w:sz w:val="24"/>
        </w:rPr>
        <w:footnoteReference w:id="24"/>
      </w:r>
      <w:r w:rsidR="00DB08D8">
        <w:rPr>
          <w:sz w:val="24"/>
        </w:rPr>
        <w:t xml:space="preserve"> The</w:t>
      </w:r>
      <w:r w:rsidR="00674645">
        <w:rPr>
          <w:sz w:val="24"/>
        </w:rPr>
        <w:t xml:space="preserve"> site of</w:t>
      </w:r>
      <w:r w:rsidR="002047AD">
        <w:rPr>
          <w:sz w:val="24"/>
        </w:rPr>
        <w:t xml:space="preserve"> the</w:t>
      </w:r>
      <w:r w:rsidR="00DB08D8">
        <w:rPr>
          <w:sz w:val="24"/>
        </w:rPr>
        <w:t xml:space="preserve"> </w:t>
      </w:r>
      <w:r w:rsidR="00DB08D8" w:rsidRPr="003B1309">
        <w:rPr>
          <w:sz w:val="24"/>
        </w:rPr>
        <w:t>palace</w:t>
      </w:r>
      <w:r w:rsidR="00DB08D8">
        <w:rPr>
          <w:sz w:val="24"/>
        </w:rPr>
        <w:t xml:space="preserve"> was where the area of the Megaron</w:t>
      </w:r>
      <w:r w:rsidR="002047AD">
        <w:rPr>
          <w:sz w:val="24"/>
        </w:rPr>
        <w:t xml:space="preserve"> lies,</w:t>
      </w:r>
      <w:r w:rsidR="00DB08D8">
        <w:rPr>
          <w:sz w:val="24"/>
        </w:rPr>
        <w:t xml:space="preserve"> which has also been classified as a thro</w:t>
      </w:r>
      <w:r w:rsidR="002047AD">
        <w:rPr>
          <w:sz w:val="24"/>
        </w:rPr>
        <w:t>ne room by some scholars.</w:t>
      </w:r>
      <w:r w:rsidR="00DB08D8">
        <w:rPr>
          <w:rStyle w:val="FootnoteReference"/>
          <w:sz w:val="24"/>
        </w:rPr>
        <w:footnoteReference w:id="25"/>
      </w:r>
      <w:r w:rsidR="00DB08D8">
        <w:rPr>
          <w:sz w:val="24"/>
        </w:rPr>
        <w:t xml:space="preserve"> </w:t>
      </w:r>
      <w:r w:rsidR="00E601B6">
        <w:rPr>
          <w:sz w:val="24"/>
        </w:rPr>
        <w:t>This was the seat of the king, the royal family played both a political and religious role, and for example the Q</w:t>
      </w:r>
      <w:r w:rsidR="002047AD">
        <w:rPr>
          <w:sz w:val="24"/>
        </w:rPr>
        <w:t>ueen would sometimes take the role of</w:t>
      </w:r>
      <w:r w:rsidR="00E601B6">
        <w:rPr>
          <w:sz w:val="24"/>
        </w:rPr>
        <w:t xml:space="preserve"> a goddess on religious occasion</w:t>
      </w:r>
      <w:r w:rsidR="002047AD">
        <w:rPr>
          <w:sz w:val="24"/>
        </w:rPr>
        <w:t>s</w:t>
      </w:r>
      <w:r w:rsidR="00E601B6">
        <w:rPr>
          <w:sz w:val="24"/>
        </w:rPr>
        <w:t xml:space="preserve"> such as an epiphany rituals.</w:t>
      </w:r>
      <w:r w:rsidR="00E601B6">
        <w:rPr>
          <w:rStyle w:val="FootnoteReference"/>
          <w:sz w:val="24"/>
        </w:rPr>
        <w:footnoteReference w:id="26"/>
      </w:r>
      <w:r w:rsidR="00DB08D8">
        <w:rPr>
          <w:sz w:val="24"/>
        </w:rPr>
        <w:t xml:space="preserve">The Megaron </w:t>
      </w:r>
      <w:r w:rsidR="0090109A">
        <w:rPr>
          <w:sz w:val="24"/>
        </w:rPr>
        <w:t xml:space="preserve">is considered to be </w:t>
      </w:r>
      <w:r w:rsidR="00DB08D8">
        <w:rPr>
          <w:sz w:val="24"/>
        </w:rPr>
        <w:t>significant p</w:t>
      </w:r>
      <w:r w:rsidR="002047AD">
        <w:rPr>
          <w:sz w:val="24"/>
        </w:rPr>
        <w:t>lace</w:t>
      </w:r>
      <w:r w:rsidR="00DB08D8">
        <w:rPr>
          <w:sz w:val="24"/>
        </w:rPr>
        <w:t xml:space="preserve"> of worship for the Mycenaeans</w:t>
      </w:r>
      <w:r w:rsidR="0090109A">
        <w:rPr>
          <w:sz w:val="24"/>
        </w:rPr>
        <w:t>,</w:t>
      </w:r>
      <w:r w:rsidR="00DB08D8">
        <w:rPr>
          <w:sz w:val="24"/>
        </w:rPr>
        <w:t xml:space="preserve"> as there was remains of an altar, offering table and libation vessels found in the Megaron’s porch</w:t>
      </w:r>
      <w:r w:rsidR="0090109A">
        <w:rPr>
          <w:sz w:val="24"/>
        </w:rPr>
        <w:t xml:space="preserve"> at Mycenae.</w:t>
      </w:r>
      <w:r w:rsidR="00DB08D8">
        <w:rPr>
          <w:rStyle w:val="FootnoteReference"/>
          <w:sz w:val="24"/>
        </w:rPr>
        <w:footnoteReference w:id="27"/>
      </w:r>
      <w:r w:rsidR="00DB08D8">
        <w:rPr>
          <w:sz w:val="24"/>
        </w:rPr>
        <w:t xml:space="preserve"> </w:t>
      </w:r>
      <w:r w:rsidR="0090109A">
        <w:rPr>
          <w:sz w:val="24"/>
        </w:rPr>
        <w:t xml:space="preserve">It can also be suggested that </w:t>
      </w:r>
      <w:r w:rsidR="00DB08D8">
        <w:rPr>
          <w:sz w:val="24"/>
        </w:rPr>
        <w:t xml:space="preserve">Mycenae was not the only Mycenaean site to have an offering table </w:t>
      </w:r>
      <w:r w:rsidR="00CC0722">
        <w:rPr>
          <w:sz w:val="24"/>
        </w:rPr>
        <w:t xml:space="preserve">as </w:t>
      </w:r>
      <w:r w:rsidR="00DB08D8">
        <w:rPr>
          <w:sz w:val="24"/>
        </w:rPr>
        <w:t>there was als</w:t>
      </w:r>
      <w:r w:rsidR="00CC0722">
        <w:rPr>
          <w:sz w:val="24"/>
        </w:rPr>
        <w:t>o one found in</w:t>
      </w:r>
      <w:r w:rsidR="00DB08D8">
        <w:rPr>
          <w:sz w:val="24"/>
        </w:rPr>
        <w:t xml:space="preserve"> similar location</w:t>
      </w:r>
      <w:r w:rsidR="00CC0722">
        <w:rPr>
          <w:sz w:val="24"/>
        </w:rPr>
        <w:t>s</w:t>
      </w:r>
      <w:r w:rsidR="00DB08D8">
        <w:rPr>
          <w:sz w:val="24"/>
        </w:rPr>
        <w:t xml:space="preserve"> at the site</w:t>
      </w:r>
      <w:r w:rsidR="0090109A">
        <w:rPr>
          <w:sz w:val="24"/>
        </w:rPr>
        <w:t>s</w:t>
      </w:r>
      <w:r w:rsidR="00DB08D8">
        <w:rPr>
          <w:sz w:val="24"/>
        </w:rPr>
        <w:t xml:space="preserve"> of Pylos</w:t>
      </w:r>
      <w:r w:rsidR="0090109A">
        <w:rPr>
          <w:sz w:val="24"/>
        </w:rPr>
        <w:t xml:space="preserve"> and Tiryns,</w:t>
      </w:r>
      <w:r w:rsidR="00DB08D8">
        <w:rPr>
          <w:rStyle w:val="FootnoteReference"/>
          <w:sz w:val="24"/>
        </w:rPr>
        <w:footnoteReference w:id="28"/>
      </w:r>
      <w:r w:rsidR="00DB08D8">
        <w:rPr>
          <w:sz w:val="24"/>
        </w:rPr>
        <w:t xml:space="preserve"> </w:t>
      </w:r>
      <w:r w:rsidR="0090109A">
        <w:rPr>
          <w:sz w:val="24"/>
        </w:rPr>
        <w:t>both of which were important Mycenaean sites on the Peloponnese.</w:t>
      </w:r>
      <w:r w:rsidR="0090109A">
        <w:rPr>
          <w:rStyle w:val="FootnoteReference"/>
          <w:sz w:val="24"/>
        </w:rPr>
        <w:footnoteReference w:id="29"/>
      </w:r>
      <w:r w:rsidR="0090109A">
        <w:rPr>
          <w:sz w:val="24"/>
        </w:rPr>
        <w:t xml:space="preserve"> </w:t>
      </w:r>
      <w:r w:rsidR="00CC0722">
        <w:rPr>
          <w:sz w:val="24"/>
        </w:rPr>
        <w:t xml:space="preserve">This implies </w:t>
      </w:r>
      <w:r w:rsidR="00810177">
        <w:rPr>
          <w:sz w:val="24"/>
        </w:rPr>
        <w:t xml:space="preserve">that there were rituals taking place in the Megaron and that it was </w:t>
      </w:r>
      <w:r w:rsidR="00CC0722">
        <w:rPr>
          <w:sz w:val="24"/>
        </w:rPr>
        <w:t>took place across significant sites of the culture</w:t>
      </w:r>
      <w:r w:rsidR="00810177">
        <w:rPr>
          <w:sz w:val="24"/>
        </w:rPr>
        <w:t>,</w:t>
      </w:r>
      <w:r w:rsidR="00CC0722">
        <w:rPr>
          <w:sz w:val="24"/>
        </w:rPr>
        <w:t xml:space="preserve"> from reading Connerton on </w:t>
      </w:r>
      <w:r w:rsidR="00CC0722" w:rsidRPr="00CC0722">
        <w:rPr>
          <w:sz w:val="24"/>
        </w:rPr>
        <w:t>Material culture and memory</w:t>
      </w:r>
      <w:r w:rsidR="00810177">
        <w:rPr>
          <w:sz w:val="24"/>
        </w:rPr>
        <w:t xml:space="preserve"> it </w:t>
      </w:r>
      <w:r w:rsidR="00CC0722">
        <w:rPr>
          <w:sz w:val="24"/>
        </w:rPr>
        <w:t xml:space="preserve">is possible to conclude that theses rituals might have been embedded in Mycenaean </w:t>
      </w:r>
      <w:r w:rsidR="00810177">
        <w:rPr>
          <w:sz w:val="24"/>
        </w:rPr>
        <w:t>social memory</w:t>
      </w:r>
      <w:r w:rsidR="00CC0722">
        <w:rPr>
          <w:sz w:val="24"/>
        </w:rPr>
        <w:t>.</w:t>
      </w:r>
      <w:r w:rsidR="003527CF" w:rsidRPr="003527CF">
        <w:rPr>
          <w:rStyle w:val="FootnoteReference"/>
          <w:sz w:val="24"/>
        </w:rPr>
        <w:t xml:space="preserve"> </w:t>
      </w:r>
      <w:r w:rsidR="003527CF">
        <w:rPr>
          <w:rStyle w:val="FootnoteReference"/>
          <w:sz w:val="24"/>
        </w:rPr>
        <w:footnoteReference w:id="30"/>
      </w:r>
      <w:r w:rsidR="00CC0722">
        <w:rPr>
          <w:sz w:val="24"/>
        </w:rPr>
        <w:t xml:space="preserve"> T</w:t>
      </w:r>
      <w:r w:rsidR="00810177">
        <w:rPr>
          <w:sz w:val="24"/>
        </w:rPr>
        <w:t>he rit</w:t>
      </w:r>
      <w:r w:rsidR="00CC0722">
        <w:rPr>
          <w:sz w:val="24"/>
        </w:rPr>
        <w:t>uals could be repeated at other</w:t>
      </w:r>
      <w:r w:rsidR="00810177">
        <w:rPr>
          <w:sz w:val="24"/>
        </w:rPr>
        <w:t xml:space="preserve"> sites,</w:t>
      </w:r>
      <w:r w:rsidR="003527CF">
        <w:rPr>
          <w:sz w:val="24"/>
        </w:rPr>
        <w:t xml:space="preserve"> and might have led to the formation of religious practice with the Mycenaean culture</w:t>
      </w:r>
      <w:r w:rsidR="00810177">
        <w:rPr>
          <w:sz w:val="24"/>
        </w:rPr>
        <w:t>.</w:t>
      </w:r>
      <w:r w:rsidR="003527CF">
        <w:rPr>
          <w:sz w:val="24"/>
        </w:rPr>
        <w:t xml:space="preserve"> The</w:t>
      </w:r>
      <w:r w:rsidR="0090109A">
        <w:rPr>
          <w:sz w:val="24"/>
        </w:rPr>
        <w:t xml:space="preserve"> similarities of the findings therefore suggests that the Megaron </w:t>
      </w:r>
      <w:r w:rsidR="00350C70">
        <w:rPr>
          <w:sz w:val="24"/>
        </w:rPr>
        <w:t xml:space="preserve">was significant in areas of cult practice within the Mycenaean citadels. </w:t>
      </w:r>
    </w:p>
    <w:p w:rsidR="00F102C4" w:rsidRDefault="00350C70">
      <w:pPr>
        <w:rPr>
          <w:sz w:val="24"/>
        </w:rPr>
      </w:pPr>
      <w:r>
        <w:rPr>
          <w:sz w:val="24"/>
        </w:rPr>
        <w:t xml:space="preserve">However </w:t>
      </w:r>
      <w:r w:rsidR="00535549">
        <w:rPr>
          <w:sz w:val="24"/>
        </w:rPr>
        <w:t>there were other areas within the citadel whi</w:t>
      </w:r>
      <w:r w:rsidR="003527CF">
        <w:rPr>
          <w:sz w:val="24"/>
        </w:rPr>
        <w:t>ch could have house religious practic</w:t>
      </w:r>
      <w:r w:rsidR="00535549">
        <w:rPr>
          <w:sz w:val="24"/>
        </w:rPr>
        <w:t xml:space="preserve">es. </w:t>
      </w:r>
      <w:r w:rsidR="003527CF">
        <w:rPr>
          <w:sz w:val="24"/>
        </w:rPr>
        <w:t>Two ‘Cult Areas</w:t>
      </w:r>
      <w:r w:rsidR="00D322A6">
        <w:rPr>
          <w:sz w:val="24"/>
        </w:rPr>
        <w:t>’</w:t>
      </w:r>
      <w:r w:rsidR="00535549">
        <w:rPr>
          <w:rStyle w:val="FootnoteReference"/>
          <w:sz w:val="24"/>
        </w:rPr>
        <w:footnoteReference w:id="31"/>
      </w:r>
      <w:r w:rsidR="00535549">
        <w:rPr>
          <w:sz w:val="24"/>
        </w:rPr>
        <w:t xml:space="preserve"> </w:t>
      </w:r>
      <w:r w:rsidR="003527CF">
        <w:rPr>
          <w:sz w:val="24"/>
        </w:rPr>
        <w:t>were identified d</w:t>
      </w:r>
      <w:r w:rsidR="00535549">
        <w:rPr>
          <w:sz w:val="24"/>
        </w:rPr>
        <w:t>uring excavati</w:t>
      </w:r>
      <w:r w:rsidR="00F956E9">
        <w:rPr>
          <w:sz w:val="24"/>
        </w:rPr>
        <w:t>ons in 1968 and 1969 in the lower section</w:t>
      </w:r>
      <w:r w:rsidR="001B019E">
        <w:rPr>
          <w:sz w:val="24"/>
        </w:rPr>
        <w:t xml:space="preserve"> of citadel of Mycenae.</w:t>
      </w:r>
      <w:r w:rsidR="00F956E9">
        <w:rPr>
          <w:rStyle w:val="FootnoteReference"/>
          <w:sz w:val="24"/>
        </w:rPr>
        <w:footnoteReference w:id="32"/>
      </w:r>
      <w:r w:rsidR="00F956E9">
        <w:rPr>
          <w:sz w:val="24"/>
        </w:rPr>
        <w:t xml:space="preserve"> </w:t>
      </w:r>
      <w:r w:rsidR="001B019E">
        <w:rPr>
          <w:sz w:val="24"/>
        </w:rPr>
        <w:t xml:space="preserve">When considering these ‘Cult Areas’ from a </w:t>
      </w:r>
      <w:r w:rsidR="00810177">
        <w:rPr>
          <w:sz w:val="24"/>
        </w:rPr>
        <w:t>post</w:t>
      </w:r>
      <w:r w:rsidR="00810177" w:rsidRPr="00810177">
        <w:rPr>
          <w:sz w:val="24"/>
        </w:rPr>
        <w:t>-processual</w:t>
      </w:r>
      <w:r w:rsidR="001B019E">
        <w:rPr>
          <w:sz w:val="24"/>
        </w:rPr>
        <w:t>ist perspective,  it is clear to see that</w:t>
      </w:r>
      <w:r w:rsidR="00810177">
        <w:rPr>
          <w:sz w:val="24"/>
        </w:rPr>
        <w:t xml:space="preserve"> the archaeologists </w:t>
      </w:r>
      <w:r w:rsidR="001B019E">
        <w:rPr>
          <w:sz w:val="24"/>
        </w:rPr>
        <w:t xml:space="preserve">were </w:t>
      </w:r>
      <w:r w:rsidR="003B1309">
        <w:rPr>
          <w:sz w:val="24"/>
        </w:rPr>
        <w:t xml:space="preserve">placing an assumption of the practise of </w:t>
      </w:r>
      <w:r w:rsidR="001B019E">
        <w:rPr>
          <w:sz w:val="24"/>
        </w:rPr>
        <w:t>religion on</w:t>
      </w:r>
      <w:r w:rsidR="003B1309">
        <w:rPr>
          <w:sz w:val="24"/>
        </w:rPr>
        <w:t>to</w:t>
      </w:r>
      <w:r w:rsidR="001B019E">
        <w:rPr>
          <w:sz w:val="24"/>
        </w:rPr>
        <w:t xml:space="preserve"> the area, possibly because</w:t>
      </w:r>
      <w:r w:rsidR="00810177">
        <w:rPr>
          <w:sz w:val="24"/>
        </w:rPr>
        <w:t xml:space="preserve"> </w:t>
      </w:r>
      <w:r w:rsidR="001B019E">
        <w:rPr>
          <w:sz w:val="24"/>
        </w:rPr>
        <w:t>the area does no</w:t>
      </w:r>
      <w:r w:rsidR="00810177">
        <w:rPr>
          <w:sz w:val="24"/>
        </w:rPr>
        <w:t xml:space="preserve">t fit in the </w:t>
      </w:r>
      <w:r w:rsidR="003B1309">
        <w:rPr>
          <w:sz w:val="24"/>
        </w:rPr>
        <w:t>classification</w:t>
      </w:r>
      <w:r w:rsidR="00810177">
        <w:rPr>
          <w:sz w:val="24"/>
        </w:rPr>
        <w:t xml:space="preserve"> of domestic</w:t>
      </w:r>
      <w:r w:rsidR="001B019E">
        <w:rPr>
          <w:sz w:val="24"/>
        </w:rPr>
        <w:t xml:space="preserve"> </w:t>
      </w:r>
      <w:r w:rsidR="001B019E" w:rsidRPr="00462444">
        <w:rPr>
          <w:sz w:val="24"/>
        </w:rPr>
        <w:t xml:space="preserve">sphere </w:t>
      </w:r>
      <w:r w:rsidR="00810177" w:rsidRPr="00462444">
        <w:rPr>
          <w:sz w:val="24"/>
        </w:rPr>
        <w:t>.</w:t>
      </w:r>
      <w:r w:rsidR="00810177">
        <w:rPr>
          <w:sz w:val="24"/>
        </w:rPr>
        <w:t xml:space="preserve"> </w:t>
      </w:r>
      <w:r w:rsidR="003B1309">
        <w:rPr>
          <w:sz w:val="24"/>
        </w:rPr>
        <w:t>I</w:t>
      </w:r>
      <w:r w:rsidR="005B2630">
        <w:rPr>
          <w:sz w:val="24"/>
        </w:rPr>
        <w:t xml:space="preserve">t is possible that the creation of the names based on the assumption is useful for other scholars as they can use the names as a reference, however this assumption becomes fixed into the site and therefore means that scholars are mostly unquestioning and accepting of the concept behind the name.  </w:t>
      </w:r>
    </w:p>
    <w:p w:rsidR="00202C75" w:rsidRDefault="005B2630">
      <w:pPr>
        <w:rPr>
          <w:sz w:val="24"/>
        </w:rPr>
      </w:pPr>
      <w:r>
        <w:rPr>
          <w:sz w:val="24"/>
        </w:rPr>
        <w:t>In accepting the assumption t</w:t>
      </w:r>
      <w:r w:rsidR="00F956E9">
        <w:rPr>
          <w:sz w:val="24"/>
        </w:rPr>
        <w:t xml:space="preserve">he ‘Cult Area’ contains a series of </w:t>
      </w:r>
      <w:r>
        <w:rPr>
          <w:sz w:val="24"/>
        </w:rPr>
        <w:t>rooms created</w:t>
      </w:r>
      <w:r w:rsidR="003D69E7">
        <w:rPr>
          <w:sz w:val="24"/>
        </w:rPr>
        <w:t xml:space="preserve"> to be multiple areas of cult worship. The largest and possibly the more important of the areas </w:t>
      </w:r>
      <w:r>
        <w:rPr>
          <w:sz w:val="24"/>
        </w:rPr>
        <w:t xml:space="preserve">is named </w:t>
      </w:r>
      <w:r w:rsidR="003D69E7">
        <w:rPr>
          <w:sz w:val="24"/>
        </w:rPr>
        <w:t xml:space="preserve">the </w:t>
      </w:r>
      <w:r w:rsidR="003527CF">
        <w:rPr>
          <w:sz w:val="24"/>
        </w:rPr>
        <w:t>‘</w:t>
      </w:r>
      <w:r w:rsidR="003D69E7">
        <w:rPr>
          <w:sz w:val="24"/>
        </w:rPr>
        <w:t>Room with the Platform</w:t>
      </w:r>
      <w:r w:rsidR="003B1309">
        <w:rPr>
          <w:sz w:val="24"/>
        </w:rPr>
        <w:t>s</w:t>
      </w:r>
      <w:r w:rsidR="003527CF">
        <w:rPr>
          <w:sz w:val="24"/>
        </w:rPr>
        <w:t>’</w:t>
      </w:r>
      <w:r w:rsidR="003D69E7">
        <w:rPr>
          <w:sz w:val="24"/>
        </w:rPr>
        <w:t>.</w:t>
      </w:r>
      <w:r w:rsidR="001B019E">
        <w:rPr>
          <w:rStyle w:val="FootnoteReference"/>
          <w:sz w:val="24"/>
        </w:rPr>
        <w:footnoteReference w:id="33"/>
      </w:r>
      <w:r>
        <w:rPr>
          <w:sz w:val="24"/>
        </w:rPr>
        <w:t xml:space="preserve"> Which contains</w:t>
      </w:r>
      <w:r w:rsidR="00C205B8">
        <w:rPr>
          <w:sz w:val="24"/>
        </w:rPr>
        <w:t xml:space="preserve"> a set of stairs leading to a higher area of the </w:t>
      </w:r>
      <w:r w:rsidR="00C205B8">
        <w:rPr>
          <w:sz w:val="24"/>
        </w:rPr>
        <w:lastRenderedPageBreak/>
        <w:t>temple</w:t>
      </w:r>
      <w:r w:rsidR="00A762F0">
        <w:rPr>
          <w:sz w:val="24"/>
        </w:rPr>
        <w:t>, possibly used as a storeroom.</w:t>
      </w:r>
      <w:r w:rsidR="00A762F0">
        <w:rPr>
          <w:rStyle w:val="FootnoteReference"/>
          <w:sz w:val="24"/>
        </w:rPr>
        <w:footnoteReference w:id="34"/>
      </w:r>
      <w:r w:rsidR="00C205B8">
        <w:rPr>
          <w:sz w:val="24"/>
        </w:rPr>
        <w:t xml:space="preserve"> Next to the stairs a </w:t>
      </w:r>
      <w:r w:rsidR="003D69E7">
        <w:rPr>
          <w:sz w:val="24"/>
        </w:rPr>
        <w:t xml:space="preserve">female idol, </w:t>
      </w:r>
      <w:r w:rsidR="00C205B8">
        <w:rPr>
          <w:sz w:val="24"/>
        </w:rPr>
        <w:t>modelled</w:t>
      </w:r>
      <w:r w:rsidR="003D69E7">
        <w:rPr>
          <w:sz w:val="24"/>
        </w:rPr>
        <w:t xml:space="preserve"> in </w:t>
      </w:r>
      <w:r w:rsidR="00C205B8">
        <w:rPr>
          <w:sz w:val="24"/>
        </w:rPr>
        <w:t>clay</w:t>
      </w:r>
      <w:r>
        <w:rPr>
          <w:sz w:val="24"/>
        </w:rPr>
        <w:t>, faces</w:t>
      </w:r>
      <w:r w:rsidR="00C205B8">
        <w:rPr>
          <w:sz w:val="24"/>
        </w:rPr>
        <w:t xml:space="preserve"> the </w:t>
      </w:r>
      <w:r w:rsidR="00BD453D">
        <w:rPr>
          <w:sz w:val="24"/>
        </w:rPr>
        <w:t>south-</w:t>
      </w:r>
      <w:r w:rsidR="00C205B8">
        <w:rPr>
          <w:sz w:val="24"/>
        </w:rPr>
        <w:t>west corner</w:t>
      </w:r>
      <w:r w:rsidR="00BD453D">
        <w:rPr>
          <w:sz w:val="24"/>
        </w:rPr>
        <w:t xml:space="preserve"> and the h</w:t>
      </w:r>
      <w:r>
        <w:rPr>
          <w:sz w:val="24"/>
        </w:rPr>
        <w:t xml:space="preserve">ighest platform in the room </w:t>
      </w:r>
      <w:r w:rsidR="00BD453D">
        <w:rPr>
          <w:sz w:val="24"/>
        </w:rPr>
        <w:t>known as the ‘offering table’ which lies in the centre room</w:t>
      </w:r>
      <w:r w:rsidR="00C205B8">
        <w:rPr>
          <w:sz w:val="24"/>
        </w:rPr>
        <w:t xml:space="preserve">. </w:t>
      </w:r>
      <w:r w:rsidR="00C205B8">
        <w:rPr>
          <w:rStyle w:val="FootnoteReference"/>
          <w:sz w:val="24"/>
        </w:rPr>
        <w:footnoteReference w:id="35"/>
      </w:r>
      <w:r>
        <w:rPr>
          <w:sz w:val="24"/>
        </w:rPr>
        <w:t xml:space="preserve"> A</w:t>
      </w:r>
      <w:r w:rsidR="00BD453D">
        <w:rPr>
          <w:sz w:val="24"/>
        </w:rPr>
        <w:t>long the north wall in the north-west corner there is a section of the wall that forms a</w:t>
      </w:r>
      <w:r w:rsidR="00A52383">
        <w:rPr>
          <w:sz w:val="24"/>
        </w:rPr>
        <w:t xml:space="preserve">n opening to the bare rock face, which </w:t>
      </w:r>
      <w:r w:rsidR="00A52383" w:rsidRPr="00A52383">
        <w:rPr>
          <w:sz w:val="24"/>
        </w:rPr>
        <w:t>Taylour</w:t>
      </w:r>
      <w:r w:rsidR="00A52383">
        <w:rPr>
          <w:sz w:val="24"/>
        </w:rPr>
        <w:t xml:space="preserve"> suggests </w:t>
      </w:r>
      <w:r>
        <w:rPr>
          <w:sz w:val="24"/>
        </w:rPr>
        <w:t>played a significant role</w:t>
      </w:r>
      <w:r w:rsidR="00A52383">
        <w:rPr>
          <w:sz w:val="24"/>
        </w:rPr>
        <w:t xml:space="preserve"> </w:t>
      </w:r>
      <w:r>
        <w:rPr>
          <w:sz w:val="24"/>
        </w:rPr>
        <w:t xml:space="preserve">as </w:t>
      </w:r>
      <w:r w:rsidR="00A52383">
        <w:rPr>
          <w:sz w:val="24"/>
        </w:rPr>
        <w:t>this rock face is only visible to those in the cult room and has not been altered like the surrounding areas of the rock face.</w:t>
      </w:r>
      <w:r w:rsidR="00A52383">
        <w:rPr>
          <w:rStyle w:val="FootnoteReference"/>
          <w:sz w:val="24"/>
        </w:rPr>
        <w:footnoteReference w:id="36"/>
      </w:r>
      <w:r w:rsidR="009A3B28">
        <w:rPr>
          <w:sz w:val="24"/>
        </w:rPr>
        <w:t xml:space="preserve"> </w:t>
      </w:r>
      <w:r w:rsidR="007E005D">
        <w:rPr>
          <w:sz w:val="24"/>
        </w:rPr>
        <w:t xml:space="preserve">Applying ANT to this area you can assume that those entering the room, going into light into darkness </w:t>
      </w:r>
      <w:r w:rsidR="00202C75">
        <w:rPr>
          <w:sz w:val="24"/>
        </w:rPr>
        <w:t>would have reacted to the composition</w:t>
      </w:r>
      <w:r w:rsidR="007E005D">
        <w:rPr>
          <w:sz w:val="24"/>
        </w:rPr>
        <w:t xml:space="preserve"> and atmosphere and consequently an interaction could have occurred in return</w:t>
      </w:r>
      <w:r w:rsidR="00202C75">
        <w:rPr>
          <w:sz w:val="24"/>
        </w:rPr>
        <w:t xml:space="preserve">. </w:t>
      </w:r>
      <w:r w:rsidR="00FE0AB6">
        <w:rPr>
          <w:sz w:val="24"/>
        </w:rPr>
        <w:t>It also could be argued</w:t>
      </w:r>
      <w:r w:rsidR="007E005D">
        <w:rPr>
          <w:sz w:val="24"/>
        </w:rPr>
        <w:t xml:space="preserve">, via </w:t>
      </w:r>
      <w:r w:rsidR="00FE0AB6" w:rsidRPr="00FE0AB6">
        <w:rPr>
          <w:sz w:val="24"/>
        </w:rPr>
        <w:t>phenomenology</w:t>
      </w:r>
      <w:r w:rsidR="007E005D">
        <w:rPr>
          <w:sz w:val="24"/>
        </w:rPr>
        <w:t xml:space="preserve"> that as the Mycenaeans took</w:t>
      </w:r>
      <w:r w:rsidR="00072735">
        <w:rPr>
          <w:sz w:val="24"/>
        </w:rPr>
        <w:t xml:space="preserve"> substances</w:t>
      </w:r>
      <w:r w:rsidR="00502625">
        <w:rPr>
          <w:sz w:val="24"/>
        </w:rPr>
        <w:t xml:space="preserve"> such as wine</w:t>
      </w:r>
      <w:r w:rsidR="00502625">
        <w:rPr>
          <w:rStyle w:val="FootnoteReference"/>
          <w:sz w:val="24"/>
        </w:rPr>
        <w:footnoteReference w:id="37"/>
      </w:r>
      <w:r w:rsidR="00072735">
        <w:rPr>
          <w:sz w:val="24"/>
        </w:rPr>
        <w:t xml:space="preserve"> during </w:t>
      </w:r>
      <w:r w:rsidR="007E005D">
        <w:rPr>
          <w:sz w:val="24"/>
        </w:rPr>
        <w:t xml:space="preserve">some of the rituals (in particular the </w:t>
      </w:r>
      <w:r w:rsidR="00072735" w:rsidRPr="00982D91">
        <w:rPr>
          <w:sz w:val="24"/>
        </w:rPr>
        <w:t>epiphany ritual</w:t>
      </w:r>
      <w:r w:rsidR="007E005D">
        <w:rPr>
          <w:sz w:val="24"/>
        </w:rPr>
        <w:t>)</w:t>
      </w:r>
      <w:r w:rsidR="00502625" w:rsidRPr="00982D91">
        <w:rPr>
          <w:sz w:val="24"/>
        </w:rPr>
        <w:t>,</w:t>
      </w:r>
      <w:r w:rsidR="00502625" w:rsidRPr="00982D91">
        <w:rPr>
          <w:rStyle w:val="FootnoteReference"/>
          <w:sz w:val="24"/>
        </w:rPr>
        <w:footnoteReference w:id="38"/>
      </w:r>
      <w:r w:rsidR="00502625">
        <w:rPr>
          <w:sz w:val="24"/>
        </w:rPr>
        <w:t xml:space="preserve"> </w:t>
      </w:r>
      <w:r w:rsidR="007E005D">
        <w:rPr>
          <w:sz w:val="24"/>
        </w:rPr>
        <w:t>this consumption</w:t>
      </w:r>
      <w:r w:rsidR="00502625">
        <w:rPr>
          <w:sz w:val="24"/>
        </w:rPr>
        <w:t xml:space="preserve"> would have altered the </w:t>
      </w:r>
      <w:r w:rsidR="00982D91">
        <w:rPr>
          <w:sz w:val="24"/>
        </w:rPr>
        <w:t>participant’s</w:t>
      </w:r>
      <w:r w:rsidR="00502625">
        <w:rPr>
          <w:sz w:val="24"/>
        </w:rPr>
        <w:t xml:space="preserve"> senses and would have </w:t>
      </w:r>
      <w:r w:rsidR="007E005D">
        <w:rPr>
          <w:sz w:val="24"/>
        </w:rPr>
        <w:t>enhanced the experience of encountering the goddess</w:t>
      </w:r>
      <w:r w:rsidR="00982D91">
        <w:rPr>
          <w:sz w:val="24"/>
        </w:rPr>
        <w:t>.</w:t>
      </w:r>
    </w:p>
    <w:p w:rsidR="00A52383" w:rsidRDefault="009A3B28">
      <w:pPr>
        <w:rPr>
          <w:sz w:val="24"/>
        </w:rPr>
      </w:pPr>
      <w:proofErr w:type="spellStart"/>
      <w:r>
        <w:rPr>
          <w:sz w:val="24"/>
        </w:rPr>
        <w:t>Taylour</w:t>
      </w:r>
      <w:r w:rsidR="007E005D">
        <w:rPr>
          <w:sz w:val="24"/>
        </w:rPr>
        <w:t>’s</w:t>
      </w:r>
      <w:proofErr w:type="spellEnd"/>
      <w:r w:rsidR="007E005D">
        <w:rPr>
          <w:sz w:val="24"/>
        </w:rPr>
        <w:t xml:space="preserve"> comments</w:t>
      </w:r>
      <w:r>
        <w:rPr>
          <w:sz w:val="24"/>
        </w:rPr>
        <w:t xml:space="preserve"> about the rock face </w:t>
      </w:r>
      <w:r w:rsidR="00892C8E">
        <w:rPr>
          <w:sz w:val="24"/>
        </w:rPr>
        <w:t xml:space="preserve">can be contradicted as </w:t>
      </w:r>
      <w:r>
        <w:rPr>
          <w:sz w:val="24"/>
        </w:rPr>
        <w:t xml:space="preserve">the focus of the room is more towards the ‘offering table’, </w:t>
      </w:r>
      <w:r w:rsidR="00892C8E">
        <w:rPr>
          <w:sz w:val="24"/>
        </w:rPr>
        <w:t>which is positioned</w:t>
      </w:r>
      <w:r>
        <w:rPr>
          <w:sz w:val="24"/>
        </w:rPr>
        <w:t xml:space="preserve"> at the centre of the room. The pos</w:t>
      </w:r>
      <w:r w:rsidR="00A15015">
        <w:rPr>
          <w:sz w:val="24"/>
        </w:rPr>
        <w:t>ition of the table draws the gaze, instinctively</w:t>
      </w:r>
      <w:r>
        <w:rPr>
          <w:sz w:val="24"/>
        </w:rPr>
        <w:t xml:space="preserve"> </w:t>
      </w:r>
      <w:r w:rsidR="00A15015">
        <w:rPr>
          <w:sz w:val="24"/>
        </w:rPr>
        <w:t>to this focal point. Also the eyes of the idol face the</w:t>
      </w:r>
      <w:r w:rsidR="00CB2000">
        <w:rPr>
          <w:sz w:val="24"/>
        </w:rPr>
        <w:t xml:space="preserve"> direction</w:t>
      </w:r>
      <w:r w:rsidR="00A15015">
        <w:rPr>
          <w:sz w:val="24"/>
        </w:rPr>
        <w:t xml:space="preserve"> of</w:t>
      </w:r>
      <w:r w:rsidR="00CB2000">
        <w:rPr>
          <w:sz w:val="24"/>
        </w:rPr>
        <w:t xml:space="preserve"> </w:t>
      </w:r>
      <w:r w:rsidR="00A15015">
        <w:rPr>
          <w:sz w:val="24"/>
        </w:rPr>
        <w:t xml:space="preserve">the table </w:t>
      </w:r>
      <w:r w:rsidR="00CB2000">
        <w:rPr>
          <w:sz w:val="24"/>
        </w:rPr>
        <w:t>rather the rock formation</w:t>
      </w:r>
      <w:r w:rsidR="00A15015">
        <w:rPr>
          <w:sz w:val="24"/>
        </w:rPr>
        <w:t xml:space="preserve">, </w:t>
      </w:r>
      <w:r w:rsidR="00CB2000">
        <w:rPr>
          <w:sz w:val="24"/>
        </w:rPr>
        <w:t>further suggest</w:t>
      </w:r>
      <w:r w:rsidR="00A15015">
        <w:rPr>
          <w:sz w:val="24"/>
        </w:rPr>
        <w:t>ing</w:t>
      </w:r>
      <w:r w:rsidR="00CB2000">
        <w:rPr>
          <w:sz w:val="24"/>
        </w:rPr>
        <w:t xml:space="preserve"> the offering table</w:t>
      </w:r>
      <w:r w:rsidR="00A15015">
        <w:rPr>
          <w:sz w:val="24"/>
        </w:rPr>
        <w:t>’</w:t>
      </w:r>
      <w:r w:rsidR="00CB2000">
        <w:rPr>
          <w:sz w:val="24"/>
        </w:rPr>
        <w:t xml:space="preserve">s </w:t>
      </w:r>
      <w:r w:rsidR="00A15015">
        <w:rPr>
          <w:sz w:val="24"/>
        </w:rPr>
        <w:t>significance over the rock face.</w:t>
      </w:r>
      <w:r>
        <w:rPr>
          <w:sz w:val="24"/>
        </w:rPr>
        <w:t xml:space="preserve"> Taylour </w:t>
      </w:r>
      <w:r w:rsidR="00A15015">
        <w:rPr>
          <w:sz w:val="24"/>
        </w:rPr>
        <w:t xml:space="preserve">does argue that the rock face lies </w:t>
      </w:r>
      <w:r w:rsidR="0032640F">
        <w:rPr>
          <w:sz w:val="24"/>
        </w:rPr>
        <w:t>directly in line with the entrance to the room</w:t>
      </w:r>
      <w:r w:rsidR="00A15015">
        <w:rPr>
          <w:sz w:val="24"/>
        </w:rPr>
        <w:t xml:space="preserve">- it is clearly a </w:t>
      </w:r>
      <w:r w:rsidR="0032640F">
        <w:rPr>
          <w:sz w:val="24"/>
        </w:rPr>
        <w:t>significant focal point</w:t>
      </w:r>
      <w:r w:rsidR="00A15015">
        <w:rPr>
          <w:sz w:val="24"/>
        </w:rPr>
        <w:t>, but it is debatable whether it is the focal point of the room</w:t>
      </w:r>
      <w:r w:rsidR="0032640F">
        <w:rPr>
          <w:sz w:val="24"/>
        </w:rPr>
        <w:t>.</w:t>
      </w:r>
      <w:r w:rsidR="0032640F">
        <w:rPr>
          <w:rStyle w:val="FootnoteReference"/>
          <w:sz w:val="24"/>
        </w:rPr>
        <w:footnoteReference w:id="39"/>
      </w:r>
    </w:p>
    <w:p w:rsidR="0084577E" w:rsidRDefault="00A15015">
      <w:pPr>
        <w:rPr>
          <w:sz w:val="24"/>
        </w:rPr>
      </w:pPr>
      <w:r>
        <w:rPr>
          <w:sz w:val="24"/>
        </w:rPr>
        <w:t>A further</w:t>
      </w:r>
      <w:r w:rsidR="008475CA">
        <w:rPr>
          <w:sz w:val="24"/>
        </w:rPr>
        <w:t xml:space="preserve"> section in these ‘cult areas’</w:t>
      </w:r>
      <w:r>
        <w:rPr>
          <w:sz w:val="24"/>
        </w:rPr>
        <w:t xml:space="preserve"> is the </w:t>
      </w:r>
      <w:r w:rsidR="00A762F0">
        <w:rPr>
          <w:sz w:val="24"/>
        </w:rPr>
        <w:t>‘</w:t>
      </w:r>
      <w:r w:rsidR="00202C75">
        <w:rPr>
          <w:sz w:val="24"/>
        </w:rPr>
        <w:t xml:space="preserve">Room of the </w:t>
      </w:r>
      <w:r>
        <w:rPr>
          <w:sz w:val="24"/>
        </w:rPr>
        <w:t>Frescos’.</w:t>
      </w:r>
      <w:r w:rsidR="00A762F0">
        <w:rPr>
          <w:sz w:val="24"/>
        </w:rPr>
        <w:t xml:space="preserve"> </w:t>
      </w:r>
      <w:r>
        <w:rPr>
          <w:sz w:val="24"/>
        </w:rPr>
        <w:t xml:space="preserve">Which </w:t>
      </w:r>
      <w:r w:rsidR="00A762F0">
        <w:rPr>
          <w:sz w:val="24"/>
        </w:rPr>
        <w:t xml:space="preserve">contains the remains of wall painting, of </w:t>
      </w:r>
      <w:r>
        <w:rPr>
          <w:sz w:val="24"/>
        </w:rPr>
        <w:t xml:space="preserve">a </w:t>
      </w:r>
      <w:r w:rsidR="00A762F0">
        <w:rPr>
          <w:sz w:val="24"/>
        </w:rPr>
        <w:t>possible goddess</w:t>
      </w:r>
      <w:r>
        <w:rPr>
          <w:sz w:val="24"/>
        </w:rPr>
        <w:t xml:space="preserve"> </w:t>
      </w:r>
      <w:r w:rsidR="00A762F0">
        <w:rPr>
          <w:sz w:val="24"/>
        </w:rPr>
        <w:t xml:space="preserve">or </w:t>
      </w:r>
      <w:r w:rsidR="00A656CD">
        <w:rPr>
          <w:sz w:val="24"/>
        </w:rPr>
        <w:t>priestess</w:t>
      </w:r>
      <w:r w:rsidR="00B94CC8" w:rsidRPr="00A656CD">
        <w:rPr>
          <w:sz w:val="24"/>
        </w:rPr>
        <w:t>.</w:t>
      </w:r>
      <w:r w:rsidR="00FB4E74" w:rsidRPr="00A656CD">
        <w:rPr>
          <w:rStyle w:val="FootnoteReference"/>
          <w:sz w:val="24"/>
        </w:rPr>
        <w:footnoteReference w:id="40"/>
      </w:r>
      <w:r w:rsidR="00A656CD">
        <w:rPr>
          <w:rStyle w:val="FootnoteReference"/>
          <w:sz w:val="24"/>
        </w:rPr>
        <w:footnoteReference w:id="41"/>
      </w:r>
      <w:r w:rsidR="00B94CC8">
        <w:rPr>
          <w:sz w:val="24"/>
        </w:rPr>
        <w:t xml:space="preserve"> In the centre of the room there is a sunken bath and </w:t>
      </w:r>
      <w:r w:rsidR="004425F3">
        <w:rPr>
          <w:sz w:val="24"/>
        </w:rPr>
        <w:t>a large lead vessel, within the vessel</w:t>
      </w:r>
      <w:r w:rsidR="00B94CC8">
        <w:rPr>
          <w:sz w:val="24"/>
        </w:rPr>
        <w:t xml:space="preserve"> there was </w:t>
      </w:r>
      <w:r w:rsidR="00620953">
        <w:rPr>
          <w:sz w:val="24"/>
        </w:rPr>
        <w:t>a group of artefacts</w:t>
      </w:r>
      <w:r w:rsidR="00A656CD">
        <w:rPr>
          <w:sz w:val="24"/>
        </w:rPr>
        <w:t>,</w:t>
      </w:r>
      <w:r w:rsidR="00A656CD" w:rsidRPr="00A656CD">
        <w:t xml:space="preserve"> </w:t>
      </w:r>
      <w:r w:rsidR="00A656CD" w:rsidRPr="00A656CD">
        <w:rPr>
          <w:sz w:val="24"/>
        </w:rPr>
        <w:t>possibly religious</w:t>
      </w:r>
      <w:r w:rsidR="00A656CD">
        <w:rPr>
          <w:sz w:val="24"/>
        </w:rPr>
        <w:t>,</w:t>
      </w:r>
      <w:r w:rsidR="00A656CD" w:rsidRPr="00A656CD">
        <w:rPr>
          <w:sz w:val="24"/>
        </w:rPr>
        <w:t xml:space="preserve"> sacred</w:t>
      </w:r>
      <w:r w:rsidR="00A656CD">
        <w:rPr>
          <w:sz w:val="24"/>
        </w:rPr>
        <w:t xml:space="preserve"> or</w:t>
      </w:r>
      <w:r w:rsidR="00620953">
        <w:rPr>
          <w:sz w:val="24"/>
        </w:rPr>
        <w:t xml:space="preserve"> offerings to the </w:t>
      </w:r>
      <w:r w:rsidR="00A656CD">
        <w:rPr>
          <w:sz w:val="24"/>
        </w:rPr>
        <w:t>deities. T</w:t>
      </w:r>
      <w:r w:rsidR="00620953">
        <w:rPr>
          <w:sz w:val="24"/>
        </w:rPr>
        <w:t>here</w:t>
      </w:r>
      <w:r w:rsidR="00B94CC8">
        <w:rPr>
          <w:sz w:val="24"/>
        </w:rPr>
        <w:t xml:space="preserve"> </w:t>
      </w:r>
      <w:r w:rsidR="003E0173">
        <w:rPr>
          <w:sz w:val="24"/>
        </w:rPr>
        <w:t xml:space="preserve">is </w:t>
      </w:r>
      <w:r w:rsidR="00B94CC8">
        <w:rPr>
          <w:sz w:val="24"/>
        </w:rPr>
        <w:t>evidence of th</w:t>
      </w:r>
      <w:r w:rsidR="003D5FDF">
        <w:rPr>
          <w:sz w:val="24"/>
        </w:rPr>
        <w:t>es</w:t>
      </w:r>
      <w:r w:rsidR="00B94CC8">
        <w:rPr>
          <w:sz w:val="24"/>
        </w:rPr>
        <w:t>e object</w:t>
      </w:r>
      <w:r w:rsidR="00620953">
        <w:rPr>
          <w:sz w:val="24"/>
        </w:rPr>
        <w:t>s being reused by priests</w:t>
      </w:r>
      <w:r w:rsidR="003D5FDF">
        <w:rPr>
          <w:sz w:val="24"/>
        </w:rPr>
        <w:t xml:space="preserve">, as can be seen </w:t>
      </w:r>
      <w:r w:rsidR="00E14FC6">
        <w:rPr>
          <w:sz w:val="24"/>
        </w:rPr>
        <w:t xml:space="preserve">in a set of </w:t>
      </w:r>
      <w:r w:rsidR="003D5FDF">
        <w:rPr>
          <w:sz w:val="24"/>
        </w:rPr>
        <w:t xml:space="preserve">small </w:t>
      </w:r>
      <w:r w:rsidR="00E14FC6">
        <w:rPr>
          <w:sz w:val="24"/>
        </w:rPr>
        <w:t>ivory</w:t>
      </w:r>
      <w:r w:rsidR="003D5FDF">
        <w:rPr>
          <w:sz w:val="24"/>
        </w:rPr>
        <w:t xml:space="preserve"> plates, which</w:t>
      </w:r>
      <w:r w:rsidR="004425F3">
        <w:rPr>
          <w:sz w:val="24"/>
        </w:rPr>
        <w:t xml:space="preserve"> must have been attached to something such as a </w:t>
      </w:r>
      <w:r w:rsidR="00E14FC6">
        <w:rPr>
          <w:sz w:val="24"/>
        </w:rPr>
        <w:t xml:space="preserve">bronze </w:t>
      </w:r>
      <w:r w:rsidR="004425F3">
        <w:rPr>
          <w:sz w:val="24"/>
        </w:rPr>
        <w:t>sword as one of the plates still contains the rivets which would have held it in place.</w:t>
      </w:r>
      <w:r w:rsidR="004425F3">
        <w:rPr>
          <w:rStyle w:val="FootnoteReference"/>
          <w:sz w:val="24"/>
        </w:rPr>
        <w:footnoteReference w:id="42"/>
      </w:r>
      <w:r w:rsidR="004425F3">
        <w:rPr>
          <w:sz w:val="24"/>
        </w:rPr>
        <w:t xml:space="preserve"> </w:t>
      </w:r>
      <w:r w:rsidR="003D5FDF">
        <w:rPr>
          <w:sz w:val="24"/>
        </w:rPr>
        <w:t>An AN</w:t>
      </w:r>
      <w:r w:rsidR="0007212A">
        <w:rPr>
          <w:sz w:val="24"/>
        </w:rPr>
        <w:t>T</w:t>
      </w:r>
      <w:r w:rsidR="003D5FDF">
        <w:rPr>
          <w:sz w:val="24"/>
        </w:rPr>
        <w:t xml:space="preserve"> interpretation shows</w:t>
      </w:r>
      <w:r w:rsidR="00200402">
        <w:rPr>
          <w:sz w:val="24"/>
        </w:rPr>
        <w:t xml:space="preserve"> the interaction of humans and the objects, for example the plates had a different purpose before they were taken off and reused in </w:t>
      </w:r>
      <w:r w:rsidR="0007212A">
        <w:rPr>
          <w:sz w:val="24"/>
        </w:rPr>
        <w:t xml:space="preserve">rituals. </w:t>
      </w:r>
      <w:r w:rsidR="0007212A" w:rsidRPr="0007212A">
        <w:rPr>
          <w:sz w:val="24"/>
        </w:rPr>
        <w:t>Stockhamme</w:t>
      </w:r>
      <w:r w:rsidR="0007212A">
        <w:rPr>
          <w:sz w:val="24"/>
        </w:rPr>
        <w:t xml:space="preserve">r’s theory </w:t>
      </w:r>
      <w:r w:rsidR="003D5FDF">
        <w:rPr>
          <w:sz w:val="24"/>
        </w:rPr>
        <w:t>can be applied to show</w:t>
      </w:r>
      <w:r w:rsidR="0007212A">
        <w:rPr>
          <w:sz w:val="24"/>
        </w:rPr>
        <w:t xml:space="preserve"> the repeated use </w:t>
      </w:r>
      <w:r w:rsidR="003D5FDF">
        <w:rPr>
          <w:sz w:val="24"/>
        </w:rPr>
        <w:t>and the different functions</w:t>
      </w:r>
      <w:r w:rsidR="0007212A">
        <w:rPr>
          <w:sz w:val="24"/>
        </w:rPr>
        <w:t xml:space="preserve"> </w:t>
      </w:r>
      <w:r w:rsidR="003D5FDF">
        <w:rPr>
          <w:sz w:val="24"/>
        </w:rPr>
        <w:t xml:space="preserve">of the objects found in the room in the context of the flexible relationship between </w:t>
      </w:r>
      <w:r w:rsidR="0007212A">
        <w:rPr>
          <w:sz w:val="24"/>
        </w:rPr>
        <w:t>humans</w:t>
      </w:r>
      <w:r w:rsidR="003D5FDF">
        <w:rPr>
          <w:sz w:val="24"/>
        </w:rPr>
        <w:t xml:space="preserve"> and the</w:t>
      </w:r>
      <w:r w:rsidR="0007212A">
        <w:rPr>
          <w:sz w:val="24"/>
        </w:rPr>
        <w:t xml:space="preserve"> objects.</w:t>
      </w:r>
      <w:r w:rsidR="003D5FDF">
        <w:rPr>
          <w:sz w:val="24"/>
        </w:rPr>
        <w:t xml:space="preserve"> The complexity of this type of relationship gains greater depth when applying </w:t>
      </w:r>
      <w:r w:rsidR="0007212A">
        <w:rPr>
          <w:sz w:val="24"/>
        </w:rPr>
        <w:t>Hodder</w:t>
      </w:r>
      <w:r w:rsidR="003D5FDF">
        <w:rPr>
          <w:sz w:val="24"/>
        </w:rPr>
        <w:t>’s</w:t>
      </w:r>
      <w:r w:rsidR="0007212A">
        <w:rPr>
          <w:sz w:val="24"/>
        </w:rPr>
        <w:t xml:space="preserve"> idea that people interact di</w:t>
      </w:r>
      <w:r w:rsidR="003D5FDF">
        <w:rPr>
          <w:sz w:val="24"/>
        </w:rPr>
        <w:t>fferently to the same object. Originally the plates</w:t>
      </w:r>
      <w:r w:rsidR="0007212A">
        <w:rPr>
          <w:sz w:val="24"/>
        </w:rPr>
        <w:t xml:space="preserve"> would have been part of an object that could be used as a weapon and now the function is more that of worship, the change of interaction with the object </w:t>
      </w:r>
      <w:r w:rsidR="003D5FDF">
        <w:rPr>
          <w:sz w:val="24"/>
        </w:rPr>
        <w:t xml:space="preserve">is more </w:t>
      </w:r>
      <w:r w:rsidR="00CA072B">
        <w:rPr>
          <w:sz w:val="24"/>
        </w:rPr>
        <w:t xml:space="preserve">mystical or religious one, than defence or attack. </w:t>
      </w:r>
    </w:p>
    <w:p w:rsidR="00B94CC8" w:rsidRPr="00397D6D" w:rsidRDefault="0084577E">
      <w:r>
        <w:rPr>
          <w:sz w:val="24"/>
        </w:rPr>
        <w:lastRenderedPageBreak/>
        <w:t xml:space="preserve">There is a possibility that a natural </w:t>
      </w:r>
      <w:r w:rsidRPr="0084577E">
        <w:rPr>
          <w:sz w:val="24"/>
        </w:rPr>
        <w:t>catastrophe</w:t>
      </w:r>
      <w:r>
        <w:rPr>
          <w:sz w:val="24"/>
        </w:rPr>
        <w:t>, possibly an earthquake,</w:t>
      </w:r>
      <w:r>
        <w:rPr>
          <w:rStyle w:val="FootnoteReference"/>
          <w:sz w:val="24"/>
        </w:rPr>
        <w:footnoteReference w:id="43"/>
      </w:r>
      <w:r>
        <w:rPr>
          <w:sz w:val="24"/>
        </w:rPr>
        <w:t xml:space="preserve"> resulted in damage</w:t>
      </w:r>
      <w:r w:rsidRPr="0084577E">
        <w:rPr>
          <w:sz w:val="24"/>
        </w:rPr>
        <w:t xml:space="preserve"> to the building</w:t>
      </w:r>
      <w:r>
        <w:rPr>
          <w:sz w:val="24"/>
        </w:rPr>
        <w:t xml:space="preserve"> and positioning of other objects found within the ‘</w:t>
      </w:r>
      <w:r w:rsidRPr="0084577E">
        <w:rPr>
          <w:sz w:val="24"/>
        </w:rPr>
        <w:t>Room of the Frescos</w:t>
      </w:r>
      <w:r>
        <w:rPr>
          <w:sz w:val="24"/>
        </w:rPr>
        <w:t xml:space="preserve">’. The objects appear to have been </w:t>
      </w:r>
      <w:r w:rsidR="00620953">
        <w:rPr>
          <w:sz w:val="24"/>
        </w:rPr>
        <w:t>scattered</w:t>
      </w:r>
      <w:r w:rsidR="004425F3">
        <w:rPr>
          <w:sz w:val="24"/>
        </w:rPr>
        <w:t xml:space="preserve"> and then </w:t>
      </w:r>
      <w:r w:rsidR="00D07CC7">
        <w:rPr>
          <w:sz w:val="24"/>
        </w:rPr>
        <w:t xml:space="preserve">deliberately </w:t>
      </w:r>
      <w:r w:rsidR="004425F3">
        <w:rPr>
          <w:sz w:val="24"/>
        </w:rPr>
        <w:t xml:space="preserve">concealed </w:t>
      </w:r>
      <w:r w:rsidR="006377F8">
        <w:rPr>
          <w:sz w:val="24"/>
        </w:rPr>
        <w:t xml:space="preserve">adding </w:t>
      </w:r>
      <w:r w:rsidR="006377F8" w:rsidRPr="004A1FE4">
        <w:rPr>
          <w:sz w:val="24"/>
          <w:szCs w:val="24"/>
        </w:rPr>
        <w:t xml:space="preserve">to the assumption </w:t>
      </w:r>
      <w:r w:rsidR="004425F3" w:rsidRPr="004A1FE4">
        <w:rPr>
          <w:sz w:val="24"/>
          <w:szCs w:val="24"/>
        </w:rPr>
        <w:t>that they were sacred.</w:t>
      </w:r>
      <w:r w:rsidR="004425F3" w:rsidRPr="004A1FE4">
        <w:rPr>
          <w:rStyle w:val="FootnoteReference"/>
          <w:sz w:val="24"/>
          <w:szCs w:val="24"/>
        </w:rPr>
        <w:footnoteReference w:id="44"/>
      </w:r>
      <w:r w:rsidR="001E6F87" w:rsidRPr="004A1FE4">
        <w:rPr>
          <w:sz w:val="24"/>
          <w:szCs w:val="24"/>
        </w:rPr>
        <w:t xml:space="preserve"> </w:t>
      </w:r>
      <w:r w:rsidR="00397D6D" w:rsidRPr="004A1FE4">
        <w:rPr>
          <w:sz w:val="24"/>
          <w:szCs w:val="24"/>
        </w:rPr>
        <w:t xml:space="preserve">The concealment of the objects could show their significance in status, </w:t>
      </w:r>
      <w:r w:rsidR="004A1FE4" w:rsidRPr="004A1FE4">
        <w:rPr>
          <w:sz w:val="24"/>
          <w:szCs w:val="24"/>
        </w:rPr>
        <w:t>the positions also</w:t>
      </w:r>
      <w:r w:rsidR="00E14FC6" w:rsidRPr="004A1FE4">
        <w:rPr>
          <w:sz w:val="24"/>
          <w:szCs w:val="24"/>
        </w:rPr>
        <w:t xml:space="preserve"> can suggest that they were significant to the rituals performed in the room and possibly could have been used as a way to help the ceremony, for example there was the head of a cult statue found near a possible alter</w:t>
      </w:r>
      <w:r w:rsidR="00E14FC6">
        <w:rPr>
          <w:sz w:val="24"/>
        </w:rPr>
        <w:t>.</w:t>
      </w:r>
      <w:r w:rsidR="00397D6D">
        <w:rPr>
          <w:rStyle w:val="FootnoteReference"/>
          <w:sz w:val="24"/>
        </w:rPr>
        <w:footnoteReference w:id="45"/>
      </w:r>
    </w:p>
    <w:p w:rsidR="008475CA" w:rsidRDefault="004A1FE4">
      <w:pPr>
        <w:rPr>
          <w:sz w:val="24"/>
        </w:rPr>
      </w:pPr>
      <w:r>
        <w:rPr>
          <w:sz w:val="24"/>
        </w:rPr>
        <w:t xml:space="preserve">The conjoining room to the </w:t>
      </w:r>
      <w:r w:rsidR="00FB4E74" w:rsidRPr="00FB4E74">
        <w:rPr>
          <w:sz w:val="24"/>
        </w:rPr>
        <w:t>‘Room of the Frescos’</w:t>
      </w:r>
      <w:r w:rsidR="00A762F0">
        <w:rPr>
          <w:sz w:val="24"/>
        </w:rPr>
        <w:t xml:space="preserve"> </w:t>
      </w:r>
      <w:r>
        <w:rPr>
          <w:sz w:val="24"/>
        </w:rPr>
        <w:t xml:space="preserve">is </w:t>
      </w:r>
      <w:r w:rsidR="00397D6D">
        <w:rPr>
          <w:sz w:val="24"/>
        </w:rPr>
        <w:t>known as</w:t>
      </w:r>
      <w:r>
        <w:rPr>
          <w:sz w:val="24"/>
        </w:rPr>
        <w:t xml:space="preserve"> the ‘R</w:t>
      </w:r>
      <w:r w:rsidR="00FB4E74">
        <w:rPr>
          <w:sz w:val="24"/>
        </w:rPr>
        <w:t xml:space="preserve">oom of </w:t>
      </w:r>
      <w:r w:rsidR="00202C75">
        <w:rPr>
          <w:sz w:val="24"/>
        </w:rPr>
        <w:t>I</w:t>
      </w:r>
      <w:r w:rsidR="008475CA">
        <w:rPr>
          <w:sz w:val="24"/>
        </w:rPr>
        <w:t>dols</w:t>
      </w:r>
      <w:r w:rsidR="00A762F0">
        <w:rPr>
          <w:sz w:val="24"/>
        </w:rPr>
        <w:t>’</w:t>
      </w:r>
      <w:r w:rsidR="00397D6D">
        <w:rPr>
          <w:sz w:val="24"/>
        </w:rPr>
        <w:t>.</w:t>
      </w:r>
      <w:r w:rsidR="008475CA">
        <w:rPr>
          <w:sz w:val="24"/>
        </w:rPr>
        <w:t xml:space="preserve"> </w:t>
      </w:r>
      <w:r w:rsidR="00397D6D">
        <w:rPr>
          <w:sz w:val="24"/>
        </w:rPr>
        <w:t>W</w:t>
      </w:r>
      <w:r w:rsidR="00FB4E74">
        <w:rPr>
          <w:sz w:val="24"/>
        </w:rPr>
        <w:t xml:space="preserve">ithin </w:t>
      </w:r>
      <w:r>
        <w:rPr>
          <w:sz w:val="24"/>
        </w:rPr>
        <w:t>this room was found a</w:t>
      </w:r>
      <w:r w:rsidR="00FB4E74">
        <w:rPr>
          <w:sz w:val="24"/>
        </w:rPr>
        <w:t xml:space="preserve"> large collection of clay objects such as 15 coiled snakes and 27 </w:t>
      </w:r>
      <w:r>
        <w:rPr>
          <w:sz w:val="24"/>
        </w:rPr>
        <w:t>‘</w:t>
      </w:r>
      <w:r w:rsidR="00FB4E74">
        <w:rPr>
          <w:sz w:val="24"/>
        </w:rPr>
        <w:t>foreboding</w:t>
      </w:r>
      <w:r>
        <w:rPr>
          <w:sz w:val="24"/>
        </w:rPr>
        <w:t>’</w:t>
      </w:r>
      <w:r w:rsidR="00FB4E74">
        <w:rPr>
          <w:sz w:val="24"/>
        </w:rPr>
        <w:t xml:space="preserve"> figur</w:t>
      </w:r>
      <w:r>
        <w:rPr>
          <w:sz w:val="24"/>
        </w:rPr>
        <w:t>ines</w:t>
      </w:r>
      <w:r w:rsidR="00FB4E74">
        <w:rPr>
          <w:sz w:val="24"/>
        </w:rPr>
        <w:t xml:space="preserve"> </w:t>
      </w:r>
      <w:r w:rsidR="008E78DB">
        <w:rPr>
          <w:sz w:val="24"/>
        </w:rPr>
        <w:t xml:space="preserve">believed to be </w:t>
      </w:r>
      <w:r w:rsidR="00FB4E74">
        <w:rPr>
          <w:sz w:val="24"/>
        </w:rPr>
        <w:t>both male a</w:t>
      </w:r>
      <w:r w:rsidR="008E78DB">
        <w:rPr>
          <w:sz w:val="24"/>
        </w:rPr>
        <w:t>nd female.</w:t>
      </w:r>
      <w:r w:rsidR="00FB4E74">
        <w:rPr>
          <w:rStyle w:val="FootnoteReference"/>
          <w:sz w:val="24"/>
        </w:rPr>
        <w:footnoteReference w:id="46"/>
      </w:r>
      <w:r>
        <w:rPr>
          <w:sz w:val="24"/>
        </w:rPr>
        <w:t xml:space="preserve"> The gender of the figurines is debateable due to their condition. Because</w:t>
      </w:r>
      <w:r w:rsidR="008E78DB">
        <w:rPr>
          <w:sz w:val="24"/>
        </w:rPr>
        <w:t xml:space="preserve"> some of the figures are missing breasts they have been classified as male.</w:t>
      </w:r>
      <w:r w:rsidR="008E78DB">
        <w:rPr>
          <w:rStyle w:val="FootnoteReference"/>
          <w:sz w:val="24"/>
        </w:rPr>
        <w:footnoteReference w:id="47"/>
      </w:r>
      <w:r w:rsidR="008E78DB">
        <w:rPr>
          <w:sz w:val="24"/>
        </w:rPr>
        <w:t xml:space="preserve"> This is an interesting point because there is evidence that the Mycenaeans mostly worshiped female deities as most of the fr</w:t>
      </w:r>
      <w:r>
        <w:rPr>
          <w:sz w:val="24"/>
        </w:rPr>
        <w:t>escos and figurines found are</w:t>
      </w:r>
      <w:r w:rsidR="008E78DB">
        <w:rPr>
          <w:sz w:val="24"/>
        </w:rPr>
        <w:t xml:space="preserve"> females.</w:t>
      </w:r>
      <w:r w:rsidR="008E78DB">
        <w:rPr>
          <w:rStyle w:val="FootnoteReference"/>
          <w:sz w:val="24"/>
        </w:rPr>
        <w:footnoteReference w:id="48"/>
      </w:r>
      <w:r w:rsidR="008E78DB">
        <w:rPr>
          <w:sz w:val="24"/>
        </w:rPr>
        <w:t xml:space="preserve"> The pr</w:t>
      </w:r>
      <w:r>
        <w:rPr>
          <w:sz w:val="24"/>
        </w:rPr>
        <w:t>esence of the male idols suggests that these figurines may be images of worshippers;</w:t>
      </w:r>
      <w:r w:rsidR="008E78DB">
        <w:rPr>
          <w:sz w:val="24"/>
        </w:rPr>
        <w:t xml:space="preserve"> both genders </w:t>
      </w:r>
      <w:r>
        <w:rPr>
          <w:sz w:val="24"/>
        </w:rPr>
        <w:t>would be present for worship</w:t>
      </w:r>
      <w:r w:rsidR="00434A06">
        <w:rPr>
          <w:sz w:val="24"/>
        </w:rPr>
        <w:t xml:space="preserve">, </w:t>
      </w:r>
      <w:r>
        <w:rPr>
          <w:sz w:val="24"/>
        </w:rPr>
        <w:t xml:space="preserve">and further evidence </w:t>
      </w:r>
      <w:r w:rsidR="00434A06">
        <w:rPr>
          <w:sz w:val="24"/>
        </w:rPr>
        <w:t xml:space="preserve">can be seen in the </w:t>
      </w:r>
      <w:r>
        <w:rPr>
          <w:sz w:val="24"/>
        </w:rPr>
        <w:t xml:space="preserve">‘worship’ </w:t>
      </w:r>
      <w:r w:rsidR="00434A06">
        <w:rPr>
          <w:sz w:val="24"/>
        </w:rPr>
        <w:t>p</w:t>
      </w:r>
      <w:r>
        <w:rPr>
          <w:sz w:val="24"/>
        </w:rPr>
        <w:t>ositions of this group of idols</w:t>
      </w:r>
      <w:r w:rsidR="008E78DB">
        <w:rPr>
          <w:sz w:val="24"/>
        </w:rPr>
        <w:t>, some with their hands raised and some holding possible votive offerings.</w:t>
      </w:r>
      <w:r w:rsidR="008E78DB">
        <w:rPr>
          <w:rStyle w:val="FootnoteReference"/>
          <w:sz w:val="24"/>
        </w:rPr>
        <w:footnoteReference w:id="49"/>
      </w:r>
      <w:r w:rsidR="001E6F87">
        <w:rPr>
          <w:sz w:val="24"/>
        </w:rPr>
        <w:t xml:space="preserve"> </w:t>
      </w:r>
      <w:r w:rsidR="00CA072B">
        <w:rPr>
          <w:sz w:val="24"/>
        </w:rPr>
        <w:t>The different positions of th</w:t>
      </w:r>
      <w:r>
        <w:rPr>
          <w:sz w:val="24"/>
        </w:rPr>
        <w:t xml:space="preserve">e figures can show how </w:t>
      </w:r>
      <w:r w:rsidR="00CA072B">
        <w:rPr>
          <w:sz w:val="24"/>
        </w:rPr>
        <w:t xml:space="preserve">bodily practises are in the social memory as the </w:t>
      </w:r>
      <w:r w:rsidR="00462444">
        <w:rPr>
          <w:sz w:val="24"/>
        </w:rPr>
        <w:t xml:space="preserve">artists would have </w:t>
      </w:r>
      <w:r w:rsidR="00CA072B">
        <w:rPr>
          <w:sz w:val="24"/>
        </w:rPr>
        <w:t xml:space="preserve">had to know the meaning behind the gestures, this knowledge can also suggest that the gestures </w:t>
      </w:r>
      <w:r w:rsidR="0066490C">
        <w:rPr>
          <w:sz w:val="24"/>
        </w:rPr>
        <w:t>would have been repeated at ritual</w:t>
      </w:r>
      <w:r w:rsidR="00462444">
        <w:rPr>
          <w:sz w:val="24"/>
        </w:rPr>
        <w:t xml:space="preserve">s so that they become consolidated in social memory </w:t>
      </w:r>
      <w:r w:rsidR="0066490C" w:rsidRPr="00E14FC6">
        <w:rPr>
          <w:sz w:val="24"/>
        </w:rPr>
        <w:t>.</w:t>
      </w:r>
      <w:r w:rsidR="00CA072B">
        <w:rPr>
          <w:rStyle w:val="FootnoteReference"/>
          <w:sz w:val="24"/>
        </w:rPr>
        <w:footnoteReference w:id="50"/>
      </w:r>
      <w:r w:rsidR="00E14FC6">
        <w:rPr>
          <w:sz w:val="24"/>
        </w:rPr>
        <w:t xml:space="preserve"> </w:t>
      </w:r>
      <w:r w:rsidR="00E14FC6" w:rsidRPr="00E14FC6">
        <w:rPr>
          <w:sz w:val="24"/>
        </w:rPr>
        <w:t>A</w:t>
      </w:r>
      <w:r w:rsidR="00462444">
        <w:rPr>
          <w:sz w:val="24"/>
        </w:rPr>
        <w:t>NT furthers this idea</w:t>
      </w:r>
      <w:r w:rsidR="009C4B07" w:rsidRPr="009C4B07">
        <w:rPr>
          <w:sz w:val="24"/>
        </w:rPr>
        <w:t xml:space="preserve"> because these objects could have multiple functions and reactions to the figurines, for example some could be worshiped or be offerings to the deities.</w:t>
      </w:r>
    </w:p>
    <w:p w:rsidR="00535549" w:rsidRDefault="00535549">
      <w:pPr>
        <w:rPr>
          <w:sz w:val="24"/>
        </w:rPr>
      </w:pPr>
      <w:r>
        <w:rPr>
          <w:sz w:val="24"/>
        </w:rPr>
        <w:t xml:space="preserve">The location of these </w:t>
      </w:r>
      <w:r w:rsidR="00462444">
        <w:rPr>
          <w:sz w:val="24"/>
        </w:rPr>
        <w:t>lower ‘c</w:t>
      </w:r>
      <w:r w:rsidR="008475CA">
        <w:rPr>
          <w:sz w:val="24"/>
        </w:rPr>
        <w:t>ult</w:t>
      </w:r>
      <w:r w:rsidR="00462444">
        <w:rPr>
          <w:sz w:val="24"/>
        </w:rPr>
        <w:t xml:space="preserve"> a</w:t>
      </w:r>
      <w:r>
        <w:rPr>
          <w:sz w:val="24"/>
        </w:rPr>
        <w:t>rea</w:t>
      </w:r>
      <w:r w:rsidR="00462444">
        <w:rPr>
          <w:sz w:val="24"/>
        </w:rPr>
        <w:t>s</w:t>
      </w:r>
      <w:r>
        <w:rPr>
          <w:sz w:val="24"/>
        </w:rPr>
        <w:t>’ is interesting as they are not on t</w:t>
      </w:r>
      <w:r w:rsidR="00462444">
        <w:rPr>
          <w:sz w:val="24"/>
        </w:rPr>
        <w:t>he A</w:t>
      </w:r>
      <w:r>
        <w:rPr>
          <w:sz w:val="24"/>
        </w:rPr>
        <w:t>cropolis of the citadel, where the Megaron</w:t>
      </w:r>
      <w:r w:rsidR="00462444">
        <w:rPr>
          <w:sz w:val="24"/>
        </w:rPr>
        <w:t>,</w:t>
      </w:r>
      <w:r>
        <w:rPr>
          <w:sz w:val="24"/>
        </w:rPr>
        <w:t xml:space="preserve"> lies but rath</w:t>
      </w:r>
      <w:r w:rsidR="00462444">
        <w:rPr>
          <w:sz w:val="24"/>
        </w:rPr>
        <w:t>er at the foot of the A</w:t>
      </w:r>
      <w:r w:rsidR="00F956E9">
        <w:rPr>
          <w:sz w:val="24"/>
        </w:rPr>
        <w:t xml:space="preserve">cropolis just south of Grave Circle A and still within the </w:t>
      </w:r>
      <w:r w:rsidR="00F956E9" w:rsidRPr="00F956E9">
        <w:rPr>
          <w:sz w:val="24"/>
        </w:rPr>
        <w:t>Cyclopean</w:t>
      </w:r>
      <w:r w:rsidR="00462444">
        <w:rPr>
          <w:sz w:val="24"/>
        </w:rPr>
        <w:t xml:space="preserve"> W</w:t>
      </w:r>
      <w:r w:rsidR="00F956E9" w:rsidRPr="00F956E9">
        <w:rPr>
          <w:sz w:val="24"/>
        </w:rPr>
        <w:t>alls</w:t>
      </w:r>
      <w:r w:rsidR="00F956E9">
        <w:rPr>
          <w:sz w:val="24"/>
        </w:rPr>
        <w:t>.</w:t>
      </w:r>
      <w:r w:rsidR="00F956E9">
        <w:rPr>
          <w:rStyle w:val="FootnoteReference"/>
          <w:sz w:val="24"/>
        </w:rPr>
        <w:footnoteReference w:id="51"/>
      </w:r>
      <w:r w:rsidR="00462444">
        <w:rPr>
          <w:sz w:val="24"/>
        </w:rPr>
        <w:t xml:space="preserve"> </w:t>
      </w:r>
      <w:r w:rsidR="00B94CC8" w:rsidRPr="00B94CC8">
        <w:rPr>
          <w:sz w:val="24"/>
        </w:rPr>
        <w:t xml:space="preserve">Also the ‘cult areas’ were outside the </w:t>
      </w:r>
      <w:r w:rsidR="00462444">
        <w:rPr>
          <w:sz w:val="24"/>
        </w:rPr>
        <w:t>original citadel and were</w:t>
      </w:r>
      <w:r w:rsidR="00B94CC8">
        <w:rPr>
          <w:sz w:val="24"/>
        </w:rPr>
        <w:t xml:space="preserve"> only included in the second phase</w:t>
      </w:r>
      <w:r w:rsidR="00462444">
        <w:rPr>
          <w:sz w:val="24"/>
        </w:rPr>
        <w:t xml:space="preserve"> of construction to the walls</w:t>
      </w:r>
      <w:r w:rsidR="00B94CC8">
        <w:rPr>
          <w:sz w:val="24"/>
        </w:rPr>
        <w:t>.</w:t>
      </w:r>
      <w:r w:rsidR="00B94CC8">
        <w:rPr>
          <w:rStyle w:val="FootnoteReference"/>
          <w:sz w:val="24"/>
        </w:rPr>
        <w:footnoteReference w:id="52"/>
      </w:r>
      <w:r w:rsidR="00B94CC8" w:rsidRPr="00B94CC8">
        <w:rPr>
          <w:sz w:val="24"/>
        </w:rPr>
        <w:t xml:space="preserve"> </w:t>
      </w:r>
      <w:r w:rsidR="00462444">
        <w:rPr>
          <w:sz w:val="24"/>
        </w:rPr>
        <w:t>The location is</w:t>
      </w:r>
      <w:r w:rsidR="00F956E9">
        <w:rPr>
          <w:sz w:val="24"/>
        </w:rPr>
        <w:t xml:space="preserve"> significant because both these </w:t>
      </w:r>
      <w:r w:rsidR="00462444">
        <w:rPr>
          <w:sz w:val="24"/>
        </w:rPr>
        <w:t>‘</w:t>
      </w:r>
      <w:r w:rsidR="00F956E9">
        <w:rPr>
          <w:sz w:val="24"/>
        </w:rPr>
        <w:t>cult areas</w:t>
      </w:r>
      <w:r w:rsidR="00462444">
        <w:rPr>
          <w:sz w:val="24"/>
        </w:rPr>
        <w:t>’</w:t>
      </w:r>
      <w:r w:rsidR="00F956E9">
        <w:rPr>
          <w:sz w:val="24"/>
        </w:rPr>
        <w:t xml:space="preserve"> must have been important enough to be still within the w</w:t>
      </w:r>
      <w:r w:rsidR="00462444">
        <w:rPr>
          <w:sz w:val="24"/>
        </w:rPr>
        <w:t>alls but not to be part of the Processional W</w:t>
      </w:r>
      <w:r w:rsidR="00F956E9">
        <w:rPr>
          <w:sz w:val="24"/>
        </w:rPr>
        <w:t>ay.</w:t>
      </w:r>
      <w:r w:rsidR="00B94CC8">
        <w:rPr>
          <w:sz w:val="24"/>
        </w:rPr>
        <w:t xml:space="preserve"> </w:t>
      </w:r>
      <w:r w:rsidR="00462444">
        <w:rPr>
          <w:sz w:val="24"/>
        </w:rPr>
        <w:t>The ‘cult a</w:t>
      </w:r>
      <w:r w:rsidR="00F956E9">
        <w:rPr>
          <w:sz w:val="24"/>
        </w:rPr>
        <w:t>reas’ were part of an earlier area for</w:t>
      </w:r>
      <w:r w:rsidR="00462444">
        <w:rPr>
          <w:sz w:val="24"/>
        </w:rPr>
        <w:t xml:space="preserve"> which worship took place </w:t>
      </w:r>
      <w:r w:rsidR="00F956E9">
        <w:rPr>
          <w:sz w:val="24"/>
        </w:rPr>
        <w:t>which was eventually abandoned in favour of worship</w:t>
      </w:r>
      <w:r w:rsidR="00462444">
        <w:rPr>
          <w:sz w:val="24"/>
        </w:rPr>
        <w:t>p</w:t>
      </w:r>
      <w:r w:rsidR="00F956E9">
        <w:rPr>
          <w:sz w:val="24"/>
        </w:rPr>
        <w:t>in</w:t>
      </w:r>
      <w:r w:rsidR="00462444">
        <w:rPr>
          <w:sz w:val="24"/>
        </w:rPr>
        <w:t>g in places such as the Megaron.</w:t>
      </w:r>
      <w:r w:rsidR="00A762F0">
        <w:rPr>
          <w:sz w:val="24"/>
        </w:rPr>
        <w:t xml:space="preserve"> Wardle argues that the abandonment could be due to the damage caused by </w:t>
      </w:r>
      <w:r w:rsidR="0084577E">
        <w:rPr>
          <w:sz w:val="24"/>
        </w:rPr>
        <w:t xml:space="preserve">the </w:t>
      </w:r>
      <w:r w:rsidR="00A762F0">
        <w:rPr>
          <w:sz w:val="24"/>
        </w:rPr>
        <w:t>possible earthquakes.</w:t>
      </w:r>
      <w:r w:rsidR="00A762F0">
        <w:rPr>
          <w:rStyle w:val="FootnoteReference"/>
          <w:sz w:val="24"/>
        </w:rPr>
        <w:footnoteReference w:id="53"/>
      </w:r>
    </w:p>
    <w:p w:rsidR="00A95F47" w:rsidRDefault="009C4B07">
      <w:pPr>
        <w:rPr>
          <w:sz w:val="24"/>
        </w:rPr>
      </w:pPr>
      <w:r>
        <w:rPr>
          <w:sz w:val="24"/>
        </w:rPr>
        <w:t>To conclude</w:t>
      </w:r>
      <w:r w:rsidR="00462444">
        <w:rPr>
          <w:sz w:val="24"/>
        </w:rPr>
        <w:t>,</w:t>
      </w:r>
      <w:r>
        <w:rPr>
          <w:sz w:val="24"/>
        </w:rPr>
        <w:t xml:space="preserve"> the </w:t>
      </w:r>
      <w:r w:rsidRPr="009C4B07">
        <w:rPr>
          <w:sz w:val="24"/>
        </w:rPr>
        <w:t>theoretical approaches of Actor Network Theory, Material Culture &amp; Memory, Post-processual and Phenomenology</w:t>
      </w:r>
      <w:r>
        <w:rPr>
          <w:sz w:val="24"/>
        </w:rPr>
        <w:t xml:space="preserve"> can be applied to the site of Mycenae and </w:t>
      </w:r>
      <w:r>
        <w:rPr>
          <w:sz w:val="24"/>
        </w:rPr>
        <w:lastRenderedPageBreak/>
        <w:t>the rituals of the civilisation. While some theories work better than others when examining the site and the civilisation, they can be combined with each other to allow for greater understanding</w:t>
      </w:r>
      <w:r w:rsidR="00462444">
        <w:rPr>
          <w:sz w:val="24"/>
        </w:rPr>
        <w:t xml:space="preserve"> and interpretation of the significance</w:t>
      </w:r>
      <w:r w:rsidR="00462444" w:rsidRPr="00462444">
        <w:t xml:space="preserve"> </w:t>
      </w:r>
      <w:r w:rsidR="00462444">
        <w:t xml:space="preserve">of </w:t>
      </w:r>
      <w:r w:rsidR="00462444">
        <w:rPr>
          <w:sz w:val="24"/>
        </w:rPr>
        <w:t>r</w:t>
      </w:r>
      <w:r w:rsidR="00462444" w:rsidRPr="00462444">
        <w:rPr>
          <w:sz w:val="24"/>
        </w:rPr>
        <w:t xml:space="preserve">itual and ceremony in </w:t>
      </w:r>
      <w:r w:rsidR="00462444">
        <w:rPr>
          <w:sz w:val="24"/>
        </w:rPr>
        <w:t xml:space="preserve">this </w:t>
      </w:r>
      <w:r w:rsidR="00974598">
        <w:rPr>
          <w:sz w:val="24"/>
        </w:rPr>
        <w:t>palatial context of Mycenae.</w:t>
      </w:r>
      <w:r w:rsidR="00A95F47">
        <w:rPr>
          <w:sz w:val="24"/>
        </w:rPr>
        <w:br w:type="page"/>
      </w:r>
    </w:p>
    <w:p w:rsidR="00A95F47" w:rsidRDefault="00A95F47">
      <w:pPr>
        <w:rPr>
          <w:sz w:val="24"/>
        </w:rPr>
      </w:pPr>
      <w:r>
        <w:rPr>
          <w:sz w:val="24"/>
        </w:rPr>
        <w:lastRenderedPageBreak/>
        <w:t>Bi</w:t>
      </w:r>
      <w:r w:rsidR="00795BF2">
        <w:rPr>
          <w:sz w:val="24"/>
        </w:rPr>
        <w:t>bli</w:t>
      </w:r>
      <w:r>
        <w:rPr>
          <w:sz w:val="24"/>
        </w:rPr>
        <w:t xml:space="preserve">ography </w:t>
      </w:r>
    </w:p>
    <w:p w:rsidR="00D40665" w:rsidRPr="00795BF2" w:rsidRDefault="00D40665">
      <w:pPr>
        <w:rPr>
          <w:b/>
          <w:sz w:val="24"/>
        </w:rPr>
      </w:pPr>
      <w:r w:rsidRPr="00795BF2">
        <w:rPr>
          <w:b/>
          <w:sz w:val="24"/>
        </w:rPr>
        <w:t xml:space="preserve">Books </w:t>
      </w:r>
      <w:r w:rsidR="00116CDA" w:rsidRPr="00795BF2">
        <w:rPr>
          <w:b/>
          <w:sz w:val="24"/>
        </w:rPr>
        <w:t xml:space="preserve"> </w:t>
      </w:r>
    </w:p>
    <w:p w:rsidR="00140319" w:rsidRDefault="00140319">
      <w:pPr>
        <w:rPr>
          <w:sz w:val="24"/>
        </w:rPr>
      </w:pPr>
      <w:r>
        <w:rPr>
          <w:sz w:val="24"/>
        </w:rPr>
        <w:t>Connerton P, 1996, How societies remember, Cambridge university press, Cambridge.</w:t>
      </w:r>
    </w:p>
    <w:p w:rsidR="00140319" w:rsidRDefault="00140319">
      <w:pPr>
        <w:rPr>
          <w:sz w:val="24"/>
        </w:rPr>
      </w:pPr>
      <w:r w:rsidRPr="00A95F47">
        <w:rPr>
          <w:sz w:val="24"/>
        </w:rPr>
        <w:t xml:space="preserve">Drosou-Panagiotou N, 2009, Ancient Greece: the pictures of the most important monuments in antiquity and today, </w:t>
      </w:r>
      <w:proofErr w:type="spellStart"/>
      <w:r w:rsidRPr="00A95F47">
        <w:rPr>
          <w:sz w:val="24"/>
        </w:rPr>
        <w:t>Papadimas</w:t>
      </w:r>
      <w:proofErr w:type="spellEnd"/>
      <w:r w:rsidRPr="00A95F47">
        <w:rPr>
          <w:sz w:val="24"/>
        </w:rPr>
        <w:t xml:space="preserve"> </w:t>
      </w:r>
      <w:proofErr w:type="spellStart"/>
      <w:r w:rsidRPr="00A95F47">
        <w:rPr>
          <w:sz w:val="24"/>
        </w:rPr>
        <w:t>Ekdotiki</w:t>
      </w:r>
      <w:proofErr w:type="spellEnd"/>
      <w:r w:rsidRPr="00A95F47">
        <w:rPr>
          <w:sz w:val="24"/>
        </w:rPr>
        <w:t>, Athens</w:t>
      </w:r>
      <w:proofErr w:type="gramStart"/>
      <w:r w:rsidRPr="00A95F47">
        <w:rPr>
          <w:sz w:val="24"/>
        </w:rPr>
        <w:t>,95</w:t>
      </w:r>
      <w:proofErr w:type="gramEnd"/>
      <w:r w:rsidRPr="00A95F47">
        <w:rPr>
          <w:sz w:val="24"/>
        </w:rPr>
        <w:t>-110</w:t>
      </w:r>
    </w:p>
    <w:p w:rsidR="00140319" w:rsidRDefault="00140319">
      <w:pPr>
        <w:rPr>
          <w:sz w:val="24"/>
        </w:rPr>
      </w:pPr>
      <w:r w:rsidRPr="00A95F47">
        <w:rPr>
          <w:sz w:val="24"/>
        </w:rPr>
        <w:t>Haywood</w:t>
      </w:r>
      <w:proofErr w:type="gramStart"/>
      <w:r w:rsidRPr="00A95F47">
        <w:rPr>
          <w:sz w:val="24"/>
        </w:rPr>
        <w:t>,J</w:t>
      </w:r>
      <w:proofErr w:type="gramEnd"/>
      <w:r w:rsidRPr="00A95F47">
        <w:rPr>
          <w:sz w:val="24"/>
        </w:rPr>
        <w:t xml:space="preserve"> 2005 The Penguin Historical Atlas of Ancient Civilisati</w:t>
      </w:r>
      <w:r>
        <w:rPr>
          <w:sz w:val="24"/>
        </w:rPr>
        <w:t xml:space="preserve">ons, Penguin books Ltd. London. </w:t>
      </w:r>
    </w:p>
    <w:p w:rsidR="00140319" w:rsidRDefault="00140319">
      <w:pPr>
        <w:rPr>
          <w:sz w:val="24"/>
        </w:rPr>
      </w:pPr>
      <w:r>
        <w:rPr>
          <w:sz w:val="24"/>
        </w:rPr>
        <w:t xml:space="preserve">Johnson M, 2010, Archaeological Theory: an Introduction, Wiley-Blackwell, Oxford </w:t>
      </w:r>
    </w:p>
    <w:p w:rsidR="00140319" w:rsidRDefault="00140319">
      <w:pPr>
        <w:rPr>
          <w:sz w:val="24"/>
        </w:rPr>
      </w:pPr>
      <w:r w:rsidRPr="004425F3">
        <w:rPr>
          <w:sz w:val="24"/>
        </w:rPr>
        <w:t>K.A &amp;Wardle</w:t>
      </w:r>
      <w:r>
        <w:rPr>
          <w:sz w:val="24"/>
        </w:rPr>
        <w:t xml:space="preserve"> D, 2004, Cities of Legend: The Mycenaean World, Bristol Classical Press, London </w:t>
      </w:r>
    </w:p>
    <w:p w:rsidR="00140319" w:rsidRDefault="00140319">
      <w:pPr>
        <w:rPr>
          <w:sz w:val="24"/>
        </w:rPr>
      </w:pPr>
      <w:proofErr w:type="spellStart"/>
      <w:r w:rsidRPr="00F34BA4">
        <w:rPr>
          <w:sz w:val="24"/>
        </w:rPr>
        <w:t>Lupack</w:t>
      </w:r>
      <w:proofErr w:type="spellEnd"/>
      <w:r>
        <w:rPr>
          <w:sz w:val="24"/>
        </w:rPr>
        <w:t xml:space="preserve"> </w:t>
      </w:r>
      <w:r w:rsidRPr="00F34BA4">
        <w:rPr>
          <w:sz w:val="24"/>
        </w:rPr>
        <w:t>2010</w:t>
      </w:r>
      <w:r>
        <w:rPr>
          <w:sz w:val="24"/>
        </w:rPr>
        <w:t xml:space="preserve"> </w:t>
      </w:r>
      <w:r w:rsidRPr="00F34BA4">
        <w:rPr>
          <w:sz w:val="24"/>
        </w:rPr>
        <w:t>Oxford</w:t>
      </w:r>
      <w:r>
        <w:rPr>
          <w:sz w:val="24"/>
        </w:rPr>
        <w:t xml:space="preserve"> </w:t>
      </w:r>
      <w:r w:rsidRPr="00F34BA4">
        <w:rPr>
          <w:sz w:val="24"/>
        </w:rPr>
        <w:t>Handbook</w:t>
      </w:r>
      <w:r>
        <w:rPr>
          <w:sz w:val="24"/>
        </w:rPr>
        <w:t xml:space="preserve"> </w:t>
      </w:r>
      <w:r w:rsidRPr="00F34BA4">
        <w:rPr>
          <w:sz w:val="24"/>
        </w:rPr>
        <w:t>Mycenaean</w:t>
      </w:r>
      <w:r>
        <w:rPr>
          <w:sz w:val="24"/>
        </w:rPr>
        <w:t xml:space="preserve"> </w:t>
      </w:r>
      <w:r w:rsidRPr="00F34BA4">
        <w:rPr>
          <w:sz w:val="24"/>
        </w:rPr>
        <w:t>Religion</w:t>
      </w:r>
      <w:r>
        <w:rPr>
          <w:sz w:val="24"/>
        </w:rPr>
        <w:t>.</w:t>
      </w:r>
    </w:p>
    <w:p w:rsidR="00140319" w:rsidRDefault="00140319" w:rsidP="00E601B6">
      <w:pPr>
        <w:rPr>
          <w:sz w:val="24"/>
        </w:rPr>
      </w:pPr>
      <w:r>
        <w:rPr>
          <w:sz w:val="24"/>
        </w:rPr>
        <w:t>Mara</w:t>
      </w:r>
      <w:r w:rsidRPr="00E601B6">
        <w:rPr>
          <w:sz w:val="24"/>
        </w:rPr>
        <w:t>n</w:t>
      </w:r>
      <w:r>
        <w:rPr>
          <w:sz w:val="24"/>
        </w:rPr>
        <w:t xml:space="preserve"> J &amp; </w:t>
      </w:r>
      <w:proofErr w:type="spellStart"/>
      <w:r>
        <w:rPr>
          <w:sz w:val="24"/>
        </w:rPr>
        <w:t>Stavrianopoulo</w:t>
      </w:r>
      <w:r w:rsidRPr="00E601B6">
        <w:rPr>
          <w:sz w:val="24"/>
        </w:rPr>
        <w:t>u</w:t>
      </w:r>
      <w:proofErr w:type="spellEnd"/>
      <w:r>
        <w:rPr>
          <w:sz w:val="24"/>
        </w:rPr>
        <w:t xml:space="preserve"> E, 2007, </w:t>
      </w:r>
      <w:proofErr w:type="spellStart"/>
      <w:r w:rsidRPr="00E601B6">
        <w:rPr>
          <w:sz w:val="24"/>
        </w:rPr>
        <w:t>Πóτνιος</w:t>
      </w:r>
      <w:proofErr w:type="spellEnd"/>
      <w:r w:rsidRPr="00E601B6">
        <w:rPr>
          <w:sz w:val="24"/>
        </w:rPr>
        <w:t xml:space="preserve"> </w:t>
      </w:r>
      <w:proofErr w:type="spellStart"/>
      <w:r w:rsidRPr="00E601B6">
        <w:rPr>
          <w:sz w:val="24"/>
        </w:rPr>
        <w:t>Ἀνήρ</w:t>
      </w:r>
      <w:proofErr w:type="spellEnd"/>
      <w:r w:rsidRPr="00E601B6">
        <w:rPr>
          <w:sz w:val="24"/>
        </w:rPr>
        <w:t xml:space="preserve"> – Reflections on the Ideology</w:t>
      </w:r>
      <w:r>
        <w:rPr>
          <w:sz w:val="24"/>
        </w:rPr>
        <w:t xml:space="preserve"> </w:t>
      </w:r>
      <w:r w:rsidRPr="00E601B6">
        <w:rPr>
          <w:sz w:val="24"/>
        </w:rPr>
        <w:t>of Mycenaean Kingship</w:t>
      </w:r>
      <w:r>
        <w:rPr>
          <w:sz w:val="24"/>
        </w:rPr>
        <w:t>,</w:t>
      </w:r>
      <w:r w:rsidRPr="00795BF2">
        <w:t xml:space="preserve"> </w:t>
      </w:r>
      <w:proofErr w:type="spellStart"/>
      <w:r>
        <w:rPr>
          <w:rFonts w:cstheme="minorHAnsi"/>
        </w:rPr>
        <w:t>Ö</w:t>
      </w:r>
      <w:r>
        <w:rPr>
          <w:sz w:val="24"/>
        </w:rPr>
        <w:t>sterreichische</w:t>
      </w:r>
      <w:proofErr w:type="spellEnd"/>
      <w:r>
        <w:rPr>
          <w:sz w:val="24"/>
        </w:rPr>
        <w:t xml:space="preserve"> </w:t>
      </w:r>
      <w:proofErr w:type="spellStart"/>
      <w:r>
        <w:rPr>
          <w:sz w:val="24"/>
        </w:rPr>
        <w:t>Akademie</w:t>
      </w:r>
      <w:proofErr w:type="spellEnd"/>
      <w:r>
        <w:rPr>
          <w:sz w:val="24"/>
        </w:rPr>
        <w:t xml:space="preserve"> der </w:t>
      </w:r>
      <w:proofErr w:type="spellStart"/>
      <w:r>
        <w:rPr>
          <w:sz w:val="24"/>
        </w:rPr>
        <w:t>W</w:t>
      </w:r>
      <w:r w:rsidRPr="00795BF2">
        <w:rPr>
          <w:sz w:val="24"/>
        </w:rPr>
        <w:t>issenschaft</w:t>
      </w:r>
      <w:proofErr w:type="spellEnd"/>
      <w:r>
        <w:rPr>
          <w:sz w:val="24"/>
        </w:rPr>
        <w:t xml:space="preserve">, </w:t>
      </w:r>
      <w:proofErr w:type="gramStart"/>
      <w:r>
        <w:rPr>
          <w:sz w:val="24"/>
        </w:rPr>
        <w:t>Salzburg ?</w:t>
      </w:r>
      <w:proofErr w:type="gramEnd"/>
    </w:p>
    <w:p w:rsidR="00140319" w:rsidRDefault="00140319">
      <w:pPr>
        <w:rPr>
          <w:sz w:val="24"/>
        </w:rPr>
      </w:pPr>
      <w:r>
        <w:rPr>
          <w:sz w:val="24"/>
        </w:rPr>
        <w:t xml:space="preserve">Schofield L, 2007, </w:t>
      </w:r>
      <w:proofErr w:type="gramStart"/>
      <w:r>
        <w:rPr>
          <w:sz w:val="24"/>
        </w:rPr>
        <w:t>The</w:t>
      </w:r>
      <w:proofErr w:type="gramEnd"/>
      <w:r>
        <w:rPr>
          <w:sz w:val="24"/>
        </w:rPr>
        <w:t xml:space="preserve"> Mycenaeans, The British Museum Press, London.</w:t>
      </w:r>
    </w:p>
    <w:p w:rsidR="00140319" w:rsidRDefault="00140319" w:rsidP="00E601B6">
      <w:pPr>
        <w:rPr>
          <w:sz w:val="24"/>
        </w:rPr>
      </w:pPr>
      <w:r w:rsidRPr="0022050E">
        <w:rPr>
          <w:sz w:val="24"/>
        </w:rPr>
        <w:t>Steele L, Introduction: Theoretical Approaches, PowerPoint presentation delivered at UWTSD Lampter</w:t>
      </w:r>
      <w:r>
        <w:rPr>
          <w:sz w:val="24"/>
        </w:rPr>
        <w:t xml:space="preserve"> 5/10/17</w:t>
      </w:r>
    </w:p>
    <w:p w:rsidR="00140319" w:rsidRDefault="00140319">
      <w:pPr>
        <w:rPr>
          <w:sz w:val="24"/>
        </w:rPr>
      </w:pPr>
      <w:r>
        <w:rPr>
          <w:sz w:val="24"/>
        </w:rPr>
        <w:t xml:space="preserve">Taylour W, </w:t>
      </w:r>
      <w:r w:rsidRPr="00D40665">
        <w:rPr>
          <w:sz w:val="24"/>
        </w:rPr>
        <w:t>1983</w:t>
      </w:r>
      <w:r>
        <w:rPr>
          <w:sz w:val="24"/>
        </w:rPr>
        <w:t xml:space="preserve">, The Mycenaeans: revised edition, Thames and Hudson, London. </w:t>
      </w:r>
    </w:p>
    <w:p w:rsidR="00D40665" w:rsidRPr="00795BF2" w:rsidRDefault="00D40665">
      <w:pPr>
        <w:rPr>
          <w:b/>
          <w:sz w:val="24"/>
        </w:rPr>
      </w:pPr>
      <w:r w:rsidRPr="00795BF2">
        <w:rPr>
          <w:b/>
          <w:sz w:val="24"/>
        </w:rPr>
        <w:t xml:space="preserve">Websites </w:t>
      </w:r>
    </w:p>
    <w:p w:rsidR="00D40665" w:rsidRDefault="00FC715E">
      <w:pPr>
        <w:rPr>
          <w:sz w:val="24"/>
        </w:rPr>
      </w:pPr>
      <w:hyperlink r:id="rId7" w:history="1">
        <w:r w:rsidR="00D40665" w:rsidRPr="00771256">
          <w:rPr>
            <w:rStyle w:val="Hyperlink"/>
            <w:sz w:val="24"/>
          </w:rPr>
          <w:t>https://www.ancient.eu/Mycenaean_Civilization/</w:t>
        </w:r>
      </w:hyperlink>
      <w:r w:rsidR="00D40665">
        <w:rPr>
          <w:sz w:val="24"/>
        </w:rPr>
        <w:t xml:space="preserve"> accessed on 12/12/17</w:t>
      </w:r>
    </w:p>
    <w:p w:rsidR="00D40665" w:rsidRDefault="00FC715E">
      <w:pPr>
        <w:rPr>
          <w:sz w:val="24"/>
        </w:rPr>
      </w:pPr>
      <w:hyperlink r:id="rId8" w:history="1">
        <w:r w:rsidR="00D40665" w:rsidRPr="00771256">
          <w:rPr>
            <w:rStyle w:val="Hyperlink"/>
            <w:sz w:val="24"/>
          </w:rPr>
          <w:t>https://www.ancient.eu/mycenae/</w:t>
        </w:r>
      </w:hyperlink>
      <w:r w:rsidR="00D40665">
        <w:rPr>
          <w:sz w:val="24"/>
        </w:rPr>
        <w:t xml:space="preserve"> accessed on 9/12/17</w:t>
      </w:r>
    </w:p>
    <w:p w:rsidR="00140319" w:rsidRDefault="00140319">
      <w:pPr>
        <w:rPr>
          <w:sz w:val="24"/>
        </w:rPr>
      </w:pPr>
      <w:hyperlink r:id="rId9" w:history="1">
        <w:r w:rsidRPr="001F4B17">
          <w:rPr>
            <w:rStyle w:val="Hyperlink"/>
            <w:sz w:val="24"/>
          </w:rPr>
          <w:t>http://users.stlcc.edu/mfuller/mycenae.html</w:t>
        </w:r>
      </w:hyperlink>
      <w:r>
        <w:rPr>
          <w:sz w:val="24"/>
        </w:rPr>
        <w:t xml:space="preserve"> accessed on 16/12/17</w:t>
      </w:r>
    </w:p>
    <w:p w:rsidR="00795BF2" w:rsidRPr="00795BF2" w:rsidRDefault="00795BF2">
      <w:pPr>
        <w:rPr>
          <w:b/>
          <w:sz w:val="24"/>
        </w:rPr>
      </w:pPr>
      <w:r w:rsidRPr="00795BF2">
        <w:rPr>
          <w:b/>
          <w:sz w:val="24"/>
        </w:rPr>
        <w:t xml:space="preserve">Articles </w:t>
      </w:r>
    </w:p>
    <w:p w:rsidR="00795BF2" w:rsidRDefault="00795BF2">
      <w:pPr>
        <w:rPr>
          <w:sz w:val="24"/>
        </w:rPr>
      </w:pPr>
      <w:r w:rsidRPr="00795BF2">
        <w:rPr>
          <w:sz w:val="24"/>
        </w:rPr>
        <w:t>Tilley, C. (1996) ‘</w:t>
      </w:r>
      <w:proofErr w:type="gramStart"/>
      <w:r w:rsidRPr="00795BF2">
        <w:rPr>
          <w:sz w:val="24"/>
        </w:rPr>
        <w:t>The</w:t>
      </w:r>
      <w:proofErr w:type="gramEnd"/>
      <w:r w:rsidRPr="00795BF2">
        <w:rPr>
          <w:sz w:val="24"/>
        </w:rPr>
        <w:t xml:space="preserve"> Power of Rocks: </w:t>
      </w:r>
      <w:r w:rsidR="00140319" w:rsidRPr="00795BF2">
        <w:rPr>
          <w:sz w:val="24"/>
        </w:rPr>
        <w:t>Topography</w:t>
      </w:r>
      <w:r w:rsidRPr="00795BF2">
        <w:rPr>
          <w:sz w:val="24"/>
        </w:rPr>
        <w:t xml:space="preserve"> and </w:t>
      </w:r>
      <w:r w:rsidR="00140319" w:rsidRPr="00795BF2">
        <w:rPr>
          <w:sz w:val="24"/>
        </w:rPr>
        <w:t>Monument</w:t>
      </w:r>
      <w:r w:rsidRPr="00795BF2">
        <w:rPr>
          <w:sz w:val="24"/>
        </w:rPr>
        <w:t xml:space="preserve"> Co</w:t>
      </w:r>
      <w:r w:rsidR="00140319">
        <w:rPr>
          <w:sz w:val="24"/>
        </w:rPr>
        <w:t xml:space="preserve">nstruction on Bodmin Moor.’ </w:t>
      </w:r>
      <w:r w:rsidRPr="00795BF2">
        <w:rPr>
          <w:sz w:val="24"/>
        </w:rPr>
        <w:t>World Archaeology. Vol 28. Routledge.</w:t>
      </w:r>
    </w:p>
    <w:p w:rsidR="00140319" w:rsidRPr="008E08C1" w:rsidRDefault="00140319">
      <w:pPr>
        <w:rPr>
          <w:sz w:val="24"/>
        </w:rPr>
      </w:pPr>
      <w:proofErr w:type="spellStart"/>
      <w:r w:rsidRPr="00140319">
        <w:rPr>
          <w:sz w:val="24"/>
        </w:rPr>
        <w:t>Wesolowski</w:t>
      </w:r>
      <w:proofErr w:type="spellEnd"/>
      <w:r w:rsidRPr="00140319">
        <w:rPr>
          <w:sz w:val="24"/>
        </w:rPr>
        <w:t xml:space="preserve"> L D, 2006 ‘Feastin</w:t>
      </w:r>
      <w:r>
        <w:rPr>
          <w:sz w:val="24"/>
        </w:rPr>
        <w:t xml:space="preserve">g at Nestor's Palace at Pylos’ </w:t>
      </w:r>
      <w:r w:rsidRPr="00140319">
        <w:rPr>
          <w:sz w:val="24"/>
        </w:rPr>
        <w:t>Nebraska Anthropologist. Paper 26</w:t>
      </w:r>
    </w:p>
    <w:sectPr w:rsidR="00140319" w:rsidRPr="008E08C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C715E" w:rsidRDefault="00FC715E" w:rsidP="00AB2537">
      <w:pPr>
        <w:spacing w:after="0" w:line="240" w:lineRule="auto"/>
      </w:pPr>
      <w:r>
        <w:separator/>
      </w:r>
    </w:p>
  </w:endnote>
  <w:endnote w:type="continuationSeparator" w:id="0">
    <w:p w:rsidR="00FC715E" w:rsidRDefault="00FC715E" w:rsidP="00AB2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C715E" w:rsidRDefault="00FC715E" w:rsidP="00AB2537">
      <w:pPr>
        <w:spacing w:after="0" w:line="240" w:lineRule="auto"/>
      </w:pPr>
      <w:r>
        <w:separator/>
      </w:r>
    </w:p>
  </w:footnote>
  <w:footnote w:type="continuationSeparator" w:id="0">
    <w:p w:rsidR="00FC715E" w:rsidRDefault="00FC715E" w:rsidP="00AB2537">
      <w:pPr>
        <w:spacing w:after="0" w:line="240" w:lineRule="auto"/>
      </w:pPr>
      <w:r>
        <w:continuationSeparator/>
      </w:r>
    </w:p>
  </w:footnote>
  <w:footnote w:id="1">
    <w:p w:rsidR="00674645" w:rsidRDefault="00674645">
      <w:pPr>
        <w:pStyle w:val="FootnoteText"/>
      </w:pPr>
      <w:r>
        <w:rPr>
          <w:rStyle w:val="FootnoteReference"/>
        </w:rPr>
        <w:footnoteRef/>
      </w:r>
      <w:r>
        <w:t xml:space="preserve"> </w:t>
      </w:r>
      <w:r w:rsidRPr="00AB2537">
        <w:t>https://www.ancient.eu/mycenae/</w:t>
      </w:r>
    </w:p>
  </w:footnote>
  <w:footnote w:id="2">
    <w:p w:rsidR="00674645" w:rsidRDefault="00674645">
      <w:pPr>
        <w:pStyle w:val="FootnoteText"/>
      </w:pPr>
      <w:r>
        <w:rPr>
          <w:rStyle w:val="FootnoteReference"/>
        </w:rPr>
        <w:footnoteRef/>
      </w:r>
      <w:r>
        <w:t xml:space="preserve"> Drosou-Panagiotou, (2009): </w:t>
      </w:r>
      <w:r w:rsidRPr="007E1BC0">
        <w:t>9</w:t>
      </w:r>
      <w:r>
        <w:t>6</w:t>
      </w:r>
    </w:p>
  </w:footnote>
  <w:footnote w:id="3">
    <w:p w:rsidR="00674645" w:rsidRDefault="00674645" w:rsidP="003D69E7">
      <w:pPr>
        <w:pStyle w:val="FootnoteText"/>
        <w:tabs>
          <w:tab w:val="left" w:pos="6740"/>
        </w:tabs>
      </w:pPr>
      <w:r>
        <w:rPr>
          <w:rStyle w:val="FootnoteReference"/>
        </w:rPr>
        <w:footnoteRef/>
      </w:r>
      <w:r>
        <w:t xml:space="preserve"> Haywood (2005):100</w:t>
      </w:r>
    </w:p>
  </w:footnote>
  <w:footnote w:id="4">
    <w:p w:rsidR="00674645" w:rsidRDefault="00674645">
      <w:pPr>
        <w:pStyle w:val="FootnoteText"/>
      </w:pPr>
      <w:r>
        <w:rPr>
          <w:rStyle w:val="FootnoteReference"/>
        </w:rPr>
        <w:footnoteRef/>
      </w:r>
      <w:r>
        <w:t xml:space="preserve"> Johnson (2010):224</w:t>
      </w:r>
    </w:p>
  </w:footnote>
  <w:footnote w:id="5">
    <w:p w:rsidR="00674645" w:rsidRDefault="00674645">
      <w:pPr>
        <w:pStyle w:val="FootnoteText"/>
      </w:pPr>
      <w:r>
        <w:rPr>
          <w:rStyle w:val="FootnoteReference"/>
        </w:rPr>
        <w:footnoteRef/>
      </w:r>
      <w:r>
        <w:t xml:space="preserve"> Steel (2017) :10</w:t>
      </w:r>
    </w:p>
  </w:footnote>
  <w:footnote w:id="6">
    <w:p w:rsidR="00674645" w:rsidRDefault="00674645">
      <w:pPr>
        <w:pStyle w:val="FootnoteText"/>
      </w:pPr>
      <w:r>
        <w:rPr>
          <w:rStyle w:val="FootnoteReference"/>
        </w:rPr>
        <w:footnoteRef/>
      </w:r>
      <w:r>
        <w:t xml:space="preserve"> Tilley </w:t>
      </w:r>
      <w:r w:rsidRPr="00004175">
        <w:t>(1996</w:t>
      </w:r>
      <w:r>
        <w:t>)</w:t>
      </w:r>
    </w:p>
  </w:footnote>
  <w:footnote w:id="7">
    <w:p w:rsidR="00674645" w:rsidRDefault="00674645">
      <w:pPr>
        <w:pStyle w:val="FootnoteText"/>
      </w:pPr>
      <w:r>
        <w:rPr>
          <w:rStyle w:val="FootnoteReference"/>
        </w:rPr>
        <w:footnoteRef/>
      </w:r>
      <w:r>
        <w:t xml:space="preserve"> Johnson (2010):102</w:t>
      </w:r>
    </w:p>
  </w:footnote>
  <w:footnote w:id="8">
    <w:p w:rsidR="00674645" w:rsidRDefault="00674645">
      <w:pPr>
        <w:pStyle w:val="FootnoteText"/>
      </w:pPr>
      <w:r>
        <w:rPr>
          <w:rStyle w:val="FootnoteReference"/>
        </w:rPr>
        <w:footnoteRef/>
      </w:r>
      <w:r>
        <w:t xml:space="preserve"> Johnson (2010):103</w:t>
      </w:r>
    </w:p>
  </w:footnote>
  <w:footnote w:id="9">
    <w:p w:rsidR="00674645" w:rsidRDefault="00674645">
      <w:pPr>
        <w:pStyle w:val="FootnoteText"/>
      </w:pPr>
      <w:r>
        <w:rPr>
          <w:rStyle w:val="FootnoteReference"/>
        </w:rPr>
        <w:footnoteRef/>
      </w:r>
      <w:r>
        <w:t xml:space="preserve"> Connerton (1996):44</w:t>
      </w:r>
    </w:p>
  </w:footnote>
  <w:footnote w:id="10">
    <w:p w:rsidR="00674645" w:rsidRDefault="00674645">
      <w:pPr>
        <w:pStyle w:val="FootnoteText"/>
      </w:pPr>
      <w:r>
        <w:rPr>
          <w:rStyle w:val="FootnoteReference"/>
        </w:rPr>
        <w:footnoteRef/>
      </w:r>
      <w:r>
        <w:t xml:space="preserve"> </w:t>
      </w:r>
      <w:r w:rsidRPr="00675808">
        <w:t>Connerton (1996):44</w:t>
      </w:r>
    </w:p>
  </w:footnote>
  <w:footnote w:id="11">
    <w:p w:rsidR="00674645" w:rsidRDefault="00674645">
      <w:pPr>
        <w:pStyle w:val="FootnoteText"/>
      </w:pPr>
      <w:r>
        <w:rPr>
          <w:rStyle w:val="FootnoteReference"/>
        </w:rPr>
        <w:footnoteRef/>
      </w:r>
      <w:r>
        <w:t xml:space="preserve"> Connerton (1996):45</w:t>
      </w:r>
    </w:p>
  </w:footnote>
  <w:footnote w:id="12">
    <w:p w:rsidR="00674645" w:rsidRDefault="00674645">
      <w:pPr>
        <w:pStyle w:val="FootnoteText"/>
      </w:pPr>
      <w:r>
        <w:rPr>
          <w:rStyle w:val="FootnoteReference"/>
        </w:rPr>
        <w:footnoteRef/>
      </w:r>
      <w:r>
        <w:t xml:space="preserve"> Schofield (2007):144</w:t>
      </w:r>
    </w:p>
  </w:footnote>
  <w:footnote w:id="13">
    <w:p w:rsidR="00674645" w:rsidRDefault="00674645">
      <w:pPr>
        <w:pStyle w:val="FootnoteText"/>
      </w:pPr>
      <w:r>
        <w:rPr>
          <w:rStyle w:val="FootnoteReference"/>
        </w:rPr>
        <w:footnoteRef/>
      </w:r>
      <w:r>
        <w:t xml:space="preserve"> </w:t>
      </w:r>
      <w:r w:rsidRPr="00A200CC">
        <w:t>Schofield (2007):144</w:t>
      </w:r>
    </w:p>
  </w:footnote>
  <w:footnote w:id="14">
    <w:p w:rsidR="00674645" w:rsidRDefault="00674645">
      <w:pPr>
        <w:pStyle w:val="FootnoteText"/>
      </w:pPr>
      <w:r>
        <w:rPr>
          <w:rStyle w:val="FootnoteReference"/>
        </w:rPr>
        <w:footnoteRef/>
      </w:r>
      <w:r>
        <w:t xml:space="preserve"> </w:t>
      </w:r>
      <w:r w:rsidRPr="00A200CC">
        <w:t>Schofield (2007):144</w:t>
      </w:r>
    </w:p>
  </w:footnote>
  <w:footnote w:id="15">
    <w:p w:rsidR="00674645" w:rsidRDefault="00674645">
      <w:pPr>
        <w:pStyle w:val="FootnoteText"/>
      </w:pPr>
      <w:r>
        <w:rPr>
          <w:rStyle w:val="FootnoteReference"/>
        </w:rPr>
        <w:footnoteRef/>
      </w:r>
      <w:r>
        <w:t xml:space="preserve"> </w:t>
      </w:r>
      <w:r w:rsidRPr="00A200CC">
        <w:t>Schofield (2007):144</w:t>
      </w:r>
    </w:p>
  </w:footnote>
  <w:footnote w:id="16">
    <w:p w:rsidR="00674645" w:rsidRDefault="00674645">
      <w:pPr>
        <w:pStyle w:val="FootnoteText"/>
      </w:pPr>
      <w:r>
        <w:rPr>
          <w:rStyle w:val="FootnoteReference"/>
        </w:rPr>
        <w:footnoteRef/>
      </w:r>
      <w:r>
        <w:t xml:space="preserve"> </w:t>
      </w:r>
      <w:r w:rsidRPr="00E14178">
        <w:t>https://www.ancient.eu/Mycenaean_Civilization/</w:t>
      </w:r>
    </w:p>
  </w:footnote>
  <w:footnote w:id="17">
    <w:p w:rsidR="00674645" w:rsidRDefault="00674645" w:rsidP="00FE0AB6">
      <w:pPr>
        <w:pStyle w:val="FootnoteText"/>
      </w:pPr>
      <w:r>
        <w:rPr>
          <w:rStyle w:val="FootnoteReference"/>
        </w:rPr>
        <w:footnoteRef/>
      </w:r>
      <w:r>
        <w:t xml:space="preserve"> Taylour (1983):46</w:t>
      </w:r>
    </w:p>
  </w:footnote>
  <w:footnote w:id="18">
    <w:p w:rsidR="00674645" w:rsidRDefault="00674645">
      <w:pPr>
        <w:pStyle w:val="FootnoteText"/>
      </w:pPr>
      <w:r>
        <w:rPr>
          <w:rStyle w:val="FootnoteReference"/>
        </w:rPr>
        <w:footnoteRef/>
      </w:r>
      <w:r>
        <w:t xml:space="preserve"> Schofield (2007):159</w:t>
      </w:r>
    </w:p>
  </w:footnote>
  <w:footnote w:id="19">
    <w:p w:rsidR="00674645" w:rsidRDefault="00674645">
      <w:pPr>
        <w:pStyle w:val="FootnoteText"/>
      </w:pPr>
      <w:r>
        <w:rPr>
          <w:rStyle w:val="FootnoteReference"/>
        </w:rPr>
        <w:footnoteRef/>
      </w:r>
      <w:r>
        <w:t xml:space="preserve"> </w:t>
      </w:r>
      <w:r w:rsidRPr="00170F5E">
        <w:t>https://www.ancient.eu/mycenae/</w:t>
      </w:r>
    </w:p>
  </w:footnote>
  <w:footnote w:id="20">
    <w:p w:rsidR="00674645" w:rsidRDefault="00674645">
      <w:pPr>
        <w:pStyle w:val="FootnoteText"/>
      </w:pPr>
      <w:r>
        <w:rPr>
          <w:rStyle w:val="FootnoteReference"/>
        </w:rPr>
        <w:footnoteRef/>
      </w:r>
      <w:r>
        <w:t xml:space="preserve"> Drosou-Panagiotou</w:t>
      </w:r>
      <w:r w:rsidRPr="00A95F47">
        <w:t>, (2009)</w:t>
      </w:r>
      <w:r>
        <w:t>:95</w:t>
      </w:r>
    </w:p>
  </w:footnote>
  <w:footnote w:id="21">
    <w:p w:rsidR="00674645" w:rsidRDefault="00674645">
      <w:pPr>
        <w:pStyle w:val="FootnoteText"/>
      </w:pPr>
      <w:r>
        <w:rPr>
          <w:rStyle w:val="FootnoteReference"/>
        </w:rPr>
        <w:footnoteRef/>
      </w:r>
      <w:r>
        <w:t xml:space="preserve"> </w:t>
      </w:r>
      <w:proofErr w:type="spellStart"/>
      <w:r w:rsidRPr="00170F5E">
        <w:t>Lupack</w:t>
      </w:r>
      <w:proofErr w:type="spellEnd"/>
      <w:r>
        <w:t xml:space="preserve"> (</w:t>
      </w:r>
      <w:r w:rsidRPr="00170F5E">
        <w:t>2010</w:t>
      </w:r>
      <w:r>
        <w:t>):265</w:t>
      </w:r>
    </w:p>
  </w:footnote>
  <w:footnote w:id="22">
    <w:p w:rsidR="00674645" w:rsidRDefault="00674645">
      <w:pPr>
        <w:pStyle w:val="FootnoteText"/>
      </w:pPr>
      <w:r>
        <w:rPr>
          <w:rStyle w:val="FootnoteReference"/>
        </w:rPr>
        <w:footnoteRef/>
      </w:r>
      <w:r>
        <w:t xml:space="preserve"> Taylour (1983):47</w:t>
      </w:r>
    </w:p>
  </w:footnote>
  <w:footnote w:id="23">
    <w:p w:rsidR="00FE0D5D" w:rsidRDefault="00FE0D5D">
      <w:pPr>
        <w:pStyle w:val="FootnoteText"/>
      </w:pPr>
      <w:r>
        <w:rPr>
          <w:rStyle w:val="FootnoteReference"/>
        </w:rPr>
        <w:footnoteRef/>
      </w:r>
      <w:r>
        <w:t xml:space="preserve"> </w:t>
      </w:r>
      <w:r w:rsidRPr="00FE0D5D">
        <w:t>http://users.stlcc.edu/mfuller/mycenae.html</w:t>
      </w:r>
    </w:p>
  </w:footnote>
  <w:footnote w:id="24">
    <w:p w:rsidR="00674645" w:rsidRDefault="00674645">
      <w:pPr>
        <w:pStyle w:val="FootnoteText"/>
      </w:pPr>
      <w:r>
        <w:rPr>
          <w:rStyle w:val="FootnoteReference"/>
        </w:rPr>
        <w:footnoteRef/>
      </w:r>
      <w:r>
        <w:t xml:space="preserve"> </w:t>
      </w:r>
      <w:r w:rsidRPr="00F177BB">
        <w:t>Taylour (1983):47</w:t>
      </w:r>
    </w:p>
  </w:footnote>
  <w:footnote w:id="25">
    <w:p w:rsidR="00674645" w:rsidRDefault="00674645">
      <w:pPr>
        <w:pStyle w:val="FootnoteText"/>
      </w:pPr>
      <w:r>
        <w:rPr>
          <w:rStyle w:val="FootnoteReference"/>
        </w:rPr>
        <w:footnoteRef/>
      </w:r>
      <w:r>
        <w:t xml:space="preserve"> </w:t>
      </w:r>
      <w:proofErr w:type="spellStart"/>
      <w:r>
        <w:t>Lupack</w:t>
      </w:r>
      <w:proofErr w:type="spellEnd"/>
      <w:r>
        <w:t xml:space="preserve"> (2010):264</w:t>
      </w:r>
    </w:p>
  </w:footnote>
  <w:footnote w:id="26">
    <w:p w:rsidR="00674645" w:rsidRDefault="00674645" w:rsidP="00E601B6">
      <w:pPr>
        <w:pStyle w:val="FootnoteText"/>
      </w:pPr>
      <w:r>
        <w:rPr>
          <w:rStyle w:val="FootnoteReference"/>
        </w:rPr>
        <w:footnoteRef/>
      </w:r>
      <w:r>
        <w:t xml:space="preserve">Maran and </w:t>
      </w:r>
      <w:proofErr w:type="spellStart"/>
      <w:r>
        <w:t>Stavrianopoulou</w:t>
      </w:r>
      <w:proofErr w:type="spellEnd"/>
      <w:r>
        <w:t>(2007):289</w:t>
      </w:r>
    </w:p>
  </w:footnote>
  <w:footnote w:id="27">
    <w:p w:rsidR="00674645" w:rsidRDefault="00674645">
      <w:pPr>
        <w:pStyle w:val="FootnoteText"/>
      </w:pPr>
      <w:r>
        <w:rPr>
          <w:rStyle w:val="FootnoteReference"/>
        </w:rPr>
        <w:footnoteRef/>
      </w:r>
      <w:r>
        <w:t xml:space="preserve"> </w:t>
      </w:r>
      <w:proofErr w:type="spellStart"/>
      <w:r w:rsidRPr="00DB08D8">
        <w:t>Lupack</w:t>
      </w:r>
      <w:proofErr w:type="spellEnd"/>
      <w:r w:rsidRPr="00DB08D8">
        <w:t xml:space="preserve"> (2010):265</w:t>
      </w:r>
    </w:p>
  </w:footnote>
  <w:footnote w:id="28">
    <w:p w:rsidR="00674645" w:rsidRDefault="00674645">
      <w:pPr>
        <w:pStyle w:val="FootnoteText"/>
      </w:pPr>
      <w:r>
        <w:rPr>
          <w:rStyle w:val="FootnoteReference"/>
        </w:rPr>
        <w:footnoteRef/>
      </w:r>
      <w:r>
        <w:t xml:space="preserve"> </w:t>
      </w:r>
      <w:proofErr w:type="spellStart"/>
      <w:r w:rsidRPr="00DB08D8">
        <w:t>Lupack</w:t>
      </w:r>
      <w:proofErr w:type="spellEnd"/>
      <w:r w:rsidRPr="00DB08D8">
        <w:t xml:space="preserve"> (2010):265</w:t>
      </w:r>
    </w:p>
  </w:footnote>
  <w:footnote w:id="29">
    <w:p w:rsidR="00674645" w:rsidRDefault="00674645">
      <w:pPr>
        <w:pStyle w:val="FootnoteText"/>
      </w:pPr>
      <w:r>
        <w:rPr>
          <w:rStyle w:val="FootnoteReference"/>
        </w:rPr>
        <w:footnoteRef/>
      </w:r>
      <w:r>
        <w:t xml:space="preserve"> </w:t>
      </w:r>
      <w:r w:rsidRPr="0090109A">
        <w:t>https://www.ancient.eu/Mycenaean_Civilization/</w:t>
      </w:r>
    </w:p>
  </w:footnote>
  <w:footnote w:id="30">
    <w:p w:rsidR="003527CF" w:rsidRDefault="003527CF" w:rsidP="003527CF">
      <w:pPr>
        <w:pStyle w:val="FootnoteText"/>
      </w:pPr>
      <w:r>
        <w:rPr>
          <w:rStyle w:val="FootnoteReference"/>
        </w:rPr>
        <w:footnoteRef/>
      </w:r>
      <w:r>
        <w:t xml:space="preserve"> </w:t>
      </w:r>
      <w:r w:rsidRPr="00CC0722">
        <w:t>Connerton (1996):45</w:t>
      </w:r>
    </w:p>
  </w:footnote>
  <w:footnote w:id="31">
    <w:p w:rsidR="00674645" w:rsidRDefault="00674645">
      <w:pPr>
        <w:pStyle w:val="FootnoteText"/>
      </w:pPr>
      <w:r>
        <w:rPr>
          <w:rStyle w:val="FootnoteReference"/>
        </w:rPr>
        <w:footnoteRef/>
      </w:r>
      <w:r>
        <w:t xml:space="preserve"> Taylour (1983):49</w:t>
      </w:r>
    </w:p>
  </w:footnote>
  <w:footnote w:id="32">
    <w:p w:rsidR="00674645" w:rsidRDefault="00674645">
      <w:pPr>
        <w:pStyle w:val="FootnoteText"/>
      </w:pPr>
      <w:r>
        <w:rPr>
          <w:rStyle w:val="FootnoteReference"/>
        </w:rPr>
        <w:footnoteRef/>
      </w:r>
      <w:r>
        <w:t xml:space="preserve"> </w:t>
      </w:r>
      <w:r w:rsidRPr="00F956E9">
        <w:t>Taylour (1983):49</w:t>
      </w:r>
    </w:p>
  </w:footnote>
  <w:footnote w:id="33">
    <w:p w:rsidR="001B019E" w:rsidRDefault="001B019E">
      <w:pPr>
        <w:pStyle w:val="FootnoteText"/>
      </w:pPr>
      <w:r>
        <w:rPr>
          <w:rStyle w:val="FootnoteReference"/>
        </w:rPr>
        <w:footnoteRef/>
      </w:r>
      <w:r>
        <w:t xml:space="preserve"> </w:t>
      </w:r>
      <w:r w:rsidRPr="001B019E">
        <w:t>Taylour (1983):50</w:t>
      </w:r>
    </w:p>
  </w:footnote>
  <w:footnote w:id="34">
    <w:p w:rsidR="00674645" w:rsidRDefault="00674645">
      <w:pPr>
        <w:pStyle w:val="FootnoteText"/>
      </w:pPr>
      <w:r>
        <w:rPr>
          <w:rStyle w:val="FootnoteReference"/>
        </w:rPr>
        <w:footnoteRef/>
      </w:r>
      <w:r>
        <w:t xml:space="preserve"> K.A &amp;Wardle (2004):114</w:t>
      </w:r>
    </w:p>
  </w:footnote>
  <w:footnote w:id="35">
    <w:p w:rsidR="00674645" w:rsidRDefault="00674645">
      <w:pPr>
        <w:pStyle w:val="FootnoteText"/>
      </w:pPr>
      <w:r>
        <w:rPr>
          <w:rStyle w:val="FootnoteReference"/>
        </w:rPr>
        <w:footnoteRef/>
      </w:r>
      <w:r>
        <w:t xml:space="preserve"> Taylour (1983):50</w:t>
      </w:r>
    </w:p>
  </w:footnote>
  <w:footnote w:id="36">
    <w:p w:rsidR="00674645" w:rsidRDefault="00674645">
      <w:pPr>
        <w:pStyle w:val="FootnoteText"/>
      </w:pPr>
      <w:r>
        <w:rPr>
          <w:rStyle w:val="FootnoteReference"/>
        </w:rPr>
        <w:footnoteRef/>
      </w:r>
      <w:r>
        <w:t xml:space="preserve"> </w:t>
      </w:r>
      <w:r w:rsidRPr="00A52383">
        <w:t>Taylour(1983):50</w:t>
      </w:r>
    </w:p>
  </w:footnote>
  <w:footnote w:id="37">
    <w:p w:rsidR="00674645" w:rsidRDefault="00674645">
      <w:pPr>
        <w:pStyle w:val="FootnoteText"/>
      </w:pPr>
      <w:r>
        <w:rPr>
          <w:rStyle w:val="FootnoteReference"/>
        </w:rPr>
        <w:footnoteRef/>
      </w:r>
      <w:r>
        <w:t xml:space="preserve"> </w:t>
      </w:r>
      <w:proofErr w:type="spellStart"/>
      <w:r w:rsidRPr="00502625">
        <w:t>Wesolowski</w:t>
      </w:r>
      <w:proofErr w:type="spellEnd"/>
      <w:r w:rsidRPr="00502625">
        <w:t xml:space="preserve"> </w:t>
      </w:r>
      <w:r>
        <w:t>(</w:t>
      </w:r>
      <w:r w:rsidRPr="00502625">
        <w:t>2006</w:t>
      </w:r>
      <w:r>
        <w:t>):119</w:t>
      </w:r>
    </w:p>
  </w:footnote>
  <w:footnote w:id="38">
    <w:p w:rsidR="00674645" w:rsidRDefault="00674645">
      <w:pPr>
        <w:pStyle w:val="FootnoteText"/>
      </w:pPr>
      <w:r>
        <w:rPr>
          <w:rStyle w:val="FootnoteReference"/>
        </w:rPr>
        <w:footnoteRef/>
      </w:r>
      <w:r>
        <w:t xml:space="preserve"> </w:t>
      </w:r>
      <w:r w:rsidRPr="00502625">
        <w:t>K.A &amp;Wardle (2004):114</w:t>
      </w:r>
    </w:p>
  </w:footnote>
  <w:footnote w:id="39">
    <w:p w:rsidR="00674645" w:rsidRDefault="00674645">
      <w:pPr>
        <w:pStyle w:val="FootnoteText"/>
      </w:pPr>
      <w:r>
        <w:rPr>
          <w:rStyle w:val="FootnoteReference"/>
        </w:rPr>
        <w:footnoteRef/>
      </w:r>
      <w:r>
        <w:t xml:space="preserve"> </w:t>
      </w:r>
      <w:r w:rsidRPr="0032640F">
        <w:t>Taylour(1983):50</w:t>
      </w:r>
    </w:p>
  </w:footnote>
  <w:footnote w:id="40">
    <w:p w:rsidR="00674645" w:rsidRDefault="00674645">
      <w:pPr>
        <w:pStyle w:val="FootnoteText"/>
      </w:pPr>
      <w:r>
        <w:rPr>
          <w:rStyle w:val="FootnoteReference"/>
        </w:rPr>
        <w:footnoteRef/>
      </w:r>
      <w:r>
        <w:t xml:space="preserve"> Schofield (2007):156</w:t>
      </w:r>
    </w:p>
  </w:footnote>
  <w:footnote w:id="41">
    <w:p w:rsidR="00A656CD" w:rsidRDefault="00A656CD">
      <w:pPr>
        <w:pStyle w:val="FootnoteText"/>
      </w:pPr>
      <w:r>
        <w:rPr>
          <w:rStyle w:val="FootnoteReference"/>
        </w:rPr>
        <w:footnoteRef/>
      </w:r>
      <w:r>
        <w:t xml:space="preserve"> </w:t>
      </w:r>
      <w:r w:rsidRPr="00A656CD">
        <w:t>http://users.stlcc.edu/mfuller/mycenae.html</w:t>
      </w:r>
    </w:p>
  </w:footnote>
  <w:footnote w:id="42">
    <w:p w:rsidR="00674645" w:rsidRDefault="00674645" w:rsidP="00FE0AB6">
      <w:pPr>
        <w:pStyle w:val="FootnoteText"/>
        <w:tabs>
          <w:tab w:val="right" w:pos="9026"/>
        </w:tabs>
      </w:pPr>
      <w:r>
        <w:rPr>
          <w:rStyle w:val="FootnoteReference"/>
        </w:rPr>
        <w:footnoteRef/>
      </w:r>
      <w:r>
        <w:t xml:space="preserve"> </w:t>
      </w:r>
      <w:r w:rsidRPr="004425F3">
        <w:t>K.A &amp;Wardle (2004):</w:t>
      </w:r>
      <w:r>
        <w:t>114</w:t>
      </w:r>
    </w:p>
  </w:footnote>
  <w:footnote w:id="43">
    <w:p w:rsidR="0084577E" w:rsidRDefault="0084577E">
      <w:pPr>
        <w:pStyle w:val="FootnoteText"/>
      </w:pPr>
      <w:r>
        <w:rPr>
          <w:rStyle w:val="FootnoteReference"/>
        </w:rPr>
        <w:footnoteRef/>
      </w:r>
      <w:r>
        <w:t xml:space="preserve"> </w:t>
      </w:r>
      <w:r w:rsidRPr="0084577E">
        <w:t>K.A &amp;Wardle (2004):114</w:t>
      </w:r>
    </w:p>
  </w:footnote>
  <w:footnote w:id="44">
    <w:p w:rsidR="00674645" w:rsidRDefault="00674645">
      <w:pPr>
        <w:pStyle w:val="FootnoteText"/>
      </w:pPr>
      <w:r>
        <w:rPr>
          <w:rStyle w:val="FootnoteReference"/>
        </w:rPr>
        <w:footnoteRef/>
      </w:r>
      <w:r>
        <w:t xml:space="preserve"> </w:t>
      </w:r>
      <w:r w:rsidRPr="004425F3">
        <w:t>K.A &amp;Wardle (2004):</w:t>
      </w:r>
      <w:r>
        <w:t>114</w:t>
      </w:r>
    </w:p>
  </w:footnote>
  <w:footnote w:id="45">
    <w:p w:rsidR="00397D6D" w:rsidRDefault="00397D6D">
      <w:pPr>
        <w:pStyle w:val="FootnoteText"/>
      </w:pPr>
      <w:r>
        <w:rPr>
          <w:rStyle w:val="FootnoteReference"/>
        </w:rPr>
        <w:footnoteRef/>
      </w:r>
      <w:r>
        <w:t xml:space="preserve"> </w:t>
      </w:r>
      <w:r w:rsidR="00A1357B">
        <w:t>K.A &amp;Wardle (2004):113</w:t>
      </w:r>
      <w:bookmarkStart w:id="0" w:name="_GoBack"/>
    </w:p>
    <w:bookmarkEnd w:id="0"/>
  </w:footnote>
  <w:footnote w:id="46">
    <w:p w:rsidR="00674645" w:rsidRDefault="00674645">
      <w:pPr>
        <w:pStyle w:val="FootnoteText"/>
      </w:pPr>
      <w:r>
        <w:rPr>
          <w:rStyle w:val="FootnoteReference"/>
        </w:rPr>
        <w:footnoteRef/>
      </w:r>
      <w:r>
        <w:t xml:space="preserve"> K</w:t>
      </w:r>
      <w:r w:rsidRPr="00FB4E74">
        <w:t>.A &amp;Wardle (2004):114</w:t>
      </w:r>
    </w:p>
  </w:footnote>
  <w:footnote w:id="47">
    <w:p w:rsidR="00674645" w:rsidRDefault="00674645">
      <w:pPr>
        <w:pStyle w:val="FootnoteText"/>
      </w:pPr>
      <w:r>
        <w:rPr>
          <w:rStyle w:val="FootnoteReference"/>
        </w:rPr>
        <w:footnoteRef/>
      </w:r>
      <w:r>
        <w:t xml:space="preserve"> </w:t>
      </w:r>
      <w:r w:rsidRPr="008E78DB">
        <w:t xml:space="preserve"> </w:t>
      </w:r>
      <w:r>
        <w:t>Schofield (2007):157</w:t>
      </w:r>
    </w:p>
  </w:footnote>
  <w:footnote w:id="48">
    <w:p w:rsidR="00674645" w:rsidRDefault="00674645">
      <w:pPr>
        <w:pStyle w:val="FootnoteText"/>
      </w:pPr>
      <w:r>
        <w:rPr>
          <w:rStyle w:val="FootnoteReference"/>
        </w:rPr>
        <w:footnoteRef/>
      </w:r>
      <w:r>
        <w:t xml:space="preserve"> </w:t>
      </w:r>
      <w:r w:rsidRPr="008E78DB">
        <w:t xml:space="preserve">Schofield </w:t>
      </w:r>
      <w:r>
        <w:t>(2007):157</w:t>
      </w:r>
    </w:p>
  </w:footnote>
  <w:footnote w:id="49">
    <w:p w:rsidR="00674645" w:rsidRDefault="00674645">
      <w:pPr>
        <w:pStyle w:val="FootnoteText"/>
      </w:pPr>
      <w:r>
        <w:rPr>
          <w:rStyle w:val="FootnoteReference"/>
        </w:rPr>
        <w:footnoteRef/>
      </w:r>
      <w:r>
        <w:t>Schofield (2007):157</w:t>
      </w:r>
    </w:p>
  </w:footnote>
  <w:footnote w:id="50">
    <w:p w:rsidR="00674645" w:rsidRDefault="00674645">
      <w:pPr>
        <w:pStyle w:val="FootnoteText"/>
      </w:pPr>
      <w:r>
        <w:rPr>
          <w:rStyle w:val="FootnoteReference"/>
        </w:rPr>
        <w:footnoteRef/>
      </w:r>
      <w:r>
        <w:t xml:space="preserve"> </w:t>
      </w:r>
      <w:r w:rsidRPr="00CA072B">
        <w:t>Connerton</w:t>
      </w:r>
      <w:r>
        <w:t xml:space="preserve"> 1989</w:t>
      </w:r>
      <w:r w:rsidR="00CC0722">
        <w:t>: 45</w:t>
      </w:r>
    </w:p>
  </w:footnote>
  <w:footnote w:id="51">
    <w:p w:rsidR="00674645" w:rsidRDefault="00674645">
      <w:pPr>
        <w:pStyle w:val="FootnoteText"/>
      </w:pPr>
      <w:r>
        <w:rPr>
          <w:rStyle w:val="FootnoteReference"/>
        </w:rPr>
        <w:footnoteRef/>
      </w:r>
      <w:r>
        <w:t xml:space="preserve"> Taylour (1983):49</w:t>
      </w:r>
    </w:p>
  </w:footnote>
  <w:footnote w:id="52">
    <w:p w:rsidR="00674645" w:rsidRDefault="00674645">
      <w:pPr>
        <w:pStyle w:val="FootnoteText"/>
      </w:pPr>
      <w:r>
        <w:rPr>
          <w:rStyle w:val="FootnoteReference"/>
        </w:rPr>
        <w:footnoteRef/>
      </w:r>
      <w:r>
        <w:t xml:space="preserve"> </w:t>
      </w:r>
      <w:r w:rsidRPr="00B94CC8">
        <w:t>K.A &amp;Wardle (2004):</w:t>
      </w:r>
      <w:r>
        <w:t>113</w:t>
      </w:r>
    </w:p>
  </w:footnote>
  <w:footnote w:id="53">
    <w:p w:rsidR="00674645" w:rsidRDefault="00674645">
      <w:pPr>
        <w:pStyle w:val="FootnoteText"/>
      </w:pPr>
      <w:r>
        <w:rPr>
          <w:rStyle w:val="FootnoteReference"/>
        </w:rPr>
        <w:footnoteRef/>
      </w:r>
      <w:r>
        <w:t xml:space="preserve"> </w:t>
      </w:r>
      <w:r w:rsidRPr="00B94CC8">
        <w:t>K.A &amp;Wardle (2004):</w:t>
      </w:r>
      <w:r>
        <w:t>114</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74645" w:rsidRDefault="00674645" w:rsidP="00535549">
    <w:pPr>
      <w:pStyle w:val="Header"/>
      <w:jc w:val="right"/>
    </w:pPr>
    <w:r>
      <w:t>Christine Jackson 1500367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08C1"/>
    <w:rsid w:val="00004175"/>
    <w:rsid w:val="0007212A"/>
    <w:rsid w:val="00072735"/>
    <w:rsid w:val="00074CFC"/>
    <w:rsid w:val="000825FF"/>
    <w:rsid w:val="000C15CD"/>
    <w:rsid w:val="00116CDA"/>
    <w:rsid w:val="00140319"/>
    <w:rsid w:val="00170F5E"/>
    <w:rsid w:val="001B019E"/>
    <w:rsid w:val="001B34F4"/>
    <w:rsid w:val="001E6F87"/>
    <w:rsid w:val="00200402"/>
    <w:rsid w:val="00202C75"/>
    <w:rsid w:val="0020361B"/>
    <w:rsid w:val="002047AD"/>
    <w:rsid w:val="00213BAF"/>
    <w:rsid w:val="0022050E"/>
    <w:rsid w:val="00271708"/>
    <w:rsid w:val="00314FF6"/>
    <w:rsid w:val="003151F3"/>
    <w:rsid w:val="0031673A"/>
    <w:rsid w:val="0032640F"/>
    <w:rsid w:val="003302BF"/>
    <w:rsid w:val="00341423"/>
    <w:rsid w:val="00350C70"/>
    <w:rsid w:val="003527CF"/>
    <w:rsid w:val="00397D6D"/>
    <w:rsid w:val="003B1309"/>
    <w:rsid w:val="003B304A"/>
    <w:rsid w:val="003D5FDF"/>
    <w:rsid w:val="003D69E7"/>
    <w:rsid w:val="003E0173"/>
    <w:rsid w:val="00434A06"/>
    <w:rsid w:val="004425F3"/>
    <w:rsid w:val="00462444"/>
    <w:rsid w:val="0048215B"/>
    <w:rsid w:val="004A1FE4"/>
    <w:rsid w:val="004B17B1"/>
    <w:rsid w:val="004B3A3E"/>
    <w:rsid w:val="00502625"/>
    <w:rsid w:val="005303E0"/>
    <w:rsid w:val="00535549"/>
    <w:rsid w:val="005A5AC2"/>
    <w:rsid w:val="005A6043"/>
    <w:rsid w:val="005B2630"/>
    <w:rsid w:val="00620953"/>
    <w:rsid w:val="006377F8"/>
    <w:rsid w:val="0066490C"/>
    <w:rsid w:val="00674645"/>
    <w:rsid w:val="00675808"/>
    <w:rsid w:val="00681BD7"/>
    <w:rsid w:val="006C1B29"/>
    <w:rsid w:val="006D061D"/>
    <w:rsid w:val="006E4CFA"/>
    <w:rsid w:val="00713975"/>
    <w:rsid w:val="00795BF2"/>
    <w:rsid w:val="007E005D"/>
    <w:rsid w:val="007E1BC0"/>
    <w:rsid w:val="00810177"/>
    <w:rsid w:val="00837A21"/>
    <w:rsid w:val="0084577E"/>
    <w:rsid w:val="008475CA"/>
    <w:rsid w:val="00881965"/>
    <w:rsid w:val="00891A9A"/>
    <w:rsid w:val="00892C8E"/>
    <w:rsid w:val="008948F3"/>
    <w:rsid w:val="008A41AF"/>
    <w:rsid w:val="008C252B"/>
    <w:rsid w:val="008E08C1"/>
    <w:rsid w:val="008E6F3B"/>
    <w:rsid w:val="008E78DB"/>
    <w:rsid w:val="0090109A"/>
    <w:rsid w:val="00906EC3"/>
    <w:rsid w:val="0092521C"/>
    <w:rsid w:val="0095255E"/>
    <w:rsid w:val="00974598"/>
    <w:rsid w:val="00982D91"/>
    <w:rsid w:val="009A3B28"/>
    <w:rsid w:val="009C4B07"/>
    <w:rsid w:val="009C77BE"/>
    <w:rsid w:val="009F64BE"/>
    <w:rsid w:val="00A03D5D"/>
    <w:rsid w:val="00A1357B"/>
    <w:rsid w:val="00A15015"/>
    <w:rsid w:val="00A200CC"/>
    <w:rsid w:val="00A409E9"/>
    <w:rsid w:val="00A52383"/>
    <w:rsid w:val="00A656CD"/>
    <w:rsid w:val="00A702A6"/>
    <w:rsid w:val="00A762F0"/>
    <w:rsid w:val="00A95F47"/>
    <w:rsid w:val="00AB2537"/>
    <w:rsid w:val="00AC16DC"/>
    <w:rsid w:val="00B01262"/>
    <w:rsid w:val="00B225EA"/>
    <w:rsid w:val="00B64004"/>
    <w:rsid w:val="00B731FF"/>
    <w:rsid w:val="00B94CC8"/>
    <w:rsid w:val="00BA5A0F"/>
    <w:rsid w:val="00BD453D"/>
    <w:rsid w:val="00C205B8"/>
    <w:rsid w:val="00CA072B"/>
    <w:rsid w:val="00CB2000"/>
    <w:rsid w:val="00CC0722"/>
    <w:rsid w:val="00D07CC7"/>
    <w:rsid w:val="00D322A6"/>
    <w:rsid w:val="00D40665"/>
    <w:rsid w:val="00D83A20"/>
    <w:rsid w:val="00DB0857"/>
    <w:rsid w:val="00DB08D8"/>
    <w:rsid w:val="00DF1165"/>
    <w:rsid w:val="00E14178"/>
    <w:rsid w:val="00E14FC6"/>
    <w:rsid w:val="00E24491"/>
    <w:rsid w:val="00E601B6"/>
    <w:rsid w:val="00EA50E0"/>
    <w:rsid w:val="00ED1D1B"/>
    <w:rsid w:val="00ED5D5D"/>
    <w:rsid w:val="00F102C4"/>
    <w:rsid w:val="00F177BB"/>
    <w:rsid w:val="00F34BA4"/>
    <w:rsid w:val="00F956E9"/>
    <w:rsid w:val="00FB4E74"/>
    <w:rsid w:val="00FC715E"/>
    <w:rsid w:val="00FE0AB6"/>
    <w:rsid w:val="00FE0D5D"/>
    <w:rsid w:val="00FF7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00103771-9A44-4D1B-A58E-8D6615B59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B25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2537"/>
    <w:rPr>
      <w:sz w:val="20"/>
      <w:szCs w:val="20"/>
    </w:rPr>
  </w:style>
  <w:style w:type="character" w:styleId="FootnoteReference">
    <w:name w:val="footnote reference"/>
    <w:basedOn w:val="DefaultParagraphFont"/>
    <w:uiPriority w:val="99"/>
    <w:semiHidden/>
    <w:unhideWhenUsed/>
    <w:rsid w:val="00AB2537"/>
    <w:rPr>
      <w:vertAlign w:val="superscript"/>
    </w:rPr>
  </w:style>
  <w:style w:type="paragraph" w:styleId="Header">
    <w:name w:val="header"/>
    <w:basedOn w:val="Normal"/>
    <w:link w:val="HeaderChar"/>
    <w:uiPriority w:val="99"/>
    <w:unhideWhenUsed/>
    <w:rsid w:val="00170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5E"/>
  </w:style>
  <w:style w:type="paragraph" w:styleId="Footer">
    <w:name w:val="footer"/>
    <w:basedOn w:val="Normal"/>
    <w:link w:val="FooterChar"/>
    <w:uiPriority w:val="99"/>
    <w:unhideWhenUsed/>
    <w:rsid w:val="00170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5E"/>
  </w:style>
  <w:style w:type="character" w:styleId="Hyperlink">
    <w:name w:val="Hyperlink"/>
    <w:basedOn w:val="DefaultParagraphFont"/>
    <w:uiPriority w:val="99"/>
    <w:unhideWhenUsed/>
    <w:rsid w:val="00D4066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ient.eu/mycenae/" TargetMode="External"/><Relationship Id="rId3" Type="http://schemas.openxmlformats.org/officeDocument/2006/relationships/settings" Target="settings.xml"/><Relationship Id="rId7" Type="http://schemas.openxmlformats.org/officeDocument/2006/relationships/hyperlink" Target="https://www.ancient.eu/Mycenaean_Civilizat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users.stlcc.edu/mfuller/mycena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87EB12-2FCD-458E-B350-8DBF3C521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8</Pages>
  <Words>2982</Words>
  <Characters>17000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Jackson</dc:creator>
  <cp:keywords/>
  <dc:description/>
  <cp:lastModifiedBy>Chris Jackson</cp:lastModifiedBy>
  <cp:revision>3</cp:revision>
  <dcterms:created xsi:type="dcterms:W3CDTF">2017-12-16T13:13:00Z</dcterms:created>
  <dcterms:modified xsi:type="dcterms:W3CDTF">2017-12-16T13:50:00Z</dcterms:modified>
</cp:coreProperties>
</file>