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2320C" w14:textId="3C8CBE6A" w:rsidR="00313747" w:rsidRPr="00FF4B5B" w:rsidRDefault="00313747" w:rsidP="00FF4B5B">
      <w:pPr>
        <w:pStyle w:val="Heading1"/>
        <w:jc w:val="center"/>
        <w:rPr>
          <w:b/>
        </w:rPr>
      </w:pPr>
      <w:bookmarkStart w:id="0" w:name="_GoBack"/>
      <w:bookmarkEnd w:id="0"/>
      <w:r w:rsidRPr="00FF4B5B">
        <w:rPr>
          <w:b/>
        </w:rPr>
        <w:t>Principles and practices inequalities</w:t>
      </w:r>
    </w:p>
    <w:p w14:paraId="1E038869" w14:textId="77777777" w:rsidR="00FF4B5B" w:rsidRPr="00FF4B5B" w:rsidRDefault="00FF4B5B" w:rsidP="00FF4B5B">
      <w:pPr>
        <w:keepNext/>
        <w:keepLines/>
        <w:spacing w:before="240" w:after="0" w:line="259" w:lineRule="auto"/>
        <w:jc w:val="center"/>
        <w:outlineLvl w:val="0"/>
        <w:rPr>
          <w:rFonts w:asciiTheme="majorHAnsi" w:eastAsiaTheme="majorEastAsia" w:hAnsiTheme="majorHAnsi" w:cstheme="majorBidi"/>
          <w:b/>
          <w:color w:val="2F5496" w:themeColor="accent1" w:themeShade="BF"/>
          <w:sz w:val="32"/>
          <w:szCs w:val="32"/>
        </w:rPr>
      </w:pPr>
      <w:r w:rsidRPr="00FF4B5B">
        <w:rPr>
          <w:rFonts w:asciiTheme="majorHAnsi" w:eastAsiaTheme="majorEastAsia" w:hAnsiTheme="majorHAnsi" w:cstheme="majorBidi"/>
          <w:b/>
          <w:color w:val="2F5496" w:themeColor="accent1" w:themeShade="BF"/>
          <w:sz w:val="32"/>
          <w:szCs w:val="32"/>
        </w:rPr>
        <w:t>Yasemeena Mrabti</w:t>
      </w:r>
    </w:p>
    <w:p w14:paraId="0894EDBA" w14:textId="77777777" w:rsidR="00FF4B5B" w:rsidRPr="00FF4B5B" w:rsidRDefault="00FF4B5B" w:rsidP="00FF4B5B">
      <w:pPr>
        <w:keepNext/>
        <w:keepLines/>
        <w:spacing w:before="240" w:after="0" w:line="259" w:lineRule="auto"/>
        <w:jc w:val="center"/>
        <w:outlineLvl w:val="0"/>
        <w:rPr>
          <w:rFonts w:asciiTheme="majorHAnsi" w:eastAsiaTheme="majorEastAsia" w:hAnsiTheme="majorHAnsi" w:cstheme="majorBidi"/>
          <w:b/>
          <w:color w:val="2F5496" w:themeColor="accent1" w:themeShade="BF"/>
          <w:sz w:val="32"/>
          <w:szCs w:val="32"/>
        </w:rPr>
      </w:pPr>
      <w:r w:rsidRPr="00FF4B5B">
        <w:rPr>
          <w:rFonts w:asciiTheme="majorHAnsi" w:eastAsiaTheme="majorEastAsia" w:hAnsiTheme="majorHAnsi" w:cstheme="majorBidi"/>
          <w:b/>
          <w:color w:val="2F5496" w:themeColor="accent1" w:themeShade="BF"/>
          <w:sz w:val="32"/>
          <w:szCs w:val="32"/>
        </w:rPr>
        <w:t>Student Number: 1750478</w:t>
      </w:r>
    </w:p>
    <w:p w14:paraId="7E71C5B7" w14:textId="77777777" w:rsidR="00FF4B5B" w:rsidRPr="00FF4B5B" w:rsidRDefault="00FF4B5B" w:rsidP="00FF4B5B">
      <w:pPr>
        <w:rPr>
          <w:lang w:val="en-US"/>
        </w:rPr>
      </w:pPr>
    </w:p>
    <w:p w14:paraId="03A74177" w14:textId="53517E5C" w:rsidR="00FF4B5B" w:rsidRPr="004B04FB" w:rsidRDefault="00FF4B5B" w:rsidP="00313747">
      <w:pPr>
        <w:pStyle w:val="NormalWeb"/>
        <w:spacing w:after="30" w:afterAutospacing="0"/>
        <w:rPr>
          <w:color w:val="212529"/>
          <w:lang w:val="en"/>
        </w:rPr>
      </w:pPr>
    </w:p>
    <w:p w14:paraId="261556DF" w14:textId="77777777" w:rsidR="00B818C7" w:rsidRDefault="00313747" w:rsidP="00FF4B5B">
      <w:pPr>
        <w:pStyle w:val="NormalWeb"/>
        <w:spacing w:after="30" w:afterAutospacing="0" w:line="360" w:lineRule="auto"/>
        <w:rPr>
          <w:color w:val="212529"/>
          <w:lang w:val="en"/>
        </w:rPr>
      </w:pPr>
      <w:r w:rsidRPr="00FF4B5B">
        <w:rPr>
          <w:color w:val="212529"/>
          <w:lang w:val="en"/>
        </w:rPr>
        <w:t>There are various topics to discuss with The National Health Care Service (NHS) like equal pay, funding working hours and diversity etc. As there are a lot in inequalities within the system of the (NHS), This essay focuses on (NHS) inequalities, but is going to concentrate on inequalities that children are facing within the (NHS). There have been reports done in the past, the Black report suggested that there are health divides between rich and poor.</w:t>
      </w:r>
      <w:r w:rsidR="005C31FD" w:rsidRPr="00FF4B5B">
        <w:rPr>
          <w:color w:val="212529"/>
          <w:lang w:val="en"/>
        </w:rPr>
        <w:fldChar w:fldCharType="begin" w:fldLock="1"/>
      </w:r>
      <w:r w:rsidR="005C31FD" w:rsidRPr="00FF4B5B">
        <w:rPr>
          <w:color w:val="212529"/>
          <w:lang w:val="en"/>
        </w:rPr>
        <w:instrText>ADDIN CSL_CITATION { "citationItems" : [ { "id" : "ITEM-1", "itemData" : { "URL" : "http://www.sochealth.co.uk/Black/black.htm", "abstract" : "We hope that you find our page on \u201cThe Black Report\u201d interesting. You might also like to read our latest blogposts on equality here. The publication of the Black Report over the Bank Ho\u2026", "author" : [ { "dropping-particle" : "", "family" : "Socialist Health Association", "given" : "", "non-dropping-particle" : "", "parse-names" : false, "suffix" : "" } ], "container-title" : "Socialist Health Association", "id" : "ITEM-1", "issued" : { "date-parts" : [ [ "1980" ] ] }, "title" : "The Black Report 1980", "type" : "webpage" }, "uris" : [ "http://www.mendeley.com/documents/?uuid=1b006217-e36c-40b9-a5a6-3a8c9c0f977c" ] } ], "mendeley" : { "formattedCitation" : "(Socialist Health Association, 1980)", "plainTextFormattedCitation" : "(Socialist Health Association, 1980)", "previouslyFormattedCitation" : "(Socialist Health Association, 1980)"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(Socialist Health Association, 1980)</w:t>
      </w:r>
      <w:r w:rsidR="005C31FD" w:rsidRPr="00FF4B5B">
        <w:rPr>
          <w:color w:val="212529"/>
          <w:lang w:val="en"/>
        </w:rPr>
        <w:fldChar w:fldCharType="end"/>
      </w:r>
      <w:r w:rsidRPr="00FF4B5B">
        <w:rPr>
          <w:color w:val="212529"/>
          <w:lang w:val="en"/>
        </w:rPr>
        <w:t xml:space="preserve"> There needs to be access to care for all patients regardless of </w:t>
      </w:r>
      <w:r w:rsidR="00FF4B5B" w:rsidRPr="00FF4B5B">
        <w:rPr>
          <w:color w:val="212529"/>
          <w:lang w:val="en"/>
        </w:rPr>
        <w:t>postcodes. The</w:t>
      </w:r>
      <w:r w:rsidRPr="00FF4B5B">
        <w:rPr>
          <w:color w:val="212529"/>
          <w:lang w:val="en"/>
        </w:rPr>
        <w:t xml:space="preserve"> National Health Service Act 1946 was formed and the (NHS) was founded in July 5th, 1948.</w:t>
      </w:r>
      <w:r w:rsidR="005C31FD" w:rsidRPr="00FF4B5B">
        <w:rPr>
          <w:color w:val="212529"/>
          <w:lang w:val="en"/>
        </w:rPr>
        <w:fldChar w:fldCharType="begin" w:fldLock="1"/>
      </w:r>
      <w:r w:rsidR="005C31FD" w:rsidRPr="00FF4B5B">
        <w:rPr>
          <w:color w:val="212529"/>
          <w:lang w:val="en"/>
        </w:rPr>
        <w:instrText>ADDIN CSL_CITATION { "citationItems" : [ { "id" : "ITEM-1", "itemData" : { "DOI" : "10.1136/bmj.d6346", "ISSN" : "0959-8138", "abstract" : "Some good things come in small packages: and this compact document changed the world. Its proposals opened up the possibility of modern medicine, sweeping away economic barriers to healthcare that had excluded up to half the population.\r\n\r\nThere is also a beauty in simplicity, and even in the dry parliamentary language of a bill that in its first few paragraphs sets up the first ever universal and comprehensive tax-funded healthcare system, free to all at point of use.\r\n\r\nThis is more poignant in light of the current debate over attempts \u2026", "author" : [ { "dropping-particle" : "", "family" : "Lister", "given" : "J.", "non-dropping-particle" : "", "parse-names" : false, "suffix" : "" } ], "container-title" : "BMJ", "id" : "ITEM-1", "issue" : "oct05 1", "issued" : { "date-parts" : [ [ "2011" ] ] }, "page" : "d6346-d6346", "title" : "The National Health Service Act 1946", "type" : "article-journal", "volume" : "343" }, "uris" : [ "http://www.mendeley.com/documents/?uuid=00aa280b-ab4f-4c24-8819-653618f07b66" ] } ], "mendeley" : { "formattedCitation" : "(Lister, 2011)", "plainTextFormattedCitation" : "(Lister, 2011)", "previouslyFormattedCitation" : "(Lister, 2011)"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(Lister, 2011)</w:t>
      </w:r>
      <w:r w:rsidR="005C31FD" w:rsidRPr="00FF4B5B">
        <w:rPr>
          <w:color w:val="212529"/>
          <w:lang w:val="en"/>
        </w:rPr>
        <w:fldChar w:fldCharType="end"/>
      </w:r>
      <w:r w:rsidRPr="00FF4B5B">
        <w:rPr>
          <w:color w:val="212529"/>
          <w:lang w:val="en"/>
        </w:rPr>
        <w:t xml:space="preserve"> The (NHS) was found</w:t>
      </w:r>
      <w:r w:rsidR="00B818C7">
        <w:rPr>
          <w:color w:val="212529"/>
          <w:lang w:val="en"/>
        </w:rPr>
        <w:t>ed</w:t>
      </w:r>
      <w:r w:rsidRPr="00FF4B5B">
        <w:rPr>
          <w:color w:val="212529"/>
          <w:lang w:val="en"/>
        </w:rPr>
        <w:t xml:space="preserve"> after a report by William Beverage in 1942 known as the Beveridge report when Winston Churchill was Prime Minister. The Beveridge report spoke of unemployment, illness, unawareness, poverty and disease. This was after the 2nd</w:t>
      </w:r>
      <w:r w:rsidR="005C31FD" w:rsidRPr="00FF4B5B">
        <w:rPr>
          <w:color w:val="212529"/>
          <w:lang w:val="en"/>
        </w:rPr>
        <w:t xml:space="preserve"> world war.</w:t>
      </w:r>
      <w:r w:rsidR="005C31FD" w:rsidRPr="00FF4B5B">
        <w:rPr>
          <w:color w:val="212529"/>
          <w:lang w:val="en"/>
        </w:rPr>
        <w:fldChar w:fldCharType="begin" w:fldLock="1"/>
      </w:r>
      <w:r w:rsidR="005C31FD" w:rsidRPr="00FF4B5B">
        <w:rPr>
          <w:color w:val="212529"/>
          <w:lang w:val="en"/>
        </w:rPr>
        <w:instrText>ADDIN CSL_CITATION { "citationItems" : [ { "id" : "ITEM-1", "itemData" : { "abstract" : "The 1942 report on Social Insurance and Allied Services,[1] known commonly as the Beveridge Report was an influential document in the founding of the welfare state in the United Kingdom, published in December 1942.[2] It was chaired by William Beveridge, an economist, who identified five \"Giant Evils\" in society: squalor, ignorance, want, idleness, and disease, and went on to propose widespread reform to the system of social welfare to address these. The Report came in the midst of war, and promised a reward for the sacrifices undertaken by everyone. Highly popular with the public, the report formed the basis for the post-war reforms known as the Welfare State, which include the expansion of National Insurance and the creation of the National Health Service.", "author" : [ { "dropping-particle" : "", "family" : "Ninane", "given" : "G", "non-dropping-particle" : "", "parse-names" : false, "suffix" : "" } ], "container-title" : "British Medical Journal", "id" : "ITEM-1", "issue" : "6390", "issued" : { "date-parts" : [ [ "1983" ] ] }, "page" : "503", "title" : "Beveridge Report", "type" : "article-journal", "volume" : "287" }, "uris" : [ "http://www.mendeley.com/documents/?uuid=c2b2068e-ffa0-4d02-801a-1a861cd51d6b" ] } ], "mendeley" : { "formattedCitation" : "(Ninane, 1983)", "plainTextFormattedCitation" : "(Ninane, 1983)", "previouslyFormattedCitation" : "(Ninane, 1983)"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(Ninane, 1983)</w:t>
      </w:r>
      <w:r w:rsidR="005C31FD" w:rsidRPr="00FF4B5B">
        <w:rPr>
          <w:color w:val="212529"/>
          <w:lang w:val="en"/>
        </w:rPr>
        <w:fldChar w:fldCharType="end"/>
      </w:r>
      <w:r w:rsidR="00B818C7">
        <w:rPr>
          <w:color w:val="212529"/>
          <w:lang w:val="en"/>
        </w:rPr>
        <w:t>. E</w:t>
      </w:r>
      <w:r w:rsidRPr="00FF4B5B">
        <w:rPr>
          <w:color w:val="212529"/>
          <w:lang w:val="en"/>
        </w:rPr>
        <w:t>ventually acts were passed in parliament which founded the (NHS) and the welfare state. The (NHS) was founded on being free for every British citizen at the point of delivery. The first hospital to open was in Manchester named Park Hospital, which is still there now called Trafford General Hospital. This brought free health care for all. As doctors, dentists, nurses, pharmacists and opticians were all working for one company named the National Health Services. The (NHS) was funded from taxation of the working public based on the more you earn the more you pay and the less you earn the less you pay in tax. If not working, it was and still is free if a British citizen. Life expectancy for men in 1948 before (NHS) was 66 and women 71, today in 2018 after 70years of the (NHS) according to the office of national statistics life expectancy is 79.4 years for men and 83.1 years for women. The definition of health inequalities is described as variances in healthiness or in the delivery of health factors among diverse residents (WHO)</w:t>
      </w:r>
      <w:r w:rsidR="005C31FD" w:rsidRPr="00FF4B5B">
        <w:rPr>
          <w:color w:val="212529"/>
          <w:lang w:val="en"/>
        </w:rPr>
        <w:fldChar w:fldCharType="begin" w:fldLock="1"/>
      </w:r>
      <w:r w:rsidR="005C31FD" w:rsidRPr="00FF4B5B">
        <w:rPr>
          <w:color w:val="212529"/>
          <w:lang w:val="en"/>
        </w:rPr>
        <w:instrText>ADDIN CSL_CITATION { "citationItems" : [ { "id" : "ITEM-1", "itemData" : { "ISBN" : "9789280647310", "abstract" : "The State of the World\u2019s Children 2014 In Numbers: Every Child Counts highlights the critical role data and monitoring play in realizing children\u2019s rights. Credible data, disseminated effectively and used correctly, make it possible to target interventions that help right the wrong of exclusion. Data do not, of themselves, change the world. They make change possible \u2013 by identifying needs, supporting advocacy, gauging progress and holding duty bearers to account. Making the possible real is up to decision makers.", "author" : [ { "dropping-particle" : "", "family" : "UNICEF", "given" : "", "non-dropping-particle" : "", "parse-names" : false, "suffix" : "" } ], "container-title" : "Children", "id" : "ITEM-1", "issued" : { "date-parts" : [ [ "2014" ] ] }, "number-of-pages" : "1-156", "title" : "The State of the World's Children 2014 -Every Child Counts", "type" : "book" }, "uris" : [ "http://www.mendeley.com/documents/?uuid=efd70d7b-2df6-47ce-9512-5eab367e2248" ] } ], "mendeley" : { "formattedCitation" : "(UNICEF, 2014)", "plainTextFormattedCitation" : "(UNICEF, 2014)", "previouslyFormattedCitation" : "(UNICEF, 2014)"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(UNICEF, 2014)</w:t>
      </w:r>
      <w:r w:rsidR="005C31FD" w:rsidRPr="00FF4B5B">
        <w:rPr>
          <w:color w:val="212529"/>
          <w:lang w:val="en"/>
        </w:rPr>
        <w:fldChar w:fldCharType="end"/>
      </w:r>
      <w:r w:rsidR="00B818C7">
        <w:rPr>
          <w:color w:val="212529"/>
          <w:lang w:val="en"/>
        </w:rPr>
        <w:t>.</w:t>
      </w:r>
    </w:p>
    <w:p w14:paraId="56DB76EB"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The (NHS) was formed during a labour government which is known as social democratic left-wing party, providing a welfare state for all regardless of wealth and social status. Concentrating on the poor and working class and opposing the affluent who have funds available to pay for themselves. As the governments have changed through the years </w:t>
      </w:r>
      <w:r w:rsidR="00313747" w:rsidRPr="00FF4B5B">
        <w:rPr>
          <w:color w:val="212529"/>
          <w:lang w:val="en"/>
        </w:rPr>
        <w:lastRenderedPageBreak/>
        <w:t xml:space="preserve">from labour to conservative the (NHS) has suffered greatly with funding and maintaining the original concept of free for all at the point of delivery. The (NHS) reputation of treatment of patients due to waiting list and staff shortages have all swamped the headlines over recent years. Doctors and Nurses </w:t>
      </w:r>
      <w:r w:rsidR="00FF4B5B" w:rsidRPr="00FF4B5B">
        <w:rPr>
          <w:color w:val="212529"/>
          <w:lang w:val="en"/>
        </w:rPr>
        <w:t>pay;</w:t>
      </w:r>
      <w:r w:rsidR="00313747" w:rsidRPr="00FF4B5B">
        <w:rPr>
          <w:color w:val="212529"/>
          <w:lang w:val="en"/>
        </w:rPr>
        <w:t xml:space="preserve"> long hours are all modern-day issues. These funding issues have developed with the conservatives coming to power during the eighties and nineties and the current conservative government have opposing views of a welfare state. Conservatives being a right-wing party have the ideology of using a flat rate taxation system for all regardless of how much someone earns. During the eighties the conservatives created a competition of an internal market for hospitals and services as to where a patient would like to be treated. The (NHS) Is the backbone of British society as there have been many controversial issues in the headlines but families are continuing to make use of the service over the period of 70 years.</w:t>
      </w:r>
    </w:p>
    <w:p w14:paraId="6836CF20"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 Acheson inquiry was published in 1998, this was an independent review done nationally on health inequalities. The Acheson inquiry advised policies were needing developed to challenge inequalities that could be found in health. The inquiry found that a gap was developing between the different socio-economic classes. After this inquiry it was realised these gaps have been increasing and were needing a way to be p</w:t>
      </w:r>
      <w:r w:rsidR="005C31FD" w:rsidRPr="00FF4B5B">
        <w:rPr>
          <w:color w:val="212529"/>
          <w:lang w:val="en"/>
        </w:rPr>
        <w:t>ut right.</w:t>
      </w:r>
      <w:r w:rsidR="005C31FD" w:rsidRPr="00FF4B5B">
        <w:rPr>
          <w:color w:val="212529"/>
          <w:lang w:val="en"/>
        </w:rPr>
        <w:fldChar w:fldCharType="begin" w:fldLock="1"/>
      </w:r>
      <w:r w:rsidR="005C31FD" w:rsidRPr="00FF4B5B">
        <w:rPr>
          <w:color w:val="212529"/>
          <w:lang w:val="en"/>
        </w:rPr>
        <w:instrText>ADDIN CSL_CITATION { "citationItems" : [ { "id" : "ITEM-1", "itemData" : { "DOI" : "10.1136/jech.2003.010264", "ISBN" : "085084097X", "ISSN" : "0143005X", "PMID" : "15026429", "abstract" : "Commissioning the Independent Inquiry into Inequalities in Health (also known as the Acheson Inquiry) was one of the first decisions of the incoming Labour Government in 1997. This indicated the extent to which tackling health inequalities has become a major policy priority in the UK. Mark Exworthy and colleagues at University College London investigated the impact on policy-making of the Inquiry's recommendations, and examined the subsequent development of policies to tackle health inequalities. Key findings were that: Across most government departments there has been a significant amount of activity related to tackling health inequalities, including commissioning of the Independent Inquiry into Inequalities in Health. These policies have addressed most of the recommendations in the Inquiry's report. Policy-making continues to develop across central government. Policies were initially disparate and typified by projects, funding 'challenges' and one-off initiatives which could be detached from mainstream activity. These are now being brought together more systematically and coherently. New mechanisms and structures are placing more emphasis on systems and processes that support policies to reduce health inequalities. However, further steps are required to join up and embed these policies more fully into mainstream policy, planning and provision. Measuring the progress of policies is difficult, but has been aided by the introduction of performance management mechanisms. Targets and objectives are being monitored by new and existing indicators. Further steps are required to establish meaningful indicators of whether health inequalities are being reduced as a result of policies. The researchers suggest that the use of health inequalities impact assessments needs to be widened, including assessments of likely impact as policies are formulated. In addition, research studies need to place more emphasis on interventions to improve outcomes, rather than on demonstrating causation.", "author" : [ { "dropping-particle" : "", "family" : "Marmot", "given" : "M. G.", "non-dropping-particle" : "", "parse-names" : false, "suffix" : "" } ], "container-title" : "Journal of Epidemiology and Community Health", "id" : "ITEM-1", "issue" : "4", "issued" : { "date-parts" : [ [ "2004" ] ] }, "page" : "262-263", "title" : "Tackling health inequalities since the Acheson Inquiry", "type" : "article-magazine", "volume" : "58" }, "uris" : [ "http://www.mendeley.com/documents/?uuid=a537f28f-5287-448b-a949-691f08368177" ] } ], "mendeley" : { "formattedCitation" : "(Marmot, 2004)", "plainTextFormattedCitation" : "(Marmot, 2004)", "previouslyFormattedCitation" : "(Marmot, 2004)"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(Marmot, 2004)</w:t>
      </w:r>
      <w:r w:rsidR="005C31FD" w:rsidRPr="00FF4B5B">
        <w:rPr>
          <w:color w:val="212529"/>
          <w:lang w:val="en"/>
        </w:rPr>
        <w:fldChar w:fldCharType="end"/>
      </w:r>
      <w:r>
        <w:rPr>
          <w:color w:val="212529"/>
          <w:lang w:val="en"/>
        </w:rPr>
        <w:t>.</w:t>
      </w:r>
    </w:p>
    <w:p w14:paraId="31FE5CCE"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 The United Nations Convention (UNCRC) which is founded on children’s rights and human rights treaty for kids up to the age seventeen, which cites the rights of kids. The United Kingdom contracted to this in 1990 and then supporting it in 1991, with it being appointed to rule on </w:t>
      </w:r>
      <w:r w:rsidR="00FF4B5B" w:rsidRPr="00FF4B5B">
        <w:rPr>
          <w:color w:val="212529"/>
          <w:lang w:val="en"/>
        </w:rPr>
        <w:t>fifth tenth</w:t>
      </w:r>
      <w:r w:rsidR="00313747" w:rsidRPr="00FF4B5B">
        <w:rPr>
          <w:color w:val="212529"/>
          <w:lang w:val="en"/>
        </w:rPr>
        <w:t xml:space="preserve"> of January in 1992. The UNCRC Pact is founded on 54 articles that guarantees children are safeguarded throughout their lives. The UNCRC ensures that children find equality irrespective of their culture, religion or background. It also necessitates specifics of how this could be accomplished through governments and parents. The UNCRC convention warrants kids have privileges to shelter, education, food, protected from violence and safe guarded from child labour. The lone nation not to implement the UNCRC children’ convention is the USA.  United Nations Convention on the Rights of the Child as Article 24, ensures that every child has the right to health and health care services that b</w:t>
      </w:r>
      <w:r w:rsidR="005C31FD" w:rsidRPr="00FF4B5B">
        <w:rPr>
          <w:color w:val="212529"/>
          <w:lang w:val="en"/>
        </w:rPr>
        <w:t>eing best health care possible.</w:t>
      </w:r>
      <w:r w:rsidR="005C31FD" w:rsidRPr="00FF4B5B">
        <w:rPr>
          <w:color w:val="212529"/>
          <w:lang w:val="en"/>
        </w:rPr>
        <w:fldChar w:fldCharType="begin" w:fldLock="1"/>
      </w:r>
      <w:r w:rsidR="005C31FD" w:rsidRPr="00FF4B5B">
        <w:rPr>
          <w:color w:val="212529"/>
          <w:lang w:val="en"/>
        </w:rPr>
        <w:instrText>ADDIN CSL_CITATION { "citationItems" : [ { "id" : "ITEM-1", "itemData" : { "ISSN" : "0048-3818", "abstract" : "UN General Assembly, Convention on the Rights of the Child, 20 November 1989, United Nations, Treaty Series, vol. 1577, p. 3.", "author" : [ { "dropping-particle" : "", "family" : "UN General Assembly (UNGA)", "given" : "", "non-dropping-particle" : "", "parse-names" : false, "suffix" : "" } ], "container-title" : "United Nations, Treaty Series, vol. 1577, p.3", "id" : "ITEM-1", "issue" : "13", "issued" : { "date-parts" : [ [ "1991" ] ] }, "page" : "[accessed 25 May 2012]", "title" : "United Nations Convention on the Rights of the Child (UNCRC)", "type" : "legislation", "volume" : "13" }, "uris" : [ "http://www.mendeley.com/documents/?uuid=37d398ac-248e-42d3-934d-14c62cd62a48" ] } ], "mendeley" : { "formattedCitation" : "(UN General Assembly (UNGA), 1991)", "plainTextFormattedCitation" : "(UN General Assembly (UNGA), 1991)", "previouslyFormattedCitation" : "(UN General Assembly (UNGA), 1991)"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(UN General Assembly (UNGA), 1991)</w:t>
      </w:r>
      <w:r w:rsidR="005C31FD" w:rsidRPr="00FF4B5B">
        <w:rPr>
          <w:color w:val="212529"/>
          <w:lang w:val="en"/>
        </w:rPr>
        <w:fldChar w:fldCharType="end"/>
      </w:r>
      <w:r w:rsidR="00313747" w:rsidRPr="00FF4B5B">
        <w:rPr>
          <w:color w:val="212529"/>
          <w:lang w:val="en"/>
        </w:rPr>
        <w:t>.</w:t>
      </w:r>
    </w:p>
    <w:p w14:paraId="19722195"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 Poverty in our communities is an overwhelming influence that can be associated with development of children being affected if they become conscious their parent’ monetary conditions are not like their friends. Peter Townsend observation of living </w:t>
      </w:r>
      <w:r w:rsidR="00313747" w:rsidRPr="00FF4B5B">
        <w:rPr>
          <w:color w:val="212529"/>
          <w:lang w:val="en"/>
        </w:rPr>
        <w:lastRenderedPageBreak/>
        <w:t>in scarcity and deprivation was to be measured by what could be afforded by ones living conditions.  Socio economic groups in society are understood</w:t>
      </w:r>
      <w:r w:rsidR="005C31FD" w:rsidRPr="00FF4B5B">
        <w:rPr>
          <w:color w:val="212529"/>
          <w:lang w:val="en"/>
        </w:rPr>
        <w:t xml:space="preserve"> to be in poverty when they fail </w:t>
      </w:r>
      <w:r w:rsidR="00313747" w:rsidRPr="00FF4B5B">
        <w:rPr>
          <w:color w:val="212529"/>
          <w:lang w:val="en"/>
        </w:rPr>
        <w:t>to achieve the similar substantial possessions, which are considered compulsory in their nations, as they cannot afford such things they start to be exclude socially as their living standards are not the same .</w:t>
      </w:r>
      <w:r w:rsidR="005C31FD" w:rsidRPr="00FF4B5B">
        <w:rPr>
          <w:color w:val="212529"/>
          <w:lang w:val="en"/>
        </w:rPr>
        <w:fldChar w:fldCharType="begin" w:fldLock="1"/>
      </w:r>
      <w:r w:rsidR="005C31FD" w:rsidRPr="00FF4B5B">
        <w:rPr>
          <w:color w:val="212529"/>
          <w:lang w:val="en"/>
        </w:rPr>
        <w:instrText>ADDIN CSL_CITATION { "citationItems" : [ { "id" : "ITEM-1", "itemData" : { "DOI" : "10.2307/1962256", "ISBN" : "0713910461", "ISSN" : "0040716X", "PMID" : "4157325", "abstract" : "In Poverty in the United Kingdom (1979) Peter Townsend examined relative deprivation covering a wide range of aspects of living standards, both material and social. He found that there were levels of income below which consumption and participation fell well below what might be seen as normal or acceptable in an increasingly affluent society and argued that this group should be seen to be in poverty. Here you can download this seminal book. Please cite \u2018Townsend, P. (1979) Poverty in the United Kingdom, London, Allen Lane and Penguin Books\u2019 if quoting from this book.", "author" : [ { "dropping-particle" : "", "family" : "Townsend", "given" : "Peter", "non-dropping-particle" : "", "parse-names" : false, "suffix" : "" } ], "container-title" : "Tidsskrift for samfunnsforskning", "id" : "ITEM-1", "issue" : "1", "issued" : { "date-parts" : [ [ "1980" ] ] }, "page" : "101-104", "title" : "Poverty in the United Kingdom: A Survey of Household Resources and Standards of Living", "type" : "article-journal", "volume" : "21" }, "uris" : [ "http://www.mendeley.com/documents/?uuid=684f9c9c-9c4d-449c-ad91-9aea7e97324e" ] } ], "mendeley" : { "formattedCitation" : "(Townsend, 1980)", "plainTextFormattedCitation" : "(Townsend, 1980)", "previouslyFormattedCitation" : "(Townsend, 1980)"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(Townsend, 1980)</w:t>
      </w:r>
      <w:r w:rsidR="005C31FD" w:rsidRPr="00FF4B5B">
        <w:rPr>
          <w:color w:val="212529"/>
          <w:lang w:val="en"/>
        </w:rPr>
        <w:fldChar w:fldCharType="end"/>
      </w:r>
      <w:r w:rsidR="005C31FD" w:rsidRPr="00FF4B5B">
        <w:rPr>
          <w:color w:val="212529"/>
          <w:lang w:val="en"/>
        </w:rPr>
        <w:t>.</w:t>
      </w:r>
      <w:r w:rsidR="00313747" w:rsidRPr="00FF4B5B">
        <w:rPr>
          <w:color w:val="212529"/>
          <w:lang w:val="en"/>
        </w:rPr>
        <w:t xml:space="preserve"> People living in surroundings of poverty have been identified as having health inequalities and puts them at a distinct disadvantage due to social class, race, and demographics. These variances play an important role, as these people can be subject to chronic conditions, premature death and poor health.</w:t>
      </w:r>
      <w:r w:rsidR="005C31FD" w:rsidRPr="00FF4B5B">
        <w:rPr>
          <w:color w:val="212529"/>
          <w:lang w:val="en"/>
        </w:rPr>
        <w:fldChar w:fldCharType="begin" w:fldLock="1"/>
      </w:r>
      <w:r w:rsidR="005C31FD" w:rsidRPr="00FF4B5B">
        <w:rPr>
          <w:color w:val="212529"/>
          <w:lang w:val="en"/>
        </w:rPr>
        <w:instrText>ADDIN CSL_CITATION { "citationItems" : [ { "id" : "ITEM-1", "itemData" : { "DOI" : "10.1016/j.socscimed.2011.12.015", "ISBN" : "0277-9536", "ISSN" : "02779536", "PMID" : "22248738", "abstract" : "Social Science &amp; Medicine, 74 (2012) 658-660. doi:10.1016/j.socscimed.2011.12.015", "author" : [ { "dropping-particle" : "", "family" : "Bartley", "given" : "Mel", "non-dropping-particle" : "", "parse-names" : false, "suffix" : "" } ], "container-title" : "Social Science and Medicine", "id" : "ITEM-1", "issue" : "5", "issued" : { "date-parts" : [ [ "2012" ] ] }, "page" : "658-660", "title" : "Explaining health inequality: Evidence from the UK", "type" : "article", "volume" : "74" }, "uris" : [ "http://www.mendeley.com/documents/?uuid=da32bdcc-758e-46fa-8ef5-a4fe6e0d1c68" ] } ], "mendeley" : { "formattedCitation" : "(Bartley, 2012)", "plainTextFormattedCitation" : "(Bartley, 2012)", "previouslyFormattedCitation" : "(Bartley, 2012)"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(Bartley, 2012)</w:t>
      </w:r>
      <w:r w:rsidR="005C31FD" w:rsidRPr="00FF4B5B">
        <w:rPr>
          <w:color w:val="212529"/>
          <w:lang w:val="en"/>
        </w:rPr>
        <w:fldChar w:fldCharType="end"/>
      </w:r>
      <w:r>
        <w:rPr>
          <w:color w:val="212529"/>
          <w:lang w:val="en"/>
        </w:rPr>
        <w:t>.</w:t>
      </w:r>
      <w:r w:rsidR="00313747" w:rsidRPr="00FF4B5B">
        <w:rPr>
          <w:color w:val="212529"/>
          <w:lang w:val="en"/>
        </w:rPr>
        <w:t xml:space="preserve"> </w:t>
      </w:r>
    </w:p>
    <w:p w14:paraId="264888CE"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 An act was passed in 1989 called The Children Act 1989 which is  endorse the  health and wellbeing and promote protection of children</w:t>
      </w:r>
      <w:r w:rsidR="005C31FD" w:rsidRPr="00FF4B5B">
        <w:rPr>
          <w:color w:val="212529"/>
          <w:lang w:val="en"/>
        </w:rPr>
        <w:fldChar w:fldCharType="begin" w:fldLock="1"/>
      </w:r>
      <w:r w:rsidR="005C31FD" w:rsidRPr="00FF4B5B">
        <w:rPr>
          <w:color w:val="212529"/>
          <w:lang w:val="en"/>
        </w:rPr>
        <w:instrText>ADDIN CSL_CITATION { "citationItems" : [ { "id" : "ITEM-1", "itemData" : { "URL" : "https://www.legislation.gov.uk/ukpga/1989/41/schedule/1", "abstract" : "An Act to reform the law relating to children; to provide for local authority services for children in need and others; to amend the law with respect to children\u2019s homes, community homes, voluntary homes and voluntary organisations; to make provision with respect to fostering, child minding and day care for young children and adoption; and for connected purposes.", "author" : [ { "dropping-particle" : "", "family" : "Legislation.gov.uk", "given" : "", "non-dropping-particle" : "", "parse-names" : false, "suffix" : "" } ], "container-title" : "Legislation.gov.uk", "id" : "ITEM-1", "issued" : { "date-parts" : [ [ "2017" ] ] }, "title" : "Children Act 1989", "type" : "webpage" }, "uris" : [ "http://www.mendeley.com/documents/?uuid=46d1bd9b-3da9-49f9-931b-2ac27177c4ec" ] } ], "mendeley" : { "formattedCitation" : "(Legislation.gov.uk, 2017)", "plainTextFormattedCitation" : "(Legislation.gov.uk, 2017)", "previouslyFormattedCitation" : "(Legislation.gov.uk, 2017)"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(Legislation.gov.uk, 2017)</w:t>
      </w:r>
      <w:r w:rsidR="005C31FD" w:rsidRPr="00FF4B5B">
        <w:rPr>
          <w:color w:val="212529"/>
          <w:lang w:val="en"/>
        </w:rPr>
        <w:fldChar w:fldCharType="end"/>
      </w:r>
      <w:r w:rsidR="00313747" w:rsidRPr="00FF4B5B">
        <w:rPr>
          <w:color w:val="212529"/>
          <w:lang w:val="en"/>
        </w:rPr>
        <w:t xml:space="preserve">.  Authorities in local councils have the duty to supervise the safe welfare of children. A multi-agency approach is being used to </w:t>
      </w:r>
      <w:r w:rsidR="005C31FD" w:rsidRPr="00FF4B5B">
        <w:rPr>
          <w:color w:val="212529"/>
          <w:lang w:val="en"/>
        </w:rPr>
        <w:t>fulfill</w:t>
      </w:r>
      <w:r w:rsidR="00313747" w:rsidRPr="00FF4B5B">
        <w:rPr>
          <w:color w:val="212529"/>
          <w:lang w:val="en"/>
        </w:rPr>
        <w:t xml:space="preserve"> this responsibility. Social services are working alongside doctors, health visitors and the police. With all data being recorded about children and their families.</w:t>
      </w:r>
      <w:r w:rsidR="005C31FD" w:rsidRPr="00FF4B5B">
        <w:rPr>
          <w:color w:val="212529"/>
          <w:lang w:val="en"/>
        </w:rPr>
        <w:fldChar w:fldCharType="begin" w:fldLock="1"/>
      </w:r>
      <w:r w:rsidR="005C31FD" w:rsidRPr="00FF4B5B">
        <w:rPr>
          <w:color w:val="212529"/>
          <w:lang w:val="en"/>
        </w:rPr>
        <w:instrText>ADDIN CSL_CITATION { "citationItems" : [ { "id" : "ITEM-1", "itemData" : { "DOI" : "10.1016/S0277-9536(02)00173-9", "ISBN" : "0277-9536 (Print)\\r0277-9536 (Linking)", "ISSN" : "0277-9536", "PMID" : "12639593", "abstract" : "There has been a shift in the theoretical debates around the ways in which organisations deliver the state's objectives of providing health and social care services for its citizens, focusing on issues of welfare governance and the encouragement of partnership working between organisations. This article develops these theories by focusing on developments in primary health and social care policy in the UK, which have undergone a radical change recently. Responsibility for commissioning health care services now falls to primary care groups and trusts (PCG/Ts), run by general practitioners, other primary care practitioners, managers and lay members, and there is some pressure on primary care groups and primary care trusts to engage in partnership working with social services, for example, to cut hospital waiting lists or provide intermediate care services. One policy option is for these organisations to form Care Trusts, integrating the commissioning of health and social care for older people and ending the historical organisational divisions between health and social care in the UK. This paper examines evidence from the first stage of a 3-year longitudinal quantitative and qualitative study of the development of partnership working between PCG/Ts and social services departments in England. It examines whether the evidence suggests that the integration of health and social care is feasible or desirable in older people's services.", "author" : [ { "dropping-particle" : "", "family" : "Rummery", "given" : "Kirstein", "non-dropping-particle" : "", "parse-names" : false, "suffix" : "" }, { "dropping-particle" : "", "family" : "Coleman", "given" : "Anna", "non-dropping-particle" : "", "parse-names" : false, "suffix" : "" } ], "container-title" : "Social science &amp; medicine (1982)", "id" : "ITEM-1", "issue" : "8", "issued" : { "date-parts" : [ [ "2003" ] ] }, "page" : "1773-82", "title" : "Primary health and social care services in the UK: progress towards partnership?", "type" : "article-journal", "volume" : "56" }, "uris" : [ "http://www.mendeley.com/documents/?uuid=2d58a88d-c497-4326-a196-9f2c479d1227" ] } ], "mendeley" : { "formattedCitation" : "(Rummery and Coleman, 2003)", "plainTextFormattedCitation" : "(Rummery and Coleman, 2003)", "previouslyFormattedCitation" : "(Rummery and Coleman, 2003)"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(Rummery and Coleman, 2003)</w:t>
      </w:r>
      <w:r w:rsidR="005C31FD" w:rsidRPr="00FF4B5B">
        <w:rPr>
          <w:color w:val="212529"/>
          <w:lang w:val="en"/>
        </w:rPr>
        <w:fldChar w:fldCharType="end"/>
      </w:r>
      <w:r w:rsidR="00313747" w:rsidRPr="00FF4B5B">
        <w:rPr>
          <w:color w:val="212529"/>
          <w:lang w:val="en"/>
        </w:rPr>
        <w:t xml:space="preserve">. </w:t>
      </w:r>
    </w:p>
    <w:p w14:paraId="5842F4C1"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There was a new act passed in 2014 called Social services and well-being act wale 2014 which is founded on four key values of the Act being welcoming the local communities’ ability to speak regarding care and requirements. Encouraging them attain outcomes that prosperous. Endorsing deterrence services in communities to attempt and reduce hazardous results.  Encourage social welfare through caring attention and evaluating the accomplishment of backing. Individuals being engaged with service providers to help deliver local services. </w:t>
      </w:r>
      <w:r w:rsidR="005C31FD" w:rsidRPr="00FF4B5B">
        <w:rPr>
          <w:color w:val="212529"/>
          <w:lang w:val="en"/>
        </w:rPr>
        <w:fldChar w:fldCharType="begin" w:fldLock="1"/>
      </w:r>
      <w:r w:rsidR="005C31FD" w:rsidRPr="00FF4B5B">
        <w:rPr>
          <w:color w:val="212529"/>
          <w:lang w:val="en"/>
        </w:rPr>
        <w:instrText>ADDIN CSL_CITATION { "citationItems" : [ { "id" : "ITEM-1", "itemData" : { "ISSN" : "1744-1072", "abstract" : "Outlines the provisions of the Social Services and Well-Being (Wales) Act that most directly affect children and young people. The article looks at the concept of well-being, which is at the heart of the Act, and how it is defined in relation to both adults and children, and with regards to children specifically. The following areas are then discussed in relation to the Act: assessment of children's care and support needs; children in need of care and support; looked after children; review plans of looked after children; leaving care.", "author" : [ { "dropping-particle" : "", "family" : "DOUGHTY", "given" : "Julie", "non-dropping-particle" : "", "parse-names" : false, "suffix" : "" } ], "container-title" : "Seen and Heard", "id" : "ITEM-1", "issue" : "3", "issued" : { "date-parts" : [ [ "2014" ] ] }, "page" : "38-46", "title" : "What the Social Services and Well-Being (Wales) Act 2014 means for children's social work", "type" : "article-journal", "volume" : "24" }, "uris" : [ "http://www.mendeley.com/documents/?uuid=8468db5a-ef57-42fb-812a-9c97db23238f" ] } ], "mendeley" : { "formattedCitation" : "(DOUGHTY, 2014)", "plainTextFormattedCitation" : "(DOUGHTY, 2014)", "previouslyFormattedCitation" : "(DOUGHTY, 2014)"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(DOUGHTY, 2014)</w:t>
      </w:r>
      <w:r w:rsidR="005C31FD" w:rsidRPr="00FF4B5B">
        <w:rPr>
          <w:color w:val="212529"/>
          <w:lang w:val="en"/>
        </w:rPr>
        <w:fldChar w:fldCharType="end"/>
      </w:r>
      <w:r>
        <w:rPr>
          <w:color w:val="212529"/>
          <w:lang w:val="en"/>
        </w:rPr>
        <w:t>.</w:t>
      </w:r>
    </w:p>
    <w:p w14:paraId="615A1258" w14:textId="77777777" w:rsidR="00B818C7"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The well-being of future generations Act (Wales) was passed in 2015 is built on refining Wales and ensuring it a place that is prosperous to inhibit. Developments it focusses on are economic, social, environmental and cultural growth. The Act puts a welfare obligation on public sector within local communities to act to accomplish 7 well-being goals in accordance with a maintainable growth ideology. The seven identified goals are to make Wales more prosperous, make Wales more robust, improve the health of Welsh population, encourage equality, join communities together, promote the Welsh language and culture and make Wales more internationally aware. This act requires a long-term vision to achieve and maintain it, also more partnership working is needed to prevent as prevention is better than cure. This act is hoping to address the inequalities that we find today in our society. Wales has seven core aims program which focuses on children and young individuals achieve and </w:t>
      </w:r>
      <w:r w:rsidR="00313747" w:rsidRPr="00FF4B5B">
        <w:rPr>
          <w:color w:val="212529"/>
          <w:lang w:val="en"/>
        </w:rPr>
        <w:lastRenderedPageBreak/>
        <w:t>have the best start regardless of background which is based on UNCRC guidelines.</w:t>
      </w:r>
      <w:r w:rsidR="005C31FD" w:rsidRPr="00FF4B5B">
        <w:rPr>
          <w:color w:val="212529"/>
          <w:lang w:val="en"/>
        </w:rPr>
        <w:fldChar w:fldCharType="begin" w:fldLock="1"/>
      </w:r>
      <w:r w:rsidR="005C31FD" w:rsidRPr="00FF4B5B">
        <w:rPr>
          <w:color w:val="212529"/>
          <w:lang w:val="en"/>
        </w:rPr>
        <w:instrText>ADDIN CSL_CITATION { "citationItems" : [ { "id" : "ITEM-1", "itemData" : { "ISSN" : "0048-3818", "abstract" : "UN General Assembly, Convention on the Rights of the Child, 20 November 1989, United Nations, Treaty Series, vol. 1577, p. 3.", "author" : [ { "dropping-particle" : "", "family" : "UN General Assembly (UNGA)", "given" : "", "non-dropping-particle" : "", "parse-names" : false, "suffix" : "" } ], "container-title" : "United Nations, Treaty Series, vol. 1577, p.3", "id" : "ITEM-1", "issue" : "13", "issued" : { "date-parts" : [ [ "1991" ] ] }, "page" : "[accessed 25 May 2012]", "title" : "United Nations Convention on the Rights of the Child (UNCRC)", "type" : "legislation", "volume" : "13" }, "uris" : [ "http://www.mendeley.com/documents/?uuid=37d398ac-248e-42d3-934d-14c62cd62a48" ] } ], "mendeley" : { "formattedCitation" : "(UN General Assembly (UNGA), 1991)", "plainTextFormattedCitation" : "(UN General Assembly (UNGA), 1991)", "previouslyFormattedCitation" : "(UN General Assembly (UNGA), 1991)" }, "properties" : {  }, "schema" : "https://github.com/citation-style-language/schema/raw/master/csl-citation.json" }</w:instrText>
      </w:r>
      <w:r w:rsidR="005C31FD" w:rsidRPr="00FF4B5B">
        <w:rPr>
          <w:color w:val="212529"/>
          <w:lang w:val="en"/>
        </w:rPr>
        <w:fldChar w:fldCharType="separate"/>
      </w:r>
      <w:r w:rsidR="005C31FD" w:rsidRPr="00FF4B5B">
        <w:rPr>
          <w:color w:val="212529"/>
          <w:lang w:val="en"/>
        </w:rPr>
        <w:t>(UN General Assembly (UNGA), 1991)</w:t>
      </w:r>
      <w:r w:rsidR="005C31FD" w:rsidRPr="00FF4B5B">
        <w:rPr>
          <w:color w:val="212529"/>
          <w:lang w:val="en"/>
        </w:rPr>
        <w:fldChar w:fldCharType="end"/>
      </w:r>
      <w:r>
        <w:rPr>
          <w:color w:val="212529"/>
          <w:lang w:val="en"/>
        </w:rPr>
        <w:t>.</w:t>
      </w:r>
    </w:p>
    <w:p w14:paraId="591EF888" w14:textId="03CB4DBF" w:rsidR="00313747" w:rsidRPr="00FF4B5B" w:rsidRDefault="00B818C7" w:rsidP="00FF4B5B">
      <w:pPr>
        <w:pStyle w:val="NormalWeb"/>
        <w:spacing w:after="30" w:afterAutospacing="0" w:line="360" w:lineRule="auto"/>
        <w:rPr>
          <w:color w:val="212529"/>
          <w:lang w:val="en"/>
        </w:rPr>
      </w:pPr>
      <w:r>
        <w:rPr>
          <w:color w:val="212529"/>
          <w:lang w:val="en"/>
        </w:rPr>
        <w:t xml:space="preserve">                   </w:t>
      </w:r>
      <w:r w:rsidR="00313747" w:rsidRPr="00FF4B5B">
        <w:rPr>
          <w:color w:val="212529"/>
          <w:lang w:val="en"/>
        </w:rPr>
        <w:t xml:space="preserve"> The seven core aims are based on providing services within the local communities being a preschool initiative called flying start, to offer a complete variety learning and education opportunities, promote good health services offering support for victims of abuse, for children to have access to sports, culture and play events, to make sure everyone is heard regardless of their cultural backgrounds. To promote safe communities and safe wellbeing. For every child to have the same opportunities regardless of the socioeconomic background. As so many health inequalities have been identified through government reports finding that social status plays a vital role in type of health inequalities one might face, as areas of deprivation have been identified has having more obesity and chronic conditions than that of more affluent areas. </w:t>
      </w:r>
    </w:p>
    <w:p w14:paraId="56422D18" w14:textId="3FD04CB7" w:rsidR="00B818C7" w:rsidRDefault="00B818C7" w:rsidP="00FF4B5B">
      <w:pPr>
        <w:shd w:val="clear" w:color="auto" w:fill="FFFFFF"/>
        <w:spacing w:after="120"/>
        <w:rPr>
          <w:rFonts w:eastAsia="Times New Roman" w:cs="Times New Roman"/>
          <w:color w:val="212529"/>
          <w:lang w:val="en" w:eastAsia="en-GB"/>
        </w:rPr>
      </w:pPr>
      <w:r>
        <w:rPr>
          <w:rFonts w:eastAsia="Times New Roman" w:cs="Times New Roman"/>
          <w:color w:val="212529"/>
          <w:lang w:val="en" w:eastAsia="en-GB"/>
        </w:rPr>
        <w:t xml:space="preserve">                    </w:t>
      </w:r>
      <w:r w:rsidR="00313747" w:rsidRPr="00FF4B5B">
        <w:rPr>
          <w:rFonts w:eastAsia="Times New Roman" w:cs="Times New Roman"/>
          <w:color w:val="212529"/>
          <w:lang w:val="en" w:eastAsia="en-GB"/>
        </w:rPr>
        <w:t xml:space="preserve">Children depend on adults as they cannot do much for themselves this makes them vulnerable, UNESCO Universal Declaration of Bioethics and Human Rights according to article 14 states that its every human being right to access good quality healthcare regardless of religion, race, economic, political belief or socioeconomic background. It also states that women and children be able to access excellent healthcare and medicines to sustain life. UNESCO considers women and children to be the weaker of human’s fairness and equality is a must for all, but these groups come first. </w:t>
      </w:r>
      <w:r w:rsidRPr="00FF4B5B">
        <w:rPr>
          <w:rFonts w:eastAsia="Times New Roman" w:cs="Times New Roman"/>
          <w:color w:val="212529"/>
          <w:lang w:val="en" w:eastAsia="en-GB"/>
        </w:rPr>
        <w:t>They</w:t>
      </w:r>
      <w:r w:rsidR="00313747" w:rsidRPr="00FF4B5B">
        <w:rPr>
          <w:rFonts w:eastAsia="Times New Roman" w:cs="Times New Roman"/>
          <w:color w:val="212529"/>
          <w:lang w:val="en" w:eastAsia="en-GB"/>
        </w:rPr>
        <w:t xml:space="preserve"> are guidelines for medical research also stating that the research must</w:t>
      </w:r>
      <w:r w:rsidR="00885200" w:rsidRPr="00FF4B5B">
        <w:rPr>
          <w:rFonts w:eastAsia="Times New Roman" w:cs="Times New Roman"/>
          <w:color w:val="212529"/>
          <w:lang w:val="en" w:eastAsia="en-GB"/>
        </w:rPr>
        <w:t xml:space="preserve"> be</w:t>
      </w:r>
      <w:r w:rsidR="00313747" w:rsidRPr="00FF4B5B">
        <w:rPr>
          <w:rFonts w:eastAsia="Times New Roman" w:cs="Times New Roman"/>
          <w:color w:val="212529"/>
          <w:lang w:val="en" w:eastAsia="en-GB"/>
        </w:rPr>
        <w:t xml:space="preserve"> for the benefit of children and that it cannot be carried out on </w:t>
      </w:r>
      <w:r w:rsidRPr="00FF4B5B">
        <w:rPr>
          <w:rFonts w:eastAsia="Times New Roman" w:cs="Times New Roman"/>
          <w:color w:val="212529"/>
          <w:lang w:val="en" w:eastAsia="en-GB"/>
        </w:rPr>
        <w:t>an</w:t>
      </w:r>
      <w:r w:rsidR="00313747" w:rsidRPr="00FF4B5B">
        <w:rPr>
          <w:rFonts w:eastAsia="Times New Roman" w:cs="Times New Roman"/>
          <w:color w:val="212529"/>
          <w:lang w:val="en" w:eastAsia="en-GB"/>
        </w:rPr>
        <w:t xml:space="preserve"> adult and parents need to give permission. </w:t>
      </w:r>
      <w:r w:rsidR="005C31FD" w:rsidRPr="00FF4B5B">
        <w:rPr>
          <w:rFonts w:eastAsia="Times New Roman" w:cs="Times New Roman"/>
          <w:color w:val="212529"/>
          <w:lang w:val="en" w:eastAsia="en-GB"/>
        </w:rPr>
        <w:fldChar w:fldCharType="begin" w:fldLock="1"/>
      </w:r>
      <w:r w:rsidR="005C31FD" w:rsidRPr="00FF4B5B">
        <w:rPr>
          <w:rFonts w:eastAsia="Times New Roman" w:cs="Times New Roman"/>
          <w:color w:val="212529"/>
          <w:lang w:val="en" w:eastAsia="en-GB"/>
        </w:rPr>
        <w:instrText>ADDIN CSL_CITATION { "citationItems" : [ { "id" : "ITEM-1", "itemData" : { "DOI" : "10.1136/jme.2006.016543", "ISBN" : "0306-6800 (Print)\\r0306-6800 (Linking)", "ISSN" : "03066800", "PMID" : "17329385", "abstract" : "The Universal Declaration on Bioethics and Human Rights adopted by the United Nations Educational, Scientific, and Cultural Organisation (UNESCO) on 19 October 2005 is an important step in the search for global minimum standards in biomedical research and clinical practice. As a member of UNESCO International Bioethics Committee, I participated in the drafting of this document. Drawing on this experience, the principal features of the Declaration are outlined, before responding to two general charges that have been levelled at UNESCO's bioethical activities and at this particular document, are outlined. One criticism is to the effect that UNESCO is exceeding its mandate by drafting such bioethical instruments--in particular, the charge is that it is trespassing on a topic that lies in the responsibility of the World Health Organization. The second criticism is that UNESCO's reliance on international human rights norms is inappropriate.", "author" : [ { "dropping-particle" : "", "family" : "Andorno", "given" : "R.", "non-dropping-particle" : "", "parse-names" : false, "suffix" : "" } ], "container-title" : "Journal of Medical Ethics", "id" : "ITEM-1", "issue" : "3", "issued" : { "date-parts" : [ [ "2007" ] ] }, "page" : "150-154", "title" : "Global bioethics at UNESCO: In defence of the Universal Declaration on Bioethics and Human Rights", "type" : "article-journal", "volume" : "33" }, "uris" : [ "http://www.mendeley.com/documents/?uuid=6a83d86b-69ae-45e9-bad6-87ed794e7912" ] } ], "mendeley" : { "formattedCitation" : "(Andorno, 2007)", "plainTextFormattedCitation" : "(Andorno, 2007)", "previouslyFormattedCitation" : "(Andorno, 2007)" }, "properties" : {  }, "schema" : "https://github.com/citation-style-language/schema/raw/master/csl-citation.json" }</w:instrText>
      </w:r>
      <w:r w:rsidR="005C31FD" w:rsidRPr="00FF4B5B">
        <w:rPr>
          <w:rFonts w:eastAsia="Times New Roman" w:cs="Times New Roman"/>
          <w:color w:val="212529"/>
          <w:lang w:val="en" w:eastAsia="en-GB"/>
        </w:rPr>
        <w:fldChar w:fldCharType="separate"/>
      </w:r>
      <w:r w:rsidR="005C31FD" w:rsidRPr="00FF4B5B">
        <w:rPr>
          <w:rFonts w:eastAsia="Times New Roman" w:cs="Times New Roman"/>
          <w:color w:val="212529"/>
          <w:lang w:val="en" w:eastAsia="en-GB"/>
        </w:rPr>
        <w:t>(Andorno, 2007)</w:t>
      </w:r>
      <w:r w:rsidR="005C31FD" w:rsidRPr="00FF4B5B">
        <w:rPr>
          <w:rFonts w:eastAsia="Times New Roman" w:cs="Times New Roman"/>
          <w:color w:val="212529"/>
          <w:lang w:val="en" w:eastAsia="en-GB"/>
        </w:rPr>
        <w:fldChar w:fldCharType="end"/>
      </w:r>
      <w:r>
        <w:rPr>
          <w:rFonts w:eastAsia="Times New Roman" w:cs="Times New Roman"/>
          <w:color w:val="212529"/>
          <w:lang w:val="en" w:eastAsia="en-GB"/>
        </w:rPr>
        <w:t>.</w:t>
      </w:r>
    </w:p>
    <w:p w14:paraId="143170D8" w14:textId="6C2DF2D6" w:rsidR="00313747" w:rsidRPr="00FF4B5B" w:rsidRDefault="00B818C7" w:rsidP="00FF4B5B">
      <w:pPr>
        <w:shd w:val="clear" w:color="auto" w:fill="FFFFFF"/>
        <w:spacing w:after="120"/>
        <w:rPr>
          <w:rFonts w:eastAsia="Times New Roman" w:cs="Times New Roman"/>
          <w:color w:val="212529"/>
          <w:lang w:val="en" w:eastAsia="en-GB"/>
        </w:rPr>
      </w:pPr>
      <w:r>
        <w:rPr>
          <w:rFonts w:eastAsia="Times New Roman" w:cs="Times New Roman"/>
          <w:color w:val="212529"/>
          <w:lang w:val="en" w:eastAsia="en-GB"/>
        </w:rPr>
        <w:t xml:space="preserve">                      </w:t>
      </w:r>
      <w:r w:rsidR="00313747" w:rsidRPr="00FF4B5B">
        <w:rPr>
          <w:rFonts w:eastAsia="Times New Roman" w:cs="Times New Roman"/>
          <w:color w:val="212529"/>
          <w:lang w:val="en" w:eastAsia="en-GB"/>
        </w:rPr>
        <w:t>The equality act 2010 has been enforced to ensure protection for young people, children and adults from discrimination, nuisance and be subject to persecution regarding education, housing, clubs, employment and services. Protected characteristics are disability, gender assignment, marriage or civil partnership, race, religion, sex, sexuality, pregnancy.  This act puts a duty on the public-sector bodies to ensure equality in hospitals, schools, and local authorities to encourage equality and to eradicate discrimination under section 149 of the Equality Act.</w:t>
      </w:r>
      <w:r w:rsidR="005C31FD" w:rsidRPr="00FF4B5B">
        <w:rPr>
          <w:rFonts w:eastAsia="Times New Roman" w:cs="Times New Roman"/>
          <w:color w:val="212529"/>
          <w:lang w:val="en" w:eastAsia="en-GB"/>
        </w:rPr>
        <w:fldChar w:fldCharType="begin" w:fldLock="1"/>
      </w:r>
      <w:r w:rsidR="005C31FD" w:rsidRPr="00FF4B5B">
        <w:rPr>
          <w:rFonts w:eastAsia="Times New Roman" w:cs="Times New Roman"/>
          <w:color w:val="212529"/>
          <w:lang w:val="en" w:eastAsia="en-GB"/>
        </w:rPr>
        <w:instrText>ADDIN CSL_CITATION { "citationItems" : [ { "id" : "ITEM-1", "itemData" : { "abstract" : "An Act to make provision to require Ministers of the Crown and others when making strategic decisions about the exercise of their functions to have regard to the desirability of reducing socio-economic inequalities; to reform and harmonise equality law and restate the greater part of the enactments relating to discrimination and harassment related to certain personal characteristics; to enable certain employers to be required to publish information about the differences in pay between male and female employees; to prohibit victimisation in certain circumstances; to require the exercise of certain functions to be with regard to the need to eliminate discrimination and other prohibited conduct; to enable duties to be imposed in relation to the exercise of public procurement functions; to increase equality of opportunity; to amend the law relating to rights and responsibilities in family relationships; and for connected purposes.", "author" : [ { "dropping-particle" : "", "family" : "Equality Act", "given" : "", "non-dropping-particle" : "", "parse-names" : false, "suffix" : "" } ], "container-title" : "The Equality Act", "id" : "ITEM-1", "issued" : { "date-parts" : [ [ "2010" ] ] }, "title" : "Equality Act 2010", "type" : "legislation" }, "uris" : [ "http://www.mendeley.com/documents/?uuid=b6392f53-5cad-435f-8497-8cefac17d4f8" ] } ], "mendeley" : { "formattedCitation" : "(Equality Act, 2010)", "plainTextFormattedCitation" : "(Equality Act, 2010)", "previouslyFormattedCitation" : "(Equality Act, 2010)" }, "properties" : {  }, "schema" : "https://github.com/citation-style-language/schema/raw/master/csl-citation.json" }</w:instrText>
      </w:r>
      <w:r w:rsidR="005C31FD" w:rsidRPr="00FF4B5B">
        <w:rPr>
          <w:rFonts w:eastAsia="Times New Roman" w:cs="Times New Roman"/>
          <w:color w:val="212529"/>
          <w:lang w:val="en" w:eastAsia="en-GB"/>
        </w:rPr>
        <w:fldChar w:fldCharType="separate"/>
      </w:r>
      <w:r w:rsidR="005C31FD" w:rsidRPr="00FF4B5B">
        <w:rPr>
          <w:rFonts w:eastAsia="Times New Roman" w:cs="Times New Roman"/>
          <w:color w:val="212529"/>
          <w:lang w:val="en" w:eastAsia="en-GB"/>
        </w:rPr>
        <w:t>(Equality Act, 2010)</w:t>
      </w:r>
      <w:r w:rsidR="005C31FD" w:rsidRPr="00FF4B5B">
        <w:rPr>
          <w:rFonts w:eastAsia="Times New Roman" w:cs="Times New Roman"/>
          <w:color w:val="212529"/>
          <w:lang w:val="en" w:eastAsia="en-GB"/>
        </w:rPr>
        <w:fldChar w:fldCharType="end"/>
      </w:r>
      <w:r w:rsidR="00FF4B5B">
        <w:rPr>
          <w:rFonts w:eastAsia="Times New Roman" w:cs="Times New Roman"/>
          <w:color w:val="212529"/>
          <w:lang w:val="en" w:eastAsia="en-GB"/>
        </w:rPr>
        <w:t>.</w:t>
      </w:r>
    </w:p>
    <w:p w14:paraId="47C2D67A" w14:textId="7F425D09" w:rsidR="00313747" w:rsidRPr="00FF4B5B" w:rsidRDefault="00313747" w:rsidP="00FF4B5B">
      <w:pPr>
        <w:rPr>
          <w:rFonts w:eastAsia="Times New Roman" w:cs="Times New Roman"/>
          <w:color w:val="212529"/>
          <w:lang w:val="en" w:eastAsia="en-GB"/>
        </w:rPr>
      </w:pPr>
      <w:r w:rsidRPr="00FF4B5B">
        <w:rPr>
          <w:rFonts w:eastAsia="Times New Roman" w:cs="Times New Roman"/>
          <w:color w:val="212529"/>
          <w:lang w:val="en" w:eastAsia="en-GB"/>
        </w:rPr>
        <w:t xml:space="preserve">                  The Human Rights Act 1998 has added the European Convention on Human Rights (ECHR) to the British Justice system so now children can pursue cases to the English courts if they belief their human rights have been broken. If the court in England incorrectly discard their entitlement, they then can pursue the case at the European Court of Human Rights, after having taken it to court in England. This is cited in Article 14, stating that the </w:t>
      </w:r>
      <w:r w:rsidRPr="00FF4B5B">
        <w:rPr>
          <w:rFonts w:eastAsia="Times New Roman" w:cs="Times New Roman"/>
          <w:color w:val="212529"/>
          <w:lang w:val="en" w:eastAsia="en-GB"/>
        </w:rPr>
        <w:lastRenderedPageBreak/>
        <w:t>rights of the Convention are applied to all persons without judgement Article 13 also states the “right to an effective remedy”.  According to the Human Rights Act 1998 all governmental regimes should desire to fulfill the rights and civil liberties of all children as stipulated in the convention. The Human Rights Act 1998 that children should be treated fairly and equally without prejudice.  It cites that all children have the right to protection from abuse, exploitation, to develop, to survive; and to engage in family life through participation of culture and social background. It also states and protects children’s rights with additional services being that a certain standard in healthcare, social services, legal and education need to be available. All of which needs to be beneficial to the children as stated in Article 3. Local authorities, hospital and schools have to comply and enforce the Human Rights Act 1998.</w:t>
      </w:r>
      <w:r w:rsidR="005C31FD" w:rsidRPr="00FF4B5B">
        <w:rPr>
          <w:rFonts w:eastAsia="Times New Roman" w:cs="Times New Roman"/>
          <w:color w:val="212529"/>
          <w:lang w:val="en" w:eastAsia="en-GB"/>
        </w:rPr>
        <w:fldChar w:fldCharType="begin" w:fldLock="1"/>
      </w:r>
      <w:r w:rsidR="005C31FD" w:rsidRPr="00FF4B5B">
        <w:rPr>
          <w:rFonts w:eastAsia="Times New Roman" w:cs="Times New Roman"/>
          <w:color w:val="212529"/>
          <w:lang w:val="en" w:eastAsia="en-GB"/>
        </w:rPr>
        <w:instrText>ADDIN CSL_CITATION { "citationItems" : [ { "id" : "ITEM-1", "itemData" : { "ISBN" : "0105442984", "abstract" : "An Act to give further effect to rights and freedoms guaranteed under the European Convention on Human Rights; to make provision with respect to holders of certain judicial offices who become judges of the European Court of Human Rights; and for connected purposes.", "author" : [ { "dropping-particle" : "", "family" : "Parliament of the United Kingdom", "given" : "", "non-dropping-particle" : "", "parse-names" : false, "suffix" : "" } ], "container-title" : "Human Rights", "id" : "ITEM-1", "issue" : "1", "issued" : { "date-parts" : [ [ "1998" ] ] }, "page" : "1-25", "title" : "Human Rights Act 1998", "type" : "article-journal", "volume" : "1998" }, "uris" : [ "http://www.mendeley.com/documents/?uuid=f3d98e5d-161e-45ab-aadf-958a8dfa1eca" ] } ], "mendeley" : { "formattedCitation" : "(Parliament of the United Kingdom, 1998)", "plainTextFormattedCitation" : "(Parliament of the United Kingdom, 1998)", "previouslyFormattedCitation" : "(Parliament of the United Kingdom, 1998)" }, "properties" : {  }, "schema" : "https://github.com/citation-style-language/schema/raw/master/csl-citation.json" }</w:instrText>
      </w:r>
      <w:r w:rsidR="005C31FD" w:rsidRPr="00FF4B5B">
        <w:rPr>
          <w:rFonts w:eastAsia="Times New Roman" w:cs="Times New Roman"/>
          <w:color w:val="212529"/>
          <w:lang w:val="en" w:eastAsia="en-GB"/>
        </w:rPr>
        <w:fldChar w:fldCharType="separate"/>
      </w:r>
      <w:r w:rsidR="005C31FD" w:rsidRPr="00FF4B5B">
        <w:rPr>
          <w:rFonts w:eastAsia="Times New Roman" w:cs="Times New Roman"/>
          <w:color w:val="212529"/>
          <w:lang w:val="en" w:eastAsia="en-GB"/>
        </w:rPr>
        <w:t>(Parliament of the United Kingdom, 1998)</w:t>
      </w:r>
      <w:r w:rsidR="005C31FD" w:rsidRPr="00FF4B5B">
        <w:rPr>
          <w:rFonts w:eastAsia="Times New Roman" w:cs="Times New Roman"/>
          <w:color w:val="212529"/>
          <w:lang w:val="en" w:eastAsia="en-GB"/>
        </w:rPr>
        <w:fldChar w:fldCharType="end"/>
      </w:r>
    </w:p>
    <w:p w14:paraId="307912D7" w14:textId="545D1435" w:rsidR="00313747" w:rsidRPr="00FF4B5B" w:rsidRDefault="005C31FD" w:rsidP="00B818C7">
      <w:pPr>
        <w:rPr>
          <w:rFonts w:eastAsia="Times New Roman" w:cs="Times New Roman"/>
          <w:color w:val="212529"/>
          <w:lang w:val="en" w:eastAsia="en-GB"/>
        </w:rPr>
      </w:pPr>
      <w:r w:rsidRPr="00FF4B5B">
        <w:rPr>
          <w:rFonts w:eastAsia="Times New Roman" w:cs="Times New Roman"/>
          <w:color w:val="212529"/>
          <w:lang w:val="en" w:eastAsia="en-GB"/>
        </w:rPr>
        <w:t xml:space="preserve"> </w:t>
      </w:r>
      <w:r w:rsidR="00B818C7">
        <w:rPr>
          <w:rFonts w:eastAsia="Times New Roman" w:cs="Times New Roman"/>
          <w:color w:val="212529"/>
          <w:lang w:val="en" w:eastAsia="en-GB"/>
        </w:rPr>
        <w:t xml:space="preserve">                    </w:t>
      </w:r>
      <w:r w:rsidR="00313747" w:rsidRPr="00FF4B5B">
        <w:rPr>
          <w:rFonts w:eastAsia="Times New Roman" w:cs="Times New Roman"/>
          <w:color w:val="212529"/>
          <w:lang w:val="en" w:eastAsia="en-GB"/>
        </w:rPr>
        <w:t>UNICEF aims, and objectives are a long-term goal and vision to encourage education and gender equality for all. So that boys and girls alike can make informed choices about their life and have a good understanding how to protect themselves from unwanted pregnancy and HIV and AIDS. UNICEF works at a global level promoting equality in some of the poorest areas of the world and works closely alongside the United Nations. The vision of UNICEF is that for all genders to be able to access good quality health care that is suitable for their needs, also for children to free from child exploitation, slavery, under age marriage, female gender mutation so that they can live life’s free from harm. There work for promotes equality for men’s and women’s also to join the modern world free from cultural restrictions.</w:t>
      </w:r>
      <w:r w:rsidRPr="00FF4B5B">
        <w:rPr>
          <w:rFonts w:eastAsia="Times New Roman" w:cs="Times New Roman"/>
          <w:color w:val="212529"/>
          <w:lang w:val="en" w:eastAsia="en-GB"/>
        </w:rPr>
        <w:fldChar w:fldCharType="begin" w:fldLock="1"/>
      </w:r>
      <w:r w:rsidRPr="00FF4B5B">
        <w:rPr>
          <w:rFonts w:eastAsia="Times New Roman" w:cs="Times New Roman"/>
          <w:color w:val="212529"/>
          <w:lang w:val="en" w:eastAsia="en-GB"/>
        </w:rPr>
        <w:instrText>ADDIN CSL_CITATION { "citationItems" : [ { "id" : "ITEM-1", "itemData" : { "ISBN" : "9789280647310", "abstract" : "The State of the World\u2019s Children 2014 In Numbers: Every Child Counts highlights the critical role data and monitoring play in realizing children\u2019s rights. Credible data, disseminated effectively and used correctly, make it possible to target interventions that help right the wrong of exclusion. Data do not, of themselves, change the world. They make change possible \u2013 by identifying needs, supporting advocacy, gauging progress and holding duty bearers to account. Making the possible real is up to decision makers.", "author" : [ { "dropping-particle" : "", "family" : "UNICEF", "given" : "", "non-dropping-particle" : "", "parse-names" : false, "suffix" : "" } ], "container-title" : "Children", "id" : "ITEM-1", "issued" : { "date-parts" : [ [ "2014" ] ] }, "number-of-pages" : "1-156", "title" : "The State of the World's Children 2014 -Every Child Counts", "type" : "book" }, "uris" : [ "http://www.mendeley.com/documents/?uuid=efd70d7b-2df6-47ce-9512-5eab367e2248" ] } ], "mendeley" : { "formattedCitation" : "(UNICEF, 2014)", "plainTextFormattedCitation" : "(UNICEF, 2014)", "previouslyFormattedCitation" : "(UNICEF, 2014)" }, "properties" : {  }, "schema" : "https://github.com/citation-style-language/schema/raw/master/csl-citation.json" }</w:instrText>
      </w:r>
      <w:r w:rsidRPr="00FF4B5B">
        <w:rPr>
          <w:rFonts w:eastAsia="Times New Roman" w:cs="Times New Roman"/>
          <w:color w:val="212529"/>
          <w:lang w:val="en" w:eastAsia="en-GB"/>
        </w:rPr>
        <w:fldChar w:fldCharType="separate"/>
      </w:r>
      <w:r w:rsidRPr="00FF4B5B">
        <w:rPr>
          <w:rFonts w:eastAsia="Times New Roman" w:cs="Times New Roman"/>
          <w:color w:val="212529"/>
          <w:lang w:val="en" w:eastAsia="en-GB"/>
        </w:rPr>
        <w:t>(UNICEF, 2014)</w:t>
      </w:r>
      <w:r w:rsidRPr="00FF4B5B">
        <w:rPr>
          <w:rFonts w:eastAsia="Times New Roman" w:cs="Times New Roman"/>
          <w:color w:val="212529"/>
          <w:lang w:val="en" w:eastAsia="en-GB"/>
        </w:rPr>
        <w:fldChar w:fldCharType="end"/>
      </w:r>
    </w:p>
    <w:p w14:paraId="1A00BC97" w14:textId="77777777" w:rsidR="00B818C7" w:rsidRDefault="00B818C7" w:rsidP="00FF4B5B">
      <w:pPr>
        <w:rPr>
          <w:rFonts w:eastAsia="Times New Roman" w:cs="Times New Roman"/>
          <w:color w:val="212529"/>
          <w:lang w:val="en" w:eastAsia="en-GB"/>
        </w:rPr>
      </w:pPr>
      <w:r>
        <w:rPr>
          <w:rFonts w:eastAsia="Times New Roman" w:cs="Times New Roman"/>
          <w:color w:val="212529"/>
          <w:lang w:val="en" w:eastAsia="en-GB"/>
        </w:rPr>
        <w:t xml:space="preserve">                      According to</w:t>
      </w:r>
      <w:r w:rsidR="00313747" w:rsidRPr="00FF4B5B">
        <w:rPr>
          <w:rFonts w:eastAsia="Times New Roman" w:cs="Times New Roman"/>
          <w:color w:val="212529"/>
          <w:lang w:val="en" w:eastAsia="en-GB"/>
        </w:rPr>
        <w:t xml:space="preserve"> The Black Report which was published in 1980, found and exposed that health inequalities existed within the NHS. Sir Douglas Black he based the report on death ratio among the upper and lower social classes within the British population.</w:t>
      </w:r>
      <w:r w:rsidR="005C31FD" w:rsidRPr="00FF4B5B">
        <w:rPr>
          <w:rFonts w:eastAsia="Times New Roman" w:cs="Times New Roman"/>
          <w:color w:val="212529"/>
          <w:lang w:val="en" w:eastAsia="en-GB"/>
        </w:rPr>
        <w:fldChar w:fldCharType="begin" w:fldLock="1"/>
      </w:r>
      <w:r w:rsidR="005C31FD" w:rsidRPr="00FF4B5B">
        <w:rPr>
          <w:rFonts w:eastAsia="Times New Roman" w:cs="Times New Roman"/>
          <w:color w:val="212529"/>
          <w:lang w:val="en" w:eastAsia="en-GB"/>
        </w:rPr>
        <w:instrText>ADDIN CSL_CITATION { "citationItems" : [ { "id" : "ITEM-1", "itemData" : { "URL" : "http://www.sochealth.co.uk/Black/black.htm", "abstract" : "We hope that you find our page on \u201cThe Black Report\u201d interesting. You might also like to read our latest blogposts on equality here. The publication of the Black Report over the Bank Ho\u2026", "author" : [ { "dropping-particle" : "", "family" : "Socialist Health Association", "given" : "", "non-dropping-particle" : "", "parse-names" : false, "suffix" : "" } ], "container-title" : "Socialist Health Association", "id" : "ITEM-1", "issued" : { "date-parts" : [ [ "1980" ] ] }, "title" : "The Black Report 1980", "type" : "webpage" }, "uris" : [ "http://www.mendeley.com/documents/?uuid=1b006217-e36c-40b9-a5a6-3a8c9c0f977c" ] } ], "mendeley" : { "formattedCitation" : "(Socialist Health Association, 1980)", "plainTextFormattedCitation" : "(Socialist Health Association, 1980)", "previouslyFormattedCitation" : "(Socialist Health Association, 1980)" }, "properties" : {  }, "schema" : "https://github.com/citation-style-language/schema/raw/master/csl-citation.json" }</w:instrText>
      </w:r>
      <w:r w:rsidR="005C31FD" w:rsidRPr="00FF4B5B">
        <w:rPr>
          <w:rFonts w:eastAsia="Times New Roman" w:cs="Times New Roman"/>
          <w:color w:val="212529"/>
          <w:lang w:val="en" w:eastAsia="en-GB"/>
        </w:rPr>
        <w:fldChar w:fldCharType="separate"/>
      </w:r>
      <w:r w:rsidR="005C31FD" w:rsidRPr="00FF4B5B">
        <w:rPr>
          <w:rFonts w:eastAsia="Times New Roman" w:cs="Times New Roman"/>
          <w:color w:val="212529"/>
          <w:lang w:val="en" w:eastAsia="en-GB"/>
        </w:rPr>
        <w:t>(Socialist Health Association, 1980)</w:t>
      </w:r>
      <w:r w:rsidR="005C31FD" w:rsidRPr="00FF4B5B">
        <w:rPr>
          <w:rFonts w:eastAsia="Times New Roman" w:cs="Times New Roman"/>
          <w:color w:val="212529"/>
          <w:lang w:val="en" w:eastAsia="en-GB"/>
        </w:rPr>
        <w:fldChar w:fldCharType="end"/>
      </w:r>
      <w:r w:rsidR="00313747" w:rsidRPr="00FF4B5B">
        <w:rPr>
          <w:rFonts w:eastAsia="Times New Roman" w:cs="Times New Roman"/>
          <w:color w:val="212529"/>
          <w:lang w:val="en" w:eastAsia="en-GB"/>
        </w:rPr>
        <w:t xml:space="preserve"> As the gap increases between the social classes where the rich can afford to pay for private treatment within the NHS without waiting lists. Whereas the lower classes must wait to be seen and treated within NHS time scales regardless of being a child or adult. The time scale of treatment is vital to one’s chances of survival. This makes children very vulnerable as they are not responsible for their background or social class. Although there is various legislation in power to protect children from social stigmas and mistreatment. The outcomes and health inequalities are the same for children and adults alike. As living in poverty and social deprivation plays a huge role in what type of services you can access. The Black report findings indicate that there are health inequalities between social classes. For instance, lifespan expectation was expected to be by </w:t>
      </w:r>
      <w:r w:rsidR="00313747" w:rsidRPr="00FF4B5B">
        <w:rPr>
          <w:rFonts w:eastAsia="Times New Roman" w:cs="Times New Roman"/>
          <w:color w:val="212529"/>
          <w:lang w:val="en" w:eastAsia="en-GB"/>
        </w:rPr>
        <w:lastRenderedPageBreak/>
        <w:t>more than 6years for the wealthier classes the last quarter of the 20th century, while infant death was found to have increased by fewer than 2 years for less than two years for the inferior class at the close of the century</w:t>
      </w:r>
      <w:r w:rsidR="00BD6410" w:rsidRPr="00FF4B5B">
        <w:rPr>
          <w:rFonts w:eastAsia="Times New Roman" w:cs="Times New Roman"/>
          <w:color w:val="212529"/>
          <w:lang w:val="en" w:eastAsia="en-GB"/>
        </w:rPr>
        <w:t>.</w:t>
      </w:r>
      <w:r w:rsidR="008E5261" w:rsidRPr="00FF4B5B">
        <w:rPr>
          <w:rFonts w:eastAsia="Times New Roman" w:cs="Times New Roman"/>
          <w:color w:val="212529"/>
          <w:lang w:val="en" w:eastAsia="en-GB"/>
        </w:rPr>
        <w:fldChar w:fldCharType="begin" w:fldLock="1"/>
      </w:r>
      <w:r w:rsidR="008E5261" w:rsidRPr="00FF4B5B">
        <w:rPr>
          <w:rFonts w:eastAsia="Times New Roman" w:cs="Times New Roman"/>
          <w:color w:val="212529"/>
          <w:lang w:val="en" w:eastAsia="en-GB"/>
        </w:rPr>
        <w:instrText>ADDIN CSL_CITATION { "citationItems" : [ { "id" : "ITEM-1", "itemData" : { "URL" : "http://www.sochealth.co.uk/Black/black.htm", "abstract" : "We hope that you find our page on \u201cThe Black Report\u201d interesting. You might also like to read our latest blogposts on equality here. The publication of the Black Report over the Bank Ho\u2026", "author" : [ { "dropping-particle" : "", "family" : "Socialist Health Association", "given" : "", "non-dropping-particle" : "", "parse-names" : false, "suffix" : "" } ], "container-title" : "Socialist Health Association", "id" : "ITEM-1", "issued" : { "date-parts" : [ [ "1980" ] ] }, "title" : "The Black Report 1980", "type" : "webpage" }, "uris" : [ "http://www.mendeley.com/documents/?uuid=1b006217-e36c-40b9-a5a6-3a8c9c0f977c" ] } ], "mendeley" : { "formattedCitation" : "(Socialist Health Association, 1980)", "plainTextFormattedCitation" : "(Socialist Health Association, 1980)", "previouslyFormattedCitation" : "(Socialist Health Association, 1980)" }, "properties" : {  }, "schema" : "https://github.com/citation-style-language/schema/raw/master/csl-citation.json" }</w:instrText>
      </w:r>
      <w:r w:rsidR="008E5261" w:rsidRPr="00FF4B5B">
        <w:rPr>
          <w:rFonts w:eastAsia="Times New Roman" w:cs="Times New Roman"/>
          <w:color w:val="212529"/>
          <w:lang w:val="en" w:eastAsia="en-GB"/>
        </w:rPr>
        <w:fldChar w:fldCharType="separate"/>
      </w:r>
      <w:r w:rsidR="008E5261" w:rsidRPr="00FF4B5B">
        <w:rPr>
          <w:rFonts w:eastAsia="Times New Roman" w:cs="Times New Roman"/>
          <w:color w:val="212529"/>
          <w:lang w:val="en" w:eastAsia="en-GB"/>
        </w:rPr>
        <w:t>(Socialist Health Association, 1980)</w:t>
      </w:r>
      <w:r w:rsidR="008E5261" w:rsidRPr="00FF4B5B">
        <w:rPr>
          <w:rFonts w:eastAsia="Times New Roman" w:cs="Times New Roman"/>
          <w:color w:val="212529"/>
          <w:lang w:val="en" w:eastAsia="en-GB"/>
        </w:rPr>
        <w:fldChar w:fldCharType="end"/>
      </w:r>
      <w:r>
        <w:rPr>
          <w:rFonts w:eastAsia="Times New Roman" w:cs="Times New Roman"/>
          <w:color w:val="212529"/>
          <w:lang w:val="en" w:eastAsia="en-GB"/>
        </w:rPr>
        <w:t>.</w:t>
      </w:r>
    </w:p>
    <w:p w14:paraId="225FD5F3" w14:textId="5E8325F7" w:rsidR="00313747" w:rsidRPr="00FF4B5B" w:rsidRDefault="00B818C7" w:rsidP="00FF4B5B">
      <w:pPr>
        <w:rPr>
          <w:rFonts w:eastAsia="Times New Roman" w:cs="Times New Roman"/>
          <w:color w:val="212529"/>
          <w:lang w:val="en" w:eastAsia="en-GB"/>
        </w:rPr>
      </w:pPr>
      <w:r>
        <w:rPr>
          <w:rFonts w:eastAsia="Times New Roman" w:cs="Times New Roman"/>
          <w:color w:val="212529"/>
          <w:lang w:val="en" w:eastAsia="en-GB"/>
        </w:rPr>
        <w:t xml:space="preserve">                  </w:t>
      </w:r>
      <w:r w:rsidR="00BD6410" w:rsidRPr="00FF4B5B">
        <w:rPr>
          <w:rFonts w:eastAsia="Times New Roman" w:cs="Times New Roman"/>
          <w:color w:val="212529"/>
          <w:lang w:val="en" w:eastAsia="en-GB"/>
        </w:rPr>
        <w:t xml:space="preserve"> As the NHS is now seventy years old it still available to all under the same perspective it was founded on free for all based on being a British Citizen, but now you can choose to go private paying and choosing where to go for treatment if you can afford it. Children are clearly victims here of their own social status that they have been born into as if the parents cannot afford to pay for private treatment then they find that they must wait for treatment. The waiting times is what plays a huge role in if you will recover or not. With all the legislation that has come into power over the years to protect children, nothing has so far been set for them to be treated as a priority in the NHS regardless of social status. With all the benefits cuts that have taken place over the last four years we can expect to see an increase in health inequalities for adults and children between the social classes. As child poverty is expected to grow.</w:t>
      </w:r>
    </w:p>
    <w:p w14:paraId="330AA569" w14:textId="59BB73D6" w:rsidR="00FF4B5B" w:rsidRDefault="00FF4B5B" w:rsidP="00BC319B">
      <w:pPr>
        <w:widowControl w:val="0"/>
        <w:autoSpaceDE w:val="0"/>
        <w:autoSpaceDN w:val="0"/>
        <w:adjustRightInd w:val="0"/>
        <w:spacing w:after="0"/>
        <w:rPr>
          <w:rFonts w:cs="Times New Roman"/>
          <w:color w:val="212529"/>
          <w:lang w:val="en"/>
        </w:rPr>
      </w:pPr>
    </w:p>
    <w:p w14:paraId="7BB4F923" w14:textId="457B2404" w:rsidR="00B818C7" w:rsidRDefault="00B818C7" w:rsidP="00FF4B5B">
      <w:pPr>
        <w:pStyle w:val="Heading1"/>
        <w:rPr>
          <w:rFonts w:ascii="Times New Roman" w:eastAsiaTheme="minorHAnsi" w:hAnsi="Times New Roman" w:cs="Times New Roman"/>
          <w:color w:val="212529"/>
          <w:sz w:val="24"/>
          <w:szCs w:val="24"/>
          <w:lang w:val="en"/>
        </w:rPr>
      </w:pPr>
    </w:p>
    <w:p w14:paraId="2021881E" w14:textId="416FB87F" w:rsidR="00AE33F7" w:rsidRDefault="00AE33F7" w:rsidP="00AE33F7">
      <w:pPr>
        <w:rPr>
          <w:lang w:val="en"/>
        </w:rPr>
      </w:pPr>
    </w:p>
    <w:p w14:paraId="7605B28E" w14:textId="539FEA4B" w:rsidR="00AE33F7" w:rsidRDefault="00AE33F7" w:rsidP="00AE33F7">
      <w:pPr>
        <w:rPr>
          <w:lang w:val="en"/>
        </w:rPr>
      </w:pPr>
    </w:p>
    <w:p w14:paraId="38EC3110" w14:textId="58230947" w:rsidR="00AE33F7" w:rsidRDefault="00AE33F7" w:rsidP="00AE33F7">
      <w:pPr>
        <w:rPr>
          <w:lang w:val="en"/>
        </w:rPr>
      </w:pPr>
    </w:p>
    <w:p w14:paraId="5327DA29" w14:textId="3AE929EA" w:rsidR="00AE33F7" w:rsidRDefault="00AE33F7" w:rsidP="00AE33F7">
      <w:pPr>
        <w:rPr>
          <w:lang w:val="en"/>
        </w:rPr>
      </w:pPr>
    </w:p>
    <w:p w14:paraId="1DF9D9BD" w14:textId="1522F870" w:rsidR="00AE33F7" w:rsidRDefault="00AE33F7" w:rsidP="00AE33F7">
      <w:pPr>
        <w:rPr>
          <w:lang w:val="en"/>
        </w:rPr>
      </w:pPr>
    </w:p>
    <w:p w14:paraId="79A18CD1" w14:textId="45A42D9B" w:rsidR="00AE33F7" w:rsidRDefault="00AE33F7" w:rsidP="00AE33F7">
      <w:pPr>
        <w:rPr>
          <w:lang w:val="en"/>
        </w:rPr>
      </w:pPr>
    </w:p>
    <w:p w14:paraId="46765A91" w14:textId="457D3C8D" w:rsidR="00AE33F7" w:rsidRDefault="00AE33F7" w:rsidP="00AE33F7">
      <w:pPr>
        <w:rPr>
          <w:lang w:val="en"/>
        </w:rPr>
      </w:pPr>
    </w:p>
    <w:p w14:paraId="7088B8D3" w14:textId="48275B0E" w:rsidR="00AE33F7" w:rsidRDefault="00AE33F7" w:rsidP="00AE33F7">
      <w:pPr>
        <w:rPr>
          <w:lang w:val="en"/>
        </w:rPr>
      </w:pPr>
    </w:p>
    <w:p w14:paraId="28DD1136" w14:textId="43EA1863" w:rsidR="00AE33F7" w:rsidRDefault="00AE33F7" w:rsidP="00AE33F7">
      <w:pPr>
        <w:rPr>
          <w:lang w:val="en"/>
        </w:rPr>
      </w:pPr>
    </w:p>
    <w:p w14:paraId="06B66AA8" w14:textId="1F265699" w:rsidR="00AE33F7" w:rsidRDefault="00AE33F7" w:rsidP="00AE33F7">
      <w:pPr>
        <w:rPr>
          <w:lang w:val="en"/>
        </w:rPr>
      </w:pPr>
    </w:p>
    <w:p w14:paraId="1CD4DB77" w14:textId="2CF41A55" w:rsidR="00AE33F7" w:rsidRDefault="00AE33F7" w:rsidP="00AE33F7">
      <w:pPr>
        <w:rPr>
          <w:lang w:val="en"/>
        </w:rPr>
      </w:pPr>
    </w:p>
    <w:p w14:paraId="2BA2E7E7" w14:textId="23A7452A" w:rsidR="00AE33F7" w:rsidRDefault="00AE33F7" w:rsidP="00AE33F7">
      <w:pPr>
        <w:rPr>
          <w:lang w:val="en"/>
        </w:rPr>
      </w:pPr>
    </w:p>
    <w:p w14:paraId="6315113B" w14:textId="3A42EE62" w:rsidR="00AE33F7" w:rsidRDefault="00AE33F7" w:rsidP="00AE33F7">
      <w:pPr>
        <w:rPr>
          <w:lang w:val="en"/>
        </w:rPr>
      </w:pPr>
    </w:p>
    <w:p w14:paraId="34BFF94C" w14:textId="43CBAE54" w:rsidR="00AE33F7" w:rsidRDefault="00AE33F7" w:rsidP="00AE33F7">
      <w:pPr>
        <w:rPr>
          <w:lang w:val="en"/>
        </w:rPr>
      </w:pPr>
    </w:p>
    <w:p w14:paraId="77EB9E8F" w14:textId="252ED02F" w:rsidR="00AE33F7" w:rsidRDefault="00AE33F7" w:rsidP="00AE33F7">
      <w:pPr>
        <w:rPr>
          <w:lang w:val="en"/>
        </w:rPr>
      </w:pPr>
    </w:p>
    <w:p w14:paraId="0FF554D9" w14:textId="51C4BE08" w:rsidR="00AE33F7" w:rsidRDefault="00AE33F7" w:rsidP="00AE33F7">
      <w:pPr>
        <w:rPr>
          <w:lang w:val="en"/>
        </w:rPr>
      </w:pPr>
    </w:p>
    <w:p w14:paraId="03BB1167" w14:textId="77777777" w:rsidR="00AE33F7" w:rsidRPr="00AE33F7" w:rsidRDefault="00AE33F7" w:rsidP="00AE33F7">
      <w:pPr>
        <w:rPr>
          <w:lang w:val="en"/>
        </w:rPr>
      </w:pPr>
    </w:p>
    <w:p w14:paraId="571AD5CE" w14:textId="18AA50FE" w:rsidR="00AE33F7" w:rsidRPr="00AE33F7" w:rsidRDefault="00FF4B5B" w:rsidP="00AE33F7">
      <w:pPr>
        <w:pStyle w:val="Heading1"/>
      </w:pPr>
      <w:r>
        <w:lastRenderedPageBreak/>
        <w:t xml:space="preserve">Reference </w:t>
      </w:r>
    </w:p>
    <w:p w14:paraId="1DA75556" w14:textId="55BD418C" w:rsidR="00BC319B" w:rsidRPr="00BC319B" w:rsidRDefault="00BC319B" w:rsidP="00BC319B">
      <w:pPr>
        <w:widowControl w:val="0"/>
        <w:autoSpaceDE w:val="0"/>
        <w:autoSpaceDN w:val="0"/>
        <w:adjustRightInd w:val="0"/>
        <w:spacing w:after="0"/>
        <w:rPr>
          <w:rFonts w:cs="Times New Roman"/>
          <w:noProof/>
        </w:rPr>
      </w:pPr>
      <w:r>
        <w:rPr>
          <w:rFonts w:cs="Times New Roman"/>
          <w:color w:val="212529"/>
          <w:lang w:val="en"/>
        </w:rPr>
        <w:fldChar w:fldCharType="begin" w:fldLock="1"/>
      </w:r>
      <w:r>
        <w:rPr>
          <w:rFonts w:cs="Times New Roman"/>
          <w:color w:val="212529"/>
          <w:lang w:val="en"/>
        </w:rPr>
        <w:instrText xml:space="preserve">ADDIN Mendeley Bibliography CSL_BIBLIOGRAPHY </w:instrText>
      </w:r>
      <w:r>
        <w:rPr>
          <w:rFonts w:cs="Times New Roman"/>
          <w:color w:val="212529"/>
          <w:lang w:val="en"/>
        </w:rPr>
        <w:fldChar w:fldCharType="separate"/>
      </w:r>
      <w:r w:rsidRPr="00BC319B">
        <w:rPr>
          <w:rFonts w:cs="Times New Roman"/>
          <w:noProof/>
        </w:rPr>
        <w:t xml:space="preserve">Andorno, R. (2007) ‘Global bioethics at UNESCO: In defence of the Universal Declaration on Bioethics and Human Rights’, </w:t>
      </w:r>
      <w:r w:rsidRPr="00BC319B">
        <w:rPr>
          <w:rFonts w:cs="Times New Roman"/>
          <w:i/>
          <w:iCs/>
          <w:noProof/>
        </w:rPr>
        <w:t>Journal of Medical Ethics</w:t>
      </w:r>
      <w:r w:rsidRPr="00BC319B">
        <w:rPr>
          <w:rFonts w:cs="Times New Roman"/>
          <w:noProof/>
        </w:rPr>
        <w:t>, 33(3), pp. 150–154. doi: 10.1136/jme.2006.016543.</w:t>
      </w:r>
    </w:p>
    <w:p w14:paraId="37818F65"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Bartley, M. (2012) ‘Explaining health inequality: Evidence from the UK’, </w:t>
      </w:r>
      <w:r w:rsidRPr="00BC319B">
        <w:rPr>
          <w:rFonts w:cs="Times New Roman"/>
          <w:i/>
          <w:iCs/>
          <w:noProof/>
        </w:rPr>
        <w:t>Social Science and Medicine</w:t>
      </w:r>
      <w:r w:rsidRPr="00BC319B">
        <w:rPr>
          <w:rFonts w:cs="Times New Roman"/>
          <w:noProof/>
        </w:rPr>
        <w:t>, pp. 658–660. doi: 10.1016/j.socscimed.2011.12.015.</w:t>
      </w:r>
    </w:p>
    <w:p w14:paraId="0066F6A7"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DOUGHTY, J. (2014) ‘What the Social Services and Well-Being (Wales) Act 2014 means for children’s social work’, </w:t>
      </w:r>
      <w:r w:rsidRPr="00BC319B">
        <w:rPr>
          <w:rFonts w:cs="Times New Roman"/>
          <w:i/>
          <w:iCs/>
          <w:noProof/>
        </w:rPr>
        <w:t>Seen and Heard</w:t>
      </w:r>
      <w:r w:rsidRPr="00BC319B">
        <w:rPr>
          <w:rFonts w:cs="Times New Roman"/>
          <w:noProof/>
        </w:rPr>
        <w:t>, 24(3), pp. 38–46. Available at: http://www.nagalro.com/journal_page.htm.</w:t>
      </w:r>
    </w:p>
    <w:p w14:paraId="091119CC"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Equality Act (2010) </w:t>
      </w:r>
      <w:r w:rsidRPr="00BC319B">
        <w:rPr>
          <w:rFonts w:cs="Times New Roman"/>
          <w:i/>
          <w:iCs/>
          <w:noProof/>
        </w:rPr>
        <w:t>Equality Act 2010</w:t>
      </w:r>
      <w:r w:rsidRPr="00BC319B">
        <w:rPr>
          <w:rFonts w:cs="Times New Roman"/>
          <w:noProof/>
        </w:rPr>
        <w:t xml:space="preserve">, </w:t>
      </w:r>
      <w:r w:rsidRPr="00BC319B">
        <w:rPr>
          <w:rFonts w:cs="Times New Roman"/>
          <w:i/>
          <w:iCs/>
          <w:noProof/>
        </w:rPr>
        <w:t>The Equality Act</w:t>
      </w:r>
      <w:r w:rsidRPr="00BC319B">
        <w:rPr>
          <w:rFonts w:cs="Times New Roman"/>
          <w:noProof/>
        </w:rPr>
        <w:t>. Available at: https://www.legislation.gov.uk/ukpga/2010/15/contents%0Ahttp://www.calderstones.nhs.uk/media/files/Equality and Diversity/Equality Act 2010.pd.</w:t>
      </w:r>
    </w:p>
    <w:p w14:paraId="70175244"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Legislation.gov.uk (2017) </w:t>
      </w:r>
      <w:r w:rsidRPr="00BC319B">
        <w:rPr>
          <w:rFonts w:cs="Times New Roman"/>
          <w:i/>
          <w:iCs/>
          <w:noProof/>
        </w:rPr>
        <w:t>Children Act 1989</w:t>
      </w:r>
      <w:r w:rsidRPr="00BC319B">
        <w:rPr>
          <w:rFonts w:cs="Times New Roman"/>
          <w:noProof/>
        </w:rPr>
        <w:t xml:space="preserve">, </w:t>
      </w:r>
      <w:r w:rsidRPr="00BC319B">
        <w:rPr>
          <w:rFonts w:cs="Times New Roman"/>
          <w:i/>
          <w:iCs/>
          <w:noProof/>
        </w:rPr>
        <w:t>Legislation.gov.uk</w:t>
      </w:r>
      <w:r w:rsidRPr="00BC319B">
        <w:rPr>
          <w:rFonts w:cs="Times New Roman"/>
          <w:noProof/>
        </w:rPr>
        <w:t>. Available at: https://www.legislation.gov.uk/ukpga/1989/41/schedule/1.</w:t>
      </w:r>
    </w:p>
    <w:p w14:paraId="49BBFAE5"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Lister, J. (2011) ‘The National Health Service Act 1946’, </w:t>
      </w:r>
      <w:r w:rsidRPr="00BC319B">
        <w:rPr>
          <w:rFonts w:cs="Times New Roman"/>
          <w:i/>
          <w:iCs/>
          <w:noProof/>
        </w:rPr>
        <w:t>BMJ</w:t>
      </w:r>
      <w:r w:rsidRPr="00BC319B">
        <w:rPr>
          <w:rFonts w:cs="Times New Roman"/>
          <w:noProof/>
        </w:rPr>
        <w:t>, 343(oct05 1), pp. d6346–d6346. doi: 10.1136/bmj.d6346.</w:t>
      </w:r>
    </w:p>
    <w:p w14:paraId="4B950C04"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Marmot, M. G. (2004) ‘Tackling health inequalities since the Acheson Inquiry’, </w:t>
      </w:r>
      <w:r w:rsidRPr="00BC319B">
        <w:rPr>
          <w:rFonts w:cs="Times New Roman"/>
          <w:i/>
          <w:iCs/>
          <w:noProof/>
        </w:rPr>
        <w:t>Journal of Epidemiology and Community Health</w:t>
      </w:r>
      <w:r w:rsidRPr="00BC319B">
        <w:rPr>
          <w:rFonts w:cs="Times New Roman"/>
          <w:noProof/>
        </w:rPr>
        <w:t>, pp. 262–263. doi: 10.1136/jech.2003.010264.</w:t>
      </w:r>
    </w:p>
    <w:p w14:paraId="2FFAD3B7"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Ninane, G. (1983) ‘Beveridge Report’, </w:t>
      </w:r>
      <w:r w:rsidRPr="00BC319B">
        <w:rPr>
          <w:rFonts w:cs="Times New Roman"/>
          <w:i/>
          <w:iCs/>
          <w:noProof/>
        </w:rPr>
        <w:t>British Medical Journal</w:t>
      </w:r>
      <w:r w:rsidRPr="00BC319B">
        <w:rPr>
          <w:rFonts w:cs="Times New Roman"/>
          <w:noProof/>
        </w:rPr>
        <w:t>, 287(6390), p. 503.</w:t>
      </w:r>
    </w:p>
    <w:p w14:paraId="4498DA4A"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Parliament of the United Kingdom (1998) ‘Human Rights Act 1998’, </w:t>
      </w:r>
      <w:r w:rsidRPr="00BC319B">
        <w:rPr>
          <w:rFonts w:cs="Times New Roman"/>
          <w:i/>
          <w:iCs/>
          <w:noProof/>
        </w:rPr>
        <w:t>Human Rights</w:t>
      </w:r>
      <w:r w:rsidRPr="00BC319B">
        <w:rPr>
          <w:rFonts w:cs="Times New Roman"/>
          <w:noProof/>
        </w:rPr>
        <w:t>, 1998(1), pp. 1–25. Available at: http://www.legislation.gov.uk/ukpga/1998/42/contents.</w:t>
      </w:r>
    </w:p>
    <w:p w14:paraId="36FB1550"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Rummery, K. and Coleman, A. (2003) ‘Primary health and social care services in the UK: progress towards partnership?’, </w:t>
      </w:r>
      <w:r w:rsidRPr="00BC319B">
        <w:rPr>
          <w:rFonts w:cs="Times New Roman"/>
          <w:i/>
          <w:iCs/>
          <w:noProof/>
        </w:rPr>
        <w:t>Social science &amp; medicine (1982)</w:t>
      </w:r>
      <w:r w:rsidRPr="00BC319B">
        <w:rPr>
          <w:rFonts w:cs="Times New Roman"/>
          <w:noProof/>
        </w:rPr>
        <w:t>, 56(8), pp. 1773–82. doi: 10.1016/S0277-9536(02)00173-9.</w:t>
      </w:r>
    </w:p>
    <w:p w14:paraId="596D5C07"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Socialist Health Association (1980) </w:t>
      </w:r>
      <w:r w:rsidRPr="00BC319B">
        <w:rPr>
          <w:rFonts w:cs="Times New Roman"/>
          <w:i/>
          <w:iCs/>
          <w:noProof/>
        </w:rPr>
        <w:t>The Black Report 1980</w:t>
      </w:r>
      <w:r w:rsidRPr="00BC319B">
        <w:rPr>
          <w:rFonts w:cs="Times New Roman"/>
          <w:noProof/>
        </w:rPr>
        <w:t xml:space="preserve">, </w:t>
      </w:r>
      <w:r w:rsidRPr="00BC319B">
        <w:rPr>
          <w:rFonts w:cs="Times New Roman"/>
          <w:i/>
          <w:iCs/>
          <w:noProof/>
        </w:rPr>
        <w:t>Socialist Health Association</w:t>
      </w:r>
      <w:r w:rsidRPr="00BC319B">
        <w:rPr>
          <w:rFonts w:cs="Times New Roman"/>
          <w:noProof/>
        </w:rPr>
        <w:t>. Available at: http://www.sochealth.co.uk/Black/black.htm.</w:t>
      </w:r>
    </w:p>
    <w:p w14:paraId="53705AB3"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Townsend, P. (1980) ‘Poverty in the United Kingdom: A Survey of Household Resources and Standards of Living’, </w:t>
      </w:r>
      <w:r w:rsidRPr="00BC319B">
        <w:rPr>
          <w:rFonts w:cs="Times New Roman"/>
          <w:i/>
          <w:iCs/>
          <w:noProof/>
        </w:rPr>
        <w:t>Tidsskrift for samfunnsforskning</w:t>
      </w:r>
      <w:r w:rsidRPr="00BC319B">
        <w:rPr>
          <w:rFonts w:cs="Times New Roman"/>
          <w:noProof/>
        </w:rPr>
        <w:t>, 21(1), pp. 101–104. doi: 10.2307/1962256.</w:t>
      </w:r>
    </w:p>
    <w:p w14:paraId="18545CEC"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UN General Assembly (UNGA) (1991) </w:t>
      </w:r>
      <w:r w:rsidRPr="00BC319B">
        <w:rPr>
          <w:rFonts w:cs="Times New Roman"/>
          <w:i/>
          <w:iCs/>
          <w:noProof/>
        </w:rPr>
        <w:t>United Nations Convention on the Rights of the Child (UNCRC)</w:t>
      </w:r>
      <w:r w:rsidRPr="00BC319B">
        <w:rPr>
          <w:rFonts w:cs="Times New Roman"/>
          <w:noProof/>
        </w:rPr>
        <w:t xml:space="preserve">, </w:t>
      </w:r>
      <w:r w:rsidRPr="00BC319B">
        <w:rPr>
          <w:rFonts w:cs="Times New Roman"/>
          <w:i/>
          <w:iCs/>
          <w:noProof/>
        </w:rPr>
        <w:t>United Nations, Treaty Series, vol. 1577, p.3</w:t>
      </w:r>
      <w:r w:rsidRPr="00BC319B">
        <w:rPr>
          <w:rFonts w:cs="Times New Roman"/>
          <w:noProof/>
        </w:rPr>
        <w:t>. Available at: http://www.unhcr.org/refworld/docid/3ae6b38f0.html.</w:t>
      </w:r>
    </w:p>
    <w:p w14:paraId="777D7FAE" w14:textId="77777777" w:rsidR="00BC319B" w:rsidRPr="00BC319B" w:rsidRDefault="00BC319B" w:rsidP="00BC319B">
      <w:pPr>
        <w:widowControl w:val="0"/>
        <w:autoSpaceDE w:val="0"/>
        <w:autoSpaceDN w:val="0"/>
        <w:adjustRightInd w:val="0"/>
        <w:spacing w:after="0"/>
        <w:rPr>
          <w:rFonts w:cs="Times New Roman"/>
          <w:noProof/>
        </w:rPr>
      </w:pPr>
      <w:r w:rsidRPr="00BC319B">
        <w:rPr>
          <w:rFonts w:cs="Times New Roman"/>
          <w:noProof/>
        </w:rPr>
        <w:t xml:space="preserve">UNICEF (2014) </w:t>
      </w:r>
      <w:r w:rsidRPr="00BC319B">
        <w:rPr>
          <w:rFonts w:cs="Times New Roman"/>
          <w:i/>
          <w:iCs/>
          <w:noProof/>
        </w:rPr>
        <w:t>The State of the World’s Children 2014 -Every Child Counts</w:t>
      </w:r>
      <w:r w:rsidRPr="00BC319B">
        <w:rPr>
          <w:rFonts w:cs="Times New Roman"/>
          <w:noProof/>
        </w:rPr>
        <w:t xml:space="preserve">, </w:t>
      </w:r>
      <w:r w:rsidRPr="00BC319B">
        <w:rPr>
          <w:rFonts w:cs="Times New Roman"/>
          <w:i/>
          <w:iCs/>
          <w:noProof/>
        </w:rPr>
        <w:t>Children</w:t>
      </w:r>
      <w:r w:rsidRPr="00BC319B">
        <w:rPr>
          <w:rFonts w:cs="Times New Roman"/>
          <w:noProof/>
        </w:rPr>
        <w:t xml:space="preserve">. Available at: http://www.unicef.org/sowc2014/numbers/documents/english/SOWC2014_In </w:t>
      </w:r>
      <w:r w:rsidRPr="00BC319B">
        <w:rPr>
          <w:rFonts w:cs="Times New Roman"/>
          <w:noProof/>
        </w:rPr>
        <w:lastRenderedPageBreak/>
        <w:t>Numbers_28 Jan.pdf.</w:t>
      </w:r>
    </w:p>
    <w:p w14:paraId="6EBF75EE" w14:textId="77777777" w:rsidR="00BC319B" w:rsidRDefault="00BC319B" w:rsidP="00313747">
      <w:r>
        <w:rPr>
          <w:rFonts w:cs="Times New Roman"/>
          <w:color w:val="212529"/>
          <w:lang w:val="en"/>
        </w:rPr>
        <w:fldChar w:fldCharType="end"/>
      </w:r>
    </w:p>
    <w:sdt>
      <w:sdtPr>
        <w:rPr>
          <w:rFonts w:ascii="Times New Roman" w:eastAsiaTheme="minorHAnsi" w:hAnsi="Times New Roman" w:cstheme="minorBidi"/>
          <w:color w:val="auto"/>
          <w:sz w:val="24"/>
          <w:szCs w:val="24"/>
          <w:lang w:val="en-GB"/>
        </w:rPr>
        <w:id w:val="-642662763"/>
        <w:docPartObj>
          <w:docPartGallery w:val="Bibliographies"/>
          <w:docPartUnique/>
        </w:docPartObj>
      </w:sdtPr>
      <w:sdtEndPr/>
      <w:sdtContent>
        <w:p w14:paraId="421C2A9D" w14:textId="68AD09ED" w:rsidR="00BC319B" w:rsidRDefault="00BC319B" w:rsidP="00BC319B">
          <w:pPr>
            <w:pStyle w:val="Heading1"/>
          </w:pPr>
        </w:p>
        <w:p w14:paraId="4D9BAC51" w14:textId="4F37B21F" w:rsidR="00BC319B" w:rsidRDefault="00A9323C"/>
      </w:sdtContent>
    </w:sdt>
    <w:p w14:paraId="5437FC82" w14:textId="505883A7" w:rsidR="00BC319B" w:rsidRDefault="00BC319B" w:rsidP="00313747"/>
    <w:sectPr w:rsidR="00BC31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4AA05" w14:textId="77777777" w:rsidR="00A9323C" w:rsidRDefault="00A9323C" w:rsidP="00313747">
      <w:pPr>
        <w:spacing w:after="0" w:line="240" w:lineRule="auto"/>
      </w:pPr>
      <w:r>
        <w:separator/>
      </w:r>
    </w:p>
  </w:endnote>
  <w:endnote w:type="continuationSeparator" w:id="0">
    <w:p w14:paraId="2A4CC422" w14:textId="77777777" w:rsidR="00A9323C" w:rsidRDefault="00A9323C" w:rsidP="00313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682AEF" w14:textId="77777777" w:rsidR="00A9323C" w:rsidRDefault="00A9323C" w:rsidP="00313747">
      <w:pPr>
        <w:spacing w:after="0" w:line="240" w:lineRule="auto"/>
      </w:pPr>
      <w:r>
        <w:separator/>
      </w:r>
    </w:p>
  </w:footnote>
  <w:footnote w:type="continuationSeparator" w:id="0">
    <w:p w14:paraId="37EB6D41" w14:textId="77777777" w:rsidR="00A9323C" w:rsidRDefault="00A9323C" w:rsidP="003137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747"/>
    <w:rsid w:val="000E1C4A"/>
    <w:rsid w:val="000F46F8"/>
    <w:rsid w:val="002D3EC9"/>
    <w:rsid w:val="00313747"/>
    <w:rsid w:val="003319C0"/>
    <w:rsid w:val="00350F66"/>
    <w:rsid w:val="003A1B3E"/>
    <w:rsid w:val="004B04FB"/>
    <w:rsid w:val="005C2887"/>
    <w:rsid w:val="005C31FD"/>
    <w:rsid w:val="006052E9"/>
    <w:rsid w:val="00650D3E"/>
    <w:rsid w:val="00885200"/>
    <w:rsid w:val="008E5261"/>
    <w:rsid w:val="00A9323C"/>
    <w:rsid w:val="00AE33F7"/>
    <w:rsid w:val="00B818C7"/>
    <w:rsid w:val="00BC319B"/>
    <w:rsid w:val="00BD6410"/>
    <w:rsid w:val="00D3777C"/>
    <w:rsid w:val="00E36292"/>
    <w:rsid w:val="00FF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C3EC1C"/>
  <w15:chartTrackingRefBased/>
  <w15:docId w15:val="{59D20494-551D-4730-81F7-522EDDD87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04FB"/>
  </w:style>
  <w:style w:type="paragraph" w:styleId="Heading1">
    <w:name w:val="heading 1"/>
    <w:basedOn w:val="Normal"/>
    <w:next w:val="Normal"/>
    <w:link w:val="Heading1Char"/>
    <w:uiPriority w:val="9"/>
    <w:qFormat/>
    <w:rsid w:val="00BC31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13747"/>
    <w:pPr>
      <w:spacing w:after="100" w:afterAutospacing="1" w:line="240" w:lineRule="auto"/>
    </w:pPr>
    <w:rPr>
      <w:rFonts w:eastAsia="Times New Roman" w:cs="Times New Roman"/>
      <w:lang w:eastAsia="en-GB"/>
    </w:rPr>
  </w:style>
  <w:style w:type="character" w:styleId="Strong">
    <w:name w:val="Strong"/>
    <w:basedOn w:val="DefaultParagraphFont"/>
    <w:uiPriority w:val="22"/>
    <w:qFormat/>
    <w:rsid w:val="00313747"/>
    <w:rPr>
      <w:b/>
      <w:bCs/>
    </w:rPr>
  </w:style>
  <w:style w:type="character" w:styleId="Emphasis">
    <w:name w:val="Emphasis"/>
    <w:basedOn w:val="DefaultParagraphFont"/>
    <w:uiPriority w:val="20"/>
    <w:qFormat/>
    <w:rsid w:val="00313747"/>
    <w:rPr>
      <w:i/>
      <w:iCs/>
    </w:rPr>
  </w:style>
  <w:style w:type="paragraph" w:styleId="Header">
    <w:name w:val="header"/>
    <w:basedOn w:val="Normal"/>
    <w:link w:val="HeaderChar"/>
    <w:uiPriority w:val="99"/>
    <w:unhideWhenUsed/>
    <w:rsid w:val="00313747"/>
    <w:pPr>
      <w:tabs>
        <w:tab w:val="center" w:pos="4513"/>
        <w:tab w:val="right" w:pos="9026"/>
      </w:tabs>
      <w:spacing w:line="240" w:lineRule="auto"/>
    </w:pPr>
  </w:style>
  <w:style w:type="character" w:customStyle="1" w:styleId="HeaderChar">
    <w:name w:val="Header Char"/>
    <w:basedOn w:val="DefaultParagraphFont"/>
    <w:link w:val="Header"/>
    <w:uiPriority w:val="99"/>
    <w:rsid w:val="00313747"/>
    <w:rPr>
      <w:rFonts w:ascii="Times New Roman" w:hAnsi="Times New Roman"/>
      <w:sz w:val="24"/>
      <w:szCs w:val="24"/>
    </w:rPr>
  </w:style>
  <w:style w:type="paragraph" w:styleId="Footer">
    <w:name w:val="footer"/>
    <w:basedOn w:val="Normal"/>
    <w:link w:val="FooterChar"/>
    <w:uiPriority w:val="99"/>
    <w:unhideWhenUsed/>
    <w:rsid w:val="00313747"/>
    <w:pPr>
      <w:tabs>
        <w:tab w:val="center" w:pos="4513"/>
        <w:tab w:val="right" w:pos="9026"/>
      </w:tabs>
      <w:spacing w:line="240" w:lineRule="auto"/>
    </w:pPr>
  </w:style>
  <w:style w:type="character" w:customStyle="1" w:styleId="FooterChar">
    <w:name w:val="Footer Char"/>
    <w:basedOn w:val="DefaultParagraphFont"/>
    <w:link w:val="Footer"/>
    <w:uiPriority w:val="99"/>
    <w:rsid w:val="00313747"/>
    <w:rPr>
      <w:rFonts w:ascii="Times New Roman" w:hAnsi="Times New Roman"/>
      <w:sz w:val="24"/>
      <w:szCs w:val="24"/>
    </w:rPr>
  </w:style>
  <w:style w:type="character" w:customStyle="1" w:styleId="Heading1Char">
    <w:name w:val="Heading 1 Char"/>
    <w:basedOn w:val="DefaultParagraphFont"/>
    <w:link w:val="Heading1"/>
    <w:uiPriority w:val="9"/>
    <w:rsid w:val="00BC319B"/>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1B129E-7CCF-4A98-BBA6-EAD4F36FF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6732</Words>
  <Characters>38376</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yazz mrb</dc:creator>
  <cp:keywords/>
  <dc:description/>
  <cp:lastModifiedBy>yazz mrb</cp:lastModifiedBy>
  <cp:revision>2</cp:revision>
  <dcterms:created xsi:type="dcterms:W3CDTF">2018-05-11T20:37:00Z</dcterms:created>
  <dcterms:modified xsi:type="dcterms:W3CDTF">2018-05-11T20:37:00Z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7b64172c-06bf-3697-a0ea-87fcb9f5a6b1</vt:lpwstr>
  </property>
  <property fmtid="{D5CDD505-2E9C-101B-9397-08002B2CF9AE}" pid="24" name="Mendeley Citation Style_1">
    <vt:lpwstr>http://www.zotero.org/styles/harvard-cite-them-right</vt:lpwstr>
  </property>
</Properties>
</file>