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4578" w:rsidRDefault="00296D1C" w:rsidP="00474D94">
      <w:pPr>
        <w:pStyle w:val="Title"/>
        <w:spacing w:line="360" w:lineRule="auto"/>
        <w:rPr>
          <w:rFonts w:eastAsia="Times New Roman"/>
          <w:i w:val="0"/>
          <w:lang w:eastAsia="en-GB"/>
        </w:rPr>
      </w:pPr>
      <w:r w:rsidRPr="008734DE">
        <w:rPr>
          <w:rFonts w:eastAsia="Times New Roman"/>
          <w:i w:val="0"/>
          <w:lang w:eastAsia="en-GB"/>
        </w:rPr>
        <w:t>A</w:t>
      </w:r>
      <w:r w:rsidR="005E6748">
        <w:rPr>
          <w:rFonts w:eastAsia="Times New Roman"/>
          <w:i w:val="0"/>
          <w:lang w:eastAsia="en-GB"/>
        </w:rPr>
        <w:t>cademic and Employability Skills</w:t>
      </w:r>
    </w:p>
    <w:p w:rsidR="005E6748" w:rsidRPr="00987970" w:rsidRDefault="005E6748" w:rsidP="00B53CEC">
      <w:pPr>
        <w:jc w:val="center"/>
        <w:rPr>
          <w:b/>
          <w:szCs w:val="24"/>
        </w:rPr>
      </w:pPr>
      <w:r w:rsidRPr="00987970">
        <w:rPr>
          <w:b/>
          <w:szCs w:val="24"/>
        </w:rPr>
        <w:t xml:space="preserve">Name: </w:t>
      </w:r>
      <w:r w:rsidRPr="00E446A4">
        <w:rPr>
          <w:szCs w:val="24"/>
        </w:rPr>
        <w:t>Rene Bogyah</w:t>
      </w:r>
    </w:p>
    <w:p w:rsidR="005E6748" w:rsidRPr="00E446A4" w:rsidRDefault="005E6748" w:rsidP="00B53CEC">
      <w:pPr>
        <w:jc w:val="center"/>
        <w:rPr>
          <w:szCs w:val="24"/>
        </w:rPr>
      </w:pPr>
      <w:r w:rsidRPr="00987970">
        <w:rPr>
          <w:b/>
          <w:szCs w:val="24"/>
        </w:rPr>
        <w:t>Student Number:</w:t>
      </w:r>
      <w:r>
        <w:rPr>
          <w:b/>
          <w:szCs w:val="24"/>
        </w:rPr>
        <w:t xml:space="preserve"> </w:t>
      </w:r>
      <w:r w:rsidRPr="00E446A4">
        <w:rPr>
          <w:szCs w:val="24"/>
        </w:rPr>
        <w:t>2332913</w:t>
      </w:r>
    </w:p>
    <w:p w:rsidR="005E6748" w:rsidRPr="00987970" w:rsidRDefault="005E6748" w:rsidP="00B53CEC">
      <w:pPr>
        <w:jc w:val="center"/>
        <w:rPr>
          <w:b/>
          <w:szCs w:val="24"/>
        </w:rPr>
      </w:pPr>
      <w:r w:rsidRPr="00987970">
        <w:rPr>
          <w:b/>
          <w:szCs w:val="24"/>
        </w:rPr>
        <w:t>Module code</w:t>
      </w:r>
      <w:r>
        <w:rPr>
          <w:b/>
          <w:szCs w:val="24"/>
        </w:rPr>
        <w:t>:</w:t>
      </w:r>
      <w:r w:rsidR="004F3CBE">
        <w:rPr>
          <w:b/>
          <w:szCs w:val="24"/>
        </w:rPr>
        <w:t xml:space="preserve"> </w:t>
      </w:r>
      <w:r w:rsidR="004F3CBE" w:rsidRPr="004F3CBE">
        <w:rPr>
          <w:szCs w:val="24"/>
        </w:rPr>
        <w:t>LCHS4001</w:t>
      </w:r>
    </w:p>
    <w:p w:rsidR="005E6748" w:rsidRPr="00987970" w:rsidRDefault="005E6748" w:rsidP="00B53CEC">
      <w:pPr>
        <w:jc w:val="center"/>
        <w:rPr>
          <w:b/>
          <w:szCs w:val="24"/>
        </w:rPr>
      </w:pPr>
      <w:r w:rsidRPr="00987970">
        <w:rPr>
          <w:b/>
          <w:szCs w:val="24"/>
        </w:rPr>
        <w:t xml:space="preserve">Lecturer’s name: </w:t>
      </w:r>
      <w:r w:rsidR="004F3CBE">
        <w:rPr>
          <w:szCs w:val="24"/>
        </w:rPr>
        <w:t>Markus Kingelfuss</w:t>
      </w:r>
    </w:p>
    <w:p w:rsidR="005E6748" w:rsidRPr="005E6748" w:rsidRDefault="005E6748" w:rsidP="005E6748">
      <w:pPr>
        <w:rPr>
          <w:b/>
          <w:lang w:eastAsia="en-GB"/>
        </w:rPr>
      </w:pPr>
    </w:p>
    <w:p w:rsidR="00604578" w:rsidRPr="008734DE" w:rsidRDefault="00604578" w:rsidP="00474D94">
      <w:pPr>
        <w:jc w:val="center"/>
        <w:rPr>
          <w:lang w:eastAsia="en-GB"/>
        </w:rPr>
      </w:pPr>
    </w:p>
    <w:p w:rsidR="004F660C" w:rsidRPr="008734DE" w:rsidRDefault="00296D1C" w:rsidP="00474D94">
      <w:pPr>
        <w:jc w:val="center"/>
        <w:rPr>
          <w:b/>
          <w:sz w:val="36"/>
          <w:lang w:eastAsia="en-GB"/>
        </w:rPr>
      </w:pPr>
      <w:r w:rsidRPr="008734DE">
        <w:rPr>
          <w:b/>
          <w:sz w:val="36"/>
          <w:lang w:eastAsia="en-GB"/>
        </w:rPr>
        <w:t>Task 3: Written Report</w:t>
      </w:r>
    </w:p>
    <w:p w:rsidR="004F660C" w:rsidRPr="00501C42" w:rsidRDefault="004F660C" w:rsidP="00617C56">
      <w:pPr>
        <w:rPr>
          <w:rFonts w:eastAsia="Times New Roman" w:cs="Times New Roman"/>
          <w:b/>
          <w:i/>
          <w:sz w:val="36"/>
          <w:szCs w:val="24"/>
          <w:lang w:eastAsia="en-GB"/>
        </w:rPr>
      </w:pPr>
    </w:p>
    <w:p w:rsidR="002114E4" w:rsidRPr="00501C42" w:rsidRDefault="002114E4" w:rsidP="00617C56">
      <w:pPr>
        <w:pStyle w:val="Heading1"/>
        <w:rPr>
          <w:rFonts w:eastAsia="Times New Roman" w:cs="Times New Roman"/>
          <w:szCs w:val="24"/>
          <w:lang w:eastAsia="en-GB"/>
        </w:rPr>
      </w:pPr>
    </w:p>
    <w:p w:rsidR="002114E4" w:rsidRPr="00501C42" w:rsidRDefault="00296D1C" w:rsidP="00617C56">
      <w:pPr>
        <w:rPr>
          <w:sz w:val="28"/>
          <w:lang w:eastAsia="en-GB"/>
        </w:rPr>
      </w:pPr>
      <w:r w:rsidRPr="00501C42">
        <w:rPr>
          <w:lang w:eastAsia="en-GB"/>
        </w:rPr>
        <w:br w:type="page"/>
      </w:r>
    </w:p>
    <w:sdt>
      <w:sdtPr>
        <w:rPr>
          <w:rFonts w:ascii="Times New Roman" w:eastAsiaTheme="minorHAnsi" w:hAnsi="Times New Roman" w:cs="Times New Roman"/>
          <w:b/>
          <w:color w:val="auto"/>
          <w:sz w:val="24"/>
          <w:szCs w:val="22"/>
          <w:lang w:val="en-GB"/>
        </w:rPr>
        <w:id w:val="489522761"/>
        <w:docPartObj>
          <w:docPartGallery w:val="Table of Contents"/>
          <w:docPartUnique/>
        </w:docPartObj>
      </w:sdtPr>
      <w:sdtEndPr>
        <w:rPr>
          <w:rFonts w:cstheme="minorBidi"/>
          <w:bCs/>
          <w:noProof/>
        </w:rPr>
      </w:sdtEndPr>
      <w:sdtContent>
        <w:p w:rsidR="00007E30" w:rsidRPr="00501C42" w:rsidRDefault="00296D1C" w:rsidP="001B793D">
          <w:pPr>
            <w:pStyle w:val="TOCHeading"/>
            <w:spacing w:line="360" w:lineRule="auto"/>
            <w:jc w:val="center"/>
            <w:rPr>
              <w:rFonts w:ascii="Times New Roman" w:hAnsi="Times New Roman" w:cs="Times New Roman"/>
              <w:b/>
              <w:color w:val="auto"/>
            </w:rPr>
          </w:pPr>
          <w:r w:rsidRPr="00501C42">
            <w:rPr>
              <w:rFonts w:ascii="Times New Roman" w:hAnsi="Times New Roman" w:cs="Times New Roman"/>
              <w:b/>
              <w:color w:val="auto"/>
            </w:rPr>
            <w:t>TABLE OF CONTENTS</w:t>
          </w:r>
        </w:p>
        <w:p w:rsidR="001B793D" w:rsidRDefault="00581016">
          <w:pPr>
            <w:pStyle w:val="TOC1"/>
            <w:tabs>
              <w:tab w:val="right" w:leader="dot" w:pos="9016"/>
            </w:tabs>
            <w:rPr>
              <w:rFonts w:asciiTheme="minorHAnsi" w:eastAsiaTheme="minorEastAsia" w:hAnsiTheme="minorHAnsi"/>
              <w:noProof/>
              <w:sz w:val="22"/>
              <w:lang w:eastAsia="en-GB"/>
            </w:rPr>
          </w:pPr>
          <w:r w:rsidRPr="00581016">
            <w:fldChar w:fldCharType="begin"/>
          </w:r>
          <w:r w:rsidR="00296D1C" w:rsidRPr="00501C42">
            <w:instrText xml:space="preserve"> TOC \o "1-3" \h \z \u </w:instrText>
          </w:r>
          <w:r w:rsidRPr="00581016">
            <w:fldChar w:fldCharType="separate"/>
          </w:r>
          <w:hyperlink w:anchor="_Toc212640739" w:history="1">
            <w:r w:rsidR="001B793D" w:rsidRPr="00D376FD">
              <w:rPr>
                <w:rStyle w:val="Hyperlink"/>
                <w:noProof/>
              </w:rPr>
              <w:t>1. Introduction</w:t>
            </w:r>
            <w:r w:rsidR="001B793D">
              <w:rPr>
                <w:noProof/>
                <w:webHidden/>
              </w:rPr>
              <w:tab/>
            </w:r>
            <w:r>
              <w:rPr>
                <w:noProof/>
                <w:webHidden/>
              </w:rPr>
              <w:fldChar w:fldCharType="begin"/>
            </w:r>
            <w:r w:rsidR="001B793D">
              <w:rPr>
                <w:noProof/>
                <w:webHidden/>
              </w:rPr>
              <w:instrText xml:space="preserve"> PAGEREF _Toc212640739 \h </w:instrText>
            </w:r>
            <w:r>
              <w:rPr>
                <w:noProof/>
                <w:webHidden/>
              </w:rPr>
            </w:r>
            <w:r>
              <w:rPr>
                <w:noProof/>
                <w:webHidden/>
              </w:rPr>
              <w:fldChar w:fldCharType="separate"/>
            </w:r>
            <w:r w:rsidR="001B793D">
              <w:rPr>
                <w:noProof/>
                <w:webHidden/>
              </w:rPr>
              <w:t>3</w:t>
            </w:r>
            <w:r>
              <w:rPr>
                <w:noProof/>
                <w:webHidden/>
              </w:rPr>
              <w:fldChar w:fldCharType="end"/>
            </w:r>
          </w:hyperlink>
        </w:p>
        <w:p w:rsidR="001B793D" w:rsidRDefault="00581016">
          <w:pPr>
            <w:pStyle w:val="TOC1"/>
            <w:tabs>
              <w:tab w:val="right" w:leader="dot" w:pos="9016"/>
            </w:tabs>
            <w:rPr>
              <w:rFonts w:asciiTheme="minorHAnsi" w:eastAsiaTheme="minorEastAsia" w:hAnsiTheme="minorHAnsi"/>
              <w:noProof/>
              <w:sz w:val="22"/>
              <w:lang w:eastAsia="en-GB"/>
            </w:rPr>
          </w:pPr>
          <w:hyperlink w:anchor="_Toc212640740" w:history="1">
            <w:r w:rsidR="001B793D" w:rsidRPr="00D376FD">
              <w:rPr>
                <w:rStyle w:val="Hyperlink"/>
                <w:noProof/>
              </w:rPr>
              <w:t>Main body</w:t>
            </w:r>
            <w:r w:rsidR="001B793D">
              <w:rPr>
                <w:noProof/>
                <w:webHidden/>
              </w:rPr>
              <w:tab/>
            </w:r>
            <w:r>
              <w:rPr>
                <w:noProof/>
                <w:webHidden/>
              </w:rPr>
              <w:fldChar w:fldCharType="begin"/>
            </w:r>
            <w:r w:rsidR="001B793D">
              <w:rPr>
                <w:noProof/>
                <w:webHidden/>
              </w:rPr>
              <w:instrText xml:space="preserve"> PAGEREF _Toc212640740 \h </w:instrText>
            </w:r>
            <w:r>
              <w:rPr>
                <w:noProof/>
                <w:webHidden/>
              </w:rPr>
            </w:r>
            <w:r>
              <w:rPr>
                <w:noProof/>
                <w:webHidden/>
              </w:rPr>
              <w:fldChar w:fldCharType="separate"/>
            </w:r>
            <w:r w:rsidR="001B793D">
              <w:rPr>
                <w:noProof/>
                <w:webHidden/>
              </w:rPr>
              <w:t>3</w:t>
            </w:r>
            <w:r>
              <w:rPr>
                <w:noProof/>
                <w:webHidden/>
              </w:rPr>
              <w:fldChar w:fldCharType="end"/>
            </w:r>
          </w:hyperlink>
        </w:p>
        <w:p w:rsidR="001B793D" w:rsidRDefault="00581016">
          <w:pPr>
            <w:pStyle w:val="TOC2"/>
            <w:tabs>
              <w:tab w:val="right" w:leader="dot" w:pos="9016"/>
            </w:tabs>
            <w:rPr>
              <w:rFonts w:asciiTheme="minorHAnsi" w:eastAsiaTheme="minorEastAsia" w:hAnsiTheme="minorHAnsi"/>
              <w:noProof/>
              <w:sz w:val="22"/>
              <w:lang w:eastAsia="en-GB"/>
            </w:rPr>
          </w:pPr>
          <w:hyperlink w:anchor="_Toc212640741" w:history="1">
            <w:r w:rsidR="001B793D" w:rsidRPr="00D376FD">
              <w:rPr>
                <w:rStyle w:val="Hyperlink"/>
                <w:noProof/>
              </w:rPr>
              <w:t>2. Description of the Role</w:t>
            </w:r>
            <w:r w:rsidR="001B793D">
              <w:rPr>
                <w:noProof/>
                <w:webHidden/>
              </w:rPr>
              <w:tab/>
            </w:r>
            <w:r>
              <w:rPr>
                <w:noProof/>
                <w:webHidden/>
              </w:rPr>
              <w:fldChar w:fldCharType="begin"/>
            </w:r>
            <w:r w:rsidR="001B793D">
              <w:rPr>
                <w:noProof/>
                <w:webHidden/>
              </w:rPr>
              <w:instrText xml:space="preserve"> PAGEREF _Toc212640741 \h </w:instrText>
            </w:r>
            <w:r>
              <w:rPr>
                <w:noProof/>
                <w:webHidden/>
              </w:rPr>
            </w:r>
            <w:r>
              <w:rPr>
                <w:noProof/>
                <w:webHidden/>
              </w:rPr>
              <w:fldChar w:fldCharType="separate"/>
            </w:r>
            <w:r w:rsidR="001B793D">
              <w:rPr>
                <w:noProof/>
                <w:webHidden/>
              </w:rPr>
              <w:t>3</w:t>
            </w:r>
            <w:r>
              <w:rPr>
                <w:noProof/>
                <w:webHidden/>
              </w:rPr>
              <w:fldChar w:fldCharType="end"/>
            </w:r>
          </w:hyperlink>
        </w:p>
        <w:p w:rsidR="001B793D" w:rsidRDefault="00581016">
          <w:pPr>
            <w:pStyle w:val="TOC2"/>
            <w:tabs>
              <w:tab w:val="right" w:leader="dot" w:pos="9016"/>
            </w:tabs>
            <w:rPr>
              <w:rFonts w:asciiTheme="minorHAnsi" w:eastAsiaTheme="minorEastAsia" w:hAnsiTheme="minorHAnsi"/>
              <w:noProof/>
              <w:sz w:val="22"/>
              <w:lang w:eastAsia="en-GB"/>
            </w:rPr>
          </w:pPr>
          <w:hyperlink w:anchor="_Toc212640742" w:history="1">
            <w:r w:rsidR="001B793D" w:rsidRPr="00D376FD">
              <w:rPr>
                <w:rStyle w:val="Hyperlink"/>
                <w:noProof/>
              </w:rPr>
              <w:t>3. Essential Skills Required</w:t>
            </w:r>
            <w:r w:rsidR="001B793D">
              <w:rPr>
                <w:noProof/>
                <w:webHidden/>
              </w:rPr>
              <w:tab/>
            </w:r>
            <w:r>
              <w:rPr>
                <w:noProof/>
                <w:webHidden/>
              </w:rPr>
              <w:fldChar w:fldCharType="begin"/>
            </w:r>
            <w:r w:rsidR="001B793D">
              <w:rPr>
                <w:noProof/>
                <w:webHidden/>
              </w:rPr>
              <w:instrText xml:space="preserve"> PAGEREF _Toc212640742 \h </w:instrText>
            </w:r>
            <w:r>
              <w:rPr>
                <w:noProof/>
                <w:webHidden/>
              </w:rPr>
            </w:r>
            <w:r>
              <w:rPr>
                <w:noProof/>
                <w:webHidden/>
              </w:rPr>
              <w:fldChar w:fldCharType="separate"/>
            </w:r>
            <w:r w:rsidR="001B793D">
              <w:rPr>
                <w:noProof/>
                <w:webHidden/>
              </w:rPr>
              <w:t>4</w:t>
            </w:r>
            <w:r>
              <w:rPr>
                <w:noProof/>
                <w:webHidden/>
              </w:rPr>
              <w:fldChar w:fldCharType="end"/>
            </w:r>
          </w:hyperlink>
        </w:p>
        <w:p w:rsidR="001B793D" w:rsidRDefault="00581016">
          <w:pPr>
            <w:pStyle w:val="TOC2"/>
            <w:tabs>
              <w:tab w:val="right" w:leader="dot" w:pos="9016"/>
            </w:tabs>
            <w:rPr>
              <w:rFonts w:asciiTheme="minorHAnsi" w:eastAsiaTheme="minorEastAsia" w:hAnsiTheme="minorHAnsi"/>
              <w:noProof/>
              <w:sz w:val="22"/>
              <w:lang w:eastAsia="en-GB"/>
            </w:rPr>
          </w:pPr>
          <w:hyperlink w:anchor="_Toc212640743" w:history="1">
            <w:r w:rsidR="001B793D" w:rsidRPr="00D376FD">
              <w:rPr>
                <w:rStyle w:val="Hyperlink"/>
                <w:noProof/>
              </w:rPr>
              <w:t>4. Strategies to Improve Each Skill</w:t>
            </w:r>
            <w:r w:rsidR="001B793D">
              <w:rPr>
                <w:noProof/>
                <w:webHidden/>
              </w:rPr>
              <w:tab/>
            </w:r>
            <w:r>
              <w:rPr>
                <w:noProof/>
                <w:webHidden/>
              </w:rPr>
              <w:fldChar w:fldCharType="begin"/>
            </w:r>
            <w:r w:rsidR="001B793D">
              <w:rPr>
                <w:noProof/>
                <w:webHidden/>
              </w:rPr>
              <w:instrText xml:space="preserve"> PAGEREF _Toc212640743 \h </w:instrText>
            </w:r>
            <w:r>
              <w:rPr>
                <w:noProof/>
                <w:webHidden/>
              </w:rPr>
            </w:r>
            <w:r>
              <w:rPr>
                <w:noProof/>
                <w:webHidden/>
              </w:rPr>
              <w:fldChar w:fldCharType="separate"/>
            </w:r>
            <w:r w:rsidR="001B793D">
              <w:rPr>
                <w:noProof/>
                <w:webHidden/>
              </w:rPr>
              <w:t>5</w:t>
            </w:r>
            <w:r>
              <w:rPr>
                <w:noProof/>
                <w:webHidden/>
              </w:rPr>
              <w:fldChar w:fldCharType="end"/>
            </w:r>
          </w:hyperlink>
        </w:p>
        <w:p w:rsidR="001B793D" w:rsidRDefault="00581016">
          <w:pPr>
            <w:pStyle w:val="TOC1"/>
            <w:tabs>
              <w:tab w:val="right" w:leader="dot" w:pos="9016"/>
            </w:tabs>
            <w:rPr>
              <w:rFonts w:asciiTheme="minorHAnsi" w:eastAsiaTheme="minorEastAsia" w:hAnsiTheme="minorHAnsi"/>
              <w:noProof/>
              <w:sz w:val="22"/>
              <w:lang w:eastAsia="en-GB"/>
            </w:rPr>
          </w:pPr>
          <w:hyperlink w:anchor="_Toc212640744" w:history="1">
            <w:r w:rsidR="001B793D" w:rsidRPr="00D376FD">
              <w:rPr>
                <w:rStyle w:val="Hyperlink"/>
                <w:noProof/>
              </w:rPr>
              <w:t>5. Conclusion</w:t>
            </w:r>
            <w:r w:rsidR="001B793D">
              <w:rPr>
                <w:noProof/>
                <w:webHidden/>
              </w:rPr>
              <w:tab/>
            </w:r>
            <w:r>
              <w:rPr>
                <w:noProof/>
                <w:webHidden/>
              </w:rPr>
              <w:fldChar w:fldCharType="begin"/>
            </w:r>
            <w:r w:rsidR="001B793D">
              <w:rPr>
                <w:noProof/>
                <w:webHidden/>
              </w:rPr>
              <w:instrText xml:space="preserve"> PAGEREF _Toc212640744 \h </w:instrText>
            </w:r>
            <w:r>
              <w:rPr>
                <w:noProof/>
                <w:webHidden/>
              </w:rPr>
            </w:r>
            <w:r>
              <w:rPr>
                <w:noProof/>
                <w:webHidden/>
              </w:rPr>
              <w:fldChar w:fldCharType="separate"/>
            </w:r>
            <w:r w:rsidR="001B793D">
              <w:rPr>
                <w:noProof/>
                <w:webHidden/>
              </w:rPr>
              <w:t>6</w:t>
            </w:r>
            <w:r>
              <w:rPr>
                <w:noProof/>
                <w:webHidden/>
              </w:rPr>
              <w:fldChar w:fldCharType="end"/>
            </w:r>
          </w:hyperlink>
        </w:p>
        <w:p w:rsidR="001B793D" w:rsidRDefault="00581016">
          <w:pPr>
            <w:pStyle w:val="TOC1"/>
            <w:tabs>
              <w:tab w:val="right" w:leader="dot" w:pos="9016"/>
            </w:tabs>
            <w:rPr>
              <w:rFonts w:asciiTheme="minorHAnsi" w:eastAsiaTheme="minorEastAsia" w:hAnsiTheme="minorHAnsi"/>
              <w:noProof/>
              <w:sz w:val="22"/>
              <w:lang w:eastAsia="en-GB"/>
            </w:rPr>
          </w:pPr>
          <w:hyperlink w:anchor="_Toc212640745" w:history="1">
            <w:r w:rsidR="001B793D" w:rsidRPr="00D376FD">
              <w:rPr>
                <w:rStyle w:val="Hyperlink"/>
                <w:rFonts w:eastAsia="Times New Roman"/>
                <w:noProof/>
                <w:lang w:eastAsia="en-GB"/>
              </w:rPr>
              <w:t>References</w:t>
            </w:r>
            <w:r w:rsidR="001B793D">
              <w:rPr>
                <w:noProof/>
                <w:webHidden/>
              </w:rPr>
              <w:tab/>
            </w:r>
            <w:r>
              <w:rPr>
                <w:noProof/>
                <w:webHidden/>
              </w:rPr>
              <w:fldChar w:fldCharType="begin"/>
            </w:r>
            <w:r w:rsidR="001B793D">
              <w:rPr>
                <w:noProof/>
                <w:webHidden/>
              </w:rPr>
              <w:instrText xml:space="preserve"> PAGEREF _Toc212640745 \h </w:instrText>
            </w:r>
            <w:r>
              <w:rPr>
                <w:noProof/>
                <w:webHidden/>
              </w:rPr>
            </w:r>
            <w:r>
              <w:rPr>
                <w:noProof/>
                <w:webHidden/>
              </w:rPr>
              <w:fldChar w:fldCharType="separate"/>
            </w:r>
            <w:r w:rsidR="001B793D">
              <w:rPr>
                <w:noProof/>
                <w:webHidden/>
              </w:rPr>
              <w:t>8</w:t>
            </w:r>
            <w:r>
              <w:rPr>
                <w:noProof/>
                <w:webHidden/>
              </w:rPr>
              <w:fldChar w:fldCharType="end"/>
            </w:r>
          </w:hyperlink>
        </w:p>
        <w:p w:rsidR="00007E30" w:rsidRPr="00501C42" w:rsidRDefault="00581016" w:rsidP="00617C56">
          <w:r w:rsidRPr="00501C42">
            <w:rPr>
              <w:b/>
              <w:bCs/>
              <w:noProof/>
            </w:rPr>
            <w:fldChar w:fldCharType="end"/>
          </w:r>
        </w:p>
      </w:sdtContent>
    </w:sdt>
    <w:p w:rsidR="00007E30" w:rsidRPr="00501C42" w:rsidRDefault="00296D1C" w:rsidP="00617C56">
      <w:pPr>
        <w:rPr>
          <w:rStyle w:val="Strong"/>
          <w:rFonts w:eastAsiaTheme="majorEastAsia" w:cstheme="majorBidi"/>
          <w:bCs w:val="0"/>
          <w:sz w:val="28"/>
          <w:szCs w:val="32"/>
        </w:rPr>
      </w:pPr>
      <w:r w:rsidRPr="00501C42">
        <w:rPr>
          <w:rStyle w:val="Strong"/>
          <w:b w:val="0"/>
          <w:bCs w:val="0"/>
        </w:rPr>
        <w:br w:type="page"/>
      </w:r>
    </w:p>
    <w:p w:rsidR="00B85F98" w:rsidRPr="00501C42" w:rsidRDefault="00296D1C" w:rsidP="00617C56">
      <w:pPr>
        <w:pStyle w:val="Heading1"/>
        <w:rPr>
          <w:sz w:val="27"/>
        </w:rPr>
      </w:pPr>
      <w:bookmarkStart w:id="0" w:name="_Toc212640739"/>
      <w:r w:rsidRPr="00501C42">
        <w:rPr>
          <w:rStyle w:val="Strong"/>
          <w:b/>
          <w:bCs w:val="0"/>
        </w:rPr>
        <w:lastRenderedPageBreak/>
        <w:t>1. Introduction</w:t>
      </w:r>
      <w:bookmarkEnd w:id="0"/>
    </w:p>
    <w:p w:rsidR="004F660C" w:rsidRPr="00501C42" w:rsidRDefault="00296D1C" w:rsidP="009B070C">
      <w:r w:rsidRPr="00501C42">
        <w:t>Occupational health nursing is a professional field of work in public health that aims to improve and sustain the physical and psychological hea</w:t>
      </w:r>
      <w:r w:rsidR="003C7E43">
        <w:t>lth of workers at the workplace</w:t>
      </w:r>
      <w:r w:rsidR="009B070C">
        <w:t xml:space="preserve"> (</w:t>
      </w:r>
      <w:r w:rsidR="009B070C" w:rsidRPr="009B1F48">
        <w:t xml:space="preserve">Bhati, Deogade </w:t>
      </w:r>
      <w:r w:rsidR="009B070C">
        <w:t>and Kanyal, 2023)</w:t>
      </w:r>
      <w:r w:rsidRPr="00501C42">
        <w:t xml:space="preserve">. Occupational health nurses (OHNs) evaluate occupational hazards, offer health checks, and offer recommendations to both employers and employees to avoid disease and injury. In contrast to the conventional nursing roles, OHNs work ahead to enhance the organisational safety and productivity. This report </w:t>
      </w:r>
      <w:r w:rsidR="009B070C">
        <w:t>will discuss</w:t>
      </w:r>
      <w:r w:rsidRPr="00501C42">
        <w:t xml:space="preserve"> the professional occupation of the occupational health nurse, and three key skills that are required in the successful practice of the occupation, as well as strategies to achieve these skills. It is very important to know the core competencies and improve them because this directly affects the well-being of the employees as well as the performance of the organisation. </w:t>
      </w:r>
    </w:p>
    <w:p w:rsidR="002114E4" w:rsidRPr="00501C42" w:rsidRDefault="00296D1C" w:rsidP="00617C56">
      <w:pPr>
        <w:pStyle w:val="Heading1"/>
        <w:rPr>
          <w:rFonts w:eastAsia="Times New Roman" w:cs="Times New Roman"/>
          <w:szCs w:val="24"/>
          <w:lang w:eastAsia="en-GB"/>
        </w:rPr>
      </w:pPr>
      <w:bookmarkStart w:id="1" w:name="_Toc212640740"/>
      <w:r w:rsidRPr="00501C42">
        <w:t>Main body</w:t>
      </w:r>
      <w:bookmarkEnd w:id="1"/>
    </w:p>
    <w:p w:rsidR="00B85F98" w:rsidRPr="00501C42" w:rsidRDefault="00296D1C" w:rsidP="00617C56">
      <w:pPr>
        <w:pStyle w:val="Heading2"/>
        <w:spacing w:line="360" w:lineRule="auto"/>
      </w:pPr>
      <w:bookmarkStart w:id="2" w:name="_Toc212640741"/>
      <w:r w:rsidRPr="00501C42">
        <w:t>2. Description of the Role</w:t>
      </w:r>
      <w:bookmarkEnd w:id="2"/>
    </w:p>
    <w:p w:rsidR="00B85F98" w:rsidRPr="00501C42" w:rsidRDefault="00296D1C" w:rsidP="009B070C">
      <w:r w:rsidRPr="00501C42">
        <w:t>The occupational health nurse (OHN) is considered very crucial in the process of securing and advancing the health of employees in various industries, including manufacturing, healthcare, and construction. They are also involved in the daily tasks of evaluating the hazards at the workplace, health surveillance, immunisation, and advice regarding the fit</w:t>
      </w:r>
      <w:r w:rsidR="003C7E43">
        <w:t>ness of employees to work</w:t>
      </w:r>
      <w:r w:rsidR="009B070C">
        <w:t xml:space="preserve"> (</w:t>
      </w:r>
      <w:r w:rsidR="009B070C" w:rsidRPr="009B1F48">
        <w:t>Elumilade</w:t>
      </w:r>
      <w:r w:rsidR="009B070C" w:rsidRPr="009B070C">
        <w:rPr>
          <w:i/>
        </w:rPr>
        <w:t>et al.,</w:t>
      </w:r>
      <w:r w:rsidR="009B070C">
        <w:t xml:space="preserve"> 2023)</w:t>
      </w:r>
      <w:r w:rsidRPr="00501C42">
        <w:t xml:space="preserve">. As an example, an OHN in a factory may carry out routine hearing tests on employees who work in high-noise jobs, or in an office, one may carry out an ergonomic evaluation to avoid the occurrence of back and neck injuries. </w:t>
      </w:r>
    </w:p>
    <w:p w:rsidR="00B85F98" w:rsidRPr="00501C42" w:rsidRDefault="00296D1C" w:rsidP="009B070C">
      <w:r w:rsidRPr="00501C42">
        <w:t>OHNs have to make sure that they adhere to laws, including the Health and Safety at Work Act 1974. They tend to work independently in multidisciplinary groups, which include managers, human resources, and general practitioners</w:t>
      </w:r>
      <w:r w:rsidR="009B070C">
        <w:t xml:space="preserve"> (</w:t>
      </w:r>
      <w:r w:rsidR="009B070C" w:rsidRPr="009B1F48">
        <w:t>Fleming</w:t>
      </w:r>
      <w:r w:rsidR="009B070C" w:rsidRPr="009B070C">
        <w:rPr>
          <w:i/>
        </w:rPr>
        <w:t>et al.,</w:t>
      </w:r>
      <w:r w:rsidR="009B070C">
        <w:t xml:space="preserve"> 2025)</w:t>
      </w:r>
      <w:r w:rsidRPr="00501C42">
        <w:t>. An example is that an OHN could work with the HR to develop a plan to help an employee, who has gone through surgery, back into work or conduct mental health training to help eliminate stress in the workplace.</w:t>
      </w:r>
    </w:p>
    <w:p w:rsidR="004F660C" w:rsidRPr="004F660C" w:rsidRDefault="00296D1C" w:rsidP="00617C56">
      <w:pPr>
        <w:pStyle w:val="NormalWeb"/>
        <w:spacing w:line="360" w:lineRule="auto"/>
        <w:jc w:val="both"/>
      </w:pPr>
      <w:r w:rsidRPr="00501C42">
        <w:t>This is a position that will keep the workforce healthy and productive. Occupational health nurses have a major impact on improving organisational performance by minimising sickness absence and encouraging employee engagement. They are qualified to help with health and corporate responsibility, with the well-being in the work environment.</w:t>
      </w:r>
    </w:p>
    <w:p w:rsidR="004F660C" w:rsidRPr="00501C42" w:rsidRDefault="00296D1C" w:rsidP="00617C56">
      <w:pPr>
        <w:pStyle w:val="Heading2"/>
        <w:spacing w:line="360" w:lineRule="auto"/>
      </w:pPr>
      <w:bookmarkStart w:id="3" w:name="_Toc212640742"/>
      <w:r w:rsidRPr="00501C42">
        <w:lastRenderedPageBreak/>
        <w:t>3. Essential Skills Required</w:t>
      </w:r>
      <w:bookmarkEnd w:id="3"/>
    </w:p>
    <w:p w:rsidR="00B567C5" w:rsidRPr="00501C42" w:rsidRDefault="00296D1C" w:rsidP="00617C56">
      <w:pPr>
        <w:pStyle w:val="Heading4"/>
        <w:spacing w:line="360" w:lineRule="auto"/>
        <w:jc w:val="both"/>
      </w:pPr>
      <w:r w:rsidRPr="00501C42">
        <w:rPr>
          <w:rStyle w:val="Strong"/>
          <w:b/>
          <w:bCs/>
        </w:rPr>
        <w:t>3.1 Communication Skills</w:t>
      </w:r>
    </w:p>
    <w:p w:rsidR="00B567C5" w:rsidRPr="00501C42" w:rsidRDefault="00296D1C" w:rsidP="009B070C">
      <w:r w:rsidRPr="00501C42">
        <w:t>Occupational health nurses should be effective communicators since they should deliver health advice straightforwardly and sensitively to employees and employers. They usually deal with confidential and sensitive data, and it deman</w:t>
      </w:r>
      <w:r w:rsidR="000C25DC">
        <w:t>ds verbal and written precision</w:t>
      </w:r>
      <w:r w:rsidRPr="00501C42">
        <w:t>. In this case, an OHN can be called upon to interpret the outcome of a lung function test for a dust-exposed factory worker so that the employee can know the dangers and the precautions to take</w:t>
      </w:r>
      <w:r w:rsidR="009B070C">
        <w:t xml:space="preserve"> (González‐Caballero, 2024)</w:t>
      </w:r>
      <w:r w:rsidRPr="00501C42">
        <w:t>.  Effective communication ensures that health assessments, risk reports, and recommendations are received and put into effective practice. Lack of effective communication may also result in compliance failures or unsafe practices, which is why it is important in the workplace.</w:t>
      </w:r>
    </w:p>
    <w:p w:rsidR="00B567C5" w:rsidRPr="00501C42" w:rsidRDefault="00296D1C" w:rsidP="00617C56">
      <w:pPr>
        <w:pStyle w:val="Heading4"/>
        <w:spacing w:line="360" w:lineRule="auto"/>
        <w:jc w:val="both"/>
      </w:pPr>
      <w:r w:rsidRPr="00501C42">
        <w:rPr>
          <w:rStyle w:val="Strong"/>
          <w:b/>
          <w:bCs/>
        </w:rPr>
        <w:t>3.2 Risk Assessment and Decision-Making Skills</w:t>
      </w:r>
    </w:p>
    <w:p w:rsidR="00B567C5" w:rsidRPr="00501C42" w:rsidRDefault="00296D1C" w:rsidP="009B070C">
      <w:r w:rsidRPr="00501C42">
        <w:t xml:space="preserve"> The occupational health nurses should be able to measure risks at the workplace and reach informed conc</w:t>
      </w:r>
      <w:r w:rsidR="000C25DC">
        <w:t>lusions regarding health risks.</w:t>
      </w:r>
      <w:r w:rsidRPr="00501C42">
        <w:t xml:space="preserve"> decision-making skills play a pivotal role in the assessment of the complex situation, which can be the fitness of an employee to work or alterations that are required. To illustrate this point, an OHN with a construction organisation can be asked to determine whether a manually injured employee who is recovering to return to work can continue working in manual positions or needs some desk work in the meantime. These nurses base such judgements on clinical evidence as well as the regulatory standards. The other example might be the determination of the need for protective equipment in a chemical plant, depending on the levels of exposure</w:t>
      </w:r>
      <w:r w:rsidR="009B070C">
        <w:t xml:space="preserve"> (González-Caballero, </w:t>
      </w:r>
      <w:r w:rsidR="009B070C" w:rsidRPr="009B1F48">
        <w:t>202</w:t>
      </w:r>
      <w:r w:rsidR="009B070C">
        <w:t>5)</w:t>
      </w:r>
      <w:r w:rsidRPr="00501C42">
        <w:t>. Sound judgement and analytical thinking will assist in making sure that the recommendations are safe, ethical and evidence-based to eventually minimise accidents in the workplace and enhance adherence to health and safety laws.</w:t>
      </w:r>
    </w:p>
    <w:p w:rsidR="00B567C5" w:rsidRPr="00501C42" w:rsidRDefault="00296D1C" w:rsidP="00617C56">
      <w:pPr>
        <w:pStyle w:val="Heading4"/>
        <w:spacing w:line="360" w:lineRule="auto"/>
        <w:jc w:val="both"/>
      </w:pPr>
      <w:r w:rsidRPr="00501C42">
        <w:rPr>
          <w:rStyle w:val="Strong"/>
          <w:b/>
          <w:bCs/>
        </w:rPr>
        <w:t>3.3 Empathy and Emotional Intelligence</w:t>
      </w:r>
    </w:p>
    <w:p w:rsidR="00B567C5" w:rsidRPr="00501C42" w:rsidRDefault="00296D1C" w:rsidP="009B070C">
      <w:r w:rsidRPr="00501C42">
        <w:t xml:space="preserve"> Empathy will allow occupational health nurses to help employees who are stressed and sick or traumatised as a result of work. EI makes them sensitive when discussing sensitive matters compassionately and at the same time being professional</w:t>
      </w:r>
      <w:r w:rsidR="009B070C">
        <w:t xml:space="preserve"> (</w:t>
      </w:r>
      <w:r w:rsidR="009B070C" w:rsidRPr="009B1F48">
        <w:t>Pal</w:t>
      </w:r>
      <w:r w:rsidR="009B070C" w:rsidRPr="009B070C">
        <w:rPr>
          <w:i/>
        </w:rPr>
        <w:t>et al.,</w:t>
      </w:r>
      <w:r w:rsidR="009B070C">
        <w:t xml:space="preserve"> 2023)</w:t>
      </w:r>
      <w:r w:rsidRPr="00501C42">
        <w:t xml:space="preserve">. As an example, an OHN could assist a nurse with a case of burnout by providing a confidential counselling </w:t>
      </w:r>
      <w:r w:rsidRPr="00501C42">
        <w:lastRenderedPageBreak/>
        <w:t xml:space="preserve">referral and reassurance when it comes to making adjustments to the workplace. Equally, they can be required to use empathetic language to an employee with anxiety when assessing her back in the workplace. </w:t>
      </w:r>
    </w:p>
    <w:p w:rsidR="00B567C5" w:rsidRPr="00501C42" w:rsidRDefault="00296D1C" w:rsidP="00617C56">
      <w:pPr>
        <w:pStyle w:val="Heading2"/>
        <w:spacing w:line="360" w:lineRule="auto"/>
        <w:rPr>
          <w:sz w:val="27"/>
        </w:rPr>
      </w:pPr>
      <w:bookmarkStart w:id="4" w:name="_Toc212640743"/>
      <w:r w:rsidRPr="00501C42">
        <w:rPr>
          <w:rStyle w:val="Strong"/>
          <w:b w:val="0"/>
          <w:bCs/>
        </w:rPr>
        <w:t>4. Strategies to Improve Each Skill</w:t>
      </w:r>
      <w:bookmarkEnd w:id="4"/>
    </w:p>
    <w:p w:rsidR="00B567C5" w:rsidRPr="00501C42" w:rsidRDefault="00296D1C" w:rsidP="00617C56">
      <w:pPr>
        <w:pStyle w:val="Heading4"/>
        <w:spacing w:line="360" w:lineRule="auto"/>
        <w:jc w:val="both"/>
      </w:pPr>
      <w:r w:rsidRPr="00501C42">
        <w:rPr>
          <w:rStyle w:val="Strong"/>
          <w:b/>
          <w:bCs/>
        </w:rPr>
        <w:t>4.1 Strategies to Enhance Communication</w:t>
      </w:r>
    </w:p>
    <w:p w:rsidR="00B567C5" w:rsidRPr="00501C42" w:rsidRDefault="00296D1C" w:rsidP="009B070C">
      <w:r w:rsidRPr="00501C42">
        <w:t xml:space="preserve"> Reflection and feedback are the things which should be practised in developing communication skills. Another of the successful strategies is to attend a workshop on communication or simulation training</w:t>
      </w:r>
      <w:r w:rsidR="009B070C">
        <w:t xml:space="preserve"> (Rachmad, 2022)</w:t>
      </w:r>
      <w:r w:rsidRPr="00501C42">
        <w:t xml:space="preserve">. Such sessions provide nurses with an opportunity to practise how to convey complicated health information in a safe setting, </w:t>
      </w:r>
      <w:r w:rsidR="0089530F">
        <w:t>enhance clarity, and confidence</w:t>
      </w:r>
      <w:r w:rsidRPr="00501C42">
        <w:t>. As an illustration, an occupational health nurse (OHN) could participate in a fake conference in which they can discuss new safety rules with supervisors at the factory, with feedback on the tone, understanding, and professional performance.</w:t>
      </w:r>
    </w:p>
    <w:p w:rsidR="00B567C5" w:rsidRPr="00501C42" w:rsidRDefault="00296D1C" w:rsidP="009B070C">
      <w:r w:rsidRPr="00501C42">
        <w:t xml:space="preserve"> The other approach is to request 360-degree feedback from colleagues and supervisors to determine the strengths and weaknesses of the communication. Feedback helps in counselling the self and improvement</w:t>
      </w:r>
      <w:r w:rsidR="009B070C">
        <w:t xml:space="preserve"> (</w:t>
      </w:r>
      <w:r w:rsidR="009B070C" w:rsidRPr="0084738C">
        <w:t xml:space="preserve">Sharbatdaran, </w:t>
      </w:r>
      <w:r w:rsidR="009B070C">
        <w:t>and Awan, 2023)</w:t>
      </w:r>
      <w:r w:rsidRPr="00501C42">
        <w:t xml:space="preserve">. An example is a vaccination session or health promotion session where an OHN may seek feedback concerning how effectively employees have grasped the advice they were provided with. As an illustration, the nurse may repeat the concerns of the employee who is expressing interest in coming back to work after falling ill before giving advice. </w:t>
      </w:r>
    </w:p>
    <w:p w:rsidR="00B567C5" w:rsidRPr="00501C42" w:rsidRDefault="00296D1C" w:rsidP="00617C56">
      <w:pPr>
        <w:pStyle w:val="Heading4"/>
        <w:spacing w:line="360" w:lineRule="auto"/>
        <w:jc w:val="both"/>
      </w:pPr>
      <w:r w:rsidRPr="00501C42">
        <w:rPr>
          <w:rStyle w:val="Strong"/>
          <w:b/>
          <w:bCs/>
        </w:rPr>
        <w:t>4.2 Strategies to Strengthen Risk Assessment and Decision-Making</w:t>
      </w:r>
    </w:p>
    <w:p w:rsidR="0089530F" w:rsidRDefault="00296D1C" w:rsidP="00CC329D">
      <w:r w:rsidRPr="00501C42">
        <w:t>Evidence-based practice is the starting point for improvement in decision-making. Occupational health nurses must also be in line with the clinical guideline and must attend professional development courses provided by the Nursing and Midwifery Council (NMC). Staying abreast with lawmaking is important in order to guarantee that good practice and legal practice are in line with decisions</w:t>
      </w:r>
      <w:r w:rsidR="00CC329D">
        <w:t xml:space="preserve"> (</w:t>
      </w:r>
      <w:r w:rsidR="00CC329D" w:rsidRPr="009B1F48">
        <w:t xml:space="preserve">Bhati, Deogade, </w:t>
      </w:r>
      <w:r w:rsidR="00CC329D">
        <w:t>and Kanyal, 2023)</w:t>
      </w:r>
      <w:r w:rsidRPr="00501C42">
        <w:t>. As an example, a nurse may use more accurate judgments regarding the risks of working in the office by attending a training session on workplace ergonomics.</w:t>
      </w:r>
    </w:p>
    <w:p w:rsidR="00B567C5" w:rsidRPr="00501C42" w:rsidRDefault="00296D1C" w:rsidP="00461844">
      <w:r w:rsidRPr="00501C42">
        <w:t xml:space="preserve">The other strategy is engaging in reflective practice groups where nurses can discuss the previous cases and see what needs to be done better. With the aid of reflective models like the </w:t>
      </w:r>
      <w:r w:rsidRPr="00501C42">
        <w:lastRenderedPageBreak/>
        <w:t>Reflective Cycle developed by Gibbs, an OHN might reexamine the process of dealing with a workplace injury and think of other actions, as well as use the experience in subsequent cases. In addition, junior nurses can be mentored through mentorship programmes, whereby they can learn from an experienced professional</w:t>
      </w:r>
      <w:r w:rsidR="00CC329D">
        <w:t>(</w:t>
      </w:r>
      <w:r w:rsidR="00CC329D" w:rsidRPr="009B1F48">
        <w:t>Elumilade</w:t>
      </w:r>
      <w:r w:rsidR="00CC329D" w:rsidRPr="009B070C">
        <w:rPr>
          <w:i/>
        </w:rPr>
        <w:t>et al.,</w:t>
      </w:r>
      <w:r w:rsidR="00CC329D">
        <w:t xml:space="preserve"> 2023)</w:t>
      </w:r>
      <w:r w:rsidRPr="00501C42">
        <w:t>. As an example, the collaboration with an OHN senior when conducting a chemical exposure investigation may aid a junior nurse in observing systematic risk analysis and decision-making, which may increase his/her confidence and critical thinking in practice.</w:t>
      </w:r>
    </w:p>
    <w:p w:rsidR="00B567C5" w:rsidRPr="00501C42" w:rsidRDefault="00296D1C" w:rsidP="00617C56">
      <w:pPr>
        <w:pStyle w:val="Heading4"/>
        <w:spacing w:line="360" w:lineRule="auto"/>
        <w:jc w:val="both"/>
      </w:pPr>
      <w:r w:rsidRPr="00501C42">
        <w:rPr>
          <w:rStyle w:val="Strong"/>
          <w:b/>
          <w:bCs/>
        </w:rPr>
        <w:t>4.3 Strategies to Develop Empathy and Emotional Intelligence</w:t>
      </w:r>
    </w:p>
    <w:p w:rsidR="00B567C5" w:rsidRPr="00501C42" w:rsidRDefault="00296D1C" w:rsidP="00461844">
      <w:r w:rsidRPr="00501C42">
        <w:t xml:space="preserve"> Mindfulness training and emotional regulation can help in enhancing empathy and emotional intelligence. Mindfulness allows nurses to be present and non-judgmental with the depressed employees</w:t>
      </w:r>
      <w:r w:rsidR="00461844">
        <w:t xml:space="preserve"> (</w:t>
      </w:r>
      <w:r w:rsidR="00461844" w:rsidRPr="009B1F48">
        <w:t>Fleming</w:t>
      </w:r>
      <w:r w:rsidR="00461844" w:rsidRPr="009B070C">
        <w:rPr>
          <w:i/>
        </w:rPr>
        <w:t>et al.,</w:t>
      </w:r>
      <w:r w:rsidR="00461844">
        <w:t xml:space="preserve"> 2025)</w:t>
      </w:r>
      <w:r w:rsidRPr="00501C42">
        <w:t xml:space="preserve">. An example of this was when an OHN with the mindfulness practice was in a counselling session with a worker experiencing anxiety, the OHN responded calmly and compassionately to the worker as opposed to reacting. </w:t>
      </w:r>
    </w:p>
    <w:p w:rsidR="00B567C5" w:rsidRPr="00501C42" w:rsidRDefault="00296D1C" w:rsidP="00461844">
      <w:r w:rsidRPr="00501C42">
        <w:t>The other good technique is taking part in supervised counselling sessions or mental health first-aid training. With this, nurses will be able to understand how to deal with emotions and be helpful to others</w:t>
      </w:r>
      <w:r w:rsidR="00461844">
        <w:t xml:space="preserve"> (González‐Caballero, 2024)</w:t>
      </w:r>
      <w:r w:rsidRPr="00501C42">
        <w:t xml:space="preserve">. As an example, a mental health first-aid course allows an OHN to be able to identify the signs of stress early in colleagues and address them accordingly. Finally, journaling or reflective writing can allow nurses to investigate their emotional reactions to the situations at work, including attending to an employee following an accident, which leads to enhanced self-control and personal development. </w:t>
      </w:r>
    </w:p>
    <w:p w:rsidR="00B567C5" w:rsidRPr="00501C42" w:rsidRDefault="00296D1C" w:rsidP="00617C56">
      <w:pPr>
        <w:pStyle w:val="Heading1"/>
        <w:rPr>
          <w:sz w:val="27"/>
        </w:rPr>
      </w:pPr>
      <w:bookmarkStart w:id="5" w:name="_Toc212640744"/>
      <w:r w:rsidRPr="00501C42">
        <w:rPr>
          <w:rStyle w:val="Strong"/>
          <w:b/>
          <w:bCs w:val="0"/>
        </w:rPr>
        <w:t>5. Conclusion</w:t>
      </w:r>
      <w:bookmarkEnd w:id="5"/>
    </w:p>
    <w:p w:rsidR="004F660C" w:rsidRPr="004F660C" w:rsidRDefault="00296D1C" w:rsidP="00617C56">
      <w:pPr>
        <w:pStyle w:val="NormalWeb"/>
        <w:spacing w:line="360" w:lineRule="auto"/>
        <w:jc w:val="both"/>
      </w:pPr>
      <w:r w:rsidRPr="00501C42">
        <w:t xml:space="preserve"> In sum, the occupational health nurse is considered a crucial part of ensuring well-being in the workplace by avoiding, educating and managing health. Being a safe, effective and person-centred caregiver is based on the three core skills, which are communication, risk assessment and empathy. The competence and flexibility of nurses in their dynamic workplaces are developed due to the training, reflection and professional support which helps them to use their skills.</w:t>
      </w:r>
    </w:p>
    <w:p w:rsidR="004F660C" w:rsidRPr="004F660C" w:rsidRDefault="004F660C" w:rsidP="00617C56">
      <w:pPr>
        <w:spacing w:after="0"/>
        <w:rPr>
          <w:rFonts w:eastAsia="Times New Roman" w:cs="Times New Roman"/>
          <w:szCs w:val="24"/>
          <w:lang w:eastAsia="en-GB"/>
        </w:rPr>
      </w:pPr>
    </w:p>
    <w:p w:rsidR="009B1F48" w:rsidRPr="003C6463" w:rsidRDefault="00296D1C" w:rsidP="003C6463">
      <w:pPr>
        <w:rPr>
          <w:rFonts w:eastAsia="Times New Roman" w:cs="Times New Roman"/>
          <w:b/>
          <w:bCs/>
          <w:sz w:val="27"/>
          <w:szCs w:val="27"/>
          <w:lang w:eastAsia="en-GB"/>
        </w:rPr>
      </w:pPr>
      <w:r w:rsidRPr="00501C42">
        <w:rPr>
          <w:rFonts w:eastAsia="Times New Roman" w:cs="Times New Roman"/>
          <w:bCs/>
          <w:sz w:val="27"/>
          <w:szCs w:val="27"/>
          <w:lang w:eastAsia="en-GB"/>
        </w:rPr>
        <w:br w:type="page"/>
      </w:r>
    </w:p>
    <w:p w:rsidR="002114E4" w:rsidRDefault="00296D1C" w:rsidP="00617C56">
      <w:pPr>
        <w:pStyle w:val="Heading1"/>
        <w:rPr>
          <w:lang w:eastAsia="en-GB"/>
        </w:rPr>
      </w:pPr>
      <w:bookmarkStart w:id="6" w:name="_Toc212640745"/>
      <w:r w:rsidRPr="00501C42">
        <w:rPr>
          <w:rFonts w:eastAsia="Times New Roman"/>
          <w:lang w:eastAsia="en-GB"/>
        </w:rPr>
        <w:lastRenderedPageBreak/>
        <w:t>References</w:t>
      </w:r>
      <w:bookmarkEnd w:id="6"/>
    </w:p>
    <w:p w:rsidR="00754479" w:rsidRDefault="00754479" w:rsidP="0084738C">
      <w:r w:rsidRPr="009B1F48">
        <w:t xml:space="preserve">Bhati, D., Deogade, M. S., </w:t>
      </w:r>
      <w:r>
        <w:t>and Kanyal, D. (2023)</w:t>
      </w:r>
      <w:r w:rsidRPr="009B1F48">
        <w:t xml:space="preserve"> Improving patient outcomes through effective hospital administration: a comprehensive review. </w:t>
      </w:r>
      <w:r w:rsidRPr="0084738C">
        <w:rPr>
          <w:i/>
          <w:iCs/>
        </w:rPr>
        <w:t>Cureus</w:t>
      </w:r>
      <w:r w:rsidRPr="009B1F48">
        <w:t>, </w:t>
      </w:r>
      <w:r w:rsidRPr="0084738C">
        <w:rPr>
          <w:i/>
          <w:iCs/>
        </w:rPr>
        <w:t>15</w:t>
      </w:r>
      <w:r w:rsidRPr="009B1F48">
        <w:t>(10), e47731.</w:t>
      </w:r>
    </w:p>
    <w:p w:rsidR="00754479" w:rsidRDefault="00754479" w:rsidP="0084738C">
      <w:r w:rsidRPr="009B1F48">
        <w:t xml:space="preserve">Elumilade, O. O., Ogundeji, I. A., Ozoemenam, G. O. D. W. I. N., Omokhoa, H. E., </w:t>
      </w:r>
      <w:r>
        <w:t>and Omowole, B. M. (2023)</w:t>
      </w:r>
      <w:r w:rsidRPr="009B1F48">
        <w:t xml:space="preserve"> The role of data analytics in strengthening financial risk assessment and strategic decision-making. </w:t>
      </w:r>
      <w:r w:rsidRPr="0084738C">
        <w:rPr>
          <w:i/>
          <w:iCs/>
        </w:rPr>
        <w:t>Iconic Research and Engineering Journals</w:t>
      </w:r>
      <w:r w:rsidRPr="009B1F48">
        <w:t>, </w:t>
      </w:r>
      <w:r w:rsidRPr="0084738C">
        <w:rPr>
          <w:i/>
          <w:iCs/>
        </w:rPr>
        <w:t>6</w:t>
      </w:r>
      <w:r w:rsidRPr="009B1F48">
        <w:t>(10), 324-338.</w:t>
      </w:r>
    </w:p>
    <w:p w:rsidR="00754479" w:rsidRDefault="00754479" w:rsidP="0084738C">
      <w:r w:rsidRPr="009B1F48">
        <w:t xml:space="preserve">Fleming, S., Burke, É., Doyle, C., Henderson, K., Horan, P., Byrne, K., </w:t>
      </w:r>
      <w:r>
        <w:t xml:space="preserve">and Keenan, P. (2025) </w:t>
      </w:r>
      <w:r w:rsidRPr="009B1F48">
        <w:t>Ensuring effective communication when undertaking a systematic health assessment. </w:t>
      </w:r>
      <w:r w:rsidRPr="0084738C">
        <w:rPr>
          <w:i/>
          <w:iCs/>
        </w:rPr>
        <w:t>Learning Disability Practice</w:t>
      </w:r>
      <w:r w:rsidRPr="009B1F48">
        <w:t>, </w:t>
      </w:r>
      <w:r w:rsidRPr="0084738C">
        <w:rPr>
          <w:i/>
          <w:iCs/>
        </w:rPr>
        <w:t>28</w:t>
      </w:r>
      <w:r w:rsidRPr="009B1F48">
        <w:t>(2).</w:t>
      </w:r>
    </w:p>
    <w:p w:rsidR="00754479" w:rsidRDefault="00754479" w:rsidP="0084738C">
      <w:r>
        <w:t>González‐Caballero, J. (2024)</w:t>
      </w:r>
      <w:r w:rsidRPr="009B1F48">
        <w:t xml:space="preserve"> Occupational health nursing: realities and challenges. </w:t>
      </w:r>
      <w:r w:rsidRPr="0084738C">
        <w:rPr>
          <w:i/>
          <w:iCs/>
        </w:rPr>
        <w:t>International nursing review</w:t>
      </w:r>
      <w:r w:rsidRPr="009B1F48">
        <w:t>, </w:t>
      </w:r>
      <w:r w:rsidRPr="0084738C">
        <w:rPr>
          <w:i/>
          <w:iCs/>
        </w:rPr>
        <w:t>71</w:t>
      </w:r>
      <w:r w:rsidRPr="009B1F48">
        <w:t>(3), 513-520.</w:t>
      </w:r>
    </w:p>
    <w:p w:rsidR="00754479" w:rsidRDefault="00754479" w:rsidP="0084738C">
      <w:r w:rsidRPr="009B1F48">
        <w:t>González-Caballero, J. (202</w:t>
      </w:r>
      <w:r>
        <w:t>5)</w:t>
      </w:r>
      <w:r w:rsidRPr="009B1F48">
        <w:t xml:space="preserve"> Mental health in organizations: Some reflections from an occupational health nursing perspective. </w:t>
      </w:r>
      <w:r w:rsidRPr="0084738C">
        <w:rPr>
          <w:i/>
          <w:iCs/>
        </w:rPr>
        <w:t>WORK</w:t>
      </w:r>
      <w:r w:rsidRPr="009B1F48">
        <w:t>, </w:t>
      </w:r>
      <w:r w:rsidRPr="0084738C">
        <w:rPr>
          <w:i/>
          <w:iCs/>
        </w:rPr>
        <w:t>80</w:t>
      </w:r>
      <w:r w:rsidRPr="009B1F48">
        <w:t>(3), 956-961.</w:t>
      </w:r>
    </w:p>
    <w:p w:rsidR="00754479" w:rsidRDefault="00754479" w:rsidP="0084738C">
      <w:r w:rsidRPr="009B1F48">
        <w:t xml:space="preserve">Pal, D. K. D., Chitta, S., Bonam, V. S. M., Katari, P., </w:t>
      </w:r>
      <w:r>
        <w:t>and Thota, S. (2023)</w:t>
      </w:r>
      <w:r w:rsidRPr="009B1F48">
        <w:t xml:space="preserve"> AI-Assisted Project Management: Enhancing Decision-Making and Forecasting. </w:t>
      </w:r>
      <w:r w:rsidRPr="0084738C">
        <w:rPr>
          <w:i/>
          <w:iCs/>
        </w:rPr>
        <w:t>J. Artif. Intell. Res</w:t>
      </w:r>
      <w:r w:rsidRPr="009B1F48">
        <w:t>, </w:t>
      </w:r>
      <w:r w:rsidRPr="0084738C">
        <w:rPr>
          <w:i/>
          <w:iCs/>
        </w:rPr>
        <w:t>3</w:t>
      </w:r>
      <w:r w:rsidRPr="009B1F48">
        <w:t>, 146-171.</w:t>
      </w:r>
    </w:p>
    <w:p w:rsidR="00754479" w:rsidRDefault="00754479" w:rsidP="0084738C">
      <w:r>
        <w:t>Rachmad, Y. E. (2022)</w:t>
      </w:r>
      <w:r w:rsidRPr="009B1F48">
        <w:t xml:space="preserve"> Communication Engagement Theory.</w:t>
      </w:r>
    </w:p>
    <w:p w:rsidR="009B070C" w:rsidRDefault="00754479" w:rsidP="0084738C">
      <w:r w:rsidRPr="0084738C">
        <w:t xml:space="preserve">Sharbatdaran, A., </w:t>
      </w:r>
      <w:r>
        <w:t>and Awan, O. A. (2023)</w:t>
      </w:r>
      <w:r w:rsidRPr="0084738C">
        <w:t xml:space="preserve"> Teaching empathy and emotional intelligence. </w:t>
      </w:r>
      <w:r w:rsidRPr="0084738C">
        <w:rPr>
          <w:i/>
          <w:iCs/>
        </w:rPr>
        <w:t>Academic Radiology</w:t>
      </w:r>
      <w:r w:rsidRPr="0084738C">
        <w:t>, </w:t>
      </w:r>
      <w:r w:rsidRPr="0084738C">
        <w:rPr>
          <w:i/>
          <w:iCs/>
        </w:rPr>
        <w:t>30</w:t>
      </w:r>
      <w:r w:rsidRPr="0084738C">
        <w:t>(11), 2793-2795.</w:t>
      </w:r>
    </w:p>
    <w:sectPr w:rsidR="009B070C" w:rsidSect="005D2BC6">
      <w:footerReference w:type="default" r:id="rId8"/>
      <w:pgSz w:w="11906" w:h="16838"/>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54F4A" w:rsidRDefault="00054F4A">
      <w:pPr>
        <w:spacing w:after="0" w:line="240" w:lineRule="auto"/>
      </w:pPr>
      <w:r>
        <w:separator/>
      </w:r>
    </w:p>
  </w:endnote>
  <w:endnote w:type="continuationSeparator" w:id="1">
    <w:p w:rsidR="00054F4A" w:rsidRDefault="00054F4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13233898"/>
      <w:docPartObj>
        <w:docPartGallery w:val="Page Numbers (Bottom of Page)"/>
        <w:docPartUnique/>
      </w:docPartObj>
    </w:sdtPr>
    <w:sdtEndPr>
      <w:rPr>
        <w:noProof/>
      </w:rPr>
    </w:sdtEndPr>
    <w:sdtContent>
      <w:p w:rsidR="001C19A1" w:rsidRDefault="00581016">
        <w:pPr>
          <w:pStyle w:val="Footer"/>
          <w:jc w:val="center"/>
        </w:pPr>
        <w:r>
          <w:fldChar w:fldCharType="begin"/>
        </w:r>
        <w:r w:rsidR="00296D1C">
          <w:instrText xml:space="preserve"> PAGE   \* MERGEFORMAT </w:instrText>
        </w:r>
        <w:r>
          <w:fldChar w:fldCharType="separate"/>
        </w:r>
        <w:r w:rsidR="004F3CBE">
          <w:rPr>
            <w:noProof/>
          </w:rPr>
          <w:t>1</w:t>
        </w:r>
        <w:r>
          <w:rPr>
            <w:noProof/>
          </w:rPr>
          <w:fldChar w:fldCharType="end"/>
        </w:r>
      </w:p>
    </w:sdtContent>
  </w:sdt>
  <w:p w:rsidR="001C19A1" w:rsidRDefault="001C19A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54F4A" w:rsidRDefault="00054F4A">
      <w:pPr>
        <w:spacing w:after="0" w:line="240" w:lineRule="auto"/>
      </w:pPr>
      <w:r>
        <w:separator/>
      </w:r>
    </w:p>
  </w:footnote>
  <w:footnote w:type="continuationSeparator" w:id="1">
    <w:p w:rsidR="00054F4A" w:rsidRDefault="00054F4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F027BE"/>
    <w:multiLevelType w:val="multilevel"/>
    <w:tmpl w:val="C2826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081842"/>
    <w:multiLevelType w:val="multilevel"/>
    <w:tmpl w:val="B9C41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9FD35F7"/>
    <w:multiLevelType w:val="multilevel"/>
    <w:tmpl w:val="038EA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ED454EC"/>
    <w:multiLevelType w:val="multilevel"/>
    <w:tmpl w:val="3648B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42F5978"/>
    <w:multiLevelType w:val="hybridMultilevel"/>
    <w:tmpl w:val="16040C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1D018A6"/>
    <w:multiLevelType w:val="multilevel"/>
    <w:tmpl w:val="7CA40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AEE508B"/>
    <w:multiLevelType w:val="multilevel"/>
    <w:tmpl w:val="786AE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D9C1B15"/>
    <w:multiLevelType w:val="multilevel"/>
    <w:tmpl w:val="3C1A3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00F5F38"/>
    <w:multiLevelType w:val="multilevel"/>
    <w:tmpl w:val="79644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571662A"/>
    <w:multiLevelType w:val="hybridMultilevel"/>
    <w:tmpl w:val="57BC5C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70E83BE6"/>
    <w:multiLevelType w:val="multilevel"/>
    <w:tmpl w:val="627A3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72B036B"/>
    <w:multiLevelType w:val="multilevel"/>
    <w:tmpl w:val="8368B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1"/>
  </w:num>
  <w:num w:numId="3">
    <w:abstractNumId w:val="10"/>
  </w:num>
  <w:num w:numId="4">
    <w:abstractNumId w:val="5"/>
  </w:num>
  <w:num w:numId="5">
    <w:abstractNumId w:val="8"/>
  </w:num>
  <w:num w:numId="6">
    <w:abstractNumId w:val="7"/>
  </w:num>
  <w:num w:numId="7">
    <w:abstractNumId w:val="2"/>
  </w:num>
  <w:num w:numId="8">
    <w:abstractNumId w:val="3"/>
  </w:num>
  <w:num w:numId="9">
    <w:abstractNumId w:val="1"/>
  </w:num>
  <w:num w:numId="10">
    <w:abstractNumId w:val="0"/>
  </w:num>
  <w:num w:numId="11">
    <w:abstractNumId w:val="9"/>
  </w:num>
  <w:num w:numId="12">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4F660C"/>
    <w:rsid w:val="00007E30"/>
    <w:rsid w:val="00054F4A"/>
    <w:rsid w:val="00077C84"/>
    <w:rsid w:val="000B482F"/>
    <w:rsid w:val="000C25DC"/>
    <w:rsid w:val="000E683F"/>
    <w:rsid w:val="001357C0"/>
    <w:rsid w:val="001B793D"/>
    <w:rsid w:val="001C19A1"/>
    <w:rsid w:val="002114E4"/>
    <w:rsid w:val="00296D1C"/>
    <w:rsid w:val="003C6463"/>
    <w:rsid w:val="003C7E43"/>
    <w:rsid w:val="00461844"/>
    <w:rsid w:val="00474D94"/>
    <w:rsid w:val="004D789D"/>
    <w:rsid w:val="004F3CBE"/>
    <w:rsid w:val="004F660C"/>
    <w:rsid w:val="00501C42"/>
    <w:rsid w:val="00540932"/>
    <w:rsid w:val="00581016"/>
    <w:rsid w:val="005A64C7"/>
    <w:rsid w:val="005D2BC6"/>
    <w:rsid w:val="005E6748"/>
    <w:rsid w:val="005F2706"/>
    <w:rsid w:val="00604578"/>
    <w:rsid w:val="00617C56"/>
    <w:rsid w:val="0062486A"/>
    <w:rsid w:val="00754479"/>
    <w:rsid w:val="00764759"/>
    <w:rsid w:val="007C64E6"/>
    <w:rsid w:val="00831138"/>
    <w:rsid w:val="0084738C"/>
    <w:rsid w:val="008734DE"/>
    <w:rsid w:val="0089530F"/>
    <w:rsid w:val="009A7F8D"/>
    <w:rsid w:val="009B070C"/>
    <w:rsid w:val="009B1F48"/>
    <w:rsid w:val="00B53CEC"/>
    <w:rsid w:val="00B567C5"/>
    <w:rsid w:val="00B85F98"/>
    <w:rsid w:val="00C601B1"/>
    <w:rsid w:val="00CC329D"/>
    <w:rsid w:val="00D200FF"/>
    <w:rsid w:val="00D478CF"/>
    <w:rsid w:val="00D55C85"/>
    <w:rsid w:val="00DA3666"/>
    <w:rsid w:val="00DB2AD6"/>
    <w:rsid w:val="00EE54EA"/>
    <w:rsid w:val="00F5571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3666"/>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DA3666"/>
    <w:pPr>
      <w:keepNext/>
      <w:keepLines/>
      <w:spacing w:before="240" w:after="0"/>
      <w:outlineLvl w:val="0"/>
    </w:pPr>
    <w:rPr>
      <w:rFonts w:eastAsiaTheme="majorEastAsia" w:cstheme="majorBidi"/>
      <w:b/>
      <w:sz w:val="28"/>
      <w:szCs w:val="32"/>
    </w:rPr>
  </w:style>
  <w:style w:type="paragraph" w:styleId="Heading2">
    <w:name w:val="heading 2"/>
    <w:basedOn w:val="Normal"/>
    <w:link w:val="Heading2Char"/>
    <w:uiPriority w:val="9"/>
    <w:qFormat/>
    <w:rsid w:val="002114E4"/>
    <w:pPr>
      <w:spacing w:before="100" w:beforeAutospacing="1" w:after="100" w:afterAutospacing="1" w:line="240" w:lineRule="auto"/>
      <w:outlineLvl w:val="1"/>
    </w:pPr>
    <w:rPr>
      <w:rFonts w:eastAsia="Times New Roman" w:cs="Times New Roman"/>
      <w:bCs/>
      <w:sz w:val="26"/>
      <w:szCs w:val="36"/>
      <w:u w:val="single"/>
      <w:lang w:eastAsia="en-GB"/>
    </w:rPr>
  </w:style>
  <w:style w:type="paragraph" w:styleId="Heading3">
    <w:name w:val="heading 3"/>
    <w:basedOn w:val="Normal"/>
    <w:link w:val="Heading3Char"/>
    <w:uiPriority w:val="9"/>
    <w:qFormat/>
    <w:rsid w:val="004F660C"/>
    <w:pPr>
      <w:spacing w:before="100" w:beforeAutospacing="1" w:after="100" w:afterAutospacing="1" w:line="240" w:lineRule="auto"/>
      <w:jc w:val="left"/>
      <w:outlineLvl w:val="2"/>
    </w:pPr>
    <w:rPr>
      <w:rFonts w:eastAsia="Times New Roman" w:cs="Times New Roman"/>
      <w:b/>
      <w:bCs/>
      <w:sz w:val="27"/>
      <w:szCs w:val="27"/>
      <w:lang w:eastAsia="en-GB"/>
    </w:rPr>
  </w:style>
  <w:style w:type="paragraph" w:styleId="Heading4">
    <w:name w:val="heading 4"/>
    <w:basedOn w:val="Normal"/>
    <w:link w:val="Heading4Char"/>
    <w:uiPriority w:val="9"/>
    <w:qFormat/>
    <w:rsid w:val="004F660C"/>
    <w:pPr>
      <w:spacing w:before="100" w:beforeAutospacing="1" w:after="100" w:afterAutospacing="1" w:line="240" w:lineRule="auto"/>
      <w:jc w:val="left"/>
      <w:outlineLvl w:val="3"/>
    </w:pPr>
    <w:rPr>
      <w:rFonts w:eastAsia="Times New Roman" w:cs="Times New Roman"/>
      <w:b/>
      <w:bCs/>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3666"/>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2114E4"/>
    <w:rPr>
      <w:rFonts w:ascii="Times New Roman" w:eastAsia="Times New Roman" w:hAnsi="Times New Roman" w:cs="Times New Roman"/>
      <w:bCs/>
      <w:sz w:val="26"/>
      <w:szCs w:val="36"/>
      <w:u w:val="single"/>
      <w:lang w:eastAsia="en-GB"/>
    </w:rPr>
  </w:style>
  <w:style w:type="character" w:customStyle="1" w:styleId="Heading3Char">
    <w:name w:val="Heading 3 Char"/>
    <w:basedOn w:val="DefaultParagraphFont"/>
    <w:link w:val="Heading3"/>
    <w:uiPriority w:val="9"/>
    <w:rsid w:val="004F660C"/>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4F660C"/>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4F660C"/>
    <w:rPr>
      <w:b/>
      <w:bCs/>
    </w:rPr>
  </w:style>
  <w:style w:type="paragraph" w:styleId="NormalWeb">
    <w:name w:val="Normal (Web)"/>
    <w:basedOn w:val="Normal"/>
    <w:uiPriority w:val="99"/>
    <w:unhideWhenUsed/>
    <w:rsid w:val="004F660C"/>
    <w:pPr>
      <w:spacing w:before="100" w:beforeAutospacing="1" w:after="100" w:afterAutospacing="1" w:line="240" w:lineRule="auto"/>
      <w:jc w:val="left"/>
    </w:pPr>
    <w:rPr>
      <w:rFonts w:eastAsia="Times New Roman" w:cs="Times New Roman"/>
      <w:szCs w:val="24"/>
      <w:lang w:eastAsia="en-GB"/>
    </w:rPr>
  </w:style>
  <w:style w:type="character" w:styleId="Emphasis">
    <w:name w:val="Emphasis"/>
    <w:basedOn w:val="DefaultParagraphFont"/>
    <w:uiPriority w:val="20"/>
    <w:qFormat/>
    <w:rsid w:val="004F660C"/>
    <w:rPr>
      <w:i/>
      <w:iCs/>
    </w:rPr>
  </w:style>
  <w:style w:type="paragraph" w:styleId="Title">
    <w:name w:val="Title"/>
    <w:basedOn w:val="Normal"/>
    <w:next w:val="Normal"/>
    <w:link w:val="TitleChar"/>
    <w:uiPriority w:val="10"/>
    <w:qFormat/>
    <w:rsid w:val="002114E4"/>
    <w:pPr>
      <w:spacing w:after="0" w:line="240" w:lineRule="auto"/>
      <w:contextualSpacing/>
      <w:jc w:val="center"/>
    </w:pPr>
    <w:rPr>
      <w:rFonts w:eastAsiaTheme="majorEastAsia" w:cstheme="majorBidi"/>
      <w:b/>
      <w:i/>
      <w:spacing w:val="-10"/>
      <w:kern w:val="28"/>
      <w:sz w:val="56"/>
      <w:szCs w:val="56"/>
    </w:rPr>
  </w:style>
  <w:style w:type="character" w:customStyle="1" w:styleId="TitleChar">
    <w:name w:val="Title Char"/>
    <w:basedOn w:val="DefaultParagraphFont"/>
    <w:link w:val="Title"/>
    <w:uiPriority w:val="10"/>
    <w:rsid w:val="002114E4"/>
    <w:rPr>
      <w:rFonts w:ascii="Times New Roman" w:eastAsiaTheme="majorEastAsia" w:hAnsi="Times New Roman" w:cstheme="majorBidi"/>
      <w:b/>
      <w:i/>
      <w:spacing w:val="-10"/>
      <w:kern w:val="28"/>
      <w:sz w:val="56"/>
      <w:szCs w:val="56"/>
    </w:rPr>
  </w:style>
  <w:style w:type="paragraph" w:styleId="Header">
    <w:name w:val="header"/>
    <w:basedOn w:val="Normal"/>
    <w:link w:val="HeaderChar"/>
    <w:uiPriority w:val="99"/>
    <w:unhideWhenUsed/>
    <w:rsid w:val="001C19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19A1"/>
    <w:rPr>
      <w:rFonts w:ascii="Times New Roman" w:hAnsi="Times New Roman"/>
      <w:sz w:val="24"/>
    </w:rPr>
  </w:style>
  <w:style w:type="paragraph" w:styleId="Footer">
    <w:name w:val="footer"/>
    <w:basedOn w:val="Normal"/>
    <w:link w:val="FooterChar"/>
    <w:uiPriority w:val="99"/>
    <w:unhideWhenUsed/>
    <w:rsid w:val="001C19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19A1"/>
    <w:rPr>
      <w:rFonts w:ascii="Times New Roman" w:hAnsi="Times New Roman"/>
      <w:sz w:val="24"/>
    </w:rPr>
  </w:style>
  <w:style w:type="paragraph" w:styleId="TOCHeading">
    <w:name w:val="TOC Heading"/>
    <w:basedOn w:val="Heading1"/>
    <w:next w:val="Normal"/>
    <w:uiPriority w:val="39"/>
    <w:unhideWhenUsed/>
    <w:qFormat/>
    <w:rsid w:val="00007E30"/>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007E30"/>
    <w:pPr>
      <w:spacing w:after="100"/>
    </w:pPr>
  </w:style>
  <w:style w:type="paragraph" w:styleId="TOC2">
    <w:name w:val="toc 2"/>
    <w:basedOn w:val="Normal"/>
    <w:next w:val="Normal"/>
    <w:autoRedefine/>
    <w:uiPriority w:val="39"/>
    <w:unhideWhenUsed/>
    <w:rsid w:val="00007E30"/>
    <w:pPr>
      <w:spacing w:after="100"/>
      <w:ind w:left="240"/>
    </w:pPr>
  </w:style>
  <w:style w:type="character" w:styleId="Hyperlink">
    <w:name w:val="Hyperlink"/>
    <w:basedOn w:val="DefaultParagraphFont"/>
    <w:uiPriority w:val="99"/>
    <w:unhideWhenUsed/>
    <w:rsid w:val="00007E30"/>
    <w:rPr>
      <w:color w:val="0563C1" w:themeColor="hyperlink"/>
      <w:u w:val="single"/>
    </w:rPr>
  </w:style>
  <w:style w:type="paragraph" w:styleId="ListParagraph">
    <w:name w:val="List Paragraph"/>
    <w:basedOn w:val="Normal"/>
    <w:uiPriority w:val="34"/>
    <w:qFormat/>
    <w:rsid w:val="009B1F48"/>
    <w:pPr>
      <w:ind w:left="720"/>
      <w:contextualSpacing/>
    </w:pPr>
  </w:style>
  <w:style w:type="paragraph" w:styleId="BalloonText">
    <w:name w:val="Balloon Text"/>
    <w:basedOn w:val="Normal"/>
    <w:link w:val="BalloonTextChar"/>
    <w:uiPriority w:val="99"/>
    <w:semiHidden/>
    <w:unhideWhenUsed/>
    <w:rsid w:val="005E67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674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C8A5EC-610A-4207-A221-544C3F0B6E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1690</Words>
  <Characters>9634</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Kojo</cp:lastModifiedBy>
  <cp:revision>8</cp:revision>
  <dcterms:created xsi:type="dcterms:W3CDTF">2025-10-29T18:51:00Z</dcterms:created>
  <dcterms:modified xsi:type="dcterms:W3CDTF">2025-11-21T18:29:00Z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d41d7115-9c70-4581-ae8c-b19ecd4af07e</vt:lpwstr>
  </property>
</Properties>
</file>