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8EFB6C" w14:textId="77777777" w:rsidR="006510C4" w:rsidRPr="006510C4" w:rsidRDefault="006510C4" w:rsidP="006510C4">
      <w:pPr>
        <w:ind w:left="720"/>
        <w:jc w:val="center"/>
        <w:rPr>
          <w:sz w:val="24"/>
          <w:szCs w:val="24"/>
          <w:u w:val="single"/>
        </w:rPr>
      </w:pPr>
      <w:r w:rsidRPr="006510C4">
        <w:rPr>
          <w:sz w:val="24"/>
          <w:szCs w:val="24"/>
          <w:u w:val="single"/>
        </w:rPr>
        <w:t>Were the Cistercians distinctive in the operation of their economy?</w:t>
      </w:r>
    </w:p>
    <w:p w14:paraId="001FF3AE" w14:textId="77777777" w:rsidR="006510C4" w:rsidRDefault="006510C4" w:rsidP="006510C4">
      <w:pPr>
        <w:jc w:val="center"/>
      </w:pPr>
    </w:p>
    <w:p w14:paraId="375A1C63" w14:textId="77777777" w:rsidR="006510C4" w:rsidRDefault="006510C4" w:rsidP="006510C4"/>
    <w:p w14:paraId="115F2E97" w14:textId="5028356D" w:rsidR="006510C4" w:rsidRDefault="006510C4" w:rsidP="006510C4">
      <w:r w:rsidRPr="006510C4">
        <w:t xml:space="preserve">The Cistercian order, established in the late 11th century, rapidly became recognised as a unique reform movement in mediaeval monasticism. The early Cistercians rejected the wealth and benefits amassed by older Benedictine houses, aiming to adhere closely to the Rule of St. Benedict, with a particular focus on manual labour and simplicity. Unlike traditional monasteries that relied on feudal rents, tithes, and ecclesiastical benefices for income, the White Monks established an economic model centred on the direct exploitation of land, organised into extensive monastic farms, or granges, managed by community members. This model, defined by self-sufficiency, agricultural innovation, and the significant employment of lay brothers as labourers, rendered the Cistercians' economic activities notably unique in their initial centuries. Over time, the practices of the Order evolved and increasingly aligned with those of other monastic orders. War, plague, and institutional change during the later Middle Ages diminished the early distinctiveness of the Cistercian economy, as lay brotherhoods declined and convents began to utilise tithes, rents, and hired labour </w:t>
      </w:r>
      <w:r w:rsidRPr="006510C4">
        <w:t>like</w:t>
      </w:r>
      <w:r w:rsidRPr="006510C4">
        <w:t xml:space="preserve"> their contemporaries.</w:t>
      </w:r>
    </w:p>
    <w:p w14:paraId="74C8BA52" w14:textId="77777777" w:rsidR="006510C4" w:rsidRDefault="006510C4" w:rsidP="006510C4"/>
    <w:p w14:paraId="21CD234B" w14:textId="2DEEE8A0" w:rsidR="00783560" w:rsidRDefault="006510C4" w:rsidP="00783560">
      <w:r w:rsidRPr="006510C4">
        <w:t xml:space="preserve">The founders of </w:t>
      </w:r>
      <w:proofErr w:type="spellStart"/>
      <w:r w:rsidRPr="006510C4">
        <w:t>Cîteaux</w:t>
      </w:r>
      <w:proofErr w:type="spellEnd"/>
      <w:r w:rsidRPr="006510C4">
        <w:t xml:space="preserve"> established in 1098 their aims to restore the rigorous Benedictine life characterised by work and prayer, in response to their perception of the indulgent and affluent lifestyle at the mother abbey of </w:t>
      </w:r>
      <w:proofErr w:type="spellStart"/>
      <w:r w:rsidRPr="006510C4">
        <w:t>Molesme</w:t>
      </w:r>
      <w:proofErr w:type="spellEnd"/>
      <w:r w:rsidRPr="006510C4">
        <w:t>.</w:t>
      </w:r>
      <w:r w:rsidR="00783560">
        <w:rPr>
          <w:rStyle w:val="FootnoteReference"/>
        </w:rPr>
        <w:footnoteReference w:id="1"/>
      </w:r>
      <w:r w:rsidRPr="006510C4">
        <w:t xml:space="preserve"> Early Cistercian texts such as the </w:t>
      </w:r>
      <w:r w:rsidRPr="006510C4">
        <w:rPr>
          <w:i/>
          <w:iCs/>
        </w:rPr>
        <w:t>Exordium Parvum</w:t>
      </w:r>
      <w:r w:rsidRPr="006510C4">
        <w:t xml:space="preserve"> and the </w:t>
      </w:r>
      <w:r w:rsidRPr="006510C4">
        <w:rPr>
          <w:i/>
          <w:iCs/>
        </w:rPr>
        <w:t xml:space="preserve">Carta </w:t>
      </w:r>
      <w:proofErr w:type="spellStart"/>
      <w:r w:rsidRPr="006510C4">
        <w:rPr>
          <w:i/>
          <w:iCs/>
        </w:rPr>
        <w:t>Caritatis</w:t>
      </w:r>
      <w:proofErr w:type="spellEnd"/>
      <w:r w:rsidRPr="006510C4">
        <w:t xml:space="preserve"> delineate the economic principles of the new order. Stephen Harding, the third abbot of </w:t>
      </w:r>
      <w:proofErr w:type="spellStart"/>
      <w:r w:rsidRPr="006510C4">
        <w:t>Cîteaux</w:t>
      </w:r>
      <w:proofErr w:type="spellEnd"/>
      <w:r w:rsidRPr="006510C4">
        <w:t xml:space="preserve">, was instrumental in the formulation of these statutes during the period of the Order's significant expansion, with the </w:t>
      </w:r>
      <w:r w:rsidRPr="006510C4">
        <w:rPr>
          <w:i/>
          <w:iCs/>
        </w:rPr>
        <w:t xml:space="preserve">Carta </w:t>
      </w:r>
      <w:proofErr w:type="spellStart"/>
      <w:r w:rsidRPr="006510C4">
        <w:rPr>
          <w:i/>
          <w:iCs/>
        </w:rPr>
        <w:t>Caritatis</w:t>
      </w:r>
      <w:proofErr w:type="spellEnd"/>
      <w:r w:rsidRPr="006510C4">
        <w:t xml:space="preserve"> receiving approval from Pope Calixtus II in 1119.</w:t>
      </w:r>
      <w:r>
        <w:rPr>
          <w:rStyle w:val="FootnoteReference"/>
        </w:rPr>
        <w:footnoteReference w:id="2"/>
      </w:r>
      <w:r w:rsidR="00783560">
        <w:t xml:space="preserve">  </w:t>
      </w:r>
      <w:r w:rsidR="00783560" w:rsidRPr="00783560">
        <w:t xml:space="preserve">Two foundational principles influenced the Cistercian economy at its beginning: a dedication to poverty and self-sufficiency, and a deliberate avoidance of income sources that could bind the monks to secular obligations. The early Cistercians rejected traditional forms of revenue for monastic houses, such as manors, churches, and tithes, which had become established by the eleventh century. Instead, they aimed to live in isolation and sustain themselves through direct utilisation of their lands. In contrast to older Benedictine monasteries, such as the wealthy Cluniac houses that generated significant income from feudal rents, parish tithes, and control over peasant villages, the Cistercians initially rejected all forms of income from benefices, tithes, tolls, and rents, relying entirely on their land for sustenance. The </w:t>
      </w:r>
      <w:r w:rsidR="00783560" w:rsidRPr="008938CF">
        <w:rPr>
          <w:i/>
          <w:iCs/>
        </w:rPr>
        <w:t xml:space="preserve">Carta </w:t>
      </w:r>
      <w:proofErr w:type="spellStart"/>
      <w:r w:rsidR="00783560" w:rsidRPr="008938CF">
        <w:rPr>
          <w:i/>
          <w:iCs/>
        </w:rPr>
        <w:t>Caritatis</w:t>
      </w:r>
      <w:proofErr w:type="spellEnd"/>
      <w:r w:rsidR="008938CF">
        <w:t xml:space="preserve"> </w:t>
      </w:r>
      <w:r w:rsidR="00783560" w:rsidRPr="00783560">
        <w:t>explicitly prohibits Cistercian houses from holding parish churches, receiving tithes, or charging rents on peasant holdings.</w:t>
      </w:r>
      <w:r w:rsidR="008938CF">
        <w:rPr>
          <w:rStyle w:val="FootnoteReference"/>
        </w:rPr>
        <w:footnoteReference w:id="3"/>
      </w:r>
      <w:r w:rsidR="00783560" w:rsidRPr="00783560">
        <w:t xml:space="preserve"> This measure aims to liberate them from worldly ties and conflicts of interest. The white monks aimed to maintain their independence and concentrate on the </w:t>
      </w:r>
      <w:r w:rsidR="008938CF" w:rsidRPr="00783560">
        <w:t>self-sufficiency</w:t>
      </w:r>
      <w:r w:rsidR="00783560" w:rsidRPr="00783560">
        <w:t> of monastic life, as outlined by St. Benedict, by relinquishing endowments associated with feudal obligations or ecclesiastical duties.</w:t>
      </w:r>
    </w:p>
    <w:p w14:paraId="77FB0EAD" w14:textId="77777777" w:rsidR="004D1E6E" w:rsidRDefault="004D1E6E" w:rsidP="00783560"/>
    <w:p w14:paraId="78F81AD5" w14:textId="03ECA860" w:rsidR="004D1E6E" w:rsidRDefault="004D1E6E" w:rsidP="004D1E6E">
      <w:r w:rsidRPr="004D1E6E">
        <w:lastRenderedPageBreak/>
        <w:t xml:space="preserve">By the 1120s, the fundamental characteristics of the Cistercian economy had been established: each abbey aimed for self-sufficiency, generating income from its own lands cultivated internally (by monks and </w:t>
      </w:r>
      <w:r w:rsidRPr="004D1E6E">
        <w:rPr>
          <w:i/>
          <w:iCs/>
        </w:rPr>
        <w:t>conversi</w:t>
      </w:r>
      <w:r w:rsidRPr="004D1E6E">
        <w:t xml:space="preserve">) instead of depending on external rents or ecclesiastical revenue. This model was established in Cistercian constitutional documents and regarded by contemporaries as a revival of primitive monastic simplicity. William of </w:t>
      </w:r>
      <w:proofErr w:type="spellStart"/>
      <w:r w:rsidRPr="004D1E6E">
        <w:t>Malmesbury</w:t>
      </w:r>
      <w:proofErr w:type="spellEnd"/>
      <w:r w:rsidRPr="004D1E6E">
        <w:t>, a chronicler from the early 12th century, commended the Cistercians for their austerity and self-denial.</w:t>
      </w:r>
      <w:r w:rsidR="00951411">
        <w:rPr>
          <w:rStyle w:val="FootnoteReference"/>
        </w:rPr>
        <w:footnoteReference w:id="4"/>
      </w:r>
      <w:r w:rsidRPr="004D1E6E">
        <w:t xml:space="preserve"> Similarly, </w:t>
      </w:r>
      <w:proofErr w:type="spellStart"/>
      <w:r w:rsidRPr="004D1E6E">
        <w:t>Orderic</w:t>
      </w:r>
      <w:proofErr w:type="spellEnd"/>
      <w:r w:rsidRPr="004D1E6E">
        <w:t xml:space="preserve"> Vitalis, a monk-historian, noted that the White Monks established their monasteries in secluded wooded areas and adopted new practices, particularly emphasising rural labour and donning undyed wool habits, which led to their designation as “White Monks.”</w:t>
      </w:r>
      <w:r w:rsidR="00951411">
        <w:rPr>
          <w:rStyle w:val="FootnoteReference"/>
        </w:rPr>
        <w:footnoteReference w:id="5"/>
      </w:r>
      <w:r w:rsidR="00951411">
        <w:t xml:space="preserve"> </w:t>
      </w:r>
      <w:r w:rsidRPr="004D1E6E">
        <w:t>These comments highlight that the economic uniqueness of the Cistercians, characterised by their departure from the traditional wealth and comfort of earlier orders, was evident from the beginning. This foundational principle established the framework for the complex economic systems that the Order would create during its expansion.</w:t>
      </w:r>
    </w:p>
    <w:p w14:paraId="352F2EF3" w14:textId="77777777" w:rsidR="003B118E" w:rsidRDefault="003B118E" w:rsidP="004D1E6E"/>
    <w:p w14:paraId="3EF805A2" w14:textId="7C2D7582" w:rsidR="00206608" w:rsidRDefault="003B118E" w:rsidP="00206608">
      <w:r w:rsidRPr="003B118E">
        <w:t xml:space="preserve">The Cistercians became the forerunners of large-scale farming in medieval Europe by following their ideal of an independent agrarian lifestyle. Instead of dividing these properties among peasant tenants or renting them out (as was typical for other orders), the Cistercians consolidated their holdings into small blocks that the abbey could directly oversee. Each monastery purchased territories on which to build its dominion. The grange (from the Latin </w:t>
      </w:r>
      <w:proofErr w:type="spellStart"/>
      <w:r w:rsidRPr="003B118E">
        <w:rPr>
          <w:i/>
          <w:iCs/>
        </w:rPr>
        <w:t>grangia</w:t>
      </w:r>
      <w:proofErr w:type="spellEnd"/>
      <w:r w:rsidRPr="003B118E">
        <w:t xml:space="preserve">, a barn or farmstead) was the fundamental operational unit of Cistercian land management. It was a sort of satellite farm of the monastery, usually situated a while distant from the abbey, but theoretically no more than a day's drive away. A small permanent community of </w:t>
      </w:r>
      <w:r w:rsidRPr="003B118E">
        <w:rPr>
          <w:i/>
          <w:iCs/>
        </w:rPr>
        <w:t>conversi</w:t>
      </w:r>
      <w:r w:rsidRPr="003B118E">
        <w:t xml:space="preserve"> worked in each grange, which was a mostly self-sufficient farm complex that frequently specialised in a particular type of production (for example, a dairy grange, an arable grange for grain, a sheep pasture, a vineyard, etc.). The grange master, who could be a senior lay brother or occasionally a monk, oversaw the staff.</w:t>
      </w:r>
      <w:r>
        <w:rPr>
          <w:rStyle w:val="FootnoteReference"/>
        </w:rPr>
        <w:footnoteReference w:id="6"/>
      </w:r>
      <w:r w:rsidR="00F565A5">
        <w:t xml:space="preserve"> </w:t>
      </w:r>
      <w:r w:rsidR="00B064A4" w:rsidRPr="00B064A4">
        <w:t>The grange system represented a significant economic innovation by the Cistercians, facilitating the efficient cultivation of vast territories. Monastic cartularies and charters from the 12th and 13th centuries indicate that Cistercian abbeys participated in various small land transactions, including purchases, swaps, and quitclaims, with the objective of consolidating fragmented holdings of previously cultivated lands into larger, more compact units.</w:t>
      </w:r>
      <w:r w:rsidR="00B064A4">
        <w:rPr>
          <w:rStyle w:val="FootnoteReference"/>
        </w:rPr>
        <w:footnoteReference w:id="7"/>
      </w:r>
      <w:r w:rsidR="00B064A4" w:rsidRPr="00B064A4">
        <w:t xml:space="preserve"> The Cistercians aimed to consolidate their lands into contiguous blocks surrounding their abbey or in select key areas, rather than adopting the typical endowment pattern of dispersed manors characteristic of older monasteries.</w:t>
      </w:r>
      <w:r w:rsidR="001B0BB5">
        <w:t xml:space="preserve"> The Cistercian would gain lands for their monasteries to be founded upon and area around for granges through donations, for example, the Citeaux abbey was given its land through the donation of Hugh I in 1115.</w:t>
      </w:r>
      <w:r w:rsidR="001B0BB5">
        <w:rPr>
          <w:rStyle w:val="FootnoteReference"/>
        </w:rPr>
        <w:footnoteReference w:id="8"/>
      </w:r>
      <w:r w:rsidR="00B064A4" w:rsidRPr="00B064A4">
        <w:t xml:space="preserve"> At Boxley Abbey in Kent, established in 1146, existing records indicate that by the early 14th century, the abbey's lands had been consolidated into three primary clusters: around Boxley, on the adjacent Medway estuary marshes, and in the Weald, rather than remaining as isolated plots.</w:t>
      </w:r>
      <w:r w:rsidR="001B0BB5">
        <w:rPr>
          <w:rStyle w:val="FootnoteReference"/>
        </w:rPr>
        <w:footnoteReference w:id="9"/>
      </w:r>
      <w:r w:rsidR="00B064A4" w:rsidRPr="00B064A4">
        <w:t xml:space="preserve"> This deliberate consolidation enabled each abbey to optimise agricultural production while minimising transportation and management expenses, effectively establishing extensive demesne farms under direct monastic control.</w:t>
      </w:r>
      <w:r w:rsidR="00EC2FEB">
        <w:t xml:space="preserve"> </w:t>
      </w:r>
      <w:r w:rsidR="00206608" w:rsidRPr="00206608">
        <w:t xml:space="preserve">The white </w:t>
      </w:r>
      <w:r w:rsidR="00206608" w:rsidRPr="00206608">
        <w:lastRenderedPageBreak/>
        <w:t>monks' transformation of the wilderness into productive estates was frequently noted by observers of the time. Contemporary observers often remarked on how the white monks turned wilderness into fertile estates. The satirist Walter Map, writing ca. 1180, quipped that the Cistercians would acquire a parcel of wasteland from a pious donor “by much feigning of innocence and long importunity, putting in God at every other word,” only to swiftly convert it into a rich farm.</w:t>
      </w:r>
      <w:r w:rsidR="00206608">
        <w:rPr>
          <w:rStyle w:val="FootnoteReference"/>
        </w:rPr>
        <w:footnoteReference w:id="10"/>
      </w:r>
    </w:p>
    <w:p w14:paraId="35A8241A" w14:textId="77777777" w:rsidR="00740A88" w:rsidRDefault="00740A88" w:rsidP="00206608"/>
    <w:p w14:paraId="15D467E7" w14:textId="2EE53DB6" w:rsidR="00740A88" w:rsidRDefault="00740A88" w:rsidP="00740A88">
      <w:r w:rsidRPr="00740A88">
        <w:t xml:space="preserve">The labour force that drove the Cistercian economy was unique in both size and composition. The institution of lay brothers </w:t>
      </w:r>
      <w:r w:rsidRPr="00740A88">
        <w:rPr>
          <w:i/>
          <w:iCs/>
        </w:rPr>
        <w:t>(conversi</w:t>
      </w:r>
      <w:r w:rsidRPr="00740A88">
        <w:t xml:space="preserve">), non-ordained men who took religious vows but lived apart and prioritised manual labour above liturgical </w:t>
      </w:r>
      <w:r w:rsidR="00503BB6" w:rsidRPr="00740A88">
        <w:t>responsibilities and</w:t>
      </w:r>
      <w:r>
        <w:t xml:space="preserve"> could not become monks as the </w:t>
      </w:r>
      <w:r w:rsidRPr="00503BB6">
        <w:rPr>
          <w:i/>
          <w:iCs/>
        </w:rPr>
        <w:t>Charter of Charity</w:t>
      </w:r>
      <w:r>
        <w:t xml:space="preserve"> states,</w:t>
      </w:r>
      <w:r>
        <w:rPr>
          <w:rStyle w:val="FootnoteReference"/>
        </w:rPr>
        <w:footnoteReference w:id="11"/>
      </w:r>
      <w:r w:rsidRPr="00740A88">
        <w:t xml:space="preserve"> was at the heart of this. Without depending on outside serfdom or peasant tenantry, the Cistercians were able to sustain a large-scale agricultural economy thanks to these </w:t>
      </w:r>
      <w:r w:rsidRPr="00740A88">
        <w:rPr>
          <w:i/>
          <w:iCs/>
        </w:rPr>
        <w:t>conversi</w:t>
      </w:r>
      <w:r w:rsidRPr="00740A88">
        <w:t xml:space="preserve">. The spatial arrangement of Cistercian houses was modified as early as the 1120s to serve two different communities: lay brothers and choir monks. These </w:t>
      </w:r>
      <w:r w:rsidRPr="00740A88">
        <w:rPr>
          <w:i/>
          <w:iCs/>
        </w:rPr>
        <w:t xml:space="preserve">conversi </w:t>
      </w:r>
      <w:r w:rsidRPr="00740A88">
        <w:t>were primarily responsible for staffing and running the granges. They were supposed to carry out the everyday tasks of ploughing, harvesting, caring for animals, and delivering goods to markets. This paradigm differed from previous orders in both practice and ideology. The Cistercians preferred to internalise economic labour, employing conversi in tanneries, mills, and forges in addition to agriculture, while Benedictine monasteries frequently relied on customary peasant dues or the leasing of estates. Because lay brothers' activity was viewed as an extension of the monastic vocation, the system had spiritual overtones. The Cistercians felt they were purifying their monasticism and bringing themselves closer to the Rule of St. Benedict, which placed a strong emphasis on the dignity of labour, by eliminating their financial dependence on lay tenants.</w:t>
      </w:r>
      <w:r w:rsidRPr="00740A88">
        <w:br/>
      </w:r>
      <w:r w:rsidRPr="00740A88">
        <w:br/>
        <w:t xml:space="preserve">By the late 13th century, nevertheless, this building was starting to fall apart. As rural labourers discovered greater opportunities in independent farming or urban trades, the number of conversi hired decreased. This structure was further destroyed by the Black Death (1348–1350), which produced social and demographic turmoil. Many lay brothers perished, and those who survived were hard to replace. Cistercian homes started renting out the granges as tenant farms or using paid workers to work them </w:t>
      </w:r>
      <w:r w:rsidR="00503BB6" w:rsidRPr="00740A88">
        <w:t>increasingly</w:t>
      </w:r>
      <w:r w:rsidRPr="00740A88">
        <w:t xml:space="preserve"> the early 14th century. Compared to their previous self-contained economy, this was a substantial shift.</w:t>
      </w:r>
      <w:r w:rsidR="00503BB6">
        <w:rPr>
          <w:rStyle w:val="FootnoteReference"/>
        </w:rPr>
        <w:footnoteReference w:id="12"/>
      </w:r>
      <w:r w:rsidRPr="00740A88">
        <w:t xml:space="preserve"> Although they were not the only order to deal with these challenges, the Cistercians' transformation was more noticeable than that of other orders because of their reliance on a specialised internal labour force and their hesitancy to rent land.</w:t>
      </w:r>
      <w:r w:rsidR="00716D4C">
        <w:rPr>
          <w:rStyle w:val="FootnoteReference"/>
        </w:rPr>
        <w:footnoteReference w:id="13"/>
      </w:r>
      <w:r w:rsidRPr="00740A88">
        <w:t>  The legacy of the conversi system remained essential to the Order's character in spite of this change</w:t>
      </w:r>
      <w:r w:rsidR="00716D4C">
        <w:t>.</w:t>
      </w:r>
    </w:p>
    <w:p w14:paraId="1B28FD08" w14:textId="77777777" w:rsidR="00870BFA" w:rsidRDefault="00870BFA" w:rsidP="00740A88"/>
    <w:p w14:paraId="6CC9E330" w14:textId="7C3FC9BD" w:rsidR="005949DC" w:rsidRDefault="00870BFA" w:rsidP="005949DC">
      <w:r w:rsidRPr="00870BFA">
        <w:t xml:space="preserve">The Cistercian economy played a crucial role in the European wool trade, especially between the 12th and 14th centuries. Their focus on sheep rearing, supported by extensive grange lands and skilled lay brother labour, resulted in high-quality wool that became a significant export to markets in Flanders and northern Italy. In the 13th century, English Cistercian houses such as </w:t>
      </w:r>
      <w:r w:rsidRPr="00870BFA">
        <w:lastRenderedPageBreak/>
        <w:t>Fountains, Rievaulx, Waverley, and Kirkstall emerged as significant participants in this trade. Francesco Pegolotti, an Italian merchant manual from the early 14th century, identifies specific Cistercian houses as dependable sources of quality wool, reflecting their significance in international trade</w:t>
      </w:r>
      <w:r w:rsidR="00EC6AF3">
        <w:t xml:space="preserve"> in Fountains, Rievaulx and Byland</w:t>
      </w:r>
      <w:r w:rsidRPr="00870BFA">
        <w:t>.</w:t>
      </w:r>
      <w:r w:rsidR="00E772B7">
        <w:rPr>
          <w:rStyle w:val="FootnoteReference"/>
        </w:rPr>
        <w:footnoteReference w:id="14"/>
      </w:r>
      <w:r w:rsidRPr="00870BFA">
        <w:br/>
      </w:r>
      <w:r w:rsidRPr="00870BFA">
        <w:br/>
        <w:t>This prominence in trade also introduced vulnerabilities. Monastic houses initiated the practice of forward-selling their wool crops, contracting their entire annual output in advance for immediate payment</w:t>
      </w:r>
      <w:r w:rsidR="009902E9">
        <w:t xml:space="preserve"> up to many years at a time</w:t>
      </w:r>
      <w:r w:rsidRPr="00870BFA">
        <w:t>. This practice, although initially profitable, subjected them to considerable financial risk. If yields were insufficient due to weather, disease, or overgrazing, abbeys would remain obligated to pay the full agreed amount. Debt accumulation compromised the self-sufficiency principle of the Order.  A significant primary caution regarding this practice is recorded in the General Chapter of the Cistercian Order from 1</w:t>
      </w:r>
      <w:r w:rsidR="00EC6AF3">
        <w:t>181</w:t>
      </w:r>
      <w:r w:rsidRPr="00870BFA">
        <w:t>. The ruling stated: “</w:t>
      </w:r>
      <w:r w:rsidR="00EC6AF3" w:rsidRPr="00EC6AF3">
        <w:rPr>
          <w:i/>
          <w:iCs/>
        </w:rPr>
        <w:t>If a father abbot finds that a daughter house to be bound by very great debts he is – unless he knows there to be good cause – to punish the abbot of that place and his officials very severely and by any means to prevent them from increasing their debts.</w:t>
      </w:r>
      <w:r w:rsidRPr="00870BFA">
        <w:t>”</w:t>
      </w:r>
      <w:r w:rsidR="00EC6AF3">
        <w:rPr>
          <w:rStyle w:val="FootnoteReference"/>
        </w:rPr>
        <w:footnoteReference w:id="15"/>
      </w:r>
      <w:r w:rsidR="00EC6AF3">
        <w:t xml:space="preserve"> </w:t>
      </w:r>
      <w:r w:rsidRPr="00870BFA">
        <w:t>This punishment's severity underscores the extent to which these commercial entanglements were perceived as contravening the foundational principles of the Order. Despite Cistercian statutes prohibiting engagement in credit economies, the allure of immediate cash, especially for houses facing local taxation or reconstruction expenses, rendered forward-selling difficult to avoid.</w:t>
      </w:r>
      <w:r w:rsidRPr="00870BFA">
        <w:br/>
      </w:r>
      <w:r w:rsidRPr="00870BFA">
        <w:br/>
        <w:t>By the late 13th century, even esteemed abbeys such as Fountains were burdened by debt. The financial records and correspondence of Fountains Abbey from the 1290s indicate agreements with Italian merchant-banking entities, including the Riccardi of Lucca, which provided advances based on wool consignments. The agreements resulted in conflicts, failed shipments, and increasing debts, which exacerbated reputational and financial pressures.</w:t>
      </w:r>
      <w:r w:rsidR="00E2713C">
        <w:rPr>
          <w:rStyle w:val="FootnoteReference"/>
        </w:rPr>
        <w:footnoteReference w:id="16"/>
      </w:r>
      <w:r w:rsidRPr="00870BFA">
        <w:t xml:space="preserve"> These arrangements undermined the previous Cistercian principles of economic insularity and purity. The autonomy associated with the grange, initially regarded as an indicator of moral discipline, evolved into a multifaceted framework characterised by credit systems, export obligations, and international entanglements under external pressures.  The scale and integration of Cistercian monastic houses within international wool markets is notably distinctive in the context of monastic economies. Their infrastructure, land management, and quality control provided a comparative advantage; however, this advantage was accompanied by escalating spiritual and financial costs.</w:t>
      </w:r>
      <w:r w:rsidR="003C0831">
        <w:t xml:space="preserve"> </w:t>
      </w:r>
      <w:r w:rsidR="005949DC" w:rsidRPr="005949DC">
        <w:t>The Cistercian economy, despite its initial coherence, gradually lost its distinctiveness by the late Middle Ages. The interplay of internal strain, external crisis, and institutional adaptation reconfigured the order's material practices, aligning them more closely with the economic behaviours of other religious institutions.</w:t>
      </w:r>
      <w:r w:rsidR="005949DC" w:rsidRPr="005949DC">
        <w:br/>
      </w:r>
      <w:r w:rsidR="005949DC" w:rsidRPr="005949DC">
        <w:br/>
        <w:t xml:space="preserve">A significant factor was the demographic and economic turmoil resulting from the Black Death (1348–1350). This significantly decreased the number of monks and lay brothers available for grange work, compelling many abbeys to cease direct cultivation and lease their lands instead. The previously self-contained production system increasingly shifted towards outsourcing, resulting in monastic estates resembling secular landlordism. The loss of the conversi as a dependable labour source further expedited this trend. </w:t>
      </w:r>
      <w:proofErr w:type="spellStart"/>
      <w:r w:rsidR="005949DC" w:rsidRPr="005949DC">
        <w:t>Jamroziak</w:t>
      </w:r>
      <w:proofErr w:type="spellEnd"/>
      <w:r w:rsidR="005949DC" w:rsidRPr="005949DC">
        <w:t xml:space="preserve"> observes that the order </w:t>
      </w:r>
      <w:r w:rsidR="005949DC" w:rsidRPr="005949DC">
        <w:lastRenderedPageBreak/>
        <w:t>increasingly depended on hired labour and rent-paying tenants, reflecting the economic practices of Benedictine houses they had previously aimed to surpass.</w:t>
      </w:r>
      <w:r w:rsidR="005949DC">
        <w:rPr>
          <w:rStyle w:val="FootnoteReference"/>
        </w:rPr>
        <w:footnoteReference w:id="17"/>
      </w:r>
      <w:r w:rsidR="005949DC">
        <w:t xml:space="preserve"> </w:t>
      </w:r>
      <w:r w:rsidR="005949DC" w:rsidRPr="005949DC">
        <w:t xml:space="preserve">This transformation raised concerns. In 1335, Pope Benedict XII </w:t>
      </w:r>
      <w:r w:rsidR="003143DB">
        <w:t>enacted</w:t>
      </w:r>
      <w:r w:rsidR="005949DC" w:rsidRPr="005949DC">
        <w:t xml:space="preserve"> a reform bull, </w:t>
      </w:r>
      <w:r w:rsidR="005949DC" w:rsidRPr="005949DC">
        <w:rPr>
          <w:i/>
          <w:iCs/>
        </w:rPr>
        <w:t>Fulgens sicut stella</w:t>
      </w:r>
      <w:r w:rsidR="005949DC" w:rsidRPr="005949DC">
        <w:t>, aimed at addressing the laxity within the Cistercian Order. He advocated for a reestablishment of strict enclosure, communal poverty, and the renunciation of income derived from tithes or ecclesiastical benefices.</w:t>
      </w:r>
      <w:r w:rsidR="003143DB">
        <w:rPr>
          <w:rStyle w:val="FootnoteReference"/>
        </w:rPr>
        <w:footnoteReference w:id="18"/>
      </w:r>
      <w:r w:rsidR="005949DC" w:rsidRPr="005949DC">
        <w:t xml:space="preserve"> However, these efforts faced challenges due to established economic adaptations. In England, the decline of lay brothers, the financial burdens of war and papal taxation, along with a transforming rural economy, led even previously robust institutions such as Waverley and Byland to acquire parish churches, rent out granges, and diversify their income sources.</w:t>
      </w:r>
      <w:r w:rsidR="005949DC" w:rsidRPr="005949DC">
        <w:br/>
      </w:r>
      <w:r w:rsidR="005949DC" w:rsidRPr="005949DC">
        <w:br/>
        <w:t>Certain abbeys received explicit exemptions from previous statutes prohibiting tithe-holding and parish control, justified by the necessity for survival. Some individuals disregarded these prohibitions in practice. As the 15th century advanced, architectural practices reflected this transformation: specific Cistercian sites incorporated grand chapels, enhanced guest accommodations, or facilitated local celebrations</w:t>
      </w:r>
      <w:r w:rsidR="008673F1">
        <w:t xml:space="preserve">, </w:t>
      </w:r>
      <w:r w:rsidR="005949DC" w:rsidRPr="005949DC">
        <w:t>changes that were inconceivable in the earlier period. The concept of spiritual and economic purity, previously a marker of identity, has transformed into a form of nostalgia rather than a guiding principle.</w:t>
      </w:r>
      <w:r w:rsidR="004A1EF3" w:rsidRPr="004A1EF3">
        <w:rPr>
          <w:rFonts w:ascii="Times New Roman" w:eastAsia="Times New Roman" w:hAnsi="Times New Roman" w:cs="Times New Roman"/>
          <w:kern w:val="0"/>
          <w:sz w:val="24"/>
          <w:szCs w:val="24"/>
          <w:lang w:eastAsia="en-GB"/>
          <w14:ligatures w14:val="none"/>
        </w:rPr>
        <w:t xml:space="preserve"> </w:t>
      </w:r>
      <w:r w:rsidR="004A1EF3" w:rsidRPr="004A1EF3">
        <w:t>By the 1530s, a large number of English Cistercian abbeys, including Fountains Abbey, had diversified their sources of income and were no longer exclusively dependent on the self-cultivated grange model. A significant portion of their income came from leases, rentals, and other sources</w:t>
      </w:r>
      <w:r w:rsidR="005949DC" w:rsidRPr="005949DC">
        <w:t>.</w:t>
      </w:r>
      <w:r w:rsidR="00C76503">
        <w:rPr>
          <w:rStyle w:val="FootnoteReference"/>
        </w:rPr>
        <w:footnoteReference w:id="19"/>
      </w:r>
      <w:r w:rsidR="005949DC" w:rsidRPr="005949DC">
        <w:t xml:space="preserve"> Their territories were affluent, their liabilities fluctuating, yet their economy had lost its previously identifiable characteristics. The uniform grange economy has disintegrated due to centuries of strain.</w:t>
      </w:r>
    </w:p>
    <w:p w14:paraId="592F0BE1" w14:textId="77777777" w:rsidR="00A52A6F" w:rsidRDefault="00A52A6F" w:rsidP="005949DC"/>
    <w:p w14:paraId="6B98DCDE" w14:textId="77777777" w:rsidR="00A52A6F" w:rsidRPr="00A52A6F" w:rsidRDefault="00A52A6F" w:rsidP="00A52A6F">
      <w:r w:rsidRPr="00A52A6F">
        <w:t xml:space="preserve">In conclusion, the Cistercian Order emerged from a transformative vision of economic reform, emphasising manual labour, land-based self-sufficiency, and the simplicity outlined in the Rule of St. Benedict. This was not solely spiritual idealism; it was expressed through a distinctive system of granges, lay brother labour, and refusal of tithes and rents. For almost two centuries, this model had defined a unique and efficient economic identity.  Over time, the pressures of expansion, trade, labour shortages, and institutional complexity undermined the original principles. The shift to forward contracts, the decline of </w:t>
      </w:r>
      <w:r w:rsidRPr="00A52A6F">
        <w:rPr>
          <w:i/>
          <w:iCs/>
        </w:rPr>
        <w:t>conversi</w:t>
      </w:r>
      <w:r w:rsidRPr="00A52A6F">
        <w:t>, and the incorporation of ecclesiastical income all diminished the uniqueness of their economic existence. Despite reform efforts, Cistercian houses ultimately aligned with wider monastic standards.  Their initial accomplishments in organisation, discipline, and rural development significantly influenced European economic and religious history. The distinctiveness may have diminished, but it was never eliminated. The Cistercians transcended simple landlord roles; they were innovators whose conflict between ideals and practice transformed the concept of monastic economy.</w:t>
      </w:r>
      <w:r>
        <w:t xml:space="preserve"> </w:t>
      </w:r>
      <w:r w:rsidRPr="00A52A6F">
        <w:t xml:space="preserve">Therefore, although the economic distinctiveness of the Cistercians was historically contingent and ultimately diminished, their original model of grange-based self-sufficiency and lay brother </w:t>
      </w:r>
      <w:r w:rsidRPr="00A52A6F">
        <w:lastRenderedPageBreak/>
        <w:t>labour exemplified one of the most innovative and disciplined economic systems within medieval monasticism.</w:t>
      </w:r>
    </w:p>
    <w:p w14:paraId="41A2CCE6" w14:textId="625E2097" w:rsidR="00A52A6F" w:rsidRPr="00A52A6F" w:rsidRDefault="00A52A6F" w:rsidP="00A52A6F"/>
    <w:p w14:paraId="45DA18D9" w14:textId="77777777" w:rsidR="00113026" w:rsidRDefault="00113026"/>
    <w:p w14:paraId="66E4C6E6" w14:textId="4D6871D2" w:rsidR="006510C4" w:rsidRPr="006510C4" w:rsidRDefault="006510C4">
      <w:pPr>
        <w:rPr>
          <w:i/>
          <w:iCs/>
          <w:sz w:val="30"/>
          <w:szCs w:val="30"/>
        </w:rPr>
      </w:pPr>
      <w:r w:rsidRPr="006510C4">
        <w:rPr>
          <w:i/>
          <w:iCs/>
          <w:sz w:val="30"/>
          <w:szCs w:val="30"/>
        </w:rPr>
        <w:t>Bibliography</w:t>
      </w:r>
    </w:p>
    <w:p w14:paraId="1824BE85" w14:textId="77777777" w:rsidR="006510C4" w:rsidRPr="006510C4" w:rsidRDefault="006510C4">
      <w:pPr>
        <w:rPr>
          <w:i/>
          <w:iCs/>
          <w:sz w:val="30"/>
          <w:szCs w:val="30"/>
        </w:rPr>
      </w:pPr>
    </w:p>
    <w:p w14:paraId="27862BD7" w14:textId="02FEA476" w:rsidR="006510C4" w:rsidRDefault="006510C4">
      <w:pPr>
        <w:rPr>
          <w:i/>
          <w:iCs/>
          <w:sz w:val="30"/>
          <w:szCs w:val="30"/>
        </w:rPr>
      </w:pPr>
      <w:r w:rsidRPr="006510C4">
        <w:rPr>
          <w:i/>
          <w:iCs/>
          <w:sz w:val="30"/>
          <w:szCs w:val="30"/>
        </w:rPr>
        <w:t>Primary</w:t>
      </w:r>
    </w:p>
    <w:p w14:paraId="376511A5" w14:textId="77777777" w:rsidR="00783560" w:rsidRPr="00EC6AF3" w:rsidRDefault="00783560" w:rsidP="00EC6AF3">
      <w:pPr>
        <w:spacing w:line="276" w:lineRule="auto"/>
        <w:rPr>
          <w:rFonts w:asciiTheme="majorHAnsi" w:hAnsiTheme="majorHAnsi"/>
          <w:i/>
          <w:iCs/>
        </w:rPr>
      </w:pPr>
    </w:p>
    <w:p w14:paraId="54B8DF47" w14:textId="00C3648F" w:rsidR="00783560" w:rsidRPr="00EC6AF3" w:rsidRDefault="00783560" w:rsidP="00EC6AF3">
      <w:pPr>
        <w:pStyle w:val="ListParagraph"/>
        <w:numPr>
          <w:ilvl w:val="0"/>
          <w:numId w:val="4"/>
        </w:numPr>
        <w:spacing w:after="0" w:line="276" w:lineRule="auto"/>
        <w:ind w:left="714" w:hanging="357"/>
        <w:rPr>
          <w:rFonts w:asciiTheme="majorHAnsi" w:hAnsiTheme="majorHAnsi"/>
        </w:rPr>
      </w:pPr>
      <w:r w:rsidRPr="00EC6AF3">
        <w:rPr>
          <w:rFonts w:asciiTheme="majorHAnsi" w:hAnsiTheme="majorHAnsi"/>
          <w:i/>
          <w:iCs/>
        </w:rPr>
        <w:t>Exordium Parvum</w:t>
      </w:r>
    </w:p>
    <w:p w14:paraId="084308D9" w14:textId="014A4C92" w:rsidR="00EC6AF3" w:rsidRPr="00EC6AF3" w:rsidRDefault="00EC6AF3" w:rsidP="00EC6AF3">
      <w:pPr>
        <w:pStyle w:val="ListParagraph"/>
        <w:numPr>
          <w:ilvl w:val="0"/>
          <w:numId w:val="4"/>
        </w:numPr>
        <w:spacing w:after="0" w:line="276" w:lineRule="auto"/>
        <w:ind w:left="714" w:hanging="357"/>
        <w:rPr>
          <w:rFonts w:asciiTheme="majorHAnsi" w:hAnsiTheme="majorHAnsi"/>
        </w:rPr>
      </w:pPr>
      <w:r w:rsidRPr="00EC6AF3">
        <w:rPr>
          <w:rFonts w:asciiTheme="majorHAnsi" w:hAnsiTheme="majorHAnsi"/>
        </w:rPr>
        <w:t xml:space="preserve">Francesco Balducci Pegolotti, </w:t>
      </w:r>
      <w:r w:rsidRPr="00EC6AF3">
        <w:rPr>
          <w:rFonts w:asciiTheme="majorHAnsi" w:hAnsiTheme="majorHAnsi"/>
          <w:i/>
          <w:iCs/>
        </w:rPr>
        <w:t xml:space="preserve">La </w:t>
      </w:r>
      <w:proofErr w:type="spellStart"/>
      <w:r w:rsidRPr="00EC6AF3">
        <w:rPr>
          <w:rFonts w:asciiTheme="majorHAnsi" w:hAnsiTheme="majorHAnsi"/>
          <w:i/>
          <w:iCs/>
        </w:rPr>
        <w:t>Pratica</w:t>
      </w:r>
      <w:proofErr w:type="spellEnd"/>
      <w:r w:rsidRPr="00EC6AF3">
        <w:rPr>
          <w:rFonts w:asciiTheme="majorHAnsi" w:hAnsiTheme="majorHAnsi"/>
          <w:i/>
          <w:iCs/>
        </w:rPr>
        <w:t xml:space="preserve"> </w:t>
      </w:r>
      <w:proofErr w:type="spellStart"/>
      <w:r w:rsidRPr="00EC6AF3">
        <w:rPr>
          <w:rFonts w:asciiTheme="majorHAnsi" w:hAnsiTheme="majorHAnsi"/>
          <w:i/>
          <w:iCs/>
        </w:rPr>
        <w:t>della</w:t>
      </w:r>
      <w:proofErr w:type="spellEnd"/>
      <w:r w:rsidRPr="00EC6AF3">
        <w:rPr>
          <w:rFonts w:asciiTheme="majorHAnsi" w:hAnsiTheme="majorHAnsi"/>
          <w:i/>
          <w:iCs/>
        </w:rPr>
        <w:t xml:space="preserve"> </w:t>
      </w:r>
      <w:proofErr w:type="spellStart"/>
      <w:r w:rsidRPr="00EC6AF3">
        <w:rPr>
          <w:rFonts w:asciiTheme="majorHAnsi" w:hAnsiTheme="majorHAnsi"/>
          <w:i/>
          <w:iCs/>
        </w:rPr>
        <w:t>Mercatura</w:t>
      </w:r>
      <w:proofErr w:type="spellEnd"/>
    </w:p>
    <w:p w14:paraId="40C384DB" w14:textId="642DBF86" w:rsidR="00951411" w:rsidRPr="00EC6AF3" w:rsidRDefault="00951411" w:rsidP="00EC6AF3">
      <w:pPr>
        <w:pStyle w:val="ListParagraph"/>
        <w:numPr>
          <w:ilvl w:val="0"/>
          <w:numId w:val="4"/>
        </w:numPr>
        <w:spacing w:after="0" w:line="276" w:lineRule="auto"/>
        <w:ind w:left="714" w:hanging="357"/>
        <w:rPr>
          <w:rFonts w:asciiTheme="majorHAnsi" w:hAnsiTheme="majorHAnsi"/>
          <w:i/>
          <w:iCs/>
        </w:rPr>
      </w:pPr>
      <w:proofErr w:type="spellStart"/>
      <w:r w:rsidRPr="00EC6AF3">
        <w:rPr>
          <w:rFonts w:asciiTheme="majorHAnsi" w:hAnsiTheme="majorHAnsi"/>
        </w:rPr>
        <w:t>Orderic</w:t>
      </w:r>
      <w:proofErr w:type="spellEnd"/>
      <w:r w:rsidRPr="00EC6AF3">
        <w:rPr>
          <w:rFonts w:asciiTheme="majorHAnsi" w:hAnsiTheme="majorHAnsi"/>
        </w:rPr>
        <w:t xml:space="preserve"> Vitalis, </w:t>
      </w:r>
      <w:r w:rsidRPr="00EC6AF3">
        <w:rPr>
          <w:rFonts w:asciiTheme="majorHAnsi" w:hAnsiTheme="majorHAnsi"/>
          <w:i/>
          <w:iCs/>
        </w:rPr>
        <w:t>Essay On The New Orders</w:t>
      </w:r>
    </w:p>
    <w:p w14:paraId="49BD6756" w14:textId="1C61C762" w:rsidR="00EC6AF3" w:rsidRPr="00EC6AF3" w:rsidRDefault="00EC6AF3" w:rsidP="00EC6AF3">
      <w:pPr>
        <w:pStyle w:val="Textbody"/>
        <w:numPr>
          <w:ilvl w:val="0"/>
          <w:numId w:val="4"/>
        </w:numPr>
        <w:spacing w:after="0"/>
        <w:ind w:left="714" w:hanging="357"/>
        <w:rPr>
          <w:rFonts w:asciiTheme="majorHAnsi" w:hAnsiTheme="majorHAnsi"/>
          <w:sz w:val="22"/>
          <w:szCs w:val="22"/>
        </w:rPr>
      </w:pPr>
      <w:r w:rsidRPr="00EC6AF3">
        <w:rPr>
          <w:rFonts w:asciiTheme="majorHAnsi" w:hAnsiTheme="majorHAnsi"/>
          <w:sz w:val="22"/>
          <w:szCs w:val="22"/>
        </w:rPr>
        <w:t>Some rulings of the General Chapter on economic matters</w:t>
      </w:r>
      <w:r w:rsidRPr="00EC6AF3">
        <w:rPr>
          <w:rFonts w:asciiTheme="majorHAnsi" w:hAnsiTheme="majorHAnsi"/>
          <w:sz w:val="22"/>
          <w:szCs w:val="22"/>
        </w:rPr>
        <w:t>, primary source handbook</w:t>
      </w:r>
    </w:p>
    <w:p w14:paraId="72E9F7B7" w14:textId="77777777" w:rsidR="003B118E" w:rsidRPr="00EC6AF3" w:rsidRDefault="003B118E" w:rsidP="00EC6AF3">
      <w:pPr>
        <w:pStyle w:val="ListParagraph"/>
        <w:numPr>
          <w:ilvl w:val="0"/>
          <w:numId w:val="4"/>
        </w:numPr>
        <w:shd w:val="clear" w:color="auto" w:fill="FFFFFF"/>
        <w:spacing w:after="0" w:line="276" w:lineRule="auto"/>
        <w:ind w:left="714" w:hanging="357"/>
        <w:outlineLvl w:val="2"/>
        <w:rPr>
          <w:rFonts w:asciiTheme="majorHAnsi" w:eastAsia="Times New Roman" w:hAnsiTheme="majorHAnsi" w:cs="Times New Roman"/>
          <w:i/>
          <w:iCs/>
          <w:color w:val="000000"/>
          <w:kern w:val="0"/>
          <w:lang w:eastAsia="en-GB"/>
          <w14:ligatures w14:val="none"/>
        </w:rPr>
      </w:pPr>
      <w:r w:rsidRPr="00EC6AF3">
        <w:rPr>
          <w:rFonts w:asciiTheme="majorHAnsi" w:eastAsia="Times New Roman" w:hAnsiTheme="majorHAnsi" w:cs="Times New Roman"/>
          <w:color w:val="000000"/>
          <w:kern w:val="0"/>
          <w:lang w:eastAsia="en-GB"/>
          <w14:ligatures w14:val="none"/>
        </w:rPr>
        <w:t xml:space="preserve">William of </w:t>
      </w:r>
      <w:proofErr w:type="spellStart"/>
      <w:r w:rsidRPr="00EC6AF3">
        <w:rPr>
          <w:rFonts w:asciiTheme="majorHAnsi" w:eastAsia="Times New Roman" w:hAnsiTheme="majorHAnsi" w:cs="Times New Roman"/>
          <w:color w:val="000000"/>
          <w:kern w:val="0"/>
          <w:lang w:eastAsia="en-GB"/>
          <w14:ligatures w14:val="none"/>
        </w:rPr>
        <w:t>Malmesbury</w:t>
      </w:r>
      <w:proofErr w:type="spellEnd"/>
      <w:r w:rsidRPr="00EC6AF3">
        <w:rPr>
          <w:rFonts w:asciiTheme="majorHAnsi" w:eastAsia="Times New Roman" w:hAnsiTheme="majorHAnsi" w:cs="Times New Roman"/>
          <w:color w:val="000000"/>
          <w:kern w:val="0"/>
          <w:lang w:eastAsia="en-GB"/>
          <w14:ligatures w14:val="none"/>
        </w:rPr>
        <w:t xml:space="preserve">, </w:t>
      </w:r>
      <w:proofErr w:type="spellStart"/>
      <w:r w:rsidRPr="00EC6AF3">
        <w:rPr>
          <w:rFonts w:asciiTheme="majorHAnsi" w:eastAsia="Times New Roman" w:hAnsiTheme="majorHAnsi" w:cs="Times New Roman"/>
          <w:i/>
          <w:iCs/>
          <w:color w:val="000000"/>
          <w:kern w:val="0"/>
          <w:lang w:eastAsia="en-GB"/>
          <w14:ligatures w14:val="none"/>
        </w:rPr>
        <w:t>Gesta</w:t>
      </w:r>
      <w:proofErr w:type="spellEnd"/>
      <w:r w:rsidRPr="00EC6AF3">
        <w:rPr>
          <w:rFonts w:asciiTheme="majorHAnsi" w:eastAsia="Times New Roman" w:hAnsiTheme="majorHAnsi" w:cs="Times New Roman"/>
          <w:i/>
          <w:iCs/>
          <w:color w:val="000000"/>
          <w:kern w:val="0"/>
          <w:lang w:eastAsia="en-GB"/>
          <w14:ligatures w14:val="none"/>
        </w:rPr>
        <w:t xml:space="preserve"> </w:t>
      </w:r>
      <w:proofErr w:type="spellStart"/>
      <w:r w:rsidRPr="00EC6AF3">
        <w:rPr>
          <w:rFonts w:asciiTheme="majorHAnsi" w:eastAsia="Times New Roman" w:hAnsiTheme="majorHAnsi" w:cs="Times New Roman"/>
          <w:i/>
          <w:iCs/>
          <w:color w:val="000000"/>
          <w:kern w:val="0"/>
          <w:lang w:eastAsia="en-GB"/>
          <w14:ligatures w14:val="none"/>
        </w:rPr>
        <w:t>pontificum</w:t>
      </w:r>
      <w:proofErr w:type="spellEnd"/>
      <w:r w:rsidRPr="00EC6AF3">
        <w:rPr>
          <w:rFonts w:asciiTheme="majorHAnsi" w:eastAsia="Times New Roman" w:hAnsiTheme="majorHAnsi" w:cs="Times New Roman"/>
          <w:i/>
          <w:iCs/>
          <w:color w:val="000000"/>
          <w:kern w:val="0"/>
          <w:lang w:eastAsia="en-GB"/>
          <w14:ligatures w14:val="none"/>
        </w:rPr>
        <w:t xml:space="preserve"> Anglorum</w:t>
      </w:r>
    </w:p>
    <w:p w14:paraId="03C540F9" w14:textId="63DA4BEF" w:rsidR="003B118E" w:rsidRPr="00113026" w:rsidRDefault="00206608" w:rsidP="00113026">
      <w:pPr>
        <w:pStyle w:val="ListParagraph"/>
        <w:numPr>
          <w:ilvl w:val="0"/>
          <w:numId w:val="4"/>
        </w:numPr>
        <w:spacing w:after="0" w:line="276" w:lineRule="auto"/>
        <w:ind w:left="714" w:hanging="357"/>
        <w:rPr>
          <w:rFonts w:asciiTheme="majorHAnsi" w:hAnsiTheme="majorHAnsi"/>
        </w:rPr>
      </w:pPr>
      <w:r w:rsidRPr="00EC6AF3">
        <w:rPr>
          <w:rFonts w:asciiTheme="majorHAnsi" w:hAnsiTheme="majorHAnsi"/>
        </w:rPr>
        <w:t xml:space="preserve">Valor Ecclesiasticus temp. Henr. VIII </w:t>
      </w:r>
      <w:proofErr w:type="spellStart"/>
      <w:r w:rsidRPr="00EC6AF3">
        <w:rPr>
          <w:rFonts w:asciiTheme="majorHAnsi" w:hAnsiTheme="majorHAnsi"/>
        </w:rPr>
        <w:t>auctoritate</w:t>
      </w:r>
      <w:proofErr w:type="spellEnd"/>
      <w:r w:rsidRPr="00EC6AF3">
        <w:rPr>
          <w:rFonts w:asciiTheme="majorHAnsi" w:hAnsiTheme="majorHAnsi"/>
        </w:rPr>
        <w:t xml:space="preserve"> regia </w:t>
      </w:r>
      <w:proofErr w:type="spellStart"/>
      <w:r w:rsidRPr="00EC6AF3">
        <w:rPr>
          <w:rFonts w:asciiTheme="majorHAnsi" w:hAnsiTheme="majorHAnsi"/>
        </w:rPr>
        <w:t>insitutus</w:t>
      </w:r>
      <w:proofErr w:type="spellEnd"/>
      <w:r w:rsidRPr="00EC6AF3">
        <w:rPr>
          <w:rFonts w:asciiTheme="majorHAnsi" w:hAnsiTheme="majorHAnsi"/>
        </w:rPr>
        <w:t>, Caley, J. and Hunter, J.C., eds., 6 vols (Record Commission, London, 1810-1834)</w:t>
      </w:r>
    </w:p>
    <w:p w14:paraId="2A84B8BC" w14:textId="77777777" w:rsidR="006510C4" w:rsidRPr="006510C4" w:rsidRDefault="006510C4">
      <w:pPr>
        <w:rPr>
          <w:i/>
          <w:iCs/>
          <w:sz w:val="30"/>
          <w:szCs w:val="30"/>
        </w:rPr>
      </w:pPr>
    </w:p>
    <w:p w14:paraId="32A25C27" w14:textId="503D5D4E" w:rsidR="006510C4" w:rsidRPr="006510C4" w:rsidRDefault="006510C4">
      <w:pPr>
        <w:rPr>
          <w:i/>
          <w:iCs/>
          <w:sz w:val="30"/>
          <w:szCs w:val="30"/>
        </w:rPr>
      </w:pPr>
      <w:r w:rsidRPr="006510C4">
        <w:rPr>
          <w:i/>
          <w:iCs/>
          <w:sz w:val="30"/>
          <w:szCs w:val="30"/>
        </w:rPr>
        <w:t>Secondary</w:t>
      </w:r>
    </w:p>
    <w:p w14:paraId="48E0708E" w14:textId="77777777" w:rsidR="006510C4" w:rsidRDefault="006510C4"/>
    <w:p w14:paraId="001DAD9F" w14:textId="0259D7A5" w:rsidR="006510C4" w:rsidRPr="003143DB" w:rsidRDefault="006510C4" w:rsidP="00EC6AF3">
      <w:pPr>
        <w:pStyle w:val="ListParagraph"/>
        <w:numPr>
          <w:ilvl w:val="0"/>
          <w:numId w:val="2"/>
        </w:numPr>
        <w:spacing w:line="276" w:lineRule="auto"/>
        <w:rPr>
          <w:rFonts w:asciiTheme="majorHAnsi" w:hAnsiTheme="majorHAnsi"/>
        </w:rPr>
      </w:pPr>
      <w:proofErr w:type="spellStart"/>
      <w:r w:rsidRPr="003143DB">
        <w:rPr>
          <w:rFonts w:asciiTheme="majorHAnsi" w:hAnsiTheme="majorHAnsi"/>
        </w:rPr>
        <w:t>Schachenmayr</w:t>
      </w:r>
      <w:proofErr w:type="spellEnd"/>
      <w:r w:rsidRPr="003143DB">
        <w:rPr>
          <w:rFonts w:asciiTheme="majorHAnsi" w:hAnsiTheme="majorHAnsi"/>
        </w:rPr>
        <w:t>, Alkuin. </w:t>
      </w:r>
      <w:r w:rsidR="001B0BB5" w:rsidRPr="003143DB">
        <w:rPr>
          <w:rFonts w:asciiTheme="majorHAnsi" w:hAnsiTheme="majorHAnsi"/>
        </w:rPr>
        <w:t>‘</w:t>
      </w:r>
      <w:r w:rsidRPr="003143DB">
        <w:rPr>
          <w:rFonts w:asciiTheme="majorHAnsi" w:hAnsiTheme="majorHAnsi"/>
        </w:rPr>
        <w:t xml:space="preserve">Conference Notes on Stephen Harding as the Sole Author of the Carta </w:t>
      </w:r>
      <w:proofErr w:type="spellStart"/>
      <w:r w:rsidRPr="003143DB">
        <w:rPr>
          <w:rFonts w:asciiTheme="majorHAnsi" w:hAnsiTheme="majorHAnsi"/>
        </w:rPr>
        <w:t>Caritatis</w:t>
      </w:r>
      <w:proofErr w:type="spellEnd"/>
      <w:r w:rsidRPr="003143DB">
        <w:rPr>
          <w:rFonts w:asciiTheme="majorHAnsi" w:hAnsiTheme="majorHAnsi"/>
        </w:rPr>
        <w:t>: Did the Carta Found the Order?.</w:t>
      </w:r>
      <w:r w:rsidR="001B0BB5" w:rsidRPr="003143DB">
        <w:rPr>
          <w:rFonts w:asciiTheme="majorHAnsi" w:hAnsiTheme="majorHAnsi"/>
        </w:rPr>
        <w:t>’</w:t>
      </w:r>
      <w:r w:rsidRPr="003143DB">
        <w:rPr>
          <w:rFonts w:asciiTheme="majorHAnsi" w:hAnsiTheme="majorHAnsi"/>
        </w:rPr>
        <w:t> </w:t>
      </w:r>
      <w:r w:rsidRPr="003143DB">
        <w:rPr>
          <w:rFonts w:asciiTheme="majorHAnsi" w:hAnsiTheme="majorHAnsi"/>
        </w:rPr>
        <w:t>(</w:t>
      </w:r>
      <w:r w:rsidRPr="003143DB">
        <w:rPr>
          <w:rFonts w:asciiTheme="majorHAnsi" w:hAnsiTheme="majorHAnsi"/>
          <w:i/>
          <w:iCs/>
        </w:rPr>
        <w:t>Cistercian Studies Quarterly</w:t>
      </w:r>
      <w:r w:rsidRPr="003143DB">
        <w:rPr>
          <w:rFonts w:asciiTheme="majorHAnsi" w:hAnsiTheme="majorHAnsi"/>
          <w:i/>
          <w:iCs/>
        </w:rPr>
        <w:t>, 2020</w:t>
      </w:r>
      <w:r w:rsidRPr="003143DB">
        <w:rPr>
          <w:rFonts w:asciiTheme="majorHAnsi" w:hAnsiTheme="majorHAnsi"/>
        </w:rPr>
        <w:t>.</w:t>
      </w:r>
      <w:r w:rsidRPr="003143DB">
        <w:rPr>
          <w:rFonts w:asciiTheme="majorHAnsi" w:hAnsiTheme="majorHAnsi"/>
        </w:rPr>
        <w:t>)</w:t>
      </w:r>
    </w:p>
    <w:p w14:paraId="5C40FF08" w14:textId="148E0505" w:rsidR="001B0BB5" w:rsidRPr="003143DB" w:rsidRDefault="001B0BB5" w:rsidP="00EC6AF3">
      <w:pPr>
        <w:pStyle w:val="ListParagraph"/>
        <w:numPr>
          <w:ilvl w:val="0"/>
          <w:numId w:val="2"/>
        </w:numPr>
        <w:spacing w:line="276" w:lineRule="auto"/>
        <w:rPr>
          <w:rFonts w:asciiTheme="majorHAnsi" w:hAnsiTheme="majorHAnsi"/>
        </w:rPr>
      </w:pPr>
      <w:r w:rsidRPr="003143DB">
        <w:rPr>
          <w:rFonts w:asciiTheme="majorHAnsi" w:hAnsiTheme="majorHAnsi"/>
        </w:rPr>
        <w:t>Jonas, Margaret. </w:t>
      </w:r>
      <w:r w:rsidRPr="003143DB">
        <w:rPr>
          <w:rFonts w:asciiTheme="majorHAnsi" w:hAnsiTheme="majorHAnsi"/>
        </w:rPr>
        <w:t>‘</w:t>
      </w:r>
      <w:r w:rsidRPr="003143DB">
        <w:rPr>
          <w:rFonts w:asciiTheme="majorHAnsi" w:hAnsiTheme="majorHAnsi"/>
          <w:i/>
          <w:iCs/>
        </w:rPr>
        <w:t>The Templar Spirit: The Esoteric Inspiration, Rituals and Beliefs of the Knights Templar</w:t>
      </w:r>
      <w:r w:rsidRPr="003143DB">
        <w:rPr>
          <w:rFonts w:asciiTheme="majorHAnsi" w:hAnsiTheme="majorHAnsi"/>
        </w:rPr>
        <w:t>.</w:t>
      </w:r>
      <w:r w:rsidRPr="003143DB">
        <w:rPr>
          <w:rFonts w:asciiTheme="majorHAnsi" w:hAnsiTheme="majorHAnsi"/>
        </w:rPr>
        <w:t>’</w:t>
      </w:r>
      <w:r w:rsidRPr="003143DB">
        <w:rPr>
          <w:rFonts w:asciiTheme="majorHAnsi" w:hAnsiTheme="majorHAnsi"/>
        </w:rPr>
        <w:t xml:space="preserve"> </w:t>
      </w:r>
      <w:r w:rsidRPr="003143DB">
        <w:rPr>
          <w:rFonts w:asciiTheme="majorHAnsi" w:hAnsiTheme="majorHAnsi"/>
        </w:rPr>
        <w:t>(</w:t>
      </w:r>
      <w:r w:rsidRPr="003143DB">
        <w:rPr>
          <w:rFonts w:asciiTheme="majorHAnsi" w:hAnsiTheme="majorHAnsi"/>
        </w:rPr>
        <w:t>Temple Lodge Publishing</w:t>
      </w:r>
      <w:r w:rsidRPr="003143DB">
        <w:rPr>
          <w:rFonts w:asciiTheme="majorHAnsi" w:hAnsiTheme="majorHAnsi"/>
        </w:rPr>
        <w:t>, 2011)</w:t>
      </w:r>
    </w:p>
    <w:p w14:paraId="6B5A8539" w14:textId="3A53BBAB" w:rsidR="00EC2FEB" w:rsidRPr="003143DB" w:rsidRDefault="00EC2FEB" w:rsidP="00EC6AF3">
      <w:pPr>
        <w:pStyle w:val="ListParagraph"/>
        <w:numPr>
          <w:ilvl w:val="0"/>
          <w:numId w:val="2"/>
        </w:numPr>
        <w:spacing w:line="276" w:lineRule="auto"/>
        <w:rPr>
          <w:rFonts w:asciiTheme="majorHAnsi" w:hAnsiTheme="majorHAnsi"/>
        </w:rPr>
      </w:pPr>
      <w:r w:rsidRPr="003143DB">
        <w:rPr>
          <w:rFonts w:asciiTheme="majorHAnsi" w:hAnsiTheme="majorHAnsi"/>
        </w:rPr>
        <w:t xml:space="preserve">Burton, Janet E., and Julie Kerr. </w:t>
      </w:r>
      <w:r w:rsidRPr="003143DB">
        <w:rPr>
          <w:rFonts w:asciiTheme="majorHAnsi" w:hAnsiTheme="majorHAnsi"/>
        </w:rPr>
        <w:t>‘</w:t>
      </w:r>
      <w:r w:rsidRPr="003143DB">
        <w:rPr>
          <w:rFonts w:asciiTheme="majorHAnsi" w:hAnsiTheme="majorHAnsi"/>
          <w:i/>
          <w:iCs/>
        </w:rPr>
        <w:t>The Cistercians in the Middle Ages</w:t>
      </w:r>
      <w:r w:rsidRPr="003143DB">
        <w:rPr>
          <w:rFonts w:asciiTheme="majorHAnsi" w:hAnsiTheme="majorHAnsi"/>
        </w:rPr>
        <w:t>.</w:t>
      </w:r>
      <w:r w:rsidRPr="003143DB">
        <w:rPr>
          <w:rFonts w:asciiTheme="majorHAnsi" w:hAnsiTheme="majorHAnsi"/>
        </w:rPr>
        <w:t>’</w:t>
      </w:r>
      <w:r w:rsidRPr="003143DB">
        <w:rPr>
          <w:rFonts w:asciiTheme="majorHAnsi" w:hAnsiTheme="majorHAnsi"/>
        </w:rPr>
        <w:t xml:space="preserve"> </w:t>
      </w:r>
      <w:r w:rsidRPr="003143DB">
        <w:rPr>
          <w:rFonts w:asciiTheme="majorHAnsi" w:hAnsiTheme="majorHAnsi"/>
        </w:rPr>
        <w:t>(</w:t>
      </w:r>
      <w:r w:rsidRPr="003143DB">
        <w:rPr>
          <w:rFonts w:asciiTheme="majorHAnsi" w:hAnsiTheme="majorHAnsi"/>
        </w:rPr>
        <w:t>Boydell Press.</w:t>
      </w:r>
      <w:r w:rsidRPr="003143DB">
        <w:rPr>
          <w:rFonts w:asciiTheme="majorHAnsi" w:hAnsiTheme="majorHAnsi"/>
        </w:rPr>
        <w:t xml:space="preserve"> 2011)</w:t>
      </w:r>
    </w:p>
    <w:p w14:paraId="0F9B4110" w14:textId="589225DC" w:rsidR="00EC2FEB" w:rsidRPr="003143DB" w:rsidRDefault="00503BB6" w:rsidP="00EC6AF3">
      <w:pPr>
        <w:pStyle w:val="ListParagraph"/>
        <w:numPr>
          <w:ilvl w:val="0"/>
          <w:numId w:val="2"/>
        </w:numPr>
        <w:spacing w:line="276" w:lineRule="auto"/>
        <w:rPr>
          <w:rFonts w:asciiTheme="majorHAnsi" w:hAnsiTheme="majorHAnsi"/>
        </w:rPr>
      </w:pPr>
      <w:r w:rsidRPr="003143DB">
        <w:rPr>
          <w:rFonts w:asciiTheme="majorHAnsi" w:hAnsiTheme="majorHAnsi"/>
        </w:rPr>
        <w:t>Hoffman Berman C. Agriculture and economies. In: Birkedal Bruun M, ed. </w:t>
      </w:r>
      <w:r w:rsidRPr="003143DB">
        <w:rPr>
          <w:rFonts w:asciiTheme="majorHAnsi" w:hAnsiTheme="majorHAnsi"/>
          <w:i/>
          <w:iCs/>
        </w:rPr>
        <w:t>The Cambridge Companion to the Cistercian Order</w:t>
      </w:r>
      <w:r w:rsidRPr="003143DB">
        <w:rPr>
          <w:rFonts w:asciiTheme="majorHAnsi" w:hAnsiTheme="majorHAnsi"/>
        </w:rPr>
        <w:t xml:space="preserve">. Cambridge Companions to Religion. </w:t>
      </w:r>
      <w:r w:rsidRPr="003143DB">
        <w:rPr>
          <w:rFonts w:asciiTheme="majorHAnsi" w:hAnsiTheme="majorHAnsi"/>
        </w:rPr>
        <w:t>(</w:t>
      </w:r>
      <w:r w:rsidRPr="003143DB">
        <w:rPr>
          <w:rFonts w:asciiTheme="majorHAnsi" w:hAnsiTheme="majorHAnsi"/>
        </w:rPr>
        <w:t>Cambridge University Press; 2012</w:t>
      </w:r>
      <w:r w:rsidRPr="003143DB">
        <w:rPr>
          <w:rFonts w:asciiTheme="majorHAnsi" w:hAnsiTheme="majorHAnsi"/>
        </w:rPr>
        <w:t>)</w:t>
      </w:r>
    </w:p>
    <w:p w14:paraId="2812B8E0" w14:textId="51D2E82C" w:rsidR="00E2713C" w:rsidRPr="003143DB" w:rsidRDefault="00E2713C" w:rsidP="00EC6AF3">
      <w:pPr>
        <w:pStyle w:val="ListParagraph"/>
        <w:numPr>
          <w:ilvl w:val="0"/>
          <w:numId w:val="2"/>
        </w:numPr>
        <w:spacing w:line="276" w:lineRule="auto"/>
        <w:rPr>
          <w:rFonts w:asciiTheme="majorHAnsi" w:hAnsiTheme="majorHAnsi"/>
        </w:rPr>
      </w:pPr>
      <w:r w:rsidRPr="003143DB">
        <w:rPr>
          <w:rFonts w:asciiTheme="majorHAnsi" w:hAnsiTheme="majorHAnsi"/>
        </w:rPr>
        <w:t>Knowles, David. </w:t>
      </w:r>
      <w:r w:rsidRPr="003143DB">
        <w:rPr>
          <w:rFonts w:asciiTheme="majorHAnsi" w:hAnsiTheme="majorHAnsi"/>
        </w:rPr>
        <w:t>‘</w:t>
      </w:r>
      <w:r w:rsidRPr="003143DB">
        <w:rPr>
          <w:rFonts w:asciiTheme="majorHAnsi" w:hAnsiTheme="majorHAnsi"/>
          <w:i/>
          <w:iCs/>
        </w:rPr>
        <w:t>Religious Orders Vol 1</w:t>
      </w:r>
      <w:r w:rsidRPr="003143DB">
        <w:rPr>
          <w:rFonts w:asciiTheme="majorHAnsi" w:hAnsiTheme="majorHAnsi"/>
        </w:rPr>
        <w:t>.</w:t>
      </w:r>
      <w:r w:rsidRPr="003143DB">
        <w:rPr>
          <w:rFonts w:asciiTheme="majorHAnsi" w:hAnsiTheme="majorHAnsi"/>
        </w:rPr>
        <w:t>’</w:t>
      </w:r>
      <w:r w:rsidRPr="003143DB">
        <w:rPr>
          <w:rFonts w:asciiTheme="majorHAnsi" w:hAnsiTheme="majorHAnsi"/>
        </w:rPr>
        <w:t xml:space="preserve"> </w:t>
      </w:r>
      <w:r w:rsidRPr="003143DB">
        <w:rPr>
          <w:rFonts w:asciiTheme="majorHAnsi" w:hAnsiTheme="majorHAnsi"/>
        </w:rPr>
        <w:t>(</w:t>
      </w:r>
      <w:r w:rsidRPr="003143DB">
        <w:rPr>
          <w:rFonts w:asciiTheme="majorHAnsi" w:hAnsiTheme="majorHAnsi"/>
        </w:rPr>
        <w:t>Cambridge University Press</w:t>
      </w:r>
      <w:r w:rsidRPr="003143DB">
        <w:rPr>
          <w:rFonts w:asciiTheme="majorHAnsi" w:hAnsiTheme="majorHAnsi"/>
        </w:rPr>
        <w:t>, 1979</w:t>
      </w:r>
      <w:r w:rsidRPr="003143DB">
        <w:rPr>
          <w:rFonts w:asciiTheme="majorHAnsi" w:hAnsiTheme="majorHAnsi"/>
        </w:rPr>
        <w:t>.</w:t>
      </w:r>
      <w:r w:rsidRPr="003143DB">
        <w:rPr>
          <w:rFonts w:asciiTheme="majorHAnsi" w:hAnsiTheme="majorHAnsi"/>
        </w:rPr>
        <w:t>)</w:t>
      </w:r>
    </w:p>
    <w:p w14:paraId="68AB085A" w14:textId="77777777" w:rsidR="003B118E" w:rsidRDefault="003B118E" w:rsidP="003B118E">
      <w:pPr>
        <w:rPr>
          <w:rFonts w:asciiTheme="majorHAnsi" w:hAnsiTheme="majorHAnsi"/>
        </w:rPr>
      </w:pPr>
    </w:p>
    <w:p w14:paraId="17431C95" w14:textId="611A13E6" w:rsidR="003B118E" w:rsidRDefault="003B118E" w:rsidP="003B118E">
      <w:pPr>
        <w:rPr>
          <w:i/>
          <w:iCs/>
          <w:sz w:val="30"/>
          <w:szCs w:val="30"/>
        </w:rPr>
      </w:pPr>
      <w:r>
        <w:rPr>
          <w:i/>
          <w:iCs/>
          <w:sz w:val="30"/>
          <w:szCs w:val="30"/>
        </w:rPr>
        <w:t>Online</w:t>
      </w:r>
    </w:p>
    <w:p w14:paraId="2B7EF01E" w14:textId="77777777" w:rsidR="003B118E" w:rsidRPr="003143DB" w:rsidRDefault="003B118E" w:rsidP="003B118E">
      <w:pPr>
        <w:rPr>
          <w:rFonts w:asciiTheme="majorHAnsi" w:hAnsiTheme="majorHAnsi"/>
          <w:i/>
          <w:iCs/>
          <w:sz w:val="18"/>
          <w:szCs w:val="18"/>
        </w:rPr>
      </w:pPr>
    </w:p>
    <w:p w14:paraId="4B77D41F" w14:textId="5A985646" w:rsidR="003B118E" w:rsidRPr="003143DB" w:rsidRDefault="003B118E" w:rsidP="00EC6AF3">
      <w:pPr>
        <w:pStyle w:val="ListParagraph"/>
        <w:numPr>
          <w:ilvl w:val="0"/>
          <w:numId w:val="2"/>
        </w:numPr>
        <w:spacing w:line="276" w:lineRule="auto"/>
        <w:rPr>
          <w:rFonts w:asciiTheme="majorHAnsi" w:hAnsiTheme="majorHAnsi"/>
        </w:rPr>
      </w:pPr>
      <w:r w:rsidRPr="003143DB">
        <w:rPr>
          <w:rFonts w:asciiTheme="majorHAnsi" w:hAnsiTheme="majorHAnsi"/>
        </w:rPr>
        <w:t xml:space="preserve">Terry. </w:t>
      </w:r>
      <w:r w:rsidR="008673F1" w:rsidRPr="003143DB">
        <w:rPr>
          <w:rFonts w:asciiTheme="majorHAnsi" w:hAnsiTheme="majorHAnsi"/>
        </w:rPr>
        <w:t>‘</w:t>
      </w:r>
      <w:r w:rsidRPr="003143DB">
        <w:rPr>
          <w:rFonts w:asciiTheme="majorHAnsi" w:hAnsiTheme="majorHAnsi"/>
        </w:rPr>
        <w:t>The White Monks | Creature and Creator.</w:t>
      </w:r>
      <w:r w:rsidR="008673F1" w:rsidRPr="003143DB">
        <w:rPr>
          <w:rFonts w:asciiTheme="majorHAnsi" w:hAnsiTheme="majorHAnsi"/>
        </w:rPr>
        <w:t xml:space="preserve">’ </w:t>
      </w:r>
      <w:r w:rsidRPr="003143DB">
        <w:rPr>
          <w:rFonts w:asciiTheme="majorHAnsi" w:hAnsiTheme="majorHAnsi"/>
        </w:rPr>
        <w:t>(</w:t>
      </w:r>
      <w:proofErr w:type="spellStart"/>
      <w:r w:rsidRPr="003143DB">
        <w:rPr>
          <w:rFonts w:asciiTheme="majorHAnsi" w:hAnsiTheme="majorHAnsi"/>
        </w:rPr>
        <w:t>creatureandcreator</w:t>
      </w:r>
      <w:proofErr w:type="spellEnd"/>
      <w:r w:rsidRPr="003143DB">
        <w:rPr>
          <w:rFonts w:asciiTheme="majorHAnsi" w:hAnsiTheme="majorHAnsi"/>
        </w:rPr>
        <w:t xml:space="preserve">, 2020) </w:t>
      </w:r>
      <w:hyperlink r:id="rId11" w:history="1">
        <w:r w:rsidR="00B064A4" w:rsidRPr="003143DB">
          <w:rPr>
            <w:rStyle w:val="Hyperlink"/>
            <w:rFonts w:asciiTheme="majorHAnsi" w:hAnsiTheme="majorHAnsi"/>
          </w:rPr>
          <w:t>https://creatureandcreator.ca/?p=4602#:~:text=In%20order%20to%20manage%20their,Tobin%2C1995%2C%20p%2041</w:t>
        </w:r>
      </w:hyperlink>
      <w:r w:rsidRPr="003143DB">
        <w:rPr>
          <w:rFonts w:asciiTheme="majorHAnsi" w:hAnsiTheme="majorHAnsi"/>
        </w:rPr>
        <w:t>.</w:t>
      </w:r>
    </w:p>
    <w:p w14:paraId="083A5472" w14:textId="668D6E3B" w:rsidR="00B064A4" w:rsidRPr="003143DB" w:rsidRDefault="00B064A4" w:rsidP="00EC6AF3">
      <w:pPr>
        <w:pStyle w:val="ListParagraph"/>
        <w:numPr>
          <w:ilvl w:val="0"/>
          <w:numId w:val="2"/>
        </w:numPr>
        <w:spacing w:line="276" w:lineRule="auto"/>
        <w:rPr>
          <w:rFonts w:asciiTheme="majorHAnsi" w:hAnsiTheme="majorHAnsi"/>
        </w:rPr>
      </w:pPr>
      <w:r w:rsidRPr="003143DB">
        <w:rPr>
          <w:rFonts w:asciiTheme="majorHAnsi" w:hAnsiTheme="majorHAnsi"/>
        </w:rPr>
        <w:t xml:space="preserve">Berman, Constance Hoffman. </w:t>
      </w:r>
      <w:r w:rsidR="008673F1" w:rsidRPr="003143DB">
        <w:rPr>
          <w:rFonts w:asciiTheme="majorHAnsi" w:hAnsiTheme="majorHAnsi"/>
        </w:rPr>
        <w:t>‘</w:t>
      </w:r>
      <w:r w:rsidRPr="003143DB">
        <w:rPr>
          <w:rFonts w:asciiTheme="majorHAnsi" w:hAnsiTheme="majorHAnsi"/>
        </w:rPr>
        <w:t>Agriculture and Economies.</w:t>
      </w:r>
      <w:r w:rsidR="008673F1" w:rsidRPr="003143DB">
        <w:rPr>
          <w:rFonts w:asciiTheme="majorHAnsi" w:hAnsiTheme="majorHAnsi"/>
        </w:rPr>
        <w:t xml:space="preserve">’ </w:t>
      </w:r>
      <w:r w:rsidRPr="003143DB">
        <w:rPr>
          <w:rFonts w:asciiTheme="majorHAnsi" w:hAnsiTheme="majorHAnsi"/>
        </w:rPr>
        <w:t>(</w:t>
      </w:r>
      <w:r w:rsidRPr="003143DB">
        <w:rPr>
          <w:rFonts w:asciiTheme="majorHAnsi" w:hAnsiTheme="majorHAnsi"/>
        </w:rPr>
        <w:t>In Cambridge University Press eBooks,</w:t>
      </w:r>
      <w:r w:rsidRPr="003143DB">
        <w:rPr>
          <w:rFonts w:asciiTheme="majorHAnsi" w:hAnsiTheme="majorHAnsi"/>
        </w:rPr>
        <w:t xml:space="preserve"> 2012</w:t>
      </w:r>
      <w:r w:rsidRPr="003143DB">
        <w:rPr>
          <w:rFonts w:asciiTheme="majorHAnsi" w:hAnsiTheme="majorHAnsi"/>
        </w:rPr>
        <w:t>.</w:t>
      </w:r>
      <w:r w:rsidRPr="003143DB">
        <w:rPr>
          <w:rFonts w:asciiTheme="majorHAnsi" w:hAnsiTheme="majorHAnsi"/>
        </w:rPr>
        <w:t>)</w:t>
      </w:r>
      <w:r w:rsidRPr="003143DB">
        <w:rPr>
          <w:rFonts w:asciiTheme="majorHAnsi" w:hAnsiTheme="majorHAnsi"/>
        </w:rPr>
        <w:t xml:space="preserve"> </w:t>
      </w:r>
      <w:hyperlink r:id="rId12" w:history="1">
        <w:r w:rsidR="00870BFA" w:rsidRPr="003143DB">
          <w:rPr>
            <w:rStyle w:val="Hyperlink"/>
            <w:rFonts w:asciiTheme="majorHAnsi" w:hAnsiTheme="majorHAnsi"/>
          </w:rPr>
          <w:t>https://doi.org/10.1017/cco9780511735899.012</w:t>
        </w:r>
      </w:hyperlink>
      <w:r w:rsidRPr="003143DB">
        <w:rPr>
          <w:rFonts w:asciiTheme="majorHAnsi" w:hAnsiTheme="majorHAnsi"/>
        </w:rPr>
        <w:t>.</w:t>
      </w:r>
    </w:p>
    <w:p w14:paraId="6C3927B1" w14:textId="47ABDD6E" w:rsidR="003B118E" w:rsidRPr="003143DB" w:rsidRDefault="00716D4C" w:rsidP="00EC6AF3">
      <w:pPr>
        <w:pStyle w:val="ListParagraph"/>
        <w:numPr>
          <w:ilvl w:val="0"/>
          <w:numId w:val="2"/>
        </w:numPr>
        <w:spacing w:line="276" w:lineRule="auto"/>
        <w:rPr>
          <w:rFonts w:asciiTheme="majorHAnsi" w:hAnsiTheme="majorHAnsi"/>
        </w:rPr>
      </w:pPr>
      <w:r w:rsidRPr="003143DB">
        <w:rPr>
          <w:rFonts w:asciiTheme="majorHAnsi" w:hAnsiTheme="majorHAnsi"/>
        </w:rPr>
        <w:lastRenderedPageBreak/>
        <w:t>Alfonso</w:t>
      </w:r>
      <w:r w:rsidR="00870BFA" w:rsidRPr="003143DB">
        <w:rPr>
          <w:rFonts w:asciiTheme="majorHAnsi" w:hAnsiTheme="majorHAnsi"/>
        </w:rPr>
        <w:t xml:space="preserve"> Isabel</w:t>
      </w:r>
      <w:r w:rsidRPr="003143DB">
        <w:rPr>
          <w:rFonts w:asciiTheme="majorHAnsi" w:hAnsiTheme="majorHAnsi"/>
        </w:rPr>
        <w:t xml:space="preserve">, </w:t>
      </w:r>
      <w:r w:rsidR="008673F1" w:rsidRPr="003143DB">
        <w:rPr>
          <w:rFonts w:asciiTheme="majorHAnsi" w:hAnsiTheme="majorHAnsi"/>
        </w:rPr>
        <w:t>‘</w:t>
      </w:r>
      <w:r w:rsidR="00870BFA" w:rsidRPr="003143DB">
        <w:rPr>
          <w:rFonts w:asciiTheme="majorHAnsi" w:hAnsiTheme="majorHAnsi"/>
          <w:i/>
          <w:iCs/>
        </w:rPr>
        <w:t>Cistercians and Feudalism</w:t>
      </w:r>
      <w:r w:rsidRPr="003143DB">
        <w:rPr>
          <w:rFonts w:asciiTheme="majorHAnsi" w:hAnsiTheme="majorHAnsi"/>
          <w:i/>
          <w:iCs/>
        </w:rPr>
        <w:t>, Past &amp; Present, Volume 133, Issue 1</w:t>
      </w:r>
      <w:r w:rsidR="008673F1" w:rsidRPr="003143DB">
        <w:rPr>
          <w:rFonts w:asciiTheme="majorHAnsi" w:hAnsiTheme="majorHAnsi"/>
        </w:rPr>
        <w:t xml:space="preserve">.’ </w:t>
      </w:r>
      <w:r w:rsidR="00870BFA" w:rsidRPr="003143DB">
        <w:rPr>
          <w:rFonts w:asciiTheme="majorHAnsi" w:hAnsiTheme="majorHAnsi"/>
        </w:rPr>
        <w:t xml:space="preserve">(Oxford Academic, </w:t>
      </w:r>
      <w:r w:rsidRPr="003143DB">
        <w:rPr>
          <w:rFonts w:asciiTheme="majorHAnsi" w:hAnsiTheme="majorHAnsi"/>
        </w:rPr>
        <w:t>1991</w:t>
      </w:r>
      <w:r w:rsidR="00870BFA" w:rsidRPr="003143DB">
        <w:rPr>
          <w:rFonts w:asciiTheme="majorHAnsi" w:hAnsiTheme="majorHAnsi"/>
        </w:rPr>
        <w:t>)</w:t>
      </w:r>
      <w:r w:rsidRPr="003143DB">
        <w:rPr>
          <w:rFonts w:asciiTheme="majorHAnsi" w:hAnsiTheme="majorHAnsi"/>
        </w:rPr>
        <w:t xml:space="preserve">  </w:t>
      </w:r>
      <w:hyperlink r:id="rId13" w:history="1">
        <w:r w:rsidRPr="003143DB">
          <w:rPr>
            <w:rStyle w:val="Hyperlink"/>
            <w:rFonts w:asciiTheme="majorHAnsi" w:hAnsiTheme="majorHAnsi"/>
          </w:rPr>
          <w:t>https://doi.org/10.1093/past/133.1.3</w:t>
        </w:r>
      </w:hyperlink>
    </w:p>
    <w:p w14:paraId="65695EEC" w14:textId="0E009220" w:rsidR="008673F1" w:rsidRPr="003143DB" w:rsidRDefault="008673F1" w:rsidP="00EC6AF3">
      <w:pPr>
        <w:pStyle w:val="ListParagraph"/>
        <w:numPr>
          <w:ilvl w:val="0"/>
          <w:numId w:val="2"/>
        </w:numPr>
        <w:spacing w:line="276" w:lineRule="auto"/>
        <w:rPr>
          <w:rFonts w:asciiTheme="majorHAnsi" w:hAnsiTheme="majorHAnsi"/>
        </w:rPr>
      </w:pPr>
      <w:proofErr w:type="spellStart"/>
      <w:r w:rsidRPr="003143DB">
        <w:rPr>
          <w:rFonts w:asciiTheme="majorHAnsi" w:hAnsiTheme="majorHAnsi"/>
        </w:rPr>
        <w:t>Jamroziak</w:t>
      </w:r>
      <w:proofErr w:type="spellEnd"/>
      <w:r w:rsidRPr="003143DB">
        <w:rPr>
          <w:rFonts w:asciiTheme="majorHAnsi" w:hAnsiTheme="majorHAnsi"/>
        </w:rPr>
        <w:t xml:space="preserve">, E. </w:t>
      </w:r>
      <w:r w:rsidRPr="003143DB">
        <w:rPr>
          <w:rFonts w:asciiTheme="majorHAnsi" w:hAnsiTheme="majorHAnsi"/>
        </w:rPr>
        <w:t>‘</w:t>
      </w:r>
      <w:r w:rsidRPr="003143DB">
        <w:rPr>
          <w:rFonts w:asciiTheme="majorHAnsi" w:hAnsiTheme="majorHAnsi"/>
          <w:i/>
          <w:iCs/>
        </w:rPr>
        <w:t>The Cistercian Order in Medieval Europe: 1090-1500</w:t>
      </w:r>
      <w:r w:rsidRPr="003143DB">
        <w:rPr>
          <w:rFonts w:asciiTheme="majorHAnsi" w:hAnsiTheme="majorHAnsi"/>
          <w:i/>
          <w:iCs/>
        </w:rPr>
        <w:t>’.</w:t>
      </w:r>
      <w:r w:rsidRPr="003143DB">
        <w:rPr>
          <w:rFonts w:asciiTheme="majorHAnsi" w:hAnsiTheme="majorHAnsi"/>
        </w:rPr>
        <w:t xml:space="preserve"> (</w:t>
      </w:r>
      <w:r w:rsidRPr="003143DB">
        <w:rPr>
          <w:rFonts w:asciiTheme="majorHAnsi" w:hAnsiTheme="majorHAnsi"/>
        </w:rPr>
        <w:t>Routledge</w:t>
      </w:r>
      <w:r w:rsidRPr="003143DB">
        <w:rPr>
          <w:rFonts w:asciiTheme="majorHAnsi" w:hAnsiTheme="majorHAnsi"/>
        </w:rPr>
        <w:t>, 2013)</w:t>
      </w:r>
      <w:r w:rsidRPr="003143DB">
        <w:rPr>
          <w:rFonts w:asciiTheme="majorHAnsi" w:hAnsiTheme="majorHAnsi"/>
        </w:rPr>
        <w:t xml:space="preserve"> </w:t>
      </w:r>
      <w:hyperlink r:id="rId14" w:history="1">
        <w:r w:rsidR="003143DB" w:rsidRPr="003143DB">
          <w:rPr>
            <w:rStyle w:val="Hyperlink"/>
            <w:rFonts w:asciiTheme="majorHAnsi" w:hAnsiTheme="majorHAnsi"/>
          </w:rPr>
          <w:t>https://doi.org/10.4324/9781315662039</w:t>
        </w:r>
      </w:hyperlink>
    </w:p>
    <w:p w14:paraId="11435FEB" w14:textId="624DC1FC" w:rsidR="003143DB" w:rsidRPr="003143DB" w:rsidRDefault="003143DB" w:rsidP="003143DB">
      <w:pPr>
        <w:pStyle w:val="ListParagraph"/>
        <w:numPr>
          <w:ilvl w:val="0"/>
          <w:numId w:val="2"/>
        </w:numPr>
        <w:spacing w:after="0" w:line="240" w:lineRule="auto"/>
        <w:rPr>
          <w:rFonts w:asciiTheme="majorHAnsi" w:eastAsia="Times New Roman" w:hAnsiTheme="majorHAnsi" w:cs="Times New Roman"/>
          <w:kern w:val="0"/>
          <w:lang w:eastAsia="en-GB"/>
          <w14:ligatures w14:val="none"/>
        </w:rPr>
      </w:pPr>
      <w:r w:rsidRPr="003143DB">
        <w:rPr>
          <w:rFonts w:asciiTheme="majorHAnsi" w:hAnsiTheme="majorHAnsi"/>
          <w:lang w:eastAsia="en-GB"/>
        </w:rPr>
        <w:t xml:space="preserve">Donnelly, James S. </w:t>
      </w:r>
      <w:r w:rsidRPr="003143DB">
        <w:rPr>
          <w:rFonts w:asciiTheme="majorHAnsi" w:hAnsiTheme="majorHAnsi"/>
          <w:i/>
          <w:iCs/>
          <w:lang w:eastAsia="en-GB"/>
        </w:rPr>
        <w:t xml:space="preserve">‘Changes In The Grange Economy Of English And Welsh Cistercian Abbeys, </w:t>
      </w:r>
      <w:r w:rsidRPr="003143DB">
        <w:rPr>
          <w:rFonts w:asciiTheme="majorHAnsi" w:eastAsia="Times New Roman" w:hAnsiTheme="majorHAnsi" w:cs="Times New Roman"/>
          <w:i/>
          <w:iCs/>
          <w:kern w:val="0"/>
          <w:lang w:eastAsia="en-GB"/>
          <w14:ligatures w14:val="none"/>
        </w:rPr>
        <w:t>1300-1540.</w:t>
      </w:r>
      <w:r w:rsidRPr="003143DB">
        <w:rPr>
          <w:rFonts w:asciiTheme="majorHAnsi" w:eastAsia="Times New Roman" w:hAnsiTheme="majorHAnsi" w:cs="Times New Roman"/>
          <w:i/>
          <w:iCs/>
          <w:kern w:val="0"/>
          <w:lang w:eastAsia="en-GB"/>
          <w14:ligatures w14:val="none"/>
        </w:rPr>
        <w:t>’</w:t>
      </w:r>
      <w:r w:rsidRPr="003143DB">
        <w:rPr>
          <w:rFonts w:asciiTheme="majorHAnsi" w:eastAsia="Times New Roman" w:hAnsiTheme="majorHAnsi" w:cs="Times New Roman"/>
          <w:kern w:val="0"/>
          <w:lang w:eastAsia="en-GB"/>
          <w14:ligatures w14:val="none"/>
        </w:rPr>
        <w:t xml:space="preserve"> </w:t>
      </w:r>
      <w:proofErr w:type="spellStart"/>
      <w:r w:rsidRPr="003143DB">
        <w:rPr>
          <w:rFonts w:asciiTheme="majorHAnsi" w:eastAsia="Times New Roman" w:hAnsiTheme="majorHAnsi" w:cs="Times New Roman"/>
          <w:i/>
          <w:iCs/>
          <w:kern w:val="0"/>
          <w:lang w:eastAsia="en-GB"/>
          <w14:ligatures w14:val="none"/>
        </w:rPr>
        <w:t>Traditio</w:t>
      </w:r>
      <w:proofErr w:type="spellEnd"/>
      <w:r w:rsidRPr="003143DB">
        <w:rPr>
          <w:rFonts w:asciiTheme="majorHAnsi" w:eastAsia="Times New Roman" w:hAnsiTheme="majorHAnsi" w:cs="Times New Roman"/>
          <w:kern w:val="0"/>
          <w:lang w:eastAsia="en-GB"/>
          <w14:ligatures w14:val="none"/>
        </w:rPr>
        <w:t xml:space="preserve">, vol. 10, 1954. </w:t>
      </w:r>
      <w:r w:rsidRPr="003143DB">
        <w:rPr>
          <w:rFonts w:asciiTheme="majorHAnsi" w:eastAsia="Times New Roman" w:hAnsiTheme="majorHAnsi" w:cs="Times New Roman"/>
          <w:kern w:val="0"/>
          <w:lang w:eastAsia="en-GB"/>
          <w14:ligatures w14:val="none"/>
        </w:rPr>
        <w:t>(</w:t>
      </w:r>
      <w:r w:rsidRPr="003143DB">
        <w:rPr>
          <w:rFonts w:asciiTheme="majorHAnsi" w:eastAsia="Times New Roman" w:hAnsiTheme="majorHAnsi" w:cs="Times New Roman"/>
          <w:i/>
          <w:iCs/>
          <w:kern w:val="0"/>
          <w:lang w:eastAsia="en-GB"/>
          <w14:ligatures w14:val="none"/>
        </w:rPr>
        <w:t>JSTOR</w:t>
      </w:r>
      <w:r w:rsidRPr="003143DB">
        <w:rPr>
          <w:rFonts w:asciiTheme="majorHAnsi" w:eastAsia="Times New Roman" w:hAnsiTheme="majorHAnsi" w:cs="Times New Roman"/>
          <w:kern w:val="0"/>
          <w:lang w:eastAsia="en-GB"/>
          <w14:ligatures w14:val="none"/>
        </w:rPr>
        <w:t>,</w:t>
      </w:r>
      <w:r w:rsidRPr="003143DB">
        <w:rPr>
          <w:rFonts w:asciiTheme="majorHAnsi" w:eastAsia="Times New Roman" w:hAnsiTheme="majorHAnsi" w:cs="Times New Roman"/>
          <w:kern w:val="0"/>
          <w:lang w:eastAsia="en-GB"/>
          <w14:ligatures w14:val="none"/>
        </w:rPr>
        <w:t xml:space="preserve"> 1954)</w:t>
      </w:r>
      <w:r w:rsidRPr="003143DB">
        <w:rPr>
          <w:rFonts w:asciiTheme="majorHAnsi" w:eastAsia="Times New Roman" w:hAnsiTheme="majorHAnsi" w:cs="Times New Roman"/>
          <w:kern w:val="0"/>
          <w:lang w:eastAsia="en-GB"/>
          <w14:ligatures w14:val="none"/>
        </w:rPr>
        <w:t xml:space="preserve"> </w:t>
      </w:r>
      <w:hyperlink r:id="rId15" w:history="1">
        <w:r w:rsidR="004A1EF3" w:rsidRPr="007C3BD1">
          <w:rPr>
            <w:rStyle w:val="Hyperlink"/>
            <w:rFonts w:asciiTheme="majorHAnsi" w:eastAsia="Times New Roman" w:hAnsiTheme="majorHAnsi" w:cs="Times New Roman"/>
            <w:kern w:val="0"/>
            <w:lang w:eastAsia="en-GB"/>
            <w14:ligatures w14:val="none"/>
          </w:rPr>
          <w:t>http://www.jstor.org/stable/27830297</w:t>
        </w:r>
      </w:hyperlink>
    </w:p>
    <w:p w14:paraId="72508D21" w14:textId="4834907C" w:rsidR="003B118E" w:rsidRPr="004A1EF3" w:rsidRDefault="004A1EF3" w:rsidP="004A1EF3">
      <w:pPr>
        <w:pStyle w:val="ListParagraph"/>
        <w:numPr>
          <w:ilvl w:val="0"/>
          <w:numId w:val="2"/>
        </w:numPr>
        <w:rPr>
          <w:rFonts w:asciiTheme="majorHAnsi" w:hAnsiTheme="majorHAnsi"/>
          <w:i/>
          <w:iCs/>
        </w:rPr>
      </w:pPr>
      <w:r w:rsidRPr="004A1EF3">
        <w:rPr>
          <w:rFonts w:asciiTheme="majorHAnsi" w:hAnsiTheme="majorHAnsi"/>
        </w:rPr>
        <w:t xml:space="preserve">Newman, Martha G. </w:t>
      </w:r>
      <w:r w:rsidRPr="004A1EF3">
        <w:rPr>
          <w:rFonts w:asciiTheme="majorHAnsi" w:hAnsiTheme="majorHAnsi"/>
          <w:i/>
          <w:iCs/>
        </w:rPr>
        <w:t>‘</w:t>
      </w:r>
      <w:r w:rsidRPr="004A1EF3">
        <w:rPr>
          <w:rFonts w:asciiTheme="majorHAnsi" w:hAnsiTheme="majorHAnsi"/>
          <w:i/>
          <w:iCs/>
        </w:rPr>
        <w:t>The Late Medieval Cistercian Monastery of Fountains Abbey, Yorkshire: Monastic Administration, Economy, and Archival Memory.</w:t>
      </w:r>
      <w:r w:rsidRPr="004A1EF3">
        <w:rPr>
          <w:rFonts w:asciiTheme="majorHAnsi" w:hAnsiTheme="majorHAnsi"/>
          <w:i/>
          <w:iCs/>
        </w:rPr>
        <w:t>’</w:t>
      </w:r>
      <w:r>
        <w:rPr>
          <w:rFonts w:asciiTheme="majorHAnsi" w:hAnsiTheme="majorHAnsi"/>
          <w:i/>
          <w:iCs/>
        </w:rPr>
        <w:t xml:space="preserve"> (Cambridge University Press, 202</w:t>
      </w:r>
      <w:r w:rsidR="00A52A6F">
        <w:rPr>
          <w:rFonts w:asciiTheme="majorHAnsi" w:hAnsiTheme="majorHAnsi"/>
          <w:i/>
          <w:iCs/>
        </w:rPr>
        <w:t>0</w:t>
      </w:r>
      <w:r>
        <w:rPr>
          <w:rFonts w:asciiTheme="majorHAnsi" w:hAnsiTheme="majorHAnsi"/>
          <w:i/>
          <w:iCs/>
        </w:rPr>
        <w:t xml:space="preserve">) </w:t>
      </w:r>
      <w:r w:rsidRPr="004A1EF3">
        <w:rPr>
          <w:rFonts w:asciiTheme="majorHAnsi" w:hAnsiTheme="majorHAnsi"/>
          <w:i/>
          <w:iCs/>
          <w:color w:val="45B0E1" w:themeColor="accent1" w:themeTint="99"/>
          <w:u w:val="single"/>
        </w:rPr>
        <w:t>https://www.cambridge.org/core/journals/church-history/article/late-medieval-cistercian-monastery-of-fountains-abbey-yorkshire-monastic-administration-economy-and-archival-memory-by-michael-spence-medieval-monastic-studies-5-turnhout-brepols-2020-208-pp-7500-cloth/43C35095985829C4219A0D8B0086AC7C/share/07604b3162800f5331b92b6a7b10d170e63436fc713f36cc22d3a95ca25ab34e</w:t>
      </w:r>
    </w:p>
    <w:sectPr w:rsidR="003B118E" w:rsidRPr="004A1EF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305625" w14:textId="77777777" w:rsidR="0051668E" w:rsidRDefault="0051668E" w:rsidP="006510C4">
      <w:pPr>
        <w:spacing w:after="0" w:line="240" w:lineRule="auto"/>
      </w:pPr>
      <w:r>
        <w:separator/>
      </w:r>
    </w:p>
  </w:endnote>
  <w:endnote w:type="continuationSeparator" w:id="0">
    <w:p w14:paraId="346C9BE2" w14:textId="77777777" w:rsidR="0051668E" w:rsidRDefault="0051668E" w:rsidP="006510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1A2A2" w14:textId="77777777" w:rsidR="0051668E" w:rsidRDefault="0051668E" w:rsidP="006510C4">
      <w:pPr>
        <w:spacing w:after="0" w:line="240" w:lineRule="auto"/>
      </w:pPr>
      <w:r>
        <w:separator/>
      </w:r>
    </w:p>
  </w:footnote>
  <w:footnote w:type="continuationSeparator" w:id="0">
    <w:p w14:paraId="39FDB5DF" w14:textId="77777777" w:rsidR="0051668E" w:rsidRDefault="0051668E" w:rsidP="006510C4">
      <w:pPr>
        <w:spacing w:after="0" w:line="240" w:lineRule="auto"/>
      </w:pPr>
      <w:r>
        <w:continuationSeparator/>
      </w:r>
    </w:p>
  </w:footnote>
  <w:footnote w:id="1">
    <w:p w14:paraId="6B0BA29D" w14:textId="1EA76378" w:rsidR="00783560" w:rsidRPr="00E2713C" w:rsidRDefault="00783560">
      <w:pPr>
        <w:pStyle w:val="FootnoteText"/>
      </w:pPr>
      <w:r>
        <w:rPr>
          <w:rStyle w:val="FootnoteReference"/>
        </w:rPr>
        <w:footnoteRef/>
      </w:r>
      <w:r>
        <w:t xml:space="preserve"> </w:t>
      </w:r>
      <w:r w:rsidRPr="00E2713C">
        <w:t xml:space="preserve">Exordium Parvum, chapter </w:t>
      </w:r>
      <w:r w:rsidR="00E2713C" w:rsidRPr="00E2713C">
        <w:t>III</w:t>
      </w:r>
    </w:p>
  </w:footnote>
  <w:footnote w:id="2">
    <w:p w14:paraId="274288AA" w14:textId="1F7FE5CC" w:rsidR="006510C4" w:rsidRPr="00E2713C" w:rsidRDefault="006510C4">
      <w:pPr>
        <w:pStyle w:val="FootnoteText"/>
      </w:pPr>
      <w:r w:rsidRPr="00E2713C">
        <w:rPr>
          <w:rStyle w:val="FootnoteReference"/>
        </w:rPr>
        <w:footnoteRef/>
      </w:r>
      <w:r w:rsidRPr="00E2713C">
        <w:t xml:space="preserve"> </w:t>
      </w:r>
      <w:proofErr w:type="spellStart"/>
      <w:r w:rsidRPr="00E2713C">
        <w:t>Schachenmayr</w:t>
      </w:r>
      <w:proofErr w:type="spellEnd"/>
      <w:r w:rsidRPr="00E2713C">
        <w:t xml:space="preserve">, "Conference Notes on Stephen Harding as the Sole Author of the Carta </w:t>
      </w:r>
      <w:proofErr w:type="spellStart"/>
      <w:r w:rsidRPr="00E2713C">
        <w:t>Caritatis</w:t>
      </w:r>
      <w:proofErr w:type="spellEnd"/>
      <w:r w:rsidRPr="00E2713C">
        <w:t>: Did the Carta Found the Order?"</w:t>
      </w:r>
    </w:p>
  </w:footnote>
  <w:footnote w:id="3">
    <w:p w14:paraId="4D56F2D9" w14:textId="25905D4B" w:rsidR="008938CF" w:rsidRDefault="008938CF">
      <w:pPr>
        <w:pStyle w:val="FootnoteText"/>
      </w:pPr>
      <w:r w:rsidRPr="00E2713C">
        <w:rPr>
          <w:rStyle w:val="FootnoteReference"/>
        </w:rPr>
        <w:footnoteRef/>
      </w:r>
      <w:r w:rsidRPr="00E2713C">
        <w:t xml:space="preserve"> </w:t>
      </w:r>
      <w:r w:rsidR="004D1E6E" w:rsidRPr="00E2713C">
        <w:t xml:space="preserve">Summa Cartae </w:t>
      </w:r>
      <w:proofErr w:type="spellStart"/>
      <w:r w:rsidR="004D1E6E" w:rsidRPr="00E2713C">
        <w:t>Caritatis</w:t>
      </w:r>
      <w:proofErr w:type="spellEnd"/>
      <w:r w:rsidR="004D1E6E" w:rsidRPr="00E2713C">
        <w:t>, chapter XXIII</w:t>
      </w:r>
    </w:p>
  </w:footnote>
  <w:footnote w:id="4">
    <w:p w14:paraId="29EE26D4" w14:textId="6DE7346A" w:rsidR="00951411" w:rsidRPr="00B064A4" w:rsidRDefault="00951411">
      <w:pPr>
        <w:pStyle w:val="FootnoteText"/>
        <w:rPr>
          <w:i/>
          <w:iCs/>
        </w:rPr>
      </w:pPr>
      <w:r>
        <w:rPr>
          <w:rStyle w:val="FootnoteReference"/>
        </w:rPr>
        <w:footnoteRef/>
      </w:r>
      <w:r>
        <w:t xml:space="preserve"> </w:t>
      </w:r>
      <w:r w:rsidR="003B118E" w:rsidRPr="003B118E">
        <w:t xml:space="preserve">William of </w:t>
      </w:r>
      <w:proofErr w:type="spellStart"/>
      <w:r w:rsidR="003B118E" w:rsidRPr="003B118E">
        <w:t>Malmesbury</w:t>
      </w:r>
      <w:proofErr w:type="spellEnd"/>
      <w:r w:rsidR="003B118E" w:rsidRPr="003B118E">
        <w:t xml:space="preserve">, </w:t>
      </w:r>
      <w:proofErr w:type="spellStart"/>
      <w:r w:rsidR="003B118E" w:rsidRPr="00B064A4">
        <w:rPr>
          <w:i/>
          <w:iCs/>
        </w:rPr>
        <w:t>Gesta</w:t>
      </w:r>
      <w:proofErr w:type="spellEnd"/>
      <w:r w:rsidR="003B118E" w:rsidRPr="00B064A4">
        <w:rPr>
          <w:i/>
          <w:iCs/>
        </w:rPr>
        <w:t xml:space="preserve"> </w:t>
      </w:r>
      <w:proofErr w:type="spellStart"/>
      <w:r w:rsidR="003B118E" w:rsidRPr="00B064A4">
        <w:rPr>
          <w:i/>
          <w:iCs/>
        </w:rPr>
        <w:t>pontificum</w:t>
      </w:r>
      <w:proofErr w:type="spellEnd"/>
      <w:r w:rsidR="003B118E" w:rsidRPr="00B064A4">
        <w:rPr>
          <w:i/>
          <w:iCs/>
        </w:rPr>
        <w:t xml:space="preserve"> Anglorum</w:t>
      </w:r>
    </w:p>
  </w:footnote>
  <w:footnote w:id="5">
    <w:p w14:paraId="622CC81D" w14:textId="5995CF40" w:rsidR="00951411" w:rsidRDefault="00951411">
      <w:pPr>
        <w:pStyle w:val="FootnoteText"/>
      </w:pPr>
      <w:r>
        <w:rPr>
          <w:rStyle w:val="FootnoteReference"/>
        </w:rPr>
        <w:footnoteRef/>
      </w:r>
      <w:r>
        <w:t xml:space="preserve"> </w:t>
      </w:r>
      <w:proofErr w:type="spellStart"/>
      <w:r>
        <w:t>Orderic</w:t>
      </w:r>
      <w:proofErr w:type="spellEnd"/>
      <w:r>
        <w:t xml:space="preserve"> Vitalis: Essay on the new orders</w:t>
      </w:r>
    </w:p>
  </w:footnote>
  <w:footnote w:id="6">
    <w:p w14:paraId="24A7B69E" w14:textId="4F22A6A0" w:rsidR="003B118E" w:rsidRDefault="003B118E">
      <w:pPr>
        <w:pStyle w:val="FootnoteText"/>
      </w:pPr>
      <w:r>
        <w:rPr>
          <w:rStyle w:val="FootnoteReference"/>
        </w:rPr>
        <w:footnoteRef/>
      </w:r>
      <w:r>
        <w:t xml:space="preserve"> </w:t>
      </w:r>
      <w:r w:rsidRPr="003B118E">
        <w:t>Terry. “</w:t>
      </w:r>
      <w:r w:rsidRPr="00B064A4">
        <w:rPr>
          <w:i/>
          <w:iCs/>
        </w:rPr>
        <w:t>The White Monks | Creature and Creator.</w:t>
      </w:r>
      <w:r w:rsidRPr="003B118E">
        <w:t xml:space="preserve">” </w:t>
      </w:r>
    </w:p>
  </w:footnote>
  <w:footnote w:id="7">
    <w:p w14:paraId="4EE1158B" w14:textId="36CDD538" w:rsidR="00B064A4" w:rsidRDefault="00B064A4">
      <w:pPr>
        <w:pStyle w:val="FootnoteText"/>
      </w:pPr>
      <w:r>
        <w:rPr>
          <w:rStyle w:val="FootnoteReference"/>
        </w:rPr>
        <w:footnoteRef/>
      </w:r>
      <w:r>
        <w:t xml:space="preserve"> </w:t>
      </w:r>
      <w:r w:rsidRPr="00B064A4">
        <w:t>Berman, Constance Hoffman. “</w:t>
      </w:r>
      <w:r w:rsidRPr="00B064A4">
        <w:rPr>
          <w:i/>
          <w:iCs/>
        </w:rPr>
        <w:t>Agriculture and Economies</w:t>
      </w:r>
      <w:r w:rsidRPr="00B064A4">
        <w:t>.”</w:t>
      </w:r>
      <w:r>
        <w:t xml:space="preserve"> pp.</w:t>
      </w:r>
      <w:r w:rsidRPr="00B064A4">
        <w:t xml:space="preserve"> 112–24</w:t>
      </w:r>
    </w:p>
  </w:footnote>
  <w:footnote w:id="8">
    <w:p w14:paraId="7A286A24" w14:textId="21FB9539" w:rsidR="001B0BB5" w:rsidRDefault="001B0BB5">
      <w:pPr>
        <w:pStyle w:val="FootnoteText"/>
      </w:pPr>
      <w:r>
        <w:rPr>
          <w:rStyle w:val="FootnoteReference"/>
        </w:rPr>
        <w:footnoteRef/>
      </w:r>
      <w:r>
        <w:t xml:space="preserve"> </w:t>
      </w:r>
      <w:r w:rsidRPr="001B0BB5">
        <w:rPr>
          <w:rFonts w:asciiTheme="majorHAnsi" w:hAnsiTheme="majorHAnsi"/>
        </w:rPr>
        <w:t>Jonas, Margaret. </w:t>
      </w:r>
      <w:r>
        <w:rPr>
          <w:rFonts w:asciiTheme="majorHAnsi" w:hAnsiTheme="majorHAnsi"/>
        </w:rPr>
        <w:t>‘</w:t>
      </w:r>
      <w:r w:rsidRPr="001B0BB5">
        <w:rPr>
          <w:rFonts w:asciiTheme="majorHAnsi" w:hAnsiTheme="majorHAnsi"/>
          <w:i/>
          <w:iCs/>
        </w:rPr>
        <w:t>The Templar Spirit: The Esoteric Inspiration, Rituals and Beliefs of the Knights Templar</w:t>
      </w:r>
      <w:r w:rsidRPr="001B0BB5">
        <w:rPr>
          <w:rFonts w:asciiTheme="majorHAnsi" w:hAnsiTheme="majorHAnsi"/>
        </w:rPr>
        <w:t>.</w:t>
      </w:r>
      <w:r>
        <w:rPr>
          <w:rFonts w:asciiTheme="majorHAnsi" w:hAnsiTheme="majorHAnsi"/>
        </w:rPr>
        <w:t>’</w:t>
      </w:r>
      <w:r>
        <w:rPr>
          <w:rFonts w:asciiTheme="majorHAnsi" w:hAnsiTheme="majorHAnsi"/>
        </w:rPr>
        <w:t xml:space="preserve"> p.30</w:t>
      </w:r>
    </w:p>
  </w:footnote>
  <w:footnote w:id="9">
    <w:p w14:paraId="143ABD86" w14:textId="6920ABF7" w:rsidR="001B0BB5" w:rsidRPr="009966DC" w:rsidRDefault="001B0BB5" w:rsidP="009966DC">
      <w:pPr>
        <w:spacing w:after="0"/>
        <w:rPr>
          <w:rFonts w:asciiTheme="majorHAnsi" w:hAnsiTheme="majorHAnsi"/>
          <w:sz w:val="20"/>
          <w:szCs w:val="20"/>
        </w:rPr>
      </w:pPr>
      <w:r w:rsidRPr="009966DC">
        <w:rPr>
          <w:rStyle w:val="FootnoteReference"/>
          <w:rFonts w:asciiTheme="majorHAnsi" w:hAnsiTheme="majorHAnsi"/>
          <w:sz w:val="20"/>
          <w:szCs w:val="20"/>
        </w:rPr>
        <w:footnoteRef/>
      </w:r>
      <w:r w:rsidRPr="009966DC">
        <w:rPr>
          <w:rFonts w:asciiTheme="majorHAnsi" w:hAnsiTheme="majorHAnsi"/>
          <w:sz w:val="20"/>
          <w:szCs w:val="20"/>
        </w:rPr>
        <w:t xml:space="preserve"> </w:t>
      </w:r>
      <w:r w:rsidR="00206608" w:rsidRPr="009966DC">
        <w:rPr>
          <w:rFonts w:asciiTheme="majorHAnsi" w:hAnsiTheme="majorHAnsi"/>
          <w:i/>
          <w:iCs/>
          <w:sz w:val="20"/>
          <w:szCs w:val="20"/>
        </w:rPr>
        <w:t xml:space="preserve">Valor Ecclesiasticus temp. Henr. VIII </w:t>
      </w:r>
      <w:proofErr w:type="spellStart"/>
      <w:r w:rsidR="00206608" w:rsidRPr="009966DC">
        <w:rPr>
          <w:rFonts w:asciiTheme="majorHAnsi" w:hAnsiTheme="majorHAnsi"/>
          <w:i/>
          <w:iCs/>
          <w:sz w:val="20"/>
          <w:szCs w:val="20"/>
        </w:rPr>
        <w:t>auctoritate</w:t>
      </w:r>
      <w:proofErr w:type="spellEnd"/>
      <w:r w:rsidR="00206608" w:rsidRPr="009966DC">
        <w:rPr>
          <w:rFonts w:asciiTheme="majorHAnsi" w:hAnsiTheme="majorHAnsi"/>
          <w:i/>
          <w:iCs/>
          <w:sz w:val="20"/>
          <w:szCs w:val="20"/>
        </w:rPr>
        <w:t xml:space="preserve"> regia </w:t>
      </w:r>
      <w:proofErr w:type="spellStart"/>
      <w:r w:rsidR="00206608" w:rsidRPr="009966DC">
        <w:rPr>
          <w:rFonts w:asciiTheme="majorHAnsi" w:hAnsiTheme="majorHAnsi"/>
          <w:i/>
          <w:iCs/>
          <w:sz w:val="20"/>
          <w:szCs w:val="20"/>
        </w:rPr>
        <w:t>insitutus</w:t>
      </w:r>
      <w:proofErr w:type="spellEnd"/>
      <w:r w:rsidR="00206608" w:rsidRPr="009966DC">
        <w:rPr>
          <w:rFonts w:asciiTheme="majorHAnsi" w:hAnsiTheme="majorHAnsi"/>
          <w:sz w:val="20"/>
          <w:szCs w:val="20"/>
        </w:rPr>
        <w:t>, p. 79-80.</w:t>
      </w:r>
    </w:p>
  </w:footnote>
  <w:footnote w:id="10">
    <w:p w14:paraId="28448FD4" w14:textId="14FC1625" w:rsidR="00206608" w:rsidRPr="009966DC" w:rsidRDefault="00206608" w:rsidP="009966DC">
      <w:pPr>
        <w:pStyle w:val="FootnoteText"/>
        <w:rPr>
          <w:rFonts w:asciiTheme="majorHAnsi" w:hAnsiTheme="majorHAnsi"/>
        </w:rPr>
      </w:pPr>
      <w:r w:rsidRPr="009966DC">
        <w:rPr>
          <w:rStyle w:val="FootnoteReference"/>
          <w:rFonts w:asciiTheme="majorHAnsi" w:hAnsiTheme="majorHAnsi"/>
        </w:rPr>
        <w:footnoteRef/>
      </w:r>
      <w:r w:rsidRPr="009966DC">
        <w:rPr>
          <w:rFonts w:asciiTheme="majorHAnsi" w:hAnsiTheme="majorHAnsi"/>
        </w:rPr>
        <w:t xml:space="preserve"> </w:t>
      </w:r>
      <w:r w:rsidR="00EC2FEB" w:rsidRPr="009966DC">
        <w:rPr>
          <w:rFonts w:asciiTheme="majorHAnsi" w:hAnsiTheme="majorHAnsi"/>
        </w:rPr>
        <w:t>Burton, Janet E., and Julie Kerr. ‘</w:t>
      </w:r>
      <w:r w:rsidR="00EC2FEB" w:rsidRPr="009966DC">
        <w:rPr>
          <w:rFonts w:asciiTheme="majorHAnsi" w:hAnsiTheme="majorHAnsi"/>
          <w:i/>
          <w:iCs/>
        </w:rPr>
        <w:t>The Cistercians in the Middle Ages</w:t>
      </w:r>
      <w:r w:rsidR="00EC2FEB" w:rsidRPr="009966DC">
        <w:rPr>
          <w:rFonts w:asciiTheme="majorHAnsi" w:hAnsiTheme="majorHAnsi"/>
        </w:rPr>
        <w:t>.’</w:t>
      </w:r>
      <w:r w:rsidR="00EC2FEB" w:rsidRPr="009966DC">
        <w:rPr>
          <w:rFonts w:asciiTheme="majorHAnsi" w:hAnsiTheme="majorHAnsi"/>
        </w:rPr>
        <w:t xml:space="preserve"> pp. 149-188</w:t>
      </w:r>
    </w:p>
  </w:footnote>
  <w:footnote w:id="11">
    <w:p w14:paraId="5147CE91" w14:textId="56B51503" w:rsidR="00740A88" w:rsidRPr="009966DC" w:rsidRDefault="00740A88" w:rsidP="009966DC">
      <w:pPr>
        <w:pStyle w:val="FootnoteText"/>
        <w:rPr>
          <w:rFonts w:asciiTheme="majorHAnsi" w:hAnsiTheme="majorHAnsi"/>
        </w:rPr>
      </w:pPr>
      <w:r w:rsidRPr="009966DC">
        <w:rPr>
          <w:rStyle w:val="FootnoteReference"/>
          <w:rFonts w:asciiTheme="majorHAnsi" w:hAnsiTheme="majorHAnsi"/>
        </w:rPr>
        <w:footnoteRef/>
      </w:r>
      <w:r w:rsidRPr="009966DC">
        <w:rPr>
          <w:rFonts w:asciiTheme="majorHAnsi" w:hAnsiTheme="majorHAnsi"/>
        </w:rPr>
        <w:t xml:space="preserve"> </w:t>
      </w:r>
      <w:r w:rsidR="00503BB6" w:rsidRPr="009966DC">
        <w:rPr>
          <w:rFonts w:asciiTheme="majorHAnsi" w:hAnsiTheme="majorHAnsi"/>
        </w:rPr>
        <w:t xml:space="preserve">Summa Cartae </w:t>
      </w:r>
      <w:proofErr w:type="spellStart"/>
      <w:r w:rsidR="00503BB6" w:rsidRPr="009966DC">
        <w:rPr>
          <w:rFonts w:asciiTheme="majorHAnsi" w:hAnsiTheme="majorHAnsi"/>
        </w:rPr>
        <w:t>Caritatis</w:t>
      </w:r>
      <w:proofErr w:type="spellEnd"/>
      <w:r w:rsidR="00503BB6" w:rsidRPr="009966DC">
        <w:rPr>
          <w:rFonts w:asciiTheme="majorHAnsi" w:hAnsiTheme="majorHAnsi"/>
        </w:rPr>
        <w:t>, chapter</w:t>
      </w:r>
      <w:r w:rsidR="00503BB6" w:rsidRPr="009966DC">
        <w:rPr>
          <w:rFonts w:asciiTheme="majorHAnsi" w:hAnsiTheme="majorHAnsi"/>
        </w:rPr>
        <w:t xml:space="preserve"> XXII</w:t>
      </w:r>
    </w:p>
  </w:footnote>
  <w:footnote w:id="12">
    <w:p w14:paraId="5E9818B0" w14:textId="32B35E22" w:rsidR="00503BB6" w:rsidRDefault="00503BB6" w:rsidP="009966DC">
      <w:pPr>
        <w:pStyle w:val="FootnoteText"/>
      </w:pPr>
      <w:r w:rsidRPr="009966DC">
        <w:rPr>
          <w:rStyle w:val="FootnoteReference"/>
          <w:rFonts w:asciiTheme="majorHAnsi" w:hAnsiTheme="majorHAnsi"/>
        </w:rPr>
        <w:footnoteRef/>
      </w:r>
      <w:r w:rsidRPr="009966DC">
        <w:rPr>
          <w:rFonts w:asciiTheme="majorHAnsi" w:hAnsiTheme="majorHAnsi"/>
        </w:rPr>
        <w:t xml:space="preserve"> </w:t>
      </w:r>
      <w:r w:rsidRPr="009966DC">
        <w:rPr>
          <w:rFonts w:asciiTheme="majorHAnsi" w:hAnsiTheme="majorHAnsi"/>
        </w:rPr>
        <w:t>Hoffman Berman C. Agriculture and economies</w:t>
      </w:r>
      <w:r w:rsidRPr="009966DC">
        <w:rPr>
          <w:rFonts w:asciiTheme="majorHAnsi" w:hAnsiTheme="majorHAnsi"/>
        </w:rPr>
        <w:t>. pp.112-124</w:t>
      </w:r>
    </w:p>
  </w:footnote>
  <w:footnote w:id="13">
    <w:p w14:paraId="2B7D497B" w14:textId="0FFF450C" w:rsidR="00716D4C" w:rsidRDefault="00716D4C">
      <w:pPr>
        <w:pStyle w:val="FootnoteText"/>
      </w:pPr>
      <w:r>
        <w:rPr>
          <w:rStyle w:val="FootnoteReference"/>
        </w:rPr>
        <w:footnoteRef/>
      </w:r>
      <w:r>
        <w:t xml:space="preserve"> </w:t>
      </w:r>
      <w:r w:rsidR="00870BFA" w:rsidRPr="00870BFA">
        <w:rPr>
          <w:rFonts w:asciiTheme="majorHAnsi" w:hAnsiTheme="majorHAnsi"/>
          <w:sz w:val="22"/>
          <w:szCs w:val="22"/>
        </w:rPr>
        <w:t xml:space="preserve">Alfonso Isabel, </w:t>
      </w:r>
      <w:r w:rsidR="00870BFA" w:rsidRPr="00870BFA">
        <w:rPr>
          <w:rFonts w:asciiTheme="majorHAnsi" w:hAnsiTheme="majorHAnsi"/>
          <w:i/>
          <w:iCs/>
        </w:rPr>
        <w:t>Cistercians and Feudalism</w:t>
      </w:r>
      <w:r w:rsidR="00870BFA" w:rsidRPr="00870BFA">
        <w:rPr>
          <w:rFonts w:asciiTheme="majorHAnsi" w:hAnsiTheme="majorHAnsi"/>
          <w:i/>
          <w:iCs/>
          <w:sz w:val="22"/>
          <w:szCs w:val="22"/>
        </w:rPr>
        <w:t>, Past &amp; Present</w:t>
      </w:r>
      <w:r w:rsidR="00870BFA">
        <w:rPr>
          <w:rFonts w:asciiTheme="majorHAnsi" w:hAnsiTheme="majorHAnsi"/>
          <w:i/>
          <w:iCs/>
          <w:sz w:val="22"/>
          <w:szCs w:val="22"/>
        </w:rPr>
        <w:t xml:space="preserve">. </w:t>
      </w:r>
      <w:r w:rsidR="00870BFA" w:rsidRPr="00870BFA">
        <w:rPr>
          <w:rFonts w:asciiTheme="majorHAnsi" w:hAnsiTheme="majorHAnsi"/>
          <w:sz w:val="22"/>
          <w:szCs w:val="22"/>
        </w:rPr>
        <w:t>pp. 3-30</w:t>
      </w:r>
    </w:p>
  </w:footnote>
  <w:footnote w:id="14">
    <w:p w14:paraId="179F6AD1" w14:textId="1185DDE9" w:rsidR="00E772B7" w:rsidRPr="00E2713C" w:rsidRDefault="00E772B7">
      <w:pPr>
        <w:pStyle w:val="FootnoteText"/>
        <w:rPr>
          <w:rFonts w:asciiTheme="majorHAnsi" w:hAnsiTheme="majorHAnsi"/>
        </w:rPr>
      </w:pPr>
      <w:r w:rsidRPr="00E2713C">
        <w:rPr>
          <w:rStyle w:val="FootnoteReference"/>
          <w:rFonts w:asciiTheme="majorHAnsi" w:hAnsiTheme="majorHAnsi"/>
        </w:rPr>
        <w:footnoteRef/>
      </w:r>
      <w:r w:rsidRPr="00E2713C">
        <w:rPr>
          <w:rFonts w:asciiTheme="majorHAnsi" w:hAnsiTheme="majorHAnsi"/>
        </w:rPr>
        <w:t xml:space="preserve"> </w:t>
      </w:r>
      <w:r w:rsidR="00EC6AF3" w:rsidRPr="00E2713C">
        <w:rPr>
          <w:rFonts w:asciiTheme="majorHAnsi" w:hAnsiTheme="majorHAnsi"/>
        </w:rPr>
        <w:t xml:space="preserve">Francesco Balducci Pegolotti, La </w:t>
      </w:r>
      <w:proofErr w:type="spellStart"/>
      <w:r w:rsidR="00EC6AF3" w:rsidRPr="00E2713C">
        <w:rPr>
          <w:rFonts w:asciiTheme="majorHAnsi" w:hAnsiTheme="majorHAnsi"/>
        </w:rPr>
        <w:t>Pratica</w:t>
      </w:r>
      <w:proofErr w:type="spellEnd"/>
      <w:r w:rsidR="00EC6AF3" w:rsidRPr="00E2713C">
        <w:rPr>
          <w:rFonts w:asciiTheme="majorHAnsi" w:hAnsiTheme="majorHAnsi"/>
        </w:rPr>
        <w:t xml:space="preserve"> </w:t>
      </w:r>
      <w:proofErr w:type="spellStart"/>
      <w:r w:rsidR="00EC6AF3" w:rsidRPr="00E2713C">
        <w:rPr>
          <w:rFonts w:asciiTheme="majorHAnsi" w:hAnsiTheme="majorHAnsi"/>
        </w:rPr>
        <w:t>della</w:t>
      </w:r>
      <w:proofErr w:type="spellEnd"/>
      <w:r w:rsidR="00EC6AF3" w:rsidRPr="00E2713C">
        <w:rPr>
          <w:rFonts w:asciiTheme="majorHAnsi" w:hAnsiTheme="majorHAnsi"/>
        </w:rPr>
        <w:t xml:space="preserve"> </w:t>
      </w:r>
      <w:proofErr w:type="spellStart"/>
      <w:r w:rsidR="00EC6AF3" w:rsidRPr="00E2713C">
        <w:rPr>
          <w:rFonts w:asciiTheme="majorHAnsi" w:hAnsiTheme="majorHAnsi"/>
        </w:rPr>
        <w:t>Mercatura</w:t>
      </w:r>
      <w:proofErr w:type="spellEnd"/>
    </w:p>
  </w:footnote>
  <w:footnote w:id="15">
    <w:p w14:paraId="00E80A8F" w14:textId="5CFAF490" w:rsidR="00EC6AF3" w:rsidRPr="00E2713C" w:rsidRDefault="00EC6AF3">
      <w:pPr>
        <w:pStyle w:val="FootnoteText"/>
        <w:rPr>
          <w:rFonts w:asciiTheme="majorHAnsi" w:hAnsiTheme="majorHAnsi"/>
          <w:b/>
          <w:bCs/>
        </w:rPr>
      </w:pPr>
      <w:r w:rsidRPr="00E2713C">
        <w:rPr>
          <w:rStyle w:val="FootnoteReference"/>
          <w:rFonts w:asciiTheme="majorHAnsi" w:hAnsiTheme="majorHAnsi"/>
        </w:rPr>
        <w:footnoteRef/>
      </w:r>
      <w:r w:rsidRPr="00E2713C">
        <w:rPr>
          <w:rFonts w:asciiTheme="majorHAnsi" w:hAnsiTheme="majorHAnsi"/>
        </w:rPr>
        <w:t xml:space="preserve"> </w:t>
      </w:r>
      <w:r w:rsidRPr="00E2713C">
        <w:rPr>
          <w:rFonts w:asciiTheme="majorHAnsi" w:hAnsiTheme="majorHAnsi"/>
          <w:i/>
          <w:iCs/>
        </w:rPr>
        <w:t>‘</w:t>
      </w:r>
      <w:r w:rsidRPr="00E2713C">
        <w:rPr>
          <w:rFonts w:asciiTheme="majorHAnsi" w:hAnsiTheme="majorHAnsi"/>
          <w:i/>
          <w:iCs/>
        </w:rPr>
        <w:t>Some rulings of the General Chapter on economic matters</w:t>
      </w:r>
      <w:r w:rsidR="00E2713C">
        <w:rPr>
          <w:rFonts w:asciiTheme="majorHAnsi" w:hAnsiTheme="majorHAnsi"/>
          <w:i/>
          <w:iCs/>
        </w:rPr>
        <w:t>,</w:t>
      </w:r>
      <w:r w:rsidRPr="00E2713C">
        <w:rPr>
          <w:rFonts w:asciiTheme="majorHAnsi" w:hAnsiTheme="majorHAnsi"/>
          <w:i/>
          <w:iCs/>
        </w:rPr>
        <w:t>’</w:t>
      </w:r>
      <w:r w:rsidR="00E2713C">
        <w:rPr>
          <w:rFonts w:asciiTheme="majorHAnsi" w:hAnsiTheme="majorHAnsi"/>
          <w:i/>
          <w:iCs/>
        </w:rPr>
        <w:t xml:space="preserve"> </w:t>
      </w:r>
      <w:r w:rsidR="00E2713C" w:rsidRPr="00E2713C">
        <w:rPr>
          <w:rFonts w:asciiTheme="majorHAnsi" w:hAnsiTheme="majorHAnsi"/>
        </w:rPr>
        <w:t>1181</w:t>
      </w:r>
    </w:p>
  </w:footnote>
  <w:footnote w:id="16">
    <w:p w14:paraId="61021864" w14:textId="5C234853" w:rsidR="00E2713C" w:rsidRPr="00E2713C" w:rsidRDefault="00E2713C" w:rsidP="00E2713C">
      <w:pPr>
        <w:spacing w:line="276" w:lineRule="auto"/>
        <w:rPr>
          <w:rFonts w:asciiTheme="majorHAnsi" w:hAnsiTheme="majorHAnsi"/>
        </w:rPr>
      </w:pPr>
      <w:r w:rsidRPr="00E2713C">
        <w:rPr>
          <w:rStyle w:val="FootnoteReference"/>
          <w:rFonts w:asciiTheme="majorHAnsi" w:hAnsiTheme="majorHAnsi"/>
          <w:sz w:val="20"/>
          <w:szCs w:val="20"/>
        </w:rPr>
        <w:footnoteRef/>
      </w:r>
      <w:r w:rsidRPr="00E2713C">
        <w:rPr>
          <w:rFonts w:asciiTheme="majorHAnsi" w:hAnsiTheme="majorHAnsi"/>
          <w:sz w:val="20"/>
          <w:szCs w:val="20"/>
        </w:rPr>
        <w:t xml:space="preserve"> </w:t>
      </w:r>
      <w:r w:rsidRPr="00E2713C">
        <w:rPr>
          <w:rFonts w:asciiTheme="majorHAnsi" w:hAnsiTheme="majorHAnsi"/>
          <w:sz w:val="20"/>
          <w:szCs w:val="20"/>
        </w:rPr>
        <w:t>Knowles, David. ‘</w:t>
      </w:r>
      <w:r w:rsidRPr="00E2713C">
        <w:rPr>
          <w:rFonts w:asciiTheme="majorHAnsi" w:hAnsiTheme="majorHAnsi"/>
          <w:i/>
          <w:iCs/>
          <w:sz w:val="20"/>
          <w:szCs w:val="20"/>
        </w:rPr>
        <w:t>Religious Orders Vol 1</w:t>
      </w:r>
      <w:r w:rsidRPr="00E2713C">
        <w:rPr>
          <w:rFonts w:asciiTheme="majorHAnsi" w:hAnsiTheme="majorHAnsi"/>
          <w:sz w:val="20"/>
          <w:szCs w:val="20"/>
        </w:rPr>
        <w:t>.’ pp. 68–9</w:t>
      </w:r>
    </w:p>
  </w:footnote>
  <w:footnote w:id="17">
    <w:p w14:paraId="04529938" w14:textId="672E4555" w:rsidR="005949DC" w:rsidRPr="00C76503" w:rsidRDefault="005949DC">
      <w:pPr>
        <w:pStyle w:val="FootnoteText"/>
        <w:rPr>
          <w:rFonts w:asciiTheme="majorHAnsi" w:hAnsiTheme="majorHAnsi"/>
        </w:rPr>
      </w:pPr>
      <w:r w:rsidRPr="00C76503">
        <w:rPr>
          <w:rStyle w:val="FootnoteReference"/>
          <w:rFonts w:asciiTheme="majorHAnsi" w:hAnsiTheme="majorHAnsi"/>
        </w:rPr>
        <w:footnoteRef/>
      </w:r>
      <w:r w:rsidRPr="00C76503">
        <w:rPr>
          <w:rFonts w:asciiTheme="majorHAnsi" w:hAnsiTheme="majorHAnsi"/>
        </w:rPr>
        <w:t xml:space="preserve"> </w:t>
      </w:r>
      <w:proofErr w:type="spellStart"/>
      <w:r w:rsidR="003143DB" w:rsidRPr="00C76503">
        <w:rPr>
          <w:rFonts w:asciiTheme="majorHAnsi" w:hAnsiTheme="majorHAnsi"/>
        </w:rPr>
        <w:t>Jamroziak</w:t>
      </w:r>
      <w:proofErr w:type="spellEnd"/>
      <w:r w:rsidR="003143DB" w:rsidRPr="00C76503">
        <w:rPr>
          <w:rFonts w:asciiTheme="majorHAnsi" w:hAnsiTheme="majorHAnsi"/>
        </w:rPr>
        <w:t>, E. ‘</w:t>
      </w:r>
      <w:r w:rsidR="003143DB" w:rsidRPr="00C76503">
        <w:rPr>
          <w:rFonts w:asciiTheme="majorHAnsi" w:hAnsiTheme="majorHAnsi"/>
          <w:i/>
          <w:iCs/>
        </w:rPr>
        <w:t>The Cistercian Order in Medieval Europe: 1090-1500’.</w:t>
      </w:r>
      <w:r w:rsidR="003143DB" w:rsidRPr="00C76503">
        <w:rPr>
          <w:rFonts w:asciiTheme="majorHAnsi" w:hAnsiTheme="majorHAnsi"/>
          <w:i/>
          <w:iCs/>
        </w:rPr>
        <w:t xml:space="preserve"> Chapter 8, </w:t>
      </w:r>
      <w:r w:rsidR="003143DB" w:rsidRPr="00C76503">
        <w:rPr>
          <w:rFonts w:asciiTheme="majorHAnsi" w:hAnsiTheme="majorHAnsi"/>
          <w:i/>
          <w:iCs/>
        </w:rPr>
        <w:t>Difficulties and Pressures on the Order in the Late Middle Ages</w:t>
      </w:r>
    </w:p>
  </w:footnote>
  <w:footnote w:id="18">
    <w:p w14:paraId="0538EE8C" w14:textId="2E7CD80D" w:rsidR="003143DB" w:rsidRDefault="003143DB">
      <w:pPr>
        <w:pStyle w:val="FootnoteText"/>
      </w:pPr>
      <w:r w:rsidRPr="00C76503">
        <w:rPr>
          <w:rStyle w:val="FootnoteReference"/>
          <w:rFonts w:asciiTheme="majorHAnsi" w:hAnsiTheme="majorHAnsi"/>
        </w:rPr>
        <w:footnoteRef/>
      </w:r>
      <w:r w:rsidRPr="00C76503">
        <w:rPr>
          <w:rFonts w:asciiTheme="majorHAnsi" w:hAnsiTheme="majorHAnsi"/>
        </w:rPr>
        <w:t xml:space="preserve"> </w:t>
      </w:r>
      <w:r w:rsidR="00C76503" w:rsidRPr="00C76503">
        <w:rPr>
          <w:rFonts w:asciiTheme="majorHAnsi" w:hAnsiTheme="majorHAnsi"/>
          <w:lang w:eastAsia="en-GB"/>
        </w:rPr>
        <w:t xml:space="preserve">Donnelly, James S. </w:t>
      </w:r>
      <w:r w:rsidR="00C76503" w:rsidRPr="00C76503">
        <w:rPr>
          <w:rFonts w:asciiTheme="majorHAnsi" w:hAnsiTheme="majorHAnsi"/>
          <w:i/>
          <w:iCs/>
          <w:lang w:eastAsia="en-GB"/>
        </w:rPr>
        <w:t xml:space="preserve">‘Changes In The Grange Economy Of English And Welsh Cistercian Abbeys, </w:t>
      </w:r>
      <w:r w:rsidR="00C76503" w:rsidRPr="00C76503">
        <w:rPr>
          <w:rFonts w:asciiTheme="majorHAnsi" w:eastAsia="Times New Roman" w:hAnsiTheme="majorHAnsi" w:cs="Times New Roman"/>
          <w:i/>
          <w:iCs/>
          <w:kern w:val="0"/>
          <w:lang w:eastAsia="en-GB"/>
          <w14:ligatures w14:val="none"/>
        </w:rPr>
        <w:t>1300-1540.’</w:t>
      </w:r>
      <w:r w:rsidR="00C76503" w:rsidRPr="00C76503">
        <w:rPr>
          <w:rFonts w:asciiTheme="majorHAnsi" w:eastAsia="Times New Roman" w:hAnsiTheme="majorHAnsi" w:cs="Times New Roman"/>
          <w:i/>
          <w:iCs/>
          <w:kern w:val="0"/>
          <w:lang w:eastAsia="en-GB"/>
          <w14:ligatures w14:val="none"/>
        </w:rPr>
        <w:t xml:space="preserve"> </w:t>
      </w:r>
      <w:r w:rsidR="00C76503" w:rsidRPr="00C76503">
        <w:rPr>
          <w:rFonts w:asciiTheme="majorHAnsi" w:eastAsia="Times New Roman" w:hAnsiTheme="majorHAnsi" w:cs="Times New Roman"/>
          <w:kern w:val="0"/>
          <w:lang w:eastAsia="en-GB"/>
          <w14:ligatures w14:val="none"/>
        </w:rPr>
        <w:t>pp. 422-424</w:t>
      </w:r>
    </w:p>
  </w:footnote>
  <w:footnote w:id="19">
    <w:p w14:paraId="036A5325" w14:textId="71AF5FC4" w:rsidR="00C76503" w:rsidRDefault="00C76503">
      <w:pPr>
        <w:pStyle w:val="FootnoteText"/>
      </w:pPr>
      <w:r>
        <w:rPr>
          <w:rStyle w:val="FootnoteReference"/>
        </w:rPr>
        <w:footnoteRef/>
      </w:r>
      <w:r>
        <w:t xml:space="preserve"> </w:t>
      </w:r>
      <w:r w:rsidR="00A52A6F" w:rsidRPr="004A1EF3">
        <w:rPr>
          <w:rFonts w:asciiTheme="majorHAnsi" w:hAnsiTheme="majorHAnsi"/>
        </w:rPr>
        <w:t xml:space="preserve">Newman, Martha G. </w:t>
      </w:r>
      <w:r w:rsidR="00A52A6F" w:rsidRPr="004A1EF3">
        <w:rPr>
          <w:rFonts w:asciiTheme="majorHAnsi" w:hAnsiTheme="majorHAnsi"/>
          <w:i/>
          <w:iCs/>
        </w:rPr>
        <w:t>‘The Late Medieval Cistercian Monastery of Fountains Abbey, Yorkshire: Monastic Administration, Economy, and Archival Memory.’</w:t>
      </w:r>
      <w:r w:rsidR="00A52A6F">
        <w:rPr>
          <w:rFonts w:asciiTheme="majorHAnsi" w:hAnsiTheme="majorHAnsi"/>
          <w:i/>
          <w:iCs/>
        </w:rPr>
        <w:t xml:space="preserve"> pp. </w:t>
      </w:r>
      <w:r w:rsidR="00A52A6F" w:rsidRPr="00A52A6F">
        <w:rPr>
          <w:rFonts w:asciiTheme="majorHAnsi" w:hAnsiTheme="majorHAnsi"/>
          <w:i/>
          <w:iCs/>
        </w:rPr>
        <w:t>446–448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decimal"/>
      <w:lvlText w:val="%1"/>
      <w:lvlJc w:val="left"/>
      <w:pPr>
        <w:tabs>
          <w:tab w:val="num" w:pos="0"/>
        </w:tabs>
        <w:ind w:left="720" w:hanging="360"/>
      </w:pPr>
    </w:lvl>
  </w:abstractNum>
  <w:abstractNum w:abstractNumId="1" w15:restartNumberingAfterBreak="0">
    <w:nsid w:val="054D1563"/>
    <w:multiLevelType w:val="hybridMultilevel"/>
    <w:tmpl w:val="3F226912"/>
    <w:lvl w:ilvl="0" w:tplc="B8BEFA5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216BCE"/>
    <w:multiLevelType w:val="hybridMultilevel"/>
    <w:tmpl w:val="10B8D0B2"/>
    <w:lvl w:ilvl="0" w:tplc="2FE8505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3063A3"/>
    <w:multiLevelType w:val="hybridMultilevel"/>
    <w:tmpl w:val="79063BFC"/>
    <w:lvl w:ilvl="0" w:tplc="0CD21D2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1429358">
    <w:abstractNumId w:val="0"/>
    <w:lvlOverride w:ilvl="0">
      <w:startOverride w:val="1"/>
    </w:lvlOverride>
  </w:num>
  <w:num w:numId="2" w16cid:durableId="906888542">
    <w:abstractNumId w:val="3"/>
  </w:num>
  <w:num w:numId="3" w16cid:durableId="617492041">
    <w:abstractNumId w:val="1"/>
  </w:num>
  <w:num w:numId="4" w16cid:durableId="10444479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0C4"/>
    <w:rsid w:val="00113026"/>
    <w:rsid w:val="00143600"/>
    <w:rsid w:val="001B0BB5"/>
    <w:rsid w:val="00206608"/>
    <w:rsid w:val="002A3EA5"/>
    <w:rsid w:val="003143DB"/>
    <w:rsid w:val="003B118E"/>
    <w:rsid w:val="003C0831"/>
    <w:rsid w:val="0041769D"/>
    <w:rsid w:val="004A1EF3"/>
    <w:rsid w:val="004D1E6E"/>
    <w:rsid w:val="00503BB6"/>
    <w:rsid w:val="0051668E"/>
    <w:rsid w:val="005949DC"/>
    <w:rsid w:val="006510C4"/>
    <w:rsid w:val="006A074E"/>
    <w:rsid w:val="00716D4C"/>
    <w:rsid w:val="00740A88"/>
    <w:rsid w:val="00783560"/>
    <w:rsid w:val="008673F1"/>
    <w:rsid w:val="00870BFA"/>
    <w:rsid w:val="008938CF"/>
    <w:rsid w:val="00951411"/>
    <w:rsid w:val="00975E14"/>
    <w:rsid w:val="009902E9"/>
    <w:rsid w:val="009966DC"/>
    <w:rsid w:val="00A52A6F"/>
    <w:rsid w:val="00AD3C4A"/>
    <w:rsid w:val="00B064A4"/>
    <w:rsid w:val="00B24791"/>
    <w:rsid w:val="00C76503"/>
    <w:rsid w:val="00E2713C"/>
    <w:rsid w:val="00E33468"/>
    <w:rsid w:val="00E772B7"/>
    <w:rsid w:val="00EC2FEB"/>
    <w:rsid w:val="00EC6AF3"/>
    <w:rsid w:val="00EE4B9C"/>
    <w:rsid w:val="00F565A5"/>
    <w:rsid w:val="00F64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049E6"/>
  <w15:chartTrackingRefBased/>
  <w15:docId w15:val="{D421BF00-E567-4AE6-B718-1020DF1F7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10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10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510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10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10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10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10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10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10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10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10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510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10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10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10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10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10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10C4"/>
    <w:rPr>
      <w:rFonts w:eastAsiaTheme="majorEastAsia" w:cstheme="majorBidi"/>
      <w:color w:val="272727" w:themeColor="text1" w:themeTint="D8"/>
    </w:rPr>
  </w:style>
  <w:style w:type="paragraph" w:styleId="Title">
    <w:name w:val="Title"/>
    <w:basedOn w:val="Normal"/>
    <w:next w:val="Normal"/>
    <w:link w:val="TitleChar"/>
    <w:uiPriority w:val="10"/>
    <w:qFormat/>
    <w:rsid w:val="006510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10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10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10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10C4"/>
    <w:pPr>
      <w:spacing w:before="160"/>
      <w:jc w:val="center"/>
    </w:pPr>
    <w:rPr>
      <w:i/>
      <w:iCs/>
      <w:color w:val="404040" w:themeColor="text1" w:themeTint="BF"/>
    </w:rPr>
  </w:style>
  <w:style w:type="character" w:customStyle="1" w:styleId="QuoteChar">
    <w:name w:val="Quote Char"/>
    <w:basedOn w:val="DefaultParagraphFont"/>
    <w:link w:val="Quote"/>
    <w:uiPriority w:val="29"/>
    <w:rsid w:val="006510C4"/>
    <w:rPr>
      <w:i/>
      <w:iCs/>
      <w:color w:val="404040" w:themeColor="text1" w:themeTint="BF"/>
    </w:rPr>
  </w:style>
  <w:style w:type="paragraph" w:styleId="ListParagraph">
    <w:name w:val="List Paragraph"/>
    <w:basedOn w:val="Normal"/>
    <w:uiPriority w:val="34"/>
    <w:qFormat/>
    <w:rsid w:val="006510C4"/>
    <w:pPr>
      <w:ind w:left="720"/>
      <w:contextualSpacing/>
    </w:pPr>
  </w:style>
  <w:style w:type="character" w:styleId="IntenseEmphasis">
    <w:name w:val="Intense Emphasis"/>
    <w:basedOn w:val="DefaultParagraphFont"/>
    <w:uiPriority w:val="21"/>
    <w:qFormat/>
    <w:rsid w:val="006510C4"/>
    <w:rPr>
      <w:i/>
      <w:iCs/>
      <w:color w:val="0F4761" w:themeColor="accent1" w:themeShade="BF"/>
    </w:rPr>
  </w:style>
  <w:style w:type="paragraph" w:styleId="IntenseQuote">
    <w:name w:val="Intense Quote"/>
    <w:basedOn w:val="Normal"/>
    <w:next w:val="Normal"/>
    <w:link w:val="IntenseQuoteChar"/>
    <w:uiPriority w:val="30"/>
    <w:qFormat/>
    <w:rsid w:val="006510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10C4"/>
    <w:rPr>
      <w:i/>
      <w:iCs/>
      <w:color w:val="0F4761" w:themeColor="accent1" w:themeShade="BF"/>
    </w:rPr>
  </w:style>
  <w:style w:type="character" w:styleId="IntenseReference">
    <w:name w:val="Intense Reference"/>
    <w:basedOn w:val="DefaultParagraphFont"/>
    <w:uiPriority w:val="32"/>
    <w:qFormat/>
    <w:rsid w:val="006510C4"/>
    <w:rPr>
      <w:b/>
      <w:bCs/>
      <w:smallCaps/>
      <w:color w:val="0F4761" w:themeColor="accent1" w:themeShade="BF"/>
      <w:spacing w:val="5"/>
    </w:rPr>
  </w:style>
  <w:style w:type="paragraph" w:styleId="FootnoteText">
    <w:name w:val="footnote text"/>
    <w:basedOn w:val="Normal"/>
    <w:link w:val="FootnoteTextChar"/>
    <w:uiPriority w:val="99"/>
    <w:semiHidden/>
    <w:unhideWhenUsed/>
    <w:rsid w:val="006510C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510C4"/>
    <w:rPr>
      <w:sz w:val="20"/>
      <w:szCs w:val="20"/>
    </w:rPr>
  </w:style>
  <w:style w:type="character" w:styleId="FootnoteReference">
    <w:name w:val="footnote reference"/>
    <w:basedOn w:val="DefaultParagraphFont"/>
    <w:uiPriority w:val="99"/>
    <w:semiHidden/>
    <w:unhideWhenUsed/>
    <w:rsid w:val="006510C4"/>
    <w:rPr>
      <w:vertAlign w:val="superscript"/>
    </w:rPr>
  </w:style>
  <w:style w:type="character" w:styleId="Hyperlink">
    <w:name w:val="Hyperlink"/>
    <w:basedOn w:val="DefaultParagraphFont"/>
    <w:uiPriority w:val="99"/>
    <w:unhideWhenUsed/>
    <w:rsid w:val="006510C4"/>
    <w:rPr>
      <w:color w:val="467886" w:themeColor="hyperlink"/>
      <w:u w:val="single"/>
    </w:rPr>
  </w:style>
  <w:style w:type="character" w:styleId="UnresolvedMention">
    <w:name w:val="Unresolved Mention"/>
    <w:basedOn w:val="DefaultParagraphFont"/>
    <w:uiPriority w:val="99"/>
    <w:semiHidden/>
    <w:unhideWhenUsed/>
    <w:rsid w:val="006510C4"/>
    <w:rPr>
      <w:color w:val="605E5C"/>
      <w:shd w:val="clear" w:color="auto" w:fill="E1DFDD"/>
    </w:rPr>
  </w:style>
  <w:style w:type="paragraph" w:styleId="NormalWeb">
    <w:name w:val="Normal (Web)"/>
    <w:basedOn w:val="Normal"/>
    <w:uiPriority w:val="99"/>
    <w:semiHidden/>
    <w:unhideWhenUsed/>
    <w:rsid w:val="003B118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url">
    <w:name w:val="url"/>
    <w:basedOn w:val="DefaultParagraphFont"/>
    <w:rsid w:val="003B118E"/>
  </w:style>
  <w:style w:type="paragraph" w:customStyle="1" w:styleId="Textbody">
    <w:name w:val="Text body"/>
    <w:basedOn w:val="Normal"/>
    <w:rsid w:val="00EC6AF3"/>
    <w:pPr>
      <w:suppressAutoHyphens/>
      <w:autoSpaceDN w:val="0"/>
      <w:spacing w:after="140" w:line="276" w:lineRule="auto"/>
    </w:pPr>
    <w:rPr>
      <w:rFonts w:ascii="Garamond" w:eastAsia="SimSun" w:hAnsi="Garamond" w:cs="Lucida Sans"/>
      <w:kern w:val="3"/>
      <w:sz w:val="24"/>
      <w:szCs w:val="24"/>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93/past/133.1.3"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1017/cco9780511735899.012"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reatureandcreator.ca/?p=4602#:~:text=In%20order%20to%20manage%20their,Tobin%2C1995%2C%20p%2041" TargetMode="External"/><Relationship Id="rId5" Type="http://schemas.openxmlformats.org/officeDocument/2006/relationships/numbering" Target="numbering.xml"/><Relationship Id="rId15" Type="http://schemas.openxmlformats.org/officeDocument/2006/relationships/hyperlink" Target="http://www.jstor.org/stable/27830297"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4324/97813156620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6" ma:contentTypeDescription="Create a new document." ma:contentTypeScope="" ma:versionID="30f909e63edb417ab26a280d4baaeec4">
  <xsd:schema xmlns:xsd="http://www.w3.org/2001/XMLSchema" xmlns:xs="http://www.w3.org/2001/XMLSchema" xmlns:p="http://schemas.microsoft.com/office/2006/metadata/properties" xmlns:ns3="ad7316b1-23f1-480c-8fa6-cbf037f4db9c" targetNamespace="http://schemas.microsoft.com/office/2006/metadata/properties" ma:root="true" ma:fieldsID="5e18ef623c0cc210b08a384c92d19f49" ns3:_="">
    <xsd:import namespace="ad7316b1-23f1-480c-8fa6-cbf037f4db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A6DD4851-B3D8-4911-9D0B-4F3DE5F86C17}">
  <ds:schemaRefs>
    <ds:schemaRef ds:uri="http://schemas.openxmlformats.org/officeDocument/2006/bibliography"/>
  </ds:schemaRefs>
</ds:datastoreItem>
</file>

<file path=customXml/itemProps2.xml><?xml version="1.0" encoding="utf-8"?>
<ds:datastoreItem xmlns:ds="http://schemas.openxmlformats.org/officeDocument/2006/customXml" ds:itemID="{B082B4EB-6AAA-4381-820A-369C79E5FC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22ED0A-D516-41AB-9A75-F9C41E8943CE}">
  <ds:schemaRefs>
    <ds:schemaRef ds:uri="http://schemas.microsoft.com/sharepoint/v3/contenttype/forms"/>
  </ds:schemaRefs>
</ds:datastoreItem>
</file>

<file path=customXml/itemProps4.xml><?xml version="1.0" encoding="utf-8"?>
<ds:datastoreItem xmlns:ds="http://schemas.openxmlformats.org/officeDocument/2006/customXml" ds:itemID="{27B5EFAE-D7E9-4621-B453-411F19C6E21A}">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Template>
  <TotalTime>951</TotalTime>
  <Pages>7</Pages>
  <Words>2994</Words>
  <Characters>17070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 Barker-Morgan (2305490)</dc:creator>
  <cp:keywords/>
  <dc:description/>
  <cp:lastModifiedBy>Broc Barker-Morgan (2305490)</cp:lastModifiedBy>
  <cp:revision>8</cp:revision>
  <dcterms:created xsi:type="dcterms:W3CDTF">2025-10-25T14:47:00Z</dcterms:created>
  <dcterms:modified xsi:type="dcterms:W3CDTF">2025-10-26T21:17:00Z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