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7BC70" w14:textId="5986D1EC" w:rsidR="00816ED3" w:rsidRPr="00FA5112" w:rsidRDefault="00A310F4" w:rsidP="00816ED3">
      <w:pPr>
        <w:rPr>
          <w:rFonts w:ascii="Times New Roman" w:hAnsi="Times New Roman" w:cs="Times New Roman"/>
          <w:sz w:val="28"/>
          <w:szCs w:val="28"/>
        </w:rPr>
      </w:pPr>
      <w:r w:rsidRPr="00FA5112">
        <w:rPr>
          <w:rFonts w:ascii="Times New Roman" w:hAnsi="Times New Roman" w:cs="Times New Roman"/>
          <w:sz w:val="28"/>
          <w:szCs w:val="28"/>
        </w:rPr>
        <w:t xml:space="preserve">Essay Title: </w:t>
      </w:r>
      <w:proofErr w:type="spellStart"/>
      <w:r w:rsidRPr="00FA5112">
        <w:rPr>
          <w:rFonts w:ascii="Times New Roman" w:hAnsi="Times New Roman" w:cs="Times New Roman"/>
          <w:sz w:val="28"/>
          <w:szCs w:val="28"/>
        </w:rPr>
        <w:t>Onraes</w:t>
      </w:r>
      <w:proofErr w:type="spellEnd"/>
      <w:r w:rsidRPr="00FA5112">
        <w:rPr>
          <w:rFonts w:ascii="Times New Roman" w:hAnsi="Times New Roman" w:cs="Times New Roman"/>
          <w:sz w:val="28"/>
          <w:szCs w:val="28"/>
        </w:rPr>
        <w:t>! Evaluating the Battlefield effectiveness of the Cavalry Charge in 13</w:t>
      </w:r>
      <w:r w:rsidRPr="00FA5112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FA5112">
        <w:rPr>
          <w:rFonts w:ascii="Times New Roman" w:hAnsi="Times New Roman" w:cs="Times New Roman"/>
          <w:sz w:val="28"/>
          <w:szCs w:val="28"/>
        </w:rPr>
        <w:t xml:space="preserve"> Century Warfare.</w:t>
      </w:r>
    </w:p>
    <w:p w14:paraId="59443F4B" w14:textId="77777777" w:rsidR="00816ED3" w:rsidRPr="00FA5112" w:rsidRDefault="00816ED3" w:rsidP="00816ED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831F6E" w14:textId="77777777" w:rsidR="00816ED3" w:rsidRPr="00FA5112" w:rsidRDefault="00816ED3" w:rsidP="00816ED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1229A9" w14:textId="77777777" w:rsidR="00816ED3" w:rsidRPr="00FA5112" w:rsidRDefault="00816ED3" w:rsidP="00816ED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5F63D2" w14:textId="35596F5E" w:rsidR="003B7BD5" w:rsidRPr="00FA5112" w:rsidRDefault="00816ED3" w:rsidP="00816ED3">
      <w:pPr>
        <w:jc w:val="center"/>
        <w:rPr>
          <w:rFonts w:ascii="Times New Roman" w:hAnsi="Times New Roman" w:cs="Times New Roman"/>
          <w:sz w:val="28"/>
          <w:szCs w:val="28"/>
        </w:rPr>
      </w:pPr>
      <w:r w:rsidRPr="00FA5112">
        <w:rPr>
          <w:rFonts w:ascii="Times New Roman" w:hAnsi="Times New Roman" w:cs="Times New Roman"/>
          <w:sz w:val="28"/>
          <w:szCs w:val="28"/>
        </w:rPr>
        <w:t>Reference List</w:t>
      </w:r>
    </w:p>
    <w:p w14:paraId="68AE8C26" w14:textId="16004457" w:rsidR="003B7BD5" w:rsidRPr="00FA5112" w:rsidRDefault="003B7BD5" w:rsidP="003B7BD5">
      <w:pPr>
        <w:rPr>
          <w:rFonts w:ascii="Times New Roman" w:hAnsi="Times New Roman" w:cs="Times New Roman"/>
          <w:sz w:val="28"/>
          <w:szCs w:val="28"/>
        </w:rPr>
      </w:pPr>
      <w:r w:rsidRPr="00FA5112">
        <w:rPr>
          <w:rFonts w:ascii="Times New Roman" w:hAnsi="Times New Roman" w:cs="Times New Roman"/>
          <w:sz w:val="28"/>
          <w:szCs w:val="28"/>
        </w:rPr>
        <w:t xml:space="preserve">  Guttman, J. (2007) Stirrup and Lance: the combination that made the medieval knight. Military history (Herndon, Va.). 24 (6), 23–.</w:t>
      </w:r>
    </w:p>
    <w:p w14:paraId="234A6DB6" w14:textId="77777777" w:rsidR="00D14E6D" w:rsidRPr="00FA5112" w:rsidRDefault="00D14E6D" w:rsidP="003B7BD5">
      <w:pPr>
        <w:rPr>
          <w:rFonts w:ascii="Times New Roman" w:hAnsi="Times New Roman" w:cs="Times New Roman"/>
          <w:sz w:val="28"/>
          <w:szCs w:val="28"/>
        </w:rPr>
      </w:pPr>
    </w:p>
    <w:p w14:paraId="19D2657B" w14:textId="5EA79F91" w:rsidR="003B7BD5" w:rsidRPr="00FA5112" w:rsidRDefault="003B7BD5" w:rsidP="003B7BD5">
      <w:pPr>
        <w:rPr>
          <w:rFonts w:ascii="Times New Roman" w:hAnsi="Times New Roman" w:cs="Times New Roman"/>
          <w:sz w:val="28"/>
          <w:szCs w:val="28"/>
        </w:rPr>
      </w:pPr>
      <w:r w:rsidRPr="00FA5112">
        <w:rPr>
          <w:rFonts w:ascii="Times New Roman" w:hAnsi="Times New Roman" w:cs="Times New Roman"/>
          <w:sz w:val="28"/>
          <w:szCs w:val="28"/>
        </w:rPr>
        <w:t xml:space="preserve">  Caldwell, D. H. (2012) Scottish Spearmen, 1298–1314: An Answer to Cavalry. War in history. [Online] 19 (3), 267–289.</w:t>
      </w:r>
    </w:p>
    <w:p w14:paraId="2E24C449" w14:textId="77777777" w:rsidR="00DE5E73" w:rsidRPr="00FA5112" w:rsidRDefault="00DE5E73" w:rsidP="00DE5E73">
      <w:pPr>
        <w:rPr>
          <w:rFonts w:ascii="Times New Roman" w:hAnsi="Times New Roman" w:cs="Times New Roman"/>
          <w:sz w:val="28"/>
          <w:szCs w:val="28"/>
        </w:rPr>
      </w:pPr>
    </w:p>
    <w:p w14:paraId="17773C1F" w14:textId="7CC27912" w:rsidR="00774435" w:rsidRPr="00FA5112" w:rsidRDefault="00DE5E73" w:rsidP="00DE5E73">
      <w:pPr>
        <w:rPr>
          <w:rFonts w:ascii="Times New Roman" w:hAnsi="Times New Roman" w:cs="Times New Roman"/>
          <w:sz w:val="28"/>
          <w:szCs w:val="28"/>
        </w:rPr>
      </w:pPr>
      <w:r w:rsidRPr="00FA5112">
        <w:rPr>
          <w:rFonts w:ascii="Times New Roman" w:hAnsi="Times New Roman" w:cs="Times New Roman"/>
          <w:sz w:val="28"/>
          <w:szCs w:val="28"/>
        </w:rPr>
        <w:t xml:space="preserve">  Hood, J. (2016) The horse at war: The experience of the horse in human warfare, with particular reference to the adoption of the stirrup in the </w:t>
      </w:r>
      <w:proofErr w:type="gramStart"/>
      <w:r w:rsidRPr="00FA5112">
        <w:rPr>
          <w:rFonts w:ascii="Times New Roman" w:hAnsi="Times New Roman" w:cs="Times New Roman"/>
          <w:sz w:val="28"/>
          <w:szCs w:val="28"/>
        </w:rPr>
        <w:t>middle ages</w:t>
      </w:r>
      <w:proofErr w:type="gramEnd"/>
      <w:r w:rsidRPr="00FA5112">
        <w:rPr>
          <w:rFonts w:ascii="Times New Roman" w:hAnsi="Times New Roman" w:cs="Times New Roman"/>
          <w:sz w:val="28"/>
          <w:szCs w:val="28"/>
        </w:rPr>
        <w:t>. ISAA review. 15 (1), 29–41.</w:t>
      </w:r>
      <w:r w:rsidR="00816ED3" w:rsidRPr="00FA511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ABA9C4" w14:textId="139C925B" w:rsidR="00816ED3" w:rsidRPr="00FA5112" w:rsidRDefault="00816ED3" w:rsidP="00DE5E73">
      <w:pPr>
        <w:rPr>
          <w:rFonts w:ascii="Times New Roman" w:hAnsi="Times New Roman" w:cs="Times New Roman"/>
          <w:sz w:val="28"/>
          <w:szCs w:val="28"/>
        </w:rPr>
      </w:pPr>
    </w:p>
    <w:p w14:paraId="78A771D7" w14:textId="77777777" w:rsidR="00816ED3" w:rsidRPr="00FA5112" w:rsidRDefault="00816ED3" w:rsidP="00DE5E73">
      <w:pPr>
        <w:rPr>
          <w:rFonts w:ascii="Times New Roman" w:hAnsi="Times New Roman" w:cs="Times New Roman"/>
          <w:sz w:val="28"/>
          <w:szCs w:val="28"/>
        </w:rPr>
      </w:pPr>
    </w:p>
    <w:sectPr w:rsidR="00816ED3" w:rsidRPr="00FA51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BD5"/>
    <w:rsid w:val="003B7BD5"/>
    <w:rsid w:val="00774435"/>
    <w:rsid w:val="00816ED3"/>
    <w:rsid w:val="00980D0A"/>
    <w:rsid w:val="00A310F4"/>
    <w:rsid w:val="00A56FF4"/>
    <w:rsid w:val="00D14E6D"/>
    <w:rsid w:val="00DE5E73"/>
    <w:rsid w:val="00FA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E963A"/>
  <w15:chartTrackingRefBased/>
  <w15:docId w15:val="{13B98E26-F1C8-4BB2-8708-B019AFBD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Josiah Coney</dc:creator>
  <cp:keywords/>
  <dc:description/>
  <cp:lastModifiedBy>Josiah Coney</cp:lastModifiedBy>
  <cp:revision>2</cp:revision>
  <dcterms:created xsi:type="dcterms:W3CDTF">2021-10-27T20:59:00Z</dcterms:created>
  <dcterms:modified xsi:type="dcterms:W3CDTF">2021-10-27T20:59:00Z</dcterms:modified>
</cp:coreProperties>
</file>