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BFF2A54" w:rsidP="1BFF2A54" w:rsidRDefault="1BFF2A54" w14:paraId="4B700ABA" w14:textId="6C018DC5">
      <w:pPr>
        <w:spacing w:line="360" w:lineRule="auto"/>
        <w:rPr>
          <w:rFonts w:ascii="Arial" w:hAnsi="Arial" w:eastAsia="Arial" w:cs="Arial"/>
          <w:sz w:val="24"/>
          <w:szCs w:val="24"/>
        </w:rPr>
      </w:pPr>
      <w:r>
        <w:br/>
      </w:r>
    </w:p>
    <w:p w:rsidR="1BFF2A54" w:rsidP="1BFF2A54" w:rsidRDefault="1BFF2A54" w14:paraId="1014464C" w14:textId="19E278B8">
      <w:pPr>
        <w:spacing w:line="360" w:lineRule="auto"/>
        <w:jc w:val="center"/>
        <w:rPr>
          <w:rFonts w:ascii="Arial" w:hAnsi="Arial" w:eastAsia="Arial" w:cs="Arial"/>
          <w:noProof w:val="0"/>
          <w:sz w:val="56"/>
          <w:szCs w:val="56"/>
          <w:lang w:val="en-GB"/>
        </w:rPr>
      </w:pPr>
      <w:r w:rsidRPr="06BFC6FC" w:rsidR="06BFC6FC">
        <w:rPr>
          <w:rFonts w:ascii="Arial" w:hAnsi="Arial" w:eastAsia="Arial" w:cs="Arial"/>
          <w:noProof w:val="0"/>
          <w:sz w:val="56"/>
          <w:szCs w:val="56"/>
          <w:lang w:val="en-GB"/>
        </w:rPr>
        <w:t>EAEE4005</w:t>
      </w:r>
    </w:p>
    <w:p w:rsidR="1BFF2A54" w:rsidP="1BFF2A54" w:rsidRDefault="1BFF2A54" w14:paraId="63858213" w14:textId="6AB5AD4C">
      <w:pPr>
        <w:spacing w:line="360" w:lineRule="auto"/>
        <w:rPr>
          <w:rFonts w:ascii="Arial" w:hAnsi="Arial" w:eastAsia="Arial" w:cs="Arial"/>
          <w:sz w:val="56"/>
          <w:szCs w:val="56"/>
        </w:rPr>
      </w:pPr>
      <w:r>
        <w:br/>
      </w:r>
    </w:p>
    <w:p w:rsidR="1BFF2A54" w:rsidP="1BFF2A54" w:rsidRDefault="1BFF2A54" w14:paraId="126C575D" w14:textId="42C090EC">
      <w:pPr>
        <w:spacing w:line="360" w:lineRule="auto"/>
        <w:jc w:val="center"/>
        <w:rPr>
          <w:rFonts w:ascii="Arial" w:hAnsi="Arial" w:eastAsia="Arial" w:cs="Arial"/>
          <w:noProof w:val="0"/>
          <w:sz w:val="96"/>
          <w:szCs w:val="96"/>
          <w:lang w:val="en-GB"/>
        </w:rPr>
      </w:pPr>
      <w:r w:rsidRPr="06BFC6FC" w:rsidR="06BFC6FC">
        <w:rPr>
          <w:rFonts w:ascii="Arial" w:hAnsi="Arial" w:eastAsia="Arial" w:cs="Arial"/>
          <w:noProof w:val="0"/>
          <w:sz w:val="96"/>
          <w:szCs w:val="96"/>
          <w:lang w:val="en-GB"/>
        </w:rPr>
        <w:t>Young Mathematician</w:t>
      </w:r>
    </w:p>
    <w:p w:rsidR="1BFF2A54" w:rsidP="1BFF2A54" w:rsidRDefault="1BFF2A54" w14:paraId="29F0C427" w14:textId="7C1DBAA3">
      <w:pPr>
        <w:spacing w:line="360" w:lineRule="auto"/>
      </w:pPr>
      <w:r>
        <w:br/>
      </w:r>
      <w:r>
        <w:br/>
      </w:r>
      <w:r>
        <w:br/>
      </w:r>
      <w:r>
        <w:br/>
      </w:r>
    </w:p>
    <w:p w:rsidR="1BFF2A54" w:rsidP="1BFF2A54" w:rsidRDefault="1BFF2A54" w14:paraId="27999FE4" w14:textId="048846CF">
      <w:pPr>
        <w:spacing w:line="360" w:lineRule="auto"/>
      </w:pPr>
    </w:p>
    <w:p w:rsidR="1BFF2A54" w:rsidP="1BFF2A54" w:rsidRDefault="1BFF2A54" w14:paraId="55F6A8D4" w14:textId="22AC5AFC">
      <w:pPr>
        <w:spacing w:line="360" w:lineRule="auto"/>
      </w:pPr>
    </w:p>
    <w:p w:rsidR="1BFF2A54" w:rsidP="1BFF2A54" w:rsidRDefault="1BFF2A54" w14:paraId="6EF7D40B" w14:textId="41865891">
      <w:pPr>
        <w:spacing w:line="360" w:lineRule="auto"/>
      </w:pPr>
    </w:p>
    <w:p w:rsidR="1BFF2A54" w:rsidP="06BFC6FC" w:rsidRDefault="1BFF2A54" w14:paraId="7387AADE" w14:textId="53E3592C">
      <w:pPr>
        <w:spacing w:line="360" w:lineRule="auto"/>
        <w:rPr>
          <w:rFonts w:ascii="Arial" w:hAnsi="Arial" w:eastAsia="Arial" w:cs="Arial"/>
        </w:rPr>
      </w:pPr>
      <w:r>
        <w:br/>
      </w:r>
      <w:r>
        <w:br/>
      </w:r>
    </w:p>
    <w:p w:rsidR="1BFF2A54" w:rsidP="06BFC6FC" w:rsidRDefault="1BFF2A54" w14:paraId="1AD2A6D9" w14:textId="77DB85A2">
      <w:pPr>
        <w:spacing w:line="360" w:lineRule="auto"/>
        <w:rPr>
          <w:rFonts w:ascii="Arial" w:hAnsi="Arial" w:eastAsia="Arial" w:cs="Arial"/>
        </w:rPr>
      </w:pPr>
    </w:p>
    <w:p w:rsidR="1BFF2A54" w:rsidP="06BFC6FC" w:rsidRDefault="1BFF2A54" w14:paraId="5AD38271" w14:textId="460FEA3A">
      <w:pPr>
        <w:spacing w:line="360" w:lineRule="auto"/>
        <w:rPr>
          <w:rFonts w:ascii="Arial" w:hAnsi="Arial" w:eastAsia="Arial" w:cs="Arial"/>
        </w:rPr>
      </w:pPr>
    </w:p>
    <w:p w:rsidR="1BFF2A54" w:rsidP="06BFC6FC" w:rsidRDefault="1BFF2A54" w14:paraId="7E91A592" w14:textId="678CF81F">
      <w:pPr>
        <w:pStyle w:val="Normal"/>
        <w:spacing w:line="360" w:lineRule="auto"/>
        <w:rPr>
          <w:rFonts w:ascii="Arial" w:hAnsi="Arial" w:eastAsia="Arial" w:cs="Arial"/>
        </w:rPr>
      </w:pPr>
    </w:p>
    <w:p w:rsidR="06BFC6FC" w:rsidP="06BFC6FC" w:rsidRDefault="06BFC6FC" w14:paraId="760E5DCA" w14:textId="5B851416">
      <w:pPr>
        <w:pStyle w:val="Normal"/>
        <w:spacing w:line="360" w:lineRule="auto"/>
        <w:rPr>
          <w:rFonts w:ascii="Arial" w:hAnsi="Arial" w:eastAsia="Arial" w:cs="Arial"/>
        </w:rPr>
      </w:pPr>
    </w:p>
    <w:p w:rsidR="06BFC6FC" w:rsidP="06BFC6FC" w:rsidRDefault="06BFC6FC" w14:paraId="6E508A54" w14:textId="33D4C8BC">
      <w:pPr>
        <w:pStyle w:val="Normal"/>
        <w:spacing w:line="360" w:lineRule="auto"/>
        <w:rPr>
          <w:rFonts w:ascii="Arial" w:hAnsi="Arial" w:eastAsia="Arial" w:cs="Arial"/>
        </w:rPr>
      </w:pPr>
      <w:r w:rsidRPr="06BFC6FC" w:rsidR="06BFC6FC">
        <w:rPr>
          <w:rFonts w:ascii="Arial" w:hAnsi="Arial" w:eastAsia="Arial" w:cs="Arial"/>
          <w:sz w:val="36"/>
          <w:szCs w:val="36"/>
        </w:rPr>
        <w:t>Task 1</w:t>
      </w:r>
    </w:p>
    <w:p w:rsidR="06BFC6FC" w:rsidP="06BFC6FC" w:rsidRDefault="06BFC6FC" w14:paraId="4C5D8B6B" w14:textId="36843647">
      <w:pPr>
        <w:pStyle w:val="Normal"/>
        <w:spacing w:line="360" w:lineRule="auto"/>
        <w:rPr>
          <w:rFonts w:ascii="Arial" w:hAnsi="Arial" w:eastAsia="Arial" w:cs="Arial"/>
          <w:sz w:val="24"/>
          <w:szCs w:val="24"/>
        </w:rPr>
      </w:pPr>
    </w:p>
    <w:tbl>
      <w:tblPr>
        <w:tblStyle w:val="TableGrid"/>
        <w:tblW w:w="0" w:type="auto"/>
        <w:tblLayout w:type="fixed"/>
        <w:tblLook w:val="06A0" w:firstRow="1" w:lastRow="0" w:firstColumn="1" w:lastColumn="0" w:noHBand="1" w:noVBand="1"/>
      </w:tblPr>
      <w:tblGrid>
        <w:gridCol w:w="3009"/>
        <w:gridCol w:w="3009"/>
        <w:gridCol w:w="3009"/>
      </w:tblGrid>
      <w:tr w:rsidR="06BFC6FC" w:rsidTr="06BFC6FC" w14:paraId="57BC72B1">
        <w:tc>
          <w:tcPr>
            <w:tcW w:w="9027" w:type="dxa"/>
            <w:gridSpan w:val="3"/>
            <w:tcMar/>
          </w:tcPr>
          <w:p w:rsidR="06BFC6FC" w:rsidP="06BFC6FC" w:rsidRDefault="06BFC6FC" w14:paraId="32064FA4" w14:textId="556D4DFD">
            <w:pPr>
              <w:pStyle w:val="Normal"/>
              <w:jc w:val="center"/>
              <w:rPr>
                <w:rFonts w:ascii="Arial" w:hAnsi="Arial" w:eastAsia="Arial" w:cs="Arial"/>
                <w:b w:val="1"/>
                <w:bCs w:val="1"/>
                <w:noProof w:val="0"/>
                <w:sz w:val="36"/>
                <w:szCs w:val="36"/>
                <w:lang w:val="en-GB"/>
              </w:rPr>
            </w:pPr>
            <w:r w:rsidRPr="06BFC6FC" w:rsidR="06BFC6FC">
              <w:rPr>
                <w:rFonts w:ascii="Arial" w:hAnsi="Arial" w:eastAsia="Arial" w:cs="Arial"/>
                <w:b w:val="1"/>
                <w:bCs w:val="1"/>
                <w:noProof w:val="0"/>
                <w:sz w:val="36"/>
                <w:szCs w:val="36"/>
                <w:lang w:val="en-GB"/>
              </w:rPr>
              <w:t>Activity Plan</w:t>
            </w:r>
          </w:p>
        </w:tc>
      </w:tr>
      <w:tr w:rsidR="06BFC6FC" w:rsidTr="06BFC6FC" w14:paraId="653A4213">
        <w:tc>
          <w:tcPr>
            <w:tcW w:w="9027" w:type="dxa"/>
            <w:gridSpan w:val="3"/>
            <w:tcMar/>
          </w:tcPr>
          <w:p w:rsidR="06BFC6FC" w:rsidP="06BFC6FC" w:rsidRDefault="06BFC6FC" w14:paraId="043EC0F2" w14:textId="5C864D29">
            <w:pPr>
              <w:pStyle w:val="Normal"/>
              <w:rPr>
                <w:rFonts w:ascii="Arial" w:hAnsi="Arial" w:eastAsia="Arial" w:cs="Arial"/>
                <w:b w:val="1"/>
                <w:bCs w:val="1"/>
                <w:i w:val="1"/>
                <w:iCs w:val="1"/>
                <w:noProof w:val="0"/>
                <w:sz w:val="22"/>
                <w:szCs w:val="22"/>
                <w:lang w:val="en-GB"/>
              </w:rPr>
            </w:pPr>
          </w:p>
          <w:p w:rsidR="06BFC6FC" w:rsidP="06BFC6FC" w:rsidRDefault="06BFC6FC" w14:paraId="268C2A26" w14:textId="76F8C283">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 xml:space="preserve">Activity: </w:t>
            </w:r>
            <w:r w:rsidRPr="06BFC6FC" w:rsidR="06BFC6FC">
              <w:rPr>
                <w:rFonts w:ascii="Arial" w:hAnsi="Arial" w:eastAsia="Arial" w:cs="Arial"/>
                <w:noProof w:val="0"/>
                <w:sz w:val="22"/>
                <w:szCs w:val="22"/>
                <w:lang w:val="en-GB"/>
              </w:rPr>
              <w:t>A letter from Goldilocks: make a meal for the three bears.</w:t>
            </w:r>
          </w:p>
          <w:p w:rsidR="06BFC6FC" w:rsidP="06BFC6FC" w:rsidRDefault="06BFC6FC" w14:paraId="6F85FC4E" w14:textId="11D20734">
            <w:pPr>
              <w:pStyle w:val="Normal"/>
              <w:rPr>
                <w:rFonts w:ascii="Arial" w:hAnsi="Arial" w:eastAsia="Arial" w:cs="Arial"/>
                <w:noProof w:val="0"/>
                <w:sz w:val="22"/>
                <w:szCs w:val="22"/>
                <w:lang w:val="en-GB"/>
              </w:rPr>
            </w:pPr>
          </w:p>
        </w:tc>
      </w:tr>
      <w:tr w:rsidR="06BFC6FC" w:rsidTr="06BFC6FC" w14:paraId="4A5E61F2">
        <w:tc>
          <w:tcPr>
            <w:tcW w:w="3009" w:type="dxa"/>
            <w:tcMar/>
          </w:tcPr>
          <w:p w:rsidR="06BFC6FC" w:rsidP="06BFC6FC" w:rsidRDefault="06BFC6FC" w14:paraId="7252D549" w14:textId="6AF7E948">
            <w:pPr>
              <w:pStyle w:val="Normal"/>
              <w:rPr>
                <w:rFonts w:ascii="Arial" w:hAnsi="Arial" w:eastAsia="Arial" w:cs="Arial"/>
                <w:b w:val="1"/>
                <w:bCs w:val="1"/>
                <w:i w:val="1"/>
                <w:iCs w:val="1"/>
                <w:noProof w:val="0"/>
                <w:sz w:val="22"/>
                <w:szCs w:val="22"/>
                <w:lang w:val="en-GB"/>
              </w:rPr>
            </w:pPr>
          </w:p>
          <w:p w:rsidR="06BFC6FC" w:rsidP="06BFC6FC" w:rsidRDefault="06BFC6FC" w14:paraId="44832041" w14:textId="284B7B8D">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 xml:space="preserve">Number of children: </w:t>
            </w:r>
            <w:r w:rsidRPr="06BFC6FC" w:rsidR="06BFC6FC">
              <w:rPr>
                <w:rFonts w:ascii="Arial" w:hAnsi="Arial" w:eastAsia="Arial" w:cs="Arial"/>
                <w:noProof w:val="0"/>
                <w:sz w:val="22"/>
                <w:szCs w:val="22"/>
                <w:lang w:val="en-GB"/>
              </w:rPr>
              <w:t>6-8</w:t>
            </w:r>
          </w:p>
          <w:p w:rsidR="06BFC6FC" w:rsidP="06BFC6FC" w:rsidRDefault="06BFC6FC" w14:paraId="08263BAC" w14:textId="2A41CBFC">
            <w:pPr>
              <w:pStyle w:val="Normal"/>
              <w:rPr>
                <w:rFonts w:ascii="Arial" w:hAnsi="Arial" w:eastAsia="Arial" w:cs="Arial"/>
                <w:noProof w:val="0"/>
                <w:sz w:val="22"/>
                <w:szCs w:val="22"/>
                <w:lang w:val="en-GB"/>
              </w:rPr>
            </w:pPr>
          </w:p>
        </w:tc>
        <w:tc>
          <w:tcPr>
            <w:tcW w:w="3009" w:type="dxa"/>
            <w:tcMar/>
          </w:tcPr>
          <w:p w:rsidR="06BFC6FC" w:rsidP="06BFC6FC" w:rsidRDefault="06BFC6FC" w14:paraId="7AF7E2A9" w14:textId="60AAD137">
            <w:pPr>
              <w:pStyle w:val="Normal"/>
              <w:rPr>
                <w:rFonts w:ascii="Arial" w:hAnsi="Arial" w:eastAsia="Arial" w:cs="Arial"/>
                <w:b w:val="1"/>
                <w:bCs w:val="1"/>
                <w:i w:val="1"/>
                <w:iCs w:val="1"/>
                <w:noProof w:val="0"/>
                <w:sz w:val="22"/>
                <w:szCs w:val="22"/>
                <w:lang w:val="en-GB"/>
              </w:rPr>
            </w:pPr>
          </w:p>
          <w:p w:rsidR="06BFC6FC" w:rsidP="06BFC6FC" w:rsidRDefault="06BFC6FC" w14:paraId="0F428E92" w14:textId="3A76F63D">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 xml:space="preserve">Number of adults: </w:t>
            </w:r>
            <w:r w:rsidRPr="06BFC6FC" w:rsidR="06BFC6FC">
              <w:rPr>
                <w:rFonts w:ascii="Arial" w:hAnsi="Arial" w:eastAsia="Arial" w:cs="Arial"/>
                <w:noProof w:val="0"/>
                <w:sz w:val="22"/>
                <w:szCs w:val="22"/>
                <w:lang w:val="en-GB"/>
              </w:rPr>
              <w:t>1</w:t>
            </w:r>
          </w:p>
        </w:tc>
        <w:tc>
          <w:tcPr>
            <w:tcW w:w="3009" w:type="dxa"/>
            <w:tcMar/>
          </w:tcPr>
          <w:p w:rsidR="06BFC6FC" w:rsidP="06BFC6FC" w:rsidRDefault="06BFC6FC" w14:paraId="5DDE3924" w14:textId="47201778">
            <w:pPr>
              <w:pStyle w:val="Normal"/>
              <w:rPr>
                <w:rFonts w:ascii="Arial" w:hAnsi="Arial" w:eastAsia="Arial" w:cs="Arial"/>
                <w:b w:val="1"/>
                <w:bCs w:val="1"/>
                <w:i w:val="1"/>
                <w:iCs w:val="1"/>
                <w:noProof w:val="0"/>
                <w:sz w:val="22"/>
                <w:szCs w:val="22"/>
                <w:lang w:val="en-GB"/>
              </w:rPr>
            </w:pPr>
          </w:p>
          <w:p w:rsidR="06BFC6FC" w:rsidP="06BFC6FC" w:rsidRDefault="06BFC6FC" w14:paraId="1BF2F3FB" w14:textId="23540E3A">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 xml:space="preserve">Age of children: </w:t>
            </w:r>
            <w:r w:rsidRPr="06BFC6FC" w:rsidR="06BFC6FC">
              <w:rPr>
                <w:rFonts w:ascii="Arial" w:hAnsi="Arial" w:eastAsia="Arial" w:cs="Arial"/>
                <w:noProof w:val="0"/>
                <w:sz w:val="22"/>
                <w:szCs w:val="22"/>
                <w:lang w:val="en-GB"/>
              </w:rPr>
              <w:t>5-6 years</w:t>
            </w:r>
          </w:p>
        </w:tc>
      </w:tr>
      <w:tr w:rsidR="06BFC6FC" w:rsidTr="06BFC6FC" w14:paraId="703219BE">
        <w:tc>
          <w:tcPr>
            <w:tcW w:w="3009" w:type="dxa"/>
            <w:tcMar/>
          </w:tcPr>
          <w:p w:rsidR="06BFC6FC" w:rsidP="06BFC6FC" w:rsidRDefault="06BFC6FC" w14:paraId="6B78F9EE" w14:textId="75AD7098">
            <w:pPr>
              <w:pStyle w:val="Normal"/>
              <w:rPr>
                <w:rFonts w:ascii="Arial" w:hAnsi="Arial" w:eastAsia="Arial" w:cs="Arial"/>
                <w:b w:val="1"/>
                <w:bCs w:val="1"/>
                <w:i w:val="1"/>
                <w:iCs w:val="1"/>
                <w:noProof w:val="0"/>
                <w:sz w:val="22"/>
                <w:szCs w:val="22"/>
                <w:lang w:val="en-GB"/>
              </w:rPr>
            </w:pPr>
          </w:p>
          <w:p w:rsidR="06BFC6FC" w:rsidP="06BFC6FC" w:rsidRDefault="06BFC6FC" w14:paraId="180775D9" w14:textId="5C2A73DD">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 xml:space="preserve">Location: </w:t>
            </w:r>
            <w:r w:rsidRPr="06BFC6FC" w:rsidR="06BFC6FC">
              <w:rPr>
                <w:rFonts w:ascii="Arial" w:hAnsi="Arial" w:eastAsia="Arial" w:cs="Arial"/>
                <w:noProof w:val="0"/>
                <w:sz w:val="22"/>
                <w:szCs w:val="22"/>
                <w:lang w:val="en-GB"/>
              </w:rPr>
              <w:t>Forest School</w:t>
            </w:r>
          </w:p>
          <w:p w:rsidR="06BFC6FC" w:rsidP="06BFC6FC" w:rsidRDefault="06BFC6FC" w14:paraId="1FD51601" w14:textId="2A5E57A1">
            <w:pPr>
              <w:pStyle w:val="Normal"/>
              <w:rPr>
                <w:rFonts w:ascii="Arial" w:hAnsi="Arial" w:eastAsia="Arial" w:cs="Arial"/>
                <w:noProof w:val="0"/>
                <w:sz w:val="22"/>
                <w:szCs w:val="22"/>
                <w:lang w:val="en-GB"/>
              </w:rPr>
            </w:pPr>
          </w:p>
        </w:tc>
        <w:tc>
          <w:tcPr>
            <w:tcW w:w="3009" w:type="dxa"/>
            <w:tcMar/>
          </w:tcPr>
          <w:p w:rsidR="06BFC6FC" w:rsidP="06BFC6FC" w:rsidRDefault="06BFC6FC" w14:paraId="327C51C6" w14:textId="3D3DAAA3">
            <w:pPr>
              <w:pStyle w:val="Normal"/>
              <w:rPr>
                <w:rFonts w:ascii="Arial" w:hAnsi="Arial" w:eastAsia="Arial" w:cs="Arial"/>
                <w:b w:val="1"/>
                <w:bCs w:val="1"/>
                <w:i w:val="1"/>
                <w:iCs w:val="1"/>
                <w:noProof w:val="0"/>
                <w:sz w:val="22"/>
                <w:szCs w:val="22"/>
                <w:lang w:val="en-GB"/>
              </w:rPr>
            </w:pPr>
          </w:p>
          <w:p w:rsidR="06BFC6FC" w:rsidP="06BFC6FC" w:rsidRDefault="06BFC6FC" w14:paraId="1D96E1E7" w14:textId="00201BF0">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 xml:space="preserve">Preparation time: </w:t>
            </w:r>
            <w:r w:rsidRPr="06BFC6FC" w:rsidR="06BFC6FC">
              <w:rPr>
                <w:rFonts w:ascii="Arial" w:hAnsi="Arial" w:eastAsia="Arial" w:cs="Arial"/>
                <w:noProof w:val="0"/>
                <w:sz w:val="22"/>
                <w:szCs w:val="22"/>
                <w:lang w:val="en-GB"/>
              </w:rPr>
              <w:t>20 minutes</w:t>
            </w:r>
          </w:p>
        </w:tc>
        <w:tc>
          <w:tcPr>
            <w:tcW w:w="3009" w:type="dxa"/>
            <w:tcMar/>
          </w:tcPr>
          <w:p w:rsidR="06BFC6FC" w:rsidP="06BFC6FC" w:rsidRDefault="06BFC6FC" w14:paraId="062D2508" w14:textId="64A8E2AF">
            <w:pPr>
              <w:pStyle w:val="Normal"/>
              <w:rPr>
                <w:rFonts w:ascii="Arial" w:hAnsi="Arial" w:eastAsia="Arial" w:cs="Arial"/>
                <w:b w:val="1"/>
                <w:bCs w:val="1"/>
                <w:i w:val="1"/>
                <w:iCs w:val="1"/>
                <w:noProof w:val="0"/>
                <w:sz w:val="22"/>
                <w:szCs w:val="22"/>
                <w:lang w:val="en-GB"/>
              </w:rPr>
            </w:pPr>
          </w:p>
          <w:p w:rsidR="06BFC6FC" w:rsidP="06BFC6FC" w:rsidRDefault="06BFC6FC" w14:paraId="5824E33E" w14:textId="17B60C41">
            <w:pPr>
              <w:pStyle w:val="Normal"/>
              <w:rPr>
                <w:rFonts w:ascii="Arial" w:hAnsi="Arial" w:eastAsia="Arial" w:cs="Arial"/>
                <w:noProof w:val="0"/>
                <w:sz w:val="22"/>
                <w:szCs w:val="22"/>
                <w:lang w:val="en-GB"/>
              </w:rPr>
            </w:pPr>
            <w:r w:rsidRPr="06BFC6FC" w:rsidR="06BFC6FC">
              <w:rPr>
                <w:rFonts w:ascii="Arial" w:hAnsi="Arial" w:eastAsia="Arial" w:cs="Arial"/>
                <w:b w:val="1"/>
                <w:bCs w:val="1"/>
                <w:i w:val="1"/>
                <w:iCs w:val="1"/>
                <w:noProof w:val="0"/>
                <w:sz w:val="22"/>
                <w:szCs w:val="22"/>
                <w:lang w:val="en-GB"/>
              </w:rPr>
              <w:t>Activity time:</w:t>
            </w:r>
            <w:r w:rsidRPr="06BFC6FC" w:rsidR="06BFC6FC">
              <w:rPr>
                <w:rFonts w:ascii="Arial" w:hAnsi="Arial" w:eastAsia="Arial" w:cs="Arial"/>
                <w:noProof w:val="0"/>
                <w:sz w:val="22"/>
                <w:szCs w:val="22"/>
                <w:lang w:val="en-GB"/>
              </w:rPr>
              <w:t xml:space="preserve"> 30 minutes approx.</w:t>
            </w:r>
          </w:p>
        </w:tc>
      </w:tr>
      <w:tr w:rsidR="06BFC6FC" w:rsidTr="06BFC6FC" w14:paraId="4DA13AEF">
        <w:tc>
          <w:tcPr>
            <w:tcW w:w="9027" w:type="dxa"/>
            <w:gridSpan w:val="3"/>
            <w:tcMar/>
          </w:tcPr>
          <w:p w:rsidR="06BFC6FC" w:rsidP="06BFC6FC" w:rsidRDefault="06BFC6FC" w14:paraId="32FC36D4" w14:textId="1E6BDA5F">
            <w:pPr>
              <w:rPr>
                <w:rFonts w:ascii="Arial" w:hAnsi="Arial" w:eastAsia="Arial" w:cs="Arial"/>
                <w:b w:val="1"/>
                <w:bCs w:val="1"/>
                <w:i w:val="1"/>
                <w:iCs w:val="1"/>
                <w:noProof w:val="0"/>
                <w:sz w:val="22"/>
                <w:szCs w:val="22"/>
                <w:lang w:val="en-GB"/>
              </w:rPr>
            </w:pPr>
          </w:p>
          <w:p w:rsidR="06BFC6FC" w:rsidP="06BFC6FC" w:rsidRDefault="06BFC6FC" w14:paraId="26E45402" w14:textId="5B27BA0C">
            <w:pPr>
              <w:rPr>
                <w:rFonts w:ascii="Arial" w:hAnsi="Arial" w:eastAsia="Arial" w:cs="Arial"/>
              </w:rPr>
            </w:pPr>
            <w:r w:rsidRPr="06BFC6FC" w:rsidR="06BFC6FC">
              <w:rPr>
                <w:rFonts w:ascii="Arial" w:hAnsi="Arial" w:eastAsia="Arial" w:cs="Arial"/>
                <w:b w:val="1"/>
                <w:bCs w:val="1"/>
                <w:i w:val="1"/>
                <w:iCs w:val="1"/>
                <w:noProof w:val="0"/>
                <w:sz w:val="22"/>
                <w:szCs w:val="22"/>
                <w:lang w:val="en-GB"/>
              </w:rPr>
              <w:t>Resources:</w:t>
            </w:r>
            <w:r>
              <w:br/>
            </w:r>
          </w:p>
          <w:p w:rsidR="06BFC6FC" w:rsidP="06BFC6FC" w:rsidRDefault="06BFC6FC" w14:paraId="0C5D7B6C" w14:textId="46629C45">
            <w:pPr>
              <w:pStyle w:val="ListParagraph"/>
              <w:numPr>
                <w:ilvl w:val="0"/>
                <w:numId w:val="3"/>
              </w:numPr>
              <w:rPr>
                <w:sz w:val="22"/>
                <w:szCs w:val="22"/>
              </w:rPr>
            </w:pPr>
            <w:r w:rsidRPr="06BFC6FC" w:rsidR="06BFC6FC">
              <w:rPr>
                <w:rFonts w:ascii="Arial" w:hAnsi="Arial" w:eastAsia="Arial" w:cs="Arial"/>
                <w:noProof w:val="0"/>
                <w:sz w:val="22"/>
                <w:szCs w:val="22"/>
                <w:lang w:val="en-GB"/>
              </w:rPr>
              <w:t>Forest School resources including mud kitchen and water tray</w:t>
            </w:r>
          </w:p>
          <w:p w:rsidR="06BFC6FC" w:rsidP="06BFC6FC" w:rsidRDefault="06BFC6FC" w14:paraId="656F90DD" w14:textId="59C967AD">
            <w:pPr>
              <w:pStyle w:val="ListParagraph"/>
              <w:numPr>
                <w:ilvl w:val="0"/>
                <w:numId w:val="3"/>
              </w:numPr>
              <w:rPr>
                <w:sz w:val="22"/>
                <w:szCs w:val="22"/>
              </w:rPr>
            </w:pPr>
            <w:r w:rsidRPr="06BFC6FC" w:rsidR="06BFC6FC">
              <w:rPr>
                <w:rFonts w:ascii="Arial" w:hAnsi="Arial" w:eastAsia="Arial" w:cs="Arial"/>
                <w:noProof w:val="0"/>
                <w:sz w:val="22"/>
                <w:szCs w:val="22"/>
                <w:lang w:val="en-GB"/>
              </w:rPr>
              <w:t>Children’s table and chairs - Tablecloth, cups, plates, bowls</w:t>
            </w:r>
          </w:p>
          <w:p w:rsidR="06BFC6FC" w:rsidP="06BFC6FC" w:rsidRDefault="06BFC6FC" w14:paraId="7DEBB4FB" w14:textId="7C76EB2D">
            <w:pPr>
              <w:pStyle w:val="ListParagraph"/>
              <w:numPr>
                <w:ilvl w:val="0"/>
                <w:numId w:val="3"/>
              </w:numPr>
              <w:rPr>
                <w:sz w:val="22"/>
                <w:szCs w:val="22"/>
              </w:rPr>
            </w:pPr>
            <w:r w:rsidRPr="06BFC6FC" w:rsidR="06BFC6FC">
              <w:rPr>
                <w:rFonts w:ascii="Arial" w:hAnsi="Arial" w:eastAsia="Arial" w:cs="Arial"/>
                <w:noProof w:val="0"/>
                <w:sz w:val="22"/>
                <w:szCs w:val="22"/>
                <w:lang w:val="en-GB"/>
              </w:rPr>
              <w:t>Clock</w:t>
            </w:r>
          </w:p>
          <w:p w:rsidR="06BFC6FC" w:rsidP="06BFC6FC" w:rsidRDefault="06BFC6FC" w14:paraId="0D4CC625" w14:textId="26F435E5">
            <w:pPr>
              <w:pStyle w:val="ListParagraph"/>
              <w:numPr>
                <w:ilvl w:val="0"/>
                <w:numId w:val="3"/>
              </w:numPr>
              <w:rPr>
                <w:sz w:val="22"/>
                <w:szCs w:val="22"/>
              </w:rPr>
            </w:pPr>
            <w:r w:rsidRPr="06BFC6FC" w:rsidR="06BFC6FC">
              <w:rPr>
                <w:rFonts w:ascii="Arial" w:hAnsi="Arial" w:eastAsia="Arial" w:cs="Arial"/>
                <w:noProof w:val="0"/>
                <w:sz w:val="22"/>
                <w:szCs w:val="22"/>
                <w:lang w:val="en-GB"/>
              </w:rPr>
              <w:t>Mud kitchen recipe book</w:t>
            </w:r>
          </w:p>
          <w:p w:rsidR="06BFC6FC" w:rsidP="06BFC6FC" w:rsidRDefault="06BFC6FC" w14:paraId="1D29C2F6" w14:textId="20FD2109">
            <w:pPr>
              <w:pStyle w:val="ListParagraph"/>
              <w:numPr>
                <w:ilvl w:val="0"/>
                <w:numId w:val="3"/>
              </w:numPr>
              <w:rPr>
                <w:noProof w:val="0"/>
                <w:sz w:val="22"/>
                <w:szCs w:val="22"/>
                <w:lang w:val="en-GB"/>
              </w:rPr>
            </w:pPr>
            <w:proofErr w:type="spellStart"/>
            <w:r w:rsidRPr="06BFC6FC" w:rsidR="06BFC6FC">
              <w:rPr>
                <w:rFonts w:ascii="Arial" w:hAnsi="Arial" w:eastAsia="Arial" w:cs="Arial"/>
                <w:noProof w:val="0"/>
                <w:sz w:val="22"/>
                <w:szCs w:val="22"/>
                <w:lang w:val="en-GB"/>
              </w:rPr>
              <w:t>IPad</w:t>
            </w:r>
            <w:proofErr w:type="spellEnd"/>
          </w:p>
          <w:p w:rsidR="06BFC6FC" w:rsidP="06BFC6FC" w:rsidRDefault="06BFC6FC" w14:paraId="606BC7EF" w14:textId="1F6E3FA8">
            <w:pPr>
              <w:pStyle w:val="Normal"/>
              <w:ind w:left="360"/>
              <w:rPr>
                <w:rFonts w:ascii="Arial" w:hAnsi="Arial" w:eastAsia="Arial" w:cs="Arial"/>
                <w:noProof w:val="0"/>
                <w:sz w:val="22"/>
                <w:szCs w:val="22"/>
                <w:lang w:val="en-GB"/>
              </w:rPr>
            </w:pPr>
          </w:p>
        </w:tc>
      </w:tr>
      <w:tr w:rsidR="06BFC6FC" w:rsidTr="06BFC6FC" w14:paraId="15992A50">
        <w:tc>
          <w:tcPr>
            <w:tcW w:w="9027" w:type="dxa"/>
            <w:gridSpan w:val="3"/>
            <w:tcMar/>
          </w:tcPr>
          <w:p w:rsidR="06BFC6FC" w:rsidP="06BFC6FC" w:rsidRDefault="06BFC6FC" w14:paraId="21699352" w14:textId="04104C01">
            <w:pPr>
              <w:rPr>
                <w:rFonts w:ascii="Arial" w:hAnsi="Arial" w:eastAsia="Arial" w:cs="Arial"/>
                <w:b w:val="1"/>
                <w:bCs w:val="1"/>
                <w:i w:val="1"/>
                <w:iCs w:val="1"/>
                <w:noProof w:val="0"/>
                <w:sz w:val="22"/>
                <w:szCs w:val="22"/>
                <w:lang w:val="en-GB"/>
              </w:rPr>
            </w:pPr>
          </w:p>
          <w:p w:rsidR="06BFC6FC" w:rsidP="06BFC6FC" w:rsidRDefault="06BFC6FC" w14:paraId="6DE25744" w14:textId="40349F10">
            <w:pPr>
              <w:rPr>
                <w:rFonts w:ascii="Arial" w:hAnsi="Arial" w:eastAsia="Arial" w:cs="Arial"/>
              </w:rPr>
            </w:pPr>
            <w:r w:rsidRPr="06BFC6FC" w:rsidR="06BFC6FC">
              <w:rPr>
                <w:rFonts w:ascii="Arial" w:hAnsi="Arial" w:eastAsia="Arial" w:cs="Arial"/>
                <w:b w:val="1"/>
                <w:bCs w:val="1"/>
                <w:i w:val="1"/>
                <w:iCs w:val="1"/>
                <w:noProof w:val="0"/>
                <w:sz w:val="22"/>
                <w:szCs w:val="22"/>
                <w:lang w:val="en-GB"/>
              </w:rPr>
              <w:t xml:space="preserve">Aim/s of activity: </w:t>
            </w:r>
            <w:r>
              <w:br/>
            </w:r>
          </w:p>
          <w:p w:rsidR="06BFC6FC" w:rsidP="06BFC6FC" w:rsidRDefault="06BFC6FC" w14:paraId="626B8C1B" w14:textId="44875371">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Develop understanding of size, capacity, time, temperature. Develop mathematical vocabulary.</w:t>
            </w:r>
          </w:p>
          <w:p w:rsidR="06BFC6FC" w:rsidP="06BFC6FC" w:rsidRDefault="06BFC6FC" w14:paraId="501ACF5F" w14:textId="0CA6D329">
            <w:pPr>
              <w:rPr>
                <w:rFonts w:ascii="Arial" w:hAnsi="Arial" w:eastAsia="Arial" w:cs="Arial"/>
              </w:rPr>
            </w:pPr>
          </w:p>
        </w:tc>
      </w:tr>
      <w:tr w:rsidR="06BFC6FC" w:rsidTr="06BFC6FC" w14:paraId="58251800">
        <w:tc>
          <w:tcPr>
            <w:tcW w:w="9027" w:type="dxa"/>
            <w:gridSpan w:val="3"/>
            <w:tcMar/>
          </w:tcPr>
          <w:p w:rsidR="06BFC6FC" w:rsidP="06BFC6FC" w:rsidRDefault="06BFC6FC" w14:paraId="03E2571D" w14:textId="4711743B">
            <w:pPr>
              <w:rPr>
                <w:rFonts w:ascii="Arial" w:hAnsi="Arial" w:eastAsia="Arial" w:cs="Arial"/>
                <w:b w:val="1"/>
                <w:bCs w:val="1"/>
                <w:i w:val="1"/>
                <w:iCs w:val="1"/>
                <w:noProof w:val="0"/>
                <w:sz w:val="22"/>
                <w:szCs w:val="22"/>
                <w:lang w:val="en-GB"/>
              </w:rPr>
            </w:pPr>
          </w:p>
          <w:p w:rsidR="06BFC6FC" w:rsidP="06BFC6FC" w:rsidRDefault="06BFC6FC" w14:paraId="2EDA5748" w14:textId="04080485">
            <w:pPr>
              <w:rPr>
                <w:rFonts w:ascii="Arial" w:hAnsi="Arial" w:eastAsia="Arial" w:cs="Arial"/>
                <w:b w:val="1"/>
                <w:bCs w:val="1"/>
                <w:i w:val="1"/>
                <w:iCs w:val="1"/>
                <w:noProof w:val="0"/>
                <w:sz w:val="22"/>
                <w:szCs w:val="22"/>
                <w:lang w:val="en-GB"/>
              </w:rPr>
            </w:pPr>
            <w:r w:rsidRPr="06BFC6FC" w:rsidR="06BFC6FC">
              <w:rPr>
                <w:rFonts w:ascii="Arial" w:hAnsi="Arial" w:eastAsia="Arial" w:cs="Arial"/>
                <w:b w:val="1"/>
                <w:bCs w:val="1"/>
                <w:i w:val="1"/>
                <w:iCs w:val="1"/>
                <w:noProof w:val="0"/>
                <w:sz w:val="22"/>
                <w:szCs w:val="22"/>
                <w:lang w:val="en-GB"/>
              </w:rPr>
              <w:t xml:space="preserve">Links to outcomes: </w:t>
            </w:r>
          </w:p>
          <w:p w:rsidR="06BFC6FC" w:rsidP="06BFC6FC" w:rsidRDefault="06BFC6FC" w14:paraId="51FCBE52" w14:textId="361B307E">
            <w:pPr>
              <w:rPr>
                <w:rFonts w:ascii="Arial" w:hAnsi="Arial" w:eastAsia="Arial" w:cs="Arial"/>
              </w:rPr>
            </w:pPr>
          </w:p>
          <w:p w:rsidR="06BFC6FC" w:rsidP="06BFC6FC" w:rsidRDefault="06BFC6FC" w14:paraId="1D28F816" w14:textId="4B9337B3">
            <w:pPr>
              <w:pStyle w:val="ListParagraph"/>
              <w:numPr>
                <w:ilvl w:val="0"/>
                <w:numId w:val="2"/>
              </w:numPr>
              <w:rPr>
                <w:sz w:val="22"/>
                <w:szCs w:val="22"/>
              </w:rPr>
            </w:pPr>
            <w:r w:rsidRPr="06BFC6FC" w:rsidR="06BFC6FC">
              <w:rPr>
                <w:rFonts w:ascii="Arial" w:hAnsi="Arial" w:eastAsia="Arial" w:cs="Arial"/>
                <w:noProof w:val="0"/>
                <w:sz w:val="22"/>
                <w:szCs w:val="22"/>
                <w:lang w:val="en-GB"/>
              </w:rPr>
              <w:t>Outcome 3 and 4 (Welsh Government, 2015, p. 55)</w:t>
            </w:r>
          </w:p>
          <w:p w:rsidR="06BFC6FC" w:rsidP="06BFC6FC" w:rsidRDefault="06BFC6FC" w14:paraId="173944D2" w14:textId="63302403">
            <w:pPr>
              <w:pStyle w:val="ListParagraph"/>
              <w:numPr>
                <w:ilvl w:val="0"/>
                <w:numId w:val="2"/>
              </w:numPr>
              <w:rPr>
                <w:sz w:val="22"/>
                <w:szCs w:val="22"/>
              </w:rPr>
            </w:pPr>
            <w:r w:rsidRPr="06BFC6FC" w:rsidR="06BFC6FC">
              <w:rPr>
                <w:rFonts w:ascii="Arial" w:hAnsi="Arial" w:eastAsia="Arial" w:cs="Arial"/>
                <w:noProof w:val="0"/>
                <w:sz w:val="22"/>
                <w:szCs w:val="22"/>
                <w:lang w:val="en-GB"/>
              </w:rPr>
              <w:t>Temperature (compare), non-standard units for measuring capacity, time (reception - year 2 skills) (Welsh Government, 2015, pp. 33-34)</w:t>
            </w:r>
          </w:p>
          <w:p w:rsidR="06BFC6FC" w:rsidP="06BFC6FC" w:rsidRDefault="06BFC6FC" w14:paraId="73BF8E87" w14:textId="75C74B4C">
            <w:pPr>
              <w:pStyle w:val="Normal"/>
              <w:ind w:left="360"/>
              <w:rPr>
                <w:rFonts w:ascii="Arial" w:hAnsi="Arial" w:eastAsia="Arial" w:cs="Arial"/>
                <w:noProof w:val="0"/>
                <w:sz w:val="22"/>
                <w:szCs w:val="22"/>
                <w:lang w:val="en-GB"/>
              </w:rPr>
            </w:pPr>
          </w:p>
        </w:tc>
      </w:tr>
      <w:tr w:rsidR="06BFC6FC" w:rsidTr="06BFC6FC" w14:paraId="3A88C2EE">
        <w:tc>
          <w:tcPr>
            <w:tcW w:w="9027" w:type="dxa"/>
            <w:gridSpan w:val="3"/>
            <w:tcMar/>
          </w:tcPr>
          <w:p w:rsidR="06BFC6FC" w:rsidP="06BFC6FC" w:rsidRDefault="06BFC6FC" w14:paraId="0EFC5454" w14:textId="52EEC5CE">
            <w:pPr>
              <w:rPr>
                <w:rFonts w:ascii="Arial" w:hAnsi="Arial" w:eastAsia="Arial" w:cs="Arial"/>
              </w:rPr>
            </w:pPr>
          </w:p>
          <w:p w:rsidR="06BFC6FC" w:rsidP="06BFC6FC" w:rsidRDefault="06BFC6FC" w14:paraId="0B78BF25" w14:textId="29F4C725">
            <w:pPr>
              <w:rPr>
                <w:rFonts w:ascii="Arial" w:hAnsi="Arial" w:eastAsia="Arial" w:cs="Arial"/>
                <w:b w:val="1"/>
                <w:bCs w:val="1"/>
                <w:i w:val="1"/>
                <w:iCs w:val="1"/>
                <w:noProof w:val="0"/>
                <w:sz w:val="22"/>
                <w:szCs w:val="22"/>
                <w:lang w:val="en-GB"/>
              </w:rPr>
            </w:pPr>
            <w:r w:rsidRPr="06BFC6FC" w:rsidR="06BFC6FC">
              <w:rPr>
                <w:rFonts w:ascii="Arial" w:hAnsi="Arial" w:eastAsia="Arial" w:cs="Arial"/>
                <w:b w:val="1"/>
                <w:bCs w:val="1"/>
                <w:i w:val="1"/>
                <w:iCs w:val="1"/>
                <w:noProof w:val="0"/>
                <w:sz w:val="22"/>
                <w:szCs w:val="22"/>
                <w:lang w:val="en-GB"/>
              </w:rPr>
              <w:t>Differentiation:</w:t>
            </w:r>
          </w:p>
          <w:p w:rsidR="06BFC6FC" w:rsidP="06BFC6FC" w:rsidRDefault="06BFC6FC" w14:paraId="32BD213F" w14:textId="1396DD53">
            <w:pPr>
              <w:rPr>
                <w:rFonts w:ascii="Arial" w:hAnsi="Arial" w:eastAsia="Arial" w:cs="Arial"/>
              </w:rPr>
            </w:pPr>
          </w:p>
          <w:p w:rsidR="06BFC6FC" w:rsidP="06BFC6FC" w:rsidRDefault="06BFC6FC" w14:paraId="23A64678" w14:textId="0012E5C8">
            <w:pPr>
              <w:rPr>
                <w:rFonts w:ascii="Arial" w:hAnsi="Arial" w:eastAsia="Arial" w:cs="Arial"/>
                <w:b w:val="1"/>
                <w:bCs w:val="1"/>
                <w:noProof w:val="0"/>
                <w:sz w:val="22"/>
                <w:szCs w:val="22"/>
                <w:lang w:val="en-GB"/>
              </w:rPr>
            </w:pPr>
            <w:r w:rsidRPr="06BFC6FC" w:rsidR="06BFC6FC">
              <w:rPr>
                <w:rFonts w:ascii="Arial" w:hAnsi="Arial" w:eastAsia="Arial" w:cs="Arial"/>
                <w:b w:val="1"/>
                <w:bCs w:val="1"/>
                <w:noProof w:val="0"/>
                <w:sz w:val="22"/>
                <w:szCs w:val="22"/>
                <w:lang w:val="en-GB"/>
              </w:rPr>
              <w:t>Red (MAT) and yellow group (mixed ability):</w:t>
            </w:r>
          </w:p>
          <w:p w:rsidR="06BFC6FC" w:rsidP="06BFC6FC" w:rsidRDefault="06BFC6FC" w14:paraId="5645963F" w14:textId="156722C5">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Year 1 and 2 skills. Use wide range of vocabulary</w:t>
            </w:r>
          </w:p>
          <w:p w:rsidR="06BFC6FC" w:rsidP="06BFC6FC" w:rsidRDefault="06BFC6FC" w14:paraId="0EFA9ED1" w14:textId="4BF45A79">
            <w:pPr>
              <w:rPr>
                <w:rFonts w:ascii="Arial" w:hAnsi="Arial" w:eastAsia="Arial" w:cs="Arial"/>
                <w:b w:val="1"/>
                <w:bCs w:val="1"/>
                <w:noProof w:val="0"/>
                <w:sz w:val="22"/>
                <w:szCs w:val="22"/>
                <w:lang w:val="en-GB"/>
              </w:rPr>
            </w:pPr>
            <w:r w:rsidRPr="06BFC6FC" w:rsidR="06BFC6FC">
              <w:rPr>
                <w:rFonts w:ascii="Arial" w:hAnsi="Arial" w:eastAsia="Arial" w:cs="Arial"/>
                <w:b w:val="1"/>
                <w:bCs w:val="1"/>
                <w:noProof w:val="0"/>
                <w:sz w:val="22"/>
                <w:szCs w:val="22"/>
                <w:lang w:val="en-GB"/>
              </w:rPr>
              <w:t>Green and blue group (mixed ability):</w:t>
            </w:r>
          </w:p>
          <w:p w:rsidR="06BFC6FC" w:rsidP="06BFC6FC" w:rsidRDefault="06BFC6FC" w14:paraId="4B1139A7" w14:textId="7DF87E76">
            <w:pPr>
              <w:rPr>
                <w:rFonts w:ascii="Arial" w:hAnsi="Arial" w:eastAsia="Arial" w:cs="Arial"/>
              </w:rPr>
            </w:pPr>
            <w:r w:rsidRPr="06BFC6FC" w:rsidR="06BFC6FC">
              <w:rPr>
                <w:rFonts w:ascii="Arial" w:hAnsi="Arial" w:eastAsia="Arial" w:cs="Arial"/>
                <w:noProof w:val="0"/>
                <w:sz w:val="22"/>
                <w:szCs w:val="22"/>
                <w:lang w:val="en-GB"/>
              </w:rPr>
              <w:t>Reception and year 1 skills. Develop basic vocabulary</w:t>
            </w:r>
            <w:r>
              <w:br/>
            </w:r>
          </w:p>
          <w:p w:rsidR="06BFC6FC" w:rsidP="06BFC6FC" w:rsidRDefault="06BFC6FC" w14:paraId="617A2A20" w14:textId="0230E58B">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1:1 teaching assistant to assist child A</w:t>
            </w:r>
          </w:p>
          <w:p w:rsidR="06BFC6FC" w:rsidP="06BFC6FC" w:rsidRDefault="06BFC6FC" w14:paraId="2E7BCF45" w14:textId="46836D79">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Pictures for child B</w:t>
            </w:r>
          </w:p>
          <w:p w:rsidR="06BFC6FC" w:rsidP="06BFC6FC" w:rsidRDefault="06BFC6FC" w14:paraId="24C35B0F" w14:textId="0D5D7EBB">
            <w:pPr>
              <w:rPr>
                <w:rFonts w:ascii="Arial" w:hAnsi="Arial" w:eastAsia="Arial" w:cs="Arial"/>
              </w:rPr>
            </w:pPr>
          </w:p>
        </w:tc>
      </w:tr>
      <w:tr w:rsidR="06BFC6FC" w:rsidTr="06BFC6FC" w14:paraId="3F8CACBA">
        <w:tc>
          <w:tcPr>
            <w:tcW w:w="9027" w:type="dxa"/>
            <w:gridSpan w:val="3"/>
            <w:tcMar/>
          </w:tcPr>
          <w:p w:rsidR="06BFC6FC" w:rsidP="06BFC6FC" w:rsidRDefault="06BFC6FC" w14:paraId="23F2FD54" w14:textId="0BF0136E">
            <w:pPr>
              <w:rPr>
                <w:rFonts w:ascii="Arial" w:hAnsi="Arial" w:eastAsia="Arial" w:cs="Arial"/>
                <w:b w:val="1"/>
                <w:bCs w:val="1"/>
                <w:i w:val="1"/>
                <w:iCs w:val="1"/>
                <w:noProof w:val="0"/>
                <w:sz w:val="22"/>
                <w:szCs w:val="22"/>
                <w:lang w:val="en-GB"/>
              </w:rPr>
            </w:pPr>
          </w:p>
          <w:p w:rsidR="06BFC6FC" w:rsidP="06BFC6FC" w:rsidRDefault="06BFC6FC" w14:paraId="6C672D80" w14:textId="20FD1945">
            <w:pPr>
              <w:rPr>
                <w:rFonts w:ascii="Arial" w:hAnsi="Arial" w:eastAsia="Arial" w:cs="Arial"/>
                <w:b w:val="1"/>
                <w:bCs w:val="1"/>
                <w:i w:val="1"/>
                <w:iCs w:val="1"/>
                <w:noProof w:val="0"/>
                <w:sz w:val="22"/>
                <w:szCs w:val="22"/>
                <w:lang w:val="en-GB"/>
              </w:rPr>
            </w:pPr>
            <w:r w:rsidRPr="06BFC6FC" w:rsidR="06BFC6FC">
              <w:rPr>
                <w:rFonts w:ascii="Arial" w:hAnsi="Arial" w:eastAsia="Arial" w:cs="Arial"/>
                <w:b w:val="1"/>
                <w:bCs w:val="1"/>
                <w:i w:val="1"/>
                <w:iCs w:val="1"/>
                <w:noProof w:val="0"/>
                <w:sz w:val="22"/>
                <w:szCs w:val="22"/>
                <w:lang w:val="en-GB"/>
              </w:rPr>
              <w:t xml:space="preserve">Health and safety: </w:t>
            </w:r>
          </w:p>
          <w:p w:rsidR="06BFC6FC" w:rsidP="06BFC6FC" w:rsidRDefault="06BFC6FC" w14:paraId="201214AF" w14:textId="717B7DDB">
            <w:pPr>
              <w:rPr>
                <w:rFonts w:ascii="Arial" w:hAnsi="Arial" w:eastAsia="Arial" w:cs="Arial"/>
              </w:rPr>
            </w:pPr>
          </w:p>
          <w:p w:rsidR="06BFC6FC" w:rsidP="06BFC6FC" w:rsidRDefault="06BFC6FC" w14:paraId="2F067FFF" w14:textId="798FB476">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Use Forest School Risk Assessment to check area for hazards before use.</w:t>
            </w:r>
          </w:p>
          <w:p w:rsidR="06BFC6FC" w:rsidP="06BFC6FC" w:rsidRDefault="06BFC6FC" w14:paraId="390C7A35" w14:textId="3EB7A939">
            <w:pPr>
              <w:rPr>
                <w:rFonts w:ascii="Arial" w:hAnsi="Arial" w:eastAsia="Arial" w:cs="Arial"/>
                <w:i w:val="1"/>
                <w:iCs w:val="1"/>
                <w:noProof w:val="0"/>
                <w:sz w:val="22"/>
                <w:szCs w:val="22"/>
                <w:lang w:val="en-GB"/>
              </w:rPr>
            </w:pPr>
            <w:r w:rsidRPr="06BFC6FC" w:rsidR="06BFC6FC">
              <w:rPr>
                <w:rFonts w:ascii="Arial" w:hAnsi="Arial" w:eastAsia="Arial" w:cs="Arial"/>
                <w:i w:val="1"/>
                <w:iCs w:val="1"/>
                <w:noProof w:val="0"/>
                <w:sz w:val="22"/>
                <w:szCs w:val="22"/>
                <w:lang w:val="en-GB"/>
              </w:rPr>
              <w:t>Consider weather conditions.</w:t>
            </w:r>
          </w:p>
          <w:p w:rsidR="06BFC6FC" w:rsidP="06BFC6FC" w:rsidRDefault="06BFC6FC" w14:paraId="5D0E9557" w14:textId="1239AF3E">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Children-coats on.</w:t>
            </w:r>
          </w:p>
          <w:p w:rsidR="06BFC6FC" w:rsidP="06BFC6FC" w:rsidRDefault="06BFC6FC" w14:paraId="3AD94FDB" w14:textId="1F90536E">
            <w:pPr>
              <w:rPr>
                <w:rFonts w:ascii="Arial" w:hAnsi="Arial" w:eastAsia="Arial" w:cs="Arial"/>
              </w:rPr>
            </w:pPr>
          </w:p>
        </w:tc>
      </w:tr>
      <w:tr w:rsidR="06BFC6FC" w:rsidTr="06BFC6FC" w14:paraId="2092FE4B">
        <w:tc>
          <w:tcPr>
            <w:tcW w:w="9027" w:type="dxa"/>
            <w:gridSpan w:val="3"/>
            <w:tcMar/>
          </w:tcPr>
          <w:p w:rsidR="06BFC6FC" w:rsidP="06BFC6FC" w:rsidRDefault="06BFC6FC" w14:paraId="709C7018" w14:textId="0E3F3131">
            <w:pPr>
              <w:rPr>
                <w:rFonts w:ascii="Arial" w:hAnsi="Arial" w:eastAsia="Arial" w:cs="Arial"/>
                <w:b w:val="1"/>
                <w:bCs w:val="1"/>
                <w:i w:val="1"/>
                <w:iCs w:val="1"/>
                <w:noProof w:val="0"/>
                <w:sz w:val="22"/>
                <w:szCs w:val="22"/>
                <w:lang w:val="en-GB"/>
              </w:rPr>
            </w:pPr>
          </w:p>
          <w:p w:rsidR="06BFC6FC" w:rsidP="06BFC6FC" w:rsidRDefault="06BFC6FC" w14:paraId="465A9051" w14:textId="753331D4">
            <w:pPr>
              <w:rPr>
                <w:rFonts w:ascii="Arial" w:hAnsi="Arial" w:eastAsia="Arial" w:cs="Arial"/>
                <w:b w:val="1"/>
                <w:bCs w:val="1"/>
                <w:i w:val="1"/>
                <w:iCs w:val="1"/>
                <w:noProof w:val="0"/>
                <w:sz w:val="22"/>
                <w:szCs w:val="22"/>
                <w:lang w:val="en-GB"/>
              </w:rPr>
            </w:pPr>
            <w:r w:rsidRPr="06BFC6FC" w:rsidR="06BFC6FC">
              <w:rPr>
                <w:rFonts w:ascii="Arial" w:hAnsi="Arial" w:eastAsia="Arial" w:cs="Arial"/>
                <w:b w:val="1"/>
                <w:bCs w:val="1"/>
                <w:i w:val="1"/>
                <w:iCs w:val="1"/>
                <w:noProof w:val="0"/>
                <w:sz w:val="22"/>
                <w:szCs w:val="22"/>
                <w:lang w:val="en-GB"/>
              </w:rPr>
              <w:t>Role of adult:</w:t>
            </w:r>
          </w:p>
          <w:p w:rsidR="06BFC6FC" w:rsidP="06BFC6FC" w:rsidRDefault="06BFC6FC" w14:paraId="519F5B70" w14:textId="48FBE6AB">
            <w:pPr>
              <w:rPr>
                <w:rFonts w:ascii="Arial" w:hAnsi="Arial" w:eastAsia="Arial" w:cs="Arial"/>
              </w:rPr>
            </w:pPr>
          </w:p>
          <w:p w:rsidR="06BFC6FC" w:rsidP="06BFC6FC" w:rsidRDefault="06BFC6FC" w14:paraId="29FA963B" w14:textId="6DDDF876">
            <w:pPr>
              <w:pStyle w:val="ListParagraph"/>
              <w:numPr>
                <w:ilvl w:val="0"/>
                <w:numId w:val="1"/>
              </w:numPr>
              <w:rPr>
                <w:sz w:val="22"/>
                <w:szCs w:val="22"/>
              </w:rPr>
            </w:pPr>
            <w:r w:rsidRPr="06BFC6FC" w:rsidR="06BFC6FC">
              <w:rPr>
                <w:rFonts w:ascii="Arial" w:hAnsi="Arial" w:eastAsia="Arial" w:cs="Arial"/>
                <w:noProof w:val="0"/>
                <w:sz w:val="22"/>
                <w:szCs w:val="22"/>
                <w:lang w:val="en-GB"/>
              </w:rPr>
              <w:t>Risk assessment.</w:t>
            </w:r>
          </w:p>
          <w:p w:rsidR="06BFC6FC" w:rsidP="06BFC6FC" w:rsidRDefault="06BFC6FC" w14:paraId="7DD84FDE" w14:textId="25AFD84B">
            <w:pPr>
              <w:pStyle w:val="ListParagraph"/>
              <w:numPr>
                <w:ilvl w:val="0"/>
                <w:numId w:val="1"/>
              </w:numPr>
              <w:rPr>
                <w:sz w:val="22"/>
                <w:szCs w:val="22"/>
              </w:rPr>
            </w:pPr>
            <w:r w:rsidRPr="06BFC6FC" w:rsidR="06BFC6FC">
              <w:rPr>
                <w:rFonts w:ascii="Arial" w:hAnsi="Arial" w:eastAsia="Arial" w:cs="Arial"/>
                <w:noProof w:val="0"/>
                <w:sz w:val="22"/>
                <w:szCs w:val="22"/>
                <w:lang w:val="en-GB"/>
              </w:rPr>
              <w:t>find appropriate resources that are safe to use.</w:t>
            </w:r>
          </w:p>
          <w:p w:rsidR="06BFC6FC" w:rsidP="06BFC6FC" w:rsidRDefault="06BFC6FC" w14:paraId="79301C73" w14:textId="36CBCB87">
            <w:pPr>
              <w:pStyle w:val="ListParagraph"/>
              <w:numPr>
                <w:ilvl w:val="0"/>
                <w:numId w:val="1"/>
              </w:numPr>
              <w:rPr>
                <w:sz w:val="22"/>
                <w:szCs w:val="22"/>
              </w:rPr>
            </w:pPr>
            <w:r w:rsidRPr="06BFC6FC" w:rsidR="06BFC6FC">
              <w:rPr>
                <w:rFonts w:ascii="Arial" w:hAnsi="Arial" w:eastAsia="Arial" w:cs="Arial"/>
                <w:noProof w:val="0"/>
                <w:sz w:val="22"/>
                <w:szCs w:val="22"/>
                <w:lang w:val="en-GB"/>
              </w:rPr>
              <w:t>Introduce the activity, provide support when needed.</w:t>
            </w:r>
          </w:p>
          <w:p w:rsidR="06BFC6FC" w:rsidP="06BFC6FC" w:rsidRDefault="06BFC6FC" w14:paraId="31ACFD60" w14:textId="0C61390F">
            <w:pPr>
              <w:pStyle w:val="Normal"/>
              <w:ind w:left="360"/>
              <w:rPr>
                <w:rFonts w:ascii="Arial" w:hAnsi="Arial" w:eastAsia="Arial" w:cs="Arial"/>
                <w:noProof w:val="0"/>
                <w:sz w:val="22"/>
                <w:szCs w:val="22"/>
                <w:lang w:val="en-GB"/>
              </w:rPr>
            </w:pPr>
          </w:p>
        </w:tc>
      </w:tr>
      <w:tr w:rsidR="06BFC6FC" w:rsidTr="06BFC6FC" w14:paraId="43614AB9">
        <w:tc>
          <w:tcPr>
            <w:tcW w:w="9027" w:type="dxa"/>
            <w:gridSpan w:val="3"/>
            <w:tcMar/>
          </w:tcPr>
          <w:p w:rsidR="06BFC6FC" w:rsidP="06BFC6FC" w:rsidRDefault="06BFC6FC" w14:paraId="72A8850A" w14:textId="153ED405">
            <w:pPr>
              <w:rPr>
                <w:rFonts w:ascii="Arial" w:hAnsi="Arial" w:eastAsia="Arial" w:cs="Arial"/>
                <w:b w:val="1"/>
                <w:bCs w:val="1"/>
                <w:i w:val="1"/>
                <w:iCs w:val="1"/>
                <w:noProof w:val="0"/>
                <w:sz w:val="22"/>
                <w:szCs w:val="22"/>
                <w:lang w:val="en-GB"/>
              </w:rPr>
            </w:pPr>
          </w:p>
          <w:p w:rsidR="06BFC6FC" w:rsidP="06BFC6FC" w:rsidRDefault="06BFC6FC" w14:paraId="5B02F7B0" w14:textId="421CCCE4">
            <w:pPr>
              <w:rPr>
                <w:rFonts w:ascii="Arial" w:hAnsi="Arial" w:eastAsia="Arial" w:cs="Arial"/>
              </w:rPr>
            </w:pPr>
            <w:r w:rsidRPr="06BFC6FC" w:rsidR="06BFC6FC">
              <w:rPr>
                <w:rFonts w:ascii="Arial" w:hAnsi="Arial" w:eastAsia="Arial" w:cs="Arial"/>
                <w:b w:val="1"/>
                <w:bCs w:val="1"/>
                <w:i w:val="1"/>
                <w:iCs w:val="1"/>
                <w:noProof w:val="0"/>
                <w:sz w:val="22"/>
                <w:szCs w:val="22"/>
                <w:lang w:val="en-GB"/>
              </w:rPr>
              <w:t>Activity overview:</w:t>
            </w:r>
            <w:r>
              <w:br/>
            </w:r>
          </w:p>
          <w:p w:rsidR="06BFC6FC" w:rsidP="06BFC6FC" w:rsidRDefault="06BFC6FC" w14:paraId="059981E9" w14:textId="6B87F5B0">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 xml:space="preserve">Link to current topic: ‘Goldilocks and the three </w:t>
            </w:r>
            <w:proofErr w:type="gramStart"/>
            <w:r w:rsidRPr="06BFC6FC" w:rsidR="06BFC6FC">
              <w:rPr>
                <w:rFonts w:ascii="Arial" w:hAnsi="Arial" w:eastAsia="Arial" w:cs="Arial"/>
                <w:noProof w:val="0"/>
                <w:sz w:val="22"/>
                <w:szCs w:val="22"/>
                <w:lang w:val="en-GB"/>
              </w:rPr>
              <w:t>bears’</w:t>
            </w:r>
            <w:proofErr w:type="gramEnd"/>
            <w:r w:rsidRPr="06BFC6FC" w:rsidR="06BFC6FC">
              <w:rPr>
                <w:rFonts w:ascii="Arial" w:hAnsi="Arial" w:eastAsia="Arial" w:cs="Arial"/>
                <w:noProof w:val="0"/>
                <w:sz w:val="22"/>
                <w:szCs w:val="22"/>
                <w:lang w:val="en-GB"/>
              </w:rPr>
              <w:t>.</w:t>
            </w:r>
          </w:p>
          <w:p w:rsidR="06BFC6FC" w:rsidP="06BFC6FC" w:rsidRDefault="06BFC6FC" w14:paraId="4AF48260" w14:textId="2EFBB067">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Open letter from Goldilocks stating the time that the three bears will arrive for supper (use clock).</w:t>
            </w:r>
          </w:p>
          <w:p w:rsidR="06BFC6FC" w:rsidP="06BFC6FC" w:rsidRDefault="06BFC6FC" w14:paraId="5244C86E" w14:textId="222108C8">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Prepare food and drinks for the bears using Forest school resources including water tray and mud kitchen use different sized cups, plates, jugs etc.</w:t>
            </w:r>
          </w:p>
          <w:p w:rsidR="06BFC6FC" w:rsidP="06BFC6FC" w:rsidRDefault="06BFC6FC" w14:paraId="0A6B996F" w14:textId="07FD3136">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Use warm/tepid/cold water.</w:t>
            </w:r>
          </w:p>
          <w:p w:rsidR="06BFC6FC" w:rsidP="06BFC6FC" w:rsidRDefault="06BFC6FC" w14:paraId="5441F498" w14:textId="625B382D">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 xml:space="preserve">Children to choose how to undertake the activity. </w:t>
            </w:r>
          </w:p>
          <w:p w:rsidR="06BFC6FC" w:rsidP="06BFC6FC" w:rsidRDefault="06BFC6FC" w14:paraId="5062DA13" w14:textId="0742D127">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Adult to use Assessment for Learning (</w:t>
            </w:r>
            <w:r w:rsidRPr="06BFC6FC" w:rsidR="06BFC6FC">
              <w:rPr>
                <w:rFonts w:ascii="Arial" w:hAnsi="Arial" w:eastAsia="Arial" w:cs="Arial"/>
                <w:b w:val="1"/>
                <w:bCs w:val="1"/>
                <w:noProof w:val="0"/>
                <w:sz w:val="22"/>
                <w:szCs w:val="22"/>
                <w:lang w:val="en-GB"/>
              </w:rPr>
              <w:t>ALF</w:t>
            </w:r>
            <w:r w:rsidRPr="06BFC6FC" w:rsidR="06BFC6FC">
              <w:rPr>
                <w:rFonts w:ascii="Arial" w:hAnsi="Arial" w:eastAsia="Arial" w:cs="Arial"/>
                <w:noProof w:val="0"/>
                <w:sz w:val="22"/>
                <w:szCs w:val="22"/>
                <w:lang w:val="en-GB"/>
              </w:rPr>
              <w:t>) questioning to assess/determine child's knowledge and understanding.</w:t>
            </w:r>
          </w:p>
          <w:p w:rsidR="06BFC6FC" w:rsidP="06BFC6FC" w:rsidRDefault="06BFC6FC" w14:paraId="090EC325" w14:textId="2D02678D">
            <w:pPr>
              <w:rPr>
                <w:rFonts w:ascii="Arial" w:hAnsi="Arial" w:eastAsia="Arial" w:cs="Arial"/>
                <w:noProof w:val="0"/>
                <w:sz w:val="22"/>
                <w:szCs w:val="22"/>
                <w:lang w:val="en-GB"/>
              </w:rPr>
            </w:pPr>
            <w:r w:rsidRPr="06BFC6FC" w:rsidR="06BFC6FC">
              <w:rPr>
                <w:rFonts w:ascii="Arial" w:hAnsi="Arial" w:eastAsia="Arial" w:cs="Arial"/>
                <w:noProof w:val="0"/>
                <w:sz w:val="22"/>
                <w:szCs w:val="22"/>
                <w:lang w:val="en-GB"/>
              </w:rPr>
              <w:t>Encourage incidental Welsh.</w:t>
            </w:r>
          </w:p>
          <w:p w:rsidR="06BFC6FC" w:rsidP="06BFC6FC" w:rsidRDefault="06BFC6FC" w14:paraId="0A3157DC" w14:textId="6D39DC2D">
            <w:pPr>
              <w:rPr>
                <w:rFonts w:ascii="Arial" w:hAnsi="Arial" w:eastAsia="Arial" w:cs="Arial"/>
              </w:rPr>
            </w:pPr>
            <w:r w:rsidRPr="06BFC6FC" w:rsidR="06BFC6FC">
              <w:rPr>
                <w:rFonts w:ascii="Arial" w:hAnsi="Arial" w:eastAsia="Arial" w:cs="Arial"/>
                <w:noProof w:val="0"/>
                <w:sz w:val="22"/>
                <w:szCs w:val="22"/>
                <w:lang w:val="en-GB"/>
              </w:rPr>
              <w:t>iPad/pictures to document</w:t>
            </w:r>
          </w:p>
          <w:p w:rsidR="06BFC6FC" w:rsidP="06BFC6FC" w:rsidRDefault="06BFC6FC" w14:paraId="230B3351" w14:textId="395C5595">
            <w:pPr>
              <w:pStyle w:val="Normal"/>
              <w:rPr>
                <w:rFonts w:ascii="Arial" w:hAnsi="Arial" w:eastAsia="Arial" w:cs="Arial"/>
                <w:noProof w:val="0"/>
                <w:sz w:val="36"/>
                <w:szCs w:val="36"/>
                <w:lang w:val="en-GB"/>
              </w:rPr>
            </w:pPr>
          </w:p>
        </w:tc>
      </w:tr>
    </w:tbl>
    <w:p w:rsidR="06BFC6FC" w:rsidP="06BFC6FC" w:rsidRDefault="06BFC6FC" w14:paraId="01BA3258" w14:textId="23B47D04">
      <w:pPr>
        <w:spacing w:line="360" w:lineRule="auto"/>
        <w:rPr>
          <w:rFonts w:ascii="Arial" w:hAnsi="Arial" w:eastAsia="Arial" w:cs="Arial"/>
          <w:noProof w:val="0"/>
          <w:sz w:val="36"/>
          <w:szCs w:val="36"/>
          <w:lang w:val="en-GB"/>
        </w:rPr>
      </w:pPr>
    </w:p>
    <w:p w:rsidR="06BFC6FC" w:rsidP="06BFC6FC" w:rsidRDefault="06BFC6FC" w14:paraId="1E30F13F" w14:textId="547D776C">
      <w:pPr>
        <w:spacing w:line="360" w:lineRule="auto"/>
        <w:rPr>
          <w:rFonts w:ascii="Arial" w:hAnsi="Arial" w:eastAsia="Arial" w:cs="Arial"/>
          <w:noProof w:val="0"/>
          <w:sz w:val="36"/>
          <w:szCs w:val="36"/>
          <w:lang w:val="en-GB"/>
        </w:rPr>
      </w:pPr>
    </w:p>
    <w:p w:rsidR="06BFC6FC" w:rsidP="06BFC6FC" w:rsidRDefault="06BFC6FC" w14:paraId="62AB3442" w14:textId="64AC9BD1">
      <w:pPr>
        <w:spacing w:line="360" w:lineRule="auto"/>
        <w:rPr>
          <w:rFonts w:ascii="Arial" w:hAnsi="Arial" w:eastAsia="Arial" w:cs="Arial"/>
          <w:noProof w:val="0"/>
          <w:sz w:val="36"/>
          <w:szCs w:val="36"/>
          <w:lang w:val="en-GB"/>
        </w:rPr>
      </w:pPr>
    </w:p>
    <w:p w:rsidR="06BFC6FC" w:rsidP="06BFC6FC" w:rsidRDefault="06BFC6FC" w14:paraId="7A648A08" w14:textId="3753D49F">
      <w:pPr>
        <w:spacing w:line="360" w:lineRule="auto"/>
        <w:rPr>
          <w:rFonts w:ascii="Arial" w:hAnsi="Arial" w:eastAsia="Arial" w:cs="Arial"/>
          <w:noProof w:val="0"/>
          <w:sz w:val="36"/>
          <w:szCs w:val="36"/>
          <w:lang w:val="en-GB"/>
        </w:rPr>
      </w:pPr>
    </w:p>
    <w:p w:rsidR="06BFC6FC" w:rsidP="06BFC6FC" w:rsidRDefault="06BFC6FC" w14:paraId="17426F78" w14:textId="7BBC22A9">
      <w:pPr>
        <w:spacing w:line="360" w:lineRule="auto"/>
        <w:rPr>
          <w:rFonts w:ascii="Arial" w:hAnsi="Arial" w:eastAsia="Arial" w:cs="Arial"/>
          <w:noProof w:val="0"/>
          <w:sz w:val="36"/>
          <w:szCs w:val="36"/>
          <w:lang w:val="en-GB"/>
        </w:rPr>
      </w:pPr>
    </w:p>
    <w:p w:rsidR="06BFC6FC" w:rsidP="06BFC6FC" w:rsidRDefault="06BFC6FC" w14:paraId="28CFA1D0" w14:textId="1E4454B5">
      <w:pPr>
        <w:spacing w:line="360" w:lineRule="auto"/>
        <w:rPr>
          <w:rFonts w:ascii="Arial" w:hAnsi="Arial" w:eastAsia="Arial" w:cs="Arial"/>
          <w:noProof w:val="0"/>
          <w:sz w:val="36"/>
          <w:szCs w:val="36"/>
          <w:lang w:val="en-GB"/>
        </w:rPr>
      </w:pPr>
    </w:p>
    <w:p w:rsidR="06BFC6FC" w:rsidP="06BFC6FC" w:rsidRDefault="06BFC6FC" w14:paraId="5FEB5630" w14:textId="6F0965B2">
      <w:pPr>
        <w:spacing w:line="360" w:lineRule="auto"/>
        <w:rPr>
          <w:rFonts w:ascii="Arial" w:hAnsi="Arial" w:eastAsia="Arial" w:cs="Arial"/>
          <w:noProof w:val="0"/>
          <w:sz w:val="36"/>
          <w:szCs w:val="36"/>
          <w:lang w:val="en-GB"/>
        </w:rPr>
      </w:pPr>
    </w:p>
    <w:p w:rsidR="06BFC6FC" w:rsidP="06BFC6FC" w:rsidRDefault="06BFC6FC" w14:paraId="1989A9E4" w14:textId="2380BABB">
      <w:pPr>
        <w:spacing w:line="360" w:lineRule="auto"/>
        <w:rPr>
          <w:rFonts w:ascii="Arial" w:hAnsi="Arial" w:eastAsia="Arial" w:cs="Arial"/>
          <w:noProof w:val="0"/>
          <w:sz w:val="36"/>
          <w:szCs w:val="36"/>
          <w:lang w:val="en-GB"/>
        </w:rPr>
      </w:pPr>
    </w:p>
    <w:p w:rsidR="06BFC6FC" w:rsidP="06BFC6FC" w:rsidRDefault="06BFC6FC" w14:paraId="3A019F51" w14:textId="4FB77001">
      <w:pPr>
        <w:pStyle w:val="Normal"/>
        <w:spacing w:line="360" w:lineRule="auto"/>
        <w:rPr>
          <w:rFonts w:ascii="Arial" w:hAnsi="Arial" w:eastAsia="Arial" w:cs="Arial"/>
          <w:noProof w:val="0"/>
          <w:sz w:val="36"/>
          <w:szCs w:val="36"/>
          <w:lang w:val="en-GB"/>
        </w:rPr>
      </w:pPr>
    </w:p>
    <w:p w:rsidR="06BFC6FC" w:rsidP="06BFC6FC" w:rsidRDefault="06BFC6FC" w14:paraId="2B797CD5" w14:textId="0BA9C1FA">
      <w:pPr>
        <w:pStyle w:val="Normal"/>
        <w:spacing w:line="360" w:lineRule="auto"/>
        <w:rPr>
          <w:rFonts w:ascii="Arial" w:hAnsi="Arial" w:eastAsia="Arial" w:cs="Arial"/>
          <w:noProof w:val="0"/>
          <w:sz w:val="36"/>
          <w:szCs w:val="36"/>
          <w:lang w:val="en-GB"/>
        </w:rPr>
      </w:pPr>
    </w:p>
    <w:p w:rsidR="1BFF2A54" w:rsidP="1BFF2A54" w:rsidRDefault="1BFF2A54" w14:paraId="6C8C17D8" w14:textId="7B988D8E">
      <w:pPr>
        <w:spacing w:line="360" w:lineRule="auto"/>
        <w:rPr>
          <w:rFonts w:ascii="Arial" w:hAnsi="Arial" w:eastAsia="Arial" w:cs="Arial"/>
          <w:noProof w:val="0"/>
          <w:sz w:val="36"/>
          <w:szCs w:val="36"/>
          <w:lang w:val="en-GB"/>
        </w:rPr>
      </w:pPr>
      <w:r w:rsidRPr="06BFC6FC" w:rsidR="06BFC6FC">
        <w:rPr>
          <w:rFonts w:ascii="Arial" w:hAnsi="Arial" w:eastAsia="Arial" w:cs="Arial"/>
          <w:noProof w:val="0"/>
          <w:sz w:val="36"/>
          <w:szCs w:val="36"/>
          <w:lang w:val="en-GB"/>
        </w:rPr>
        <w:t xml:space="preserve">Task 2 </w:t>
      </w:r>
    </w:p>
    <w:p w:rsidR="1BFF2A54" w:rsidP="1BFF2A54" w:rsidRDefault="1BFF2A54" w14:paraId="68A990AA" w14:textId="1866044C">
      <w:pPr>
        <w:spacing w:line="360" w:lineRule="auto"/>
      </w:pPr>
    </w:p>
    <w:p w:rsidR="1BFF2A54" w:rsidP="1BFF2A54" w:rsidRDefault="1BFF2A54" w14:paraId="7073E88E" w14:textId="090D9C09">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The first positive element to note is that this activity plan is based on children’s prior knowledge of the Goldilocks fairy tale. Tucker (2014, p. 17) names Goldilocks as one of </w:t>
      </w:r>
      <w:r w:rsidRPr="06BFC6FC" w:rsidR="06BFC6FC">
        <w:rPr>
          <w:rFonts w:ascii="Arial" w:hAnsi="Arial" w:eastAsia="Arial" w:cs="Arial"/>
          <w:noProof w:val="0"/>
          <w:sz w:val="24"/>
          <w:szCs w:val="24"/>
          <w:lang w:val="en-GB"/>
        </w:rPr>
        <w:t>several</w:t>
      </w:r>
      <w:r w:rsidRPr="06BFC6FC" w:rsidR="06BFC6FC">
        <w:rPr>
          <w:rFonts w:ascii="Arial" w:hAnsi="Arial" w:eastAsia="Arial" w:cs="Arial"/>
          <w:noProof w:val="0"/>
          <w:sz w:val="24"/>
          <w:szCs w:val="24"/>
          <w:lang w:val="en-GB"/>
        </w:rPr>
        <w:t xml:space="preserve"> stories that can be used as a context for learning through play. The Goldilocks story, according to Tucker, supports the development of a variety of mathematical skills, such as comparing, ordering and estimating, by making meals and drinks of various sizes for the bears.  </w:t>
      </w:r>
    </w:p>
    <w:p w:rsidR="1BFF2A54" w:rsidP="6197B28B" w:rsidRDefault="1BFF2A54" w14:paraId="7DE8D5AF" w14:textId="41DA521B">
      <w:pPr>
        <w:spacing w:line="360" w:lineRule="auto"/>
        <w:ind w:firstLine="72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This activity aims to be accessible, stimulating and engaging as these attributes are vital for supporting the Mathematics and Numeracy Area of Learning and Experience (AOLE) of the new Curriculum for Wales (Welsh Government, 2019). For this activity th</w:t>
      </w:r>
      <w:r w:rsidRPr="06BFC6FC" w:rsidR="06BFC6FC">
        <w:rPr>
          <w:rFonts w:ascii="Arial" w:hAnsi="Arial" w:eastAsia="Arial" w:cs="Arial"/>
          <w:b w:val="0"/>
          <w:bCs w:val="0"/>
          <w:noProof w:val="0"/>
          <w:sz w:val="24"/>
          <w:szCs w:val="24"/>
          <w:lang w:val="en-GB"/>
        </w:rPr>
        <w:t>e</w:t>
      </w:r>
      <w:r w:rsidRPr="06BFC6FC" w:rsidR="06BFC6FC">
        <w:rPr>
          <w:rFonts w:ascii="Arial" w:hAnsi="Arial" w:eastAsia="Arial" w:cs="Arial"/>
          <w:b w:val="0"/>
          <w:bCs w:val="0"/>
          <w:noProof w:val="0"/>
          <w:sz w:val="24"/>
          <w:szCs w:val="24"/>
          <w:lang w:val="en-GB"/>
        </w:rPr>
        <w:t xml:space="preserve"> objective</w:t>
      </w:r>
      <w:r w:rsidRPr="06BFC6FC" w:rsidR="06BFC6FC">
        <w:rPr>
          <w:rFonts w:ascii="Arial" w:hAnsi="Arial" w:eastAsia="Arial" w:cs="Arial"/>
          <w:b w:val="0"/>
          <w:bCs w:val="0"/>
          <w:noProof w:val="0"/>
          <w:sz w:val="24"/>
          <w:szCs w:val="24"/>
          <w:lang w:val="en-GB"/>
        </w:rPr>
        <w:t xml:space="preserve"> is </w:t>
      </w:r>
      <w:r w:rsidRPr="06BFC6FC" w:rsidR="06BFC6FC">
        <w:rPr>
          <w:rFonts w:ascii="Arial" w:hAnsi="Arial" w:eastAsia="Arial" w:cs="Arial"/>
          <w:noProof w:val="0"/>
          <w:sz w:val="24"/>
          <w:szCs w:val="24"/>
          <w:lang w:val="en-GB"/>
        </w:rPr>
        <w:t xml:space="preserve">for children to prepare meals and drinks of different sizes for the three bears in time for their arrival, which will be stated in a letter left for the children by Goldilocks. The activity aims to support children in developing their understanding of capacity, size, temperature and time as well as develop their measuring skills and expand their mathematical vocabulary. This could help them work towards mathematical development outcomes 3 and 4 of the Foundation Phase Framework (Welsh Government, 2015, p. 55). Several specific elements of the skill sets laid out in the Foundation Phase Framework (Welsh Government, 2015, pp. 33-34) could be supported. These will be discussed in more depth further along in this section. With the use of a letter from Goldilocks setting the challenge of preparing a meal and setting the table, children’s reading and literacy could be supported. This supports children in working towards progression step 2 of the Literacy and Numeracy Framework (Welsh Government, 2019, a) which states that reading strategies children could use include decoding words using their knowledge of phonics, recognising high frequency words and use punctuation to aid fluency of reading. </w:t>
      </w:r>
    </w:p>
    <w:p w:rsidR="1BFF2A54" w:rsidP="06BFC6FC" w:rsidRDefault="1BFF2A54" w14:paraId="477705E5" w14:textId="47944552">
      <w:pPr>
        <w:pStyle w:val="Normal"/>
        <w:bidi w:val="0"/>
        <w:spacing w:before="0" w:beforeAutospacing="off" w:after="160" w:afterAutospacing="off" w:line="360" w:lineRule="auto"/>
        <w:ind w:left="0" w:right="0" w:firstLine="720"/>
        <w:jc w:val="both"/>
        <w:rPr>
          <w:rFonts w:ascii="Arial" w:hAnsi="Arial" w:eastAsia="Arial" w:cs="Arial"/>
          <w:noProof w:val="0"/>
          <w:sz w:val="24"/>
          <w:szCs w:val="24"/>
          <w:lang w:val="en-GB"/>
        </w:rPr>
      </w:pPr>
      <w:r w:rsidRPr="353BF863" w:rsidR="353BF863">
        <w:rPr>
          <w:rFonts w:ascii="Arial" w:hAnsi="Arial" w:eastAsia="Arial" w:cs="Arial"/>
          <w:noProof w:val="0"/>
          <w:sz w:val="24"/>
          <w:szCs w:val="24"/>
          <w:lang w:val="en-GB"/>
        </w:rPr>
        <w:t xml:space="preserve">The </w:t>
      </w:r>
      <w:r w:rsidRPr="6197B28B" w:rsidR="353BF863">
        <w:rPr>
          <w:rFonts w:ascii="Arial" w:hAnsi="Arial" w:eastAsia="Arial" w:cs="Arial"/>
          <w:b w:val="0"/>
          <w:bCs w:val="0"/>
          <w:noProof w:val="0"/>
          <w:sz w:val="24"/>
          <w:szCs w:val="24"/>
          <w:lang w:val="en-GB"/>
        </w:rPr>
        <w:t>location</w:t>
      </w:r>
      <w:r w:rsidRPr="353BF863" w:rsidR="353BF863">
        <w:rPr>
          <w:rFonts w:ascii="Arial" w:hAnsi="Arial" w:eastAsia="Arial" w:cs="Arial"/>
          <w:b w:val="0"/>
          <w:bCs w:val="0"/>
          <w:noProof w:val="0"/>
          <w:sz w:val="24"/>
          <w:szCs w:val="24"/>
          <w:lang w:val="en-GB"/>
        </w:rPr>
        <w:t xml:space="preserve"> chosen for this activity is the Forest School which consists of a grassed area surrounded by willow with a mud kitchen and a water tray. Resources in this area include </w:t>
      </w:r>
      <w:r w:rsidRPr="353BF863" w:rsidR="353BF863">
        <w:rPr>
          <w:rFonts w:ascii="Arial" w:hAnsi="Arial" w:eastAsia="Arial" w:cs="Arial"/>
          <w:noProof w:val="0"/>
          <w:sz w:val="24"/>
          <w:szCs w:val="24"/>
          <w:lang w:val="en-GB"/>
        </w:rPr>
        <w:t>pinecones</w:t>
      </w:r>
      <w:r w:rsidRPr="353BF863" w:rsidR="353BF863">
        <w:rPr>
          <w:rFonts w:ascii="Arial" w:hAnsi="Arial" w:eastAsia="Arial" w:cs="Arial"/>
          <w:noProof w:val="0"/>
          <w:sz w:val="24"/>
          <w:szCs w:val="24"/>
          <w:lang w:val="en-GB"/>
        </w:rPr>
        <w:t xml:space="preserve">, leaves, sticks, bark, pebbles, compost, real pans, jugs, cups, plates, bowls, sieves </w:t>
      </w:r>
      <w:r w:rsidRPr="353BF863" w:rsidR="353BF863">
        <w:rPr>
          <w:rFonts w:ascii="Arial" w:hAnsi="Arial" w:eastAsia="Arial" w:cs="Arial"/>
          <w:noProof w:val="0"/>
          <w:sz w:val="24"/>
          <w:szCs w:val="24"/>
          <w:lang w:val="en-GB"/>
        </w:rPr>
        <w:t xml:space="preserve">and various utensils.</w:t>
      </w:r>
    </w:p>
    <w:p w:rsidR="1BFF2A54" w:rsidP="06BFC6FC" w:rsidRDefault="1BFF2A54" w14:paraId="31B92B42" w14:textId="7CF5451B">
      <w:pPr>
        <w:pStyle w:val="Normal"/>
        <w:bidi w:val="0"/>
        <w:spacing w:before="0" w:beforeAutospacing="off" w:after="160" w:afterAutospacing="off" w:line="360" w:lineRule="auto"/>
        <w:ind w:left="0" w:right="0" w:firstLine="720"/>
        <w:jc w:val="center"/>
        <w:rPr>
          <w:rFonts w:ascii="Arial" w:hAnsi="Arial" w:eastAsia="Arial" w:cs="Arial"/>
          <w:noProof w:val="0"/>
          <w:sz w:val="24"/>
          <w:szCs w:val="24"/>
          <w:lang w:val="en-GB"/>
        </w:rPr>
      </w:pPr>
      <w:r w:rsidRPr="353BF863" w:rsidR="353BF863">
        <w:rPr>
          <w:rFonts w:ascii="Arial" w:hAnsi="Arial" w:eastAsia="Arial" w:cs="Arial"/>
          <w:noProof w:val="0"/>
          <w:sz w:val="24"/>
          <w:szCs w:val="24"/>
          <w:lang w:val="en-GB"/>
        </w:rPr>
        <w:t xml:space="preserve"> </w:t>
      </w:r>
      <w:r>
        <w:drawing>
          <wp:inline wp14:editId="022E1F0C" wp14:anchorId="3F0F3AC2">
            <wp:extent cx="3938004" cy="2953503"/>
            <wp:effectExtent l="190500" t="190500" r="171450" b="171450"/>
            <wp:docPr id="420045886" name="" descr=" " title="(Anstice, 2020)"/>
            <wp:cNvGraphicFramePr>
              <a:graphicFrameLocks noChangeAspect="1"/>
            </wp:cNvGraphicFramePr>
            <a:graphic>
              <a:graphicData uri="http://schemas.openxmlformats.org/drawingml/2006/picture">
                <pic:pic>
                  <pic:nvPicPr>
                    <pic:cNvPr id="0" name=""/>
                    <pic:cNvPicPr/>
                  </pic:nvPicPr>
                  <pic:blipFill>
                    <a:blip r:embed="Rc51d52bbb7904fa6">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938004" cy="2953503"/>
                    </a:xfrm>
                    <a:prstGeom xmlns:a="http://schemas.openxmlformats.org/drawingml/2006/main" prst="rect">
                      <a:avLst/>
                    </a:prstGeom>
                  </pic:spPr>
                </pic:pic>
              </a:graphicData>
            </a:graphic>
          </wp:inline>
        </w:drawing>
      </w:r>
    </w:p>
    <w:p w:rsidR="1BFF2A54" w:rsidP="06BFC6FC" w:rsidRDefault="1BFF2A54" w14:paraId="7C8EA681" w14:textId="26D33B9D">
      <w:pPr>
        <w:pStyle w:val="Normal"/>
        <w:bidi w:val="0"/>
        <w:spacing w:before="0" w:beforeAutospacing="off" w:after="160" w:afterAutospacing="off" w:line="360" w:lineRule="auto"/>
        <w:ind w:left="0" w:right="0" w:firstLine="720"/>
        <w:jc w:val="center"/>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(Anstice, 2020)</w:t>
      </w:r>
    </w:p>
    <w:p w:rsidR="1BFF2A54" w:rsidP="06BFC6FC" w:rsidRDefault="1BFF2A54" w14:paraId="40FC7501" w14:textId="6712E235">
      <w:pPr>
        <w:pStyle w:val="Normal"/>
        <w:bidi w:val="0"/>
        <w:spacing w:before="0" w:beforeAutospacing="off" w:after="160" w:afterAutospacing="off" w:line="360" w:lineRule="auto"/>
        <w:ind w:left="0" w:right="0" w:firstLine="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According to Tucker (2014, p. 13) natural resources such as conkers can aid </w:t>
      </w:r>
      <w:r w:rsidRPr="353BF863" w:rsidR="353BF863">
        <w:rPr>
          <w:rFonts w:ascii="Arial" w:hAnsi="Arial" w:eastAsia="Arial" w:cs="Arial"/>
          <w:noProof w:val="0"/>
          <w:sz w:val="24"/>
          <w:szCs w:val="24"/>
          <w:lang w:val="en-GB"/>
        </w:rPr>
        <w:t xml:space="preserve">mathematical development as well as </w:t>
      </w:r>
      <w:r w:rsidRPr="353BF863" w:rsidR="353BF863">
        <w:rPr>
          <w:rFonts w:ascii="Arial" w:hAnsi="Arial" w:eastAsia="Arial" w:cs="Arial"/>
          <w:noProof w:val="0"/>
          <w:sz w:val="24"/>
          <w:szCs w:val="24"/>
          <w:lang w:val="en-GB"/>
        </w:rPr>
        <w:t xml:space="preserve">supporting other areas of learning during cross-curricular activities. Tucker (2014, p. 21-22) also argues that outdoor learning has been viewed, for centuries, as being valuable and beneficial to learning. </w:t>
      </w:r>
      <w:r w:rsidRPr="353BF863" w:rsidR="353BF863">
        <w:rPr>
          <w:rFonts w:ascii="Arial" w:hAnsi="Arial" w:eastAsia="Arial" w:cs="Arial"/>
          <w:noProof w:val="0"/>
          <w:sz w:val="24"/>
          <w:szCs w:val="24"/>
          <w:lang w:val="en-GB"/>
        </w:rPr>
        <w:t>Furthermore,</w:t>
      </w:r>
      <w:r w:rsidRPr="353BF863" w:rsidR="353BF863">
        <w:rPr>
          <w:rFonts w:ascii="Arial" w:hAnsi="Arial" w:eastAsia="Arial" w:cs="Arial"/>
          <w:noProof w:val="0"/>
          <w:sz w:val="24"/>
          <w:szCs w:val="24"/>
          <w:lang w:val="en-GB"/>
        </w:rPr>
        <w:t xml:space="preserve"> outdoor learning has been championed by theorists including Isaacs, </w:t>
      </w:r>
      <w:r w:rsidRPr="6197B28B" w:rsidR="6197B28B">
        <w:rPr>
          <w:rFonts w:ascii="Arial" w:hAnsi="Arial" w:eastAsia="Arial" w:cs="Arial"/>
          <w:noProof w:val="0"/>
          <w:sz w:val="24"/>
          <w:szCs w:val="24"/>
          <w:lang w:val="en-GB"/>
        </w:rPr>
        <w:t>Froebel</w:t>
      </w:r>
      <w:r w:rsidRPr="6197B28B" w:rsidR="6197B28B">
        <w:rPr>
          <w:rFonts w:ascii="Arial" w:hAnsi="Arial" w:eastAsia="Arial" w:cs="Arial"/>
          <w:noProof w:val="0"/>
          <w:sz w:val="24"/>
          <w:szCs w:val="24"/>
          <w:lang w:val="en-GB"/>
        </w:rPr>
        <w:t xml:space="preserve"> and MacMillan. </w:t>
      </w:r>
      <w:r w:rsidRPr="6197B28B" w:rsidR="6197B28B">
        <w:rPr>
          <w:rFonts w:ascii="Arial" w:hAnsi="Arial" w:eastAsia="Arial" w:cs="Arial"/>
          <w:noProof w:val="0"/>
          <w:sz w:val="24"/>
          <w:szCs w:val="24"/>
          <w:lang w:val="en-GB"/>
        </w:rPr>
        <w:t>The Early Years Foundation Stage (EYFS) in England has recognised this by endorsing the use of outdoor learning and report an increase in the use of Forest Schools, which promote mathematical development. Similarly, the Foundation Phase in Wales (Welsh Government, 2015) also recommends the use of the outdoors to promote all areas of learning. Therefore, the location for this activity is a positive element of the plan.</w:t>
      </w:r>
    </w:p>
    <w:p w:rsidR="1BFF2A54" w:rsidP="6197B28B" w:rsidRDefault="1BFF2A54" w14:paraId="70F6C57F" w14:textId="486AA2D2">
      <w:pPr>
        <w:pStyle w:val="Normal"/>
        <w:spacing w:line="360" w:lineRule="auto"/>
        <w:ind w:firstLine="720"/>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As demonstrated in the plan groups of children will be provided with a scenario that gives them the opportunity to work together to complete a task, which supports Vygotsky’s theory. According to Tucker (2010), Vygotsky believed that a child's development is impacted by the social interactions with other children and adults and the experiences they encounter together. Vygotsky’s theory focuses on the zone between what a child knows, and can do independently, and what a child could know with support. This support could be given by a ‘more knowledgeable other’ (MKO) which may be an adult or their peers who have a better understanding and knowledge of a subject. Although Smith (1999, cited in Anthony and Walshaw 2009, p. 113) agrees that children learn from other children through communicating on a social level, Smith also claims that adults usually provide support by scaffolding, implying that adults have a different role as the MKO than that of a child. Vygotsky referred to this zone as the ‘zone of proximal development’. With this in mind the activity was differentiated according to the mathematical </w:t>
      </w:r>
      <w:r w:rsidRPr="06BFC6FC" w:rsidR="06BFC6FC">
        <w:rPr>
          <w:rFonts w:ascii="Arial" w:hAnsi="Arial" w:eastAsia="Arial" w:cs="Arial"/>
          <w:noProof w:val="0"/>
          <w:sz w:val="24"/>
          <w:szCs w:val="24"/>
          <w:lang w:val="en-GB"/>
        </w:rPr>
        <w:t>levels</w:t>
      </w:r>
      <w:r w:rsidRPr="06BFC6FC" w:rsidR="06BFC6FC">
        <w:rPr>
          <w:rFonts w:ascii="Arial" w:hAnsi="Arial" w:eastAsia="Arial" w:cs="Arial"/>
          <w:noProof w:val="0"/>
          <w:sz w:val="24"/>
          <w:szCs w:val="24"/>
          <w:lang w:val="en-GB"/>
        </w:rPr>
        <w:t xml:space="preserve"> children are working at. This was done by using the results of the recent Big Maths SAFE assessments (Harding, no date) which was used as a tool to identify areas that require further development. As demonstrated in the plan children are going to work in mixed ability groups to support the MKO theory that children learn from more knowledgeable others. The plan shows that an adult will also be present to support the learning. The organisation of these groups is illustrated in the differentiation section of the plan </w:t>
      </w:r>
      <w:r w:rsidRPr="06BFC6FC" w:rsidR="06BFC6FC">
        <w:rPr>
          <w:rFonts w:ascii="Arial" w:hAnsi="Arial" w:eastAsia="Arial" w:cs="Arial"/>
          <w:noProof w:val="0"/>
          <w:sz w:val="24"/>
          <w:szCs w:val="24"/>
          <w:lang w:val="en-GB"/>
        </w:rPr>
        <w:t>and also</w:t>
      </w:r>
      <w:r w:rsidRPr="06BFC6FC" w:rsidR="06BFC6FC">
        <w:rPr>
          <w:rFonts w:ascii="Arial" w:hAnsi="Arial" w:eastAsia="Arial" w:cs="Arial"/>
          <w:noProof w:val="0"/>
          <w:sz w:val="24"/>
          <w:szCs w:val="24"/>
          <w:lang w:val="en-GB"/>
        </w:rPr>
        <w:t xml:space="preserve"> shows that special consideration has been taken regarding child A and child B.</w:t>
      </w:r>
    </w:p>
    <w:p w:rsidR="1BFF2A54" w:rsidP="6197B28B" w:rsidRDefault="1BFF2A54" w14:paraId="62722248" w14:textId="43957831">
      <w:pPr>
        <w:spacing w:line="360" w:lineRule="auto"/>
        <w:ind w:firstLine="72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Child A, who has physical difficulties, requires additional support from another member of staff which enables her to take part in the activity. In addition to this the plan shows that child B, who has no understanding of the English language, will be included with the use of pictures to support understanding. This ensures that both these children’s rights are being respected as, according to UNICEF (no date), children with a disability should have the opportunity to socialise, they should not be discriminated against due to their ability or language and all children the right to an education that supports them reaching their full potential. According to the Department for Education (2014) it is the lawful duty of schools to ensure pupils are not treated unfairly because of their disability. Because all children have been considered and will be able to participate, this maths activity promotes inclusivity and dispels discrimination.</w:t>
      </w:r>
    </w:p>
    <w:p w:rsidR="1BFF2A54" w:rsidP="6197B28B" w:rsidRDefault="1BFF2A54" w14:paraId="77A03B72" w14:textId="67840E1B">
      <w:pPr>
        <w:spacing w:line="360" w:lineRule="auto"/>
        <w:ind w:firstLine="720"/>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The size of these mixed ability groups will be one adult to six to eight children at one time, as demonstrated in the ‘number of children’ and ‘number of adults’ sections of the plan. Denmark, which had higher PISA results in 2018 in mathematics than the United Kingdom (Andreas </w:t>
      </w:r>
      <w:r w:rsidRPr="06BFC6FC" w:rsidR="06BFC6FC">
        <w:rPr>
          <w:rFonts w:ascii="Arial" w:hAnsi="Arial" w:eastAsia="Arial" w:cs="Arial"/>
          <w:noProof w:val="0"/>
          <w:sz w:val="24"/>
          <w:szCs w:val="24"/>
          <w:lang w:val="en-GB"/>
        </w:rPr>
        <w:t>Schleicher</w:t>
      </w:r>
      <w:r w:rsidRPr="06BFC6FC" w:rsidR="06BFC6FC">
        <w:rPr>
          <w:rFonts w:ascii="Arial" w:hAnsi="Arial" w:eastAsia="Arial" w:cs="Arial"/>
          <w:noProof w:val="0"/>
          <w:sz w:val="24"/>
          <w:szCs w:val="24"/>
          <w:lang w:val="en-GB"/>
        </w:rPr>
        <w:t xml:space="preserve">, 2019, p. 7), has average ratios of one adult to seven children in early years settings according to OECD (2019, p. 3-4). This suggests that this ratio is suitable for positively supporting a maths activity. </w:t>
      </w:r>
    </w:p>
    <w:p w:rsidR="1BFF2A54" w:rsidP="06BFC6FC" w:rsidRDefault="1BFF2A54" w14:paraId="768B6998" w14:textId="76BD5F8A">
      <w:pPr>
        <w:pStyle w:val="Normal"/>
        <w:spacing w:line="360" w:lineRule="auto"/>
        <w:ind w:firstLine="720"/>
        <w:jc w:val="both"/>
        <w:rPr>
          <w:rFonts w:ascii="Arial" w:hAnsi="Arial" w:eastAsia="Arial" w:cs="Arial"/>
          <w:noProof w:val="0"/>
          <w:sz w:val="24"/>
          <w:szCs w:val="24"/>
          <w:lang w:val="en-GB"/>
        </w:rPr>
      </w:pPr>
      <w:r w:rsidRPr="7BA251F2" w:rsidR="7BA251F2">
        <w:rPr>
          <w:rFonts w:ascii="Arial" w:hAnsi="Arial" w:eastAsia="Arial" w:cs="Arial"/>
          <w:noProof w:val="0"/>
          <w:sz w:val="24"/>
          <w:szCs w:val="24"/>
          <w:lang w:val="en-GB"/>
        </w:rPr>
        <w:t xml:space="preserve">As a mixed ability group, children could develop a multitude of skills and increase their understanding of a variety of mathematical concepts which could subsequently support children meeting a range of outcomes. By making a meal and drinks</w:t>
      </w:r>
      <w:r w:rsidRPr="5513A3C7" w:rsidR="5513A3C7">
        <w:rPr>
          <w:rFonts w:ascii="Arial" w:hAnsi="Arial" w:eastAsia="Arial" w:cs="Arial"/>
          <w:noProof w:val="0"/>
          <w:sz w:val="24"/>
          <w:szCs w:val="24"/>
          <w:lang w:val="en-GB"/>
        </w:rPr>
        <w:t xml:space="preserve"> of different sizes for the three bears children could increase their knowledge of capacity and size. </w:t>
      </w:r>
      <w:r w:rsidRPr="2E25D47C" w:rsidR="2E25D47C">
        <w:rPr>
          <w:rFonts w:ascii="Arial" w:hAnsi="Arial" w:eastAsia="Arial" w:cs="Arial"/>
          <w:noProof w:val="0"/>
          <w:sz w:val="24"/>
          <w:szCs w:val="24"/>
          <w:lang w:val="en-GB"/>
        </w:rPr>
        <w:t xml:space="preserve">This supports the length, weight, mass/capacity element of the ‘using number skills’ strand of the Foundation Phase Framework (Welsh Government, 2015, p. 33) which states that children will be able to make estimations of measurement and use measures that are non-standard. Children working at a lower level could be encouraged to use mathematical vocabulary to discuss capacity and size. This could support the reception skill of comparing length, height, weight and capacity using mathematical vocabulary (Welsh Government, 2015, p. 33).</w:t>
      </w:r>
    </w:p>
    <w:p w:rsidR="1BFF2A54" w:rsidP="06BFC6FC" w:rsidRDefault="1BFF2A54" w14:paraId="37EEF5DC" w14:textId="44CF2B05">
      <w:pPr>
        <w:pStyle w:val="Normal"/>
        <w:spacing w:line="360" w:lineRule="auto"/>
        <w:ind w:firstLine="720"/>
        <w:jc w:val="center"/>
        <w:rPr>
          <w:rFonts w:ascii="Arial" w:hAnsi="Arial" w:eastAsia="Arial" w:cs="Arial"/>
          <w:noProof w:val="0"/>
          <w:sz w:val="24"/>
          <w:szCs w:val="24"/>
          <w:lang w:val="en-GB"/>
        </w:rPr>
      </w:pPr>
      <w:r w:rsidRPr="2E25D47C" w:rsidR="2E25D47C">
        <w:rPr>
          <w:rFonts w:ascii="Arial" w:hAnsi="Arial" w:eastAsia="Arial" w:cs="Arial"/>
          <w:noProof w:val="0"/>
          <w:sz w:val="24"/>
          <w:szCs w:val="24"/>
          <w:lang w:val="en-GB"/>
        </w:rPr>
        <w:t xml:space="preserve"> </w:t>
      </w:r>
      <w:r>
        <w:drawing>
          <wp:inline wp14:editId="44CD175B" wp14:anchorId="0E971A95">
            <wp:extent cx="3555978" cy="2671687"/>
            <wp:effectExtent l="190500" t="190500" r="178435" b="167005"/>
            <wp:docPr id="789294395" name="" title=""/>
            <wp:cNvGraphicFramePr>
              <a:graphicFrameLocks noChangeAspect="1"/>
            </wp:cNvGraphicFramePr>
            <a:graphic>
              <a:graphicData uri="http://schemas.openxmlformats.org/drawingml/2006/picture">
                <pic:pic>
                  <pic:nvPicPr>
                    <pic:cNvPr id="0" name=""/>
                    <pic:cNvPicPr/>
                  </pic:nvPicPr>
                  <pic:blipFill>
                    <a:blip r:embed="R301587e703e44294">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555978" cy="2671687"/>
                    </a:xfrm>
                    <a:prstGeom xmlns:a="http://schemas.openxmlformats.org/drawingml/2006/main" prst="rect">
                      <a:avLst/>
                    </a:prstGeom>
                    <a:ln xmlns:a="http://schemas.openxmlformats.org/drawingml/2006/main">
                      <a:noFill/>
                    </a:ln>
                    <a:effectLst xmlns:a="http://schemas.openxmlformats.org/drawingml/2006/main">
                      <a:outerShdw blurRad="190500" algn="tl" rotWithShape="0">
                        <a:srgbClr val="000000">
                          <a:alpha val="70000"/>
                        </a:srgbClr>
                      </a:outerShdw>
                    </a:effectLst>
                  </pic:spPr>
                </pic:pic>
              </a:graphicData>
            </a:graphic>
          </wp:inline>
        </w:drawing>
      </w:r>
    </w:p>
    <w:p w:rsidR="1BFF2A54" w:rsidP="06BFC6FC" w:rsidRDefault="1BFF2A54" w14:paraId="34440BDE" w14:textId="15D41742">
      <w:pPr>
        <w:pStyle w:val="Normal"/>
        <w:spacing w:line="360" w:lineRule="auto"/>
        <w:ind w:firstLine="720"/>
        <w:jc w:val="center"/>
      </w:pPr>
      <w:r w:rsidR="06BFC6FC">
        <w:rPr/>
        <w:t>(Anstice, 2020, a)</w:t>
      </w:r>
    </w:p>
    <w:p w:rsidR="1BFF2A54" w:rsidP="06BFC6FC" w:rsidRDefault="1BFF2A54" w14:paraId="7259489E" w14:textId="2627BF5E">
      <w:pPr>
        <w:pStyle w:val="Normal"/>
        <w:spacing w:line="360" w:lineRule="auto"/>
        <w:ind w:firstLine="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In addition to this, children could develop their understanding of temperature as water could be provided at different temperatures for children to use. Children will be encouraged, by the adult, to use mathematical vocabulary to describe the temperature of the water. This could support the temperature element of the ‘using measuring skills’ strand of the Foundation Phase Framework (Welsh Government, 2015, p. 34) and could support is the year 1 skill that states children will be able to describe various temperatures using appropriate language.</w:t>
      </w:r>
    </w:p>
    <w:p w:rsidR="1BFF2A54" w:rsidP="1BFF2A54" w:rsidRDefault="1BFF2A54" w14:paraId="03D3CE20" w14:textId="3357807D">
      <w:pPr>
        <w:spacing w:line="360" w:lineRule="auto"/>
        <w:ind w:firstLine="72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Children’s concept of time could also be developed during this activity </w:t>
      </w:r>
      <w:r w:rsidRPr="06BFC6FC" w:rsidR="06BFC6FC">
        <w:rPr>
          <w:rFonts w:ascii="Arial" w:hAnsi="Arial" w:eastAsia="Arial" w:cs="Arial"/>
          <w:noProof w:val="0"/>
          <w:sz w:val="24"/>
          <w:szCs w:val="24"/>
          <w:lang w:val="en-GB"/>
        </w:rPr>
        <w:t>using</w:t>
      </w:r>
      <w:r w:rsidRPr="06BFC6FC" w:rsidR="06BFC6FC">
        <w:rPr>
          <w:rFonts w:ascii="Arial" w:hAnsi="Arial" w:eastAsia="Arial" w:cs="Arial"/>
          <w:noProof w:val="0"/>
          <w:sz w:val="24"/>
          <w:szCs w:val="24"/>
          <w:lang w:val="en-GB"/>
        </w:rPr>
        <w:t xml:space="preserve"> an analogue clock. This will be done by starting the activity on the hour and challenging the children to prepare the meal by half past the hour. Depending on ability, this part of the activity could support the year 1 and 2 skills of the ‘time’ element of the Foundation Phase Framework (Welsh Government, 2015, p.34). </w:t>
      </w:r>
    </w:p>
    <w:p w:rsidR="1BFF2A54" w:rsidP="06BFC6FC" w:rsidRDefault="1BFF2A54" w14:paraId="31B68475" w14:textId="39F0B792">
      <w:pPr>
        <w:spacing w:line="360" w:lineRule="auto"/>
        <w:ind w:firstLine="72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All these elements combined could support children of lower ability to work towards outcome 3 of the Foundation Phase Framework (Welsh Government, 2015, p. 55) and support the more able children to work towards outcome 4 of the Foundation Phase Framework. Furthermore, it is worth noting that there are other skills and concepts that can be developed and learnt during this activity depending on how the individual decides to carry out the task. </w:t>
      </w:r>
    </w:p>
    <w:p w:rsidR="1BFF2A54" w:rsidP="06BFC6FC" w:rsidRDefault="1BFF2A54" w14:paraId="50551233" w14:textId="5F790623">
      <w:pPr>
        <w:spacing w:line="360" w:lineRule="auto"/>
        <w:ind w:firstLine="72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The main theme of this activity is cooking, albeit imaginary. When discussing a case study on cooking, McCormick (Bruce, 2012, pp. 137-154) states that the use of utensils and other kitchen items help promote life skills, which this activity positively supports by allowing children to use these items. However, </w:t>
      </w:r>
      <w:proofErr w:type="spellStart"/>
      <w:r w:rsidRPr="06BFC6FC" w:rsidR="06BFC6FC">
        <w:rPr>
          <w:rFonts w:ascii="Arial" w:hAnsi="Arial" w:eastAsia="Arial" w:cs="Arial"/>
          <w:noProof w:val="0"/>
          <w:sz w:val="24"/>
          <w:szCs w:val="24"/>
          <w:lang w:val="en-GB"/>
        </w:rPr>
        <w:t>McComick</w:t>
      </w:r>
      <w:proofErr w:type="spellEnd"/>
      <w:r w:rsidRPr="06BFC6FC" w:rsidR="06BFC6FC">
        <w:rPr>
          <w:rFonts w:ascii="Arial" w:hAnsi="Arial" w:eastAsia="Arial" w:cs="Arial"/>
          <w:noProof w:val="0"/>
          <w:sz w:val="24"/>
          <w:szCs w:val="24"/>
          <w:lang w:val="en-GB"/>
        </w:rPr>
        <w:t xml:space="preserve"> suggests that “real tasks in real life context” (McCormick, cited in Bruce, 2012) would be more beneficial in advancing these skills indicating that the activity plan could be improved by carrying out a real cooking activity, which would support Froebel’s key principles. Of course, this activity could be used as part of an on-going project to emulate the Reggio Emilia approach of learning which is project-based, according to Jessen (2012, p. 132). One of the benefits of using real ingredients, according to McCormick (Bruce, 2012, pp. 137-154), is that children could practice weighing them, suggesting more opportunities for developing mathematical skills and understanding. Cross-curricular learning can be supported through elements of science and literacy and language. Science would be promoted by mixing ingredients and using different temperatures. By using real ingredients, the activity could be developed into a project by writing shopping lists, to develop literacy, and going to the shop to find ingredients, make calculations and use money, thus promoting mathematics and numeracy skills. A positive aspect of any cooking-based opportunity is that it is a familiar activity that all children can engage with regardless of spoken language because it is something that takes place in the home. Therefore, this activity is suitable for child B, who has no understanding of the English language, making this activity inclusive.</w:t>
      </w:r>
    </w:p>
    <w:p w:rsidR="1BFF2A54" w:rsidP="06BFC6FC" w:rsidRDefault="1BFF2A54" w14:paraId="021F4CD8" w14:textId="5DBAF292">
      <w:pPr>
        <w:pStyle w:val="Normal"/>
        <w:spacing w:line="360" w:lineRule="auto"/>
        <w:ind w:firstLine="720"/>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Moyles (2010) believes that the educational system places pressure on teachers to ensure children are reaching expected outcomes. This results in teachers carrying out mathematical activities that children would not naturally choose to do. In the home setting children naturally develop problem solving skills through child led play. Jessen (2012, p. 151) states that providing children with challenges that are open-ended will promote maths in a creative and fun way. According to Smidt (2015, p. 8) and the Lego Foundation (2017, p. 23) activities that are enjoyable will help a child learn effectively. Therefore, the activity will be open-ended. Children will be allowed to choose how they undertake the activity and to take it in any direction they wish.</w:t>
      </w:r>
    </w:p>
    <w:p w:rsidR="1BFF2A54" w:rsidP="1BFF2A54" w:rsidRDefault="1BFF2A54" w14:paraId="202E0509" w14:textId="12631597">
      <w:pPr>
        <w:spacing w:line="360" w:lineRule="auto"/>
        <w:rPr>
          <w:rFonts w:ascii="Arial" w:hAnsi="Arial" w:eastAsia="Arial" w:cs="Arial"/>
          <w:sz w:val="24"/>
          <w:szCs w:val="24"/>
        </w:rPr>
      </w:pPr>
      <w:r>
        <w:br/>
      </w:r>
      <w:r>
        <w:br/>
      </w:r>
      <w:r>
        <w:br/>
      </w:r>
      <w:r>
        <w:br/>
      </w:r>
      <w:r>
        <w:br/>
      </w:r>
      <w:r>
        <w:br/>
      </w:r>
      <w:r>
        <w:br/>
      </w:r>
      <w:r>
        <w:br/>
      </w:r>
      <w:r>
        <w:br/>
      </w:r>
      <w:r>
        <w:br/>
      </w:r>
      <w:r>
        <w:br/>
      </w:r>
      <w:r>
        <w:br/>
      </w:r>
      <w:r>
        <w:br/>
      </w:r>
      <w:r>
        <w:br/>
      </w:r>
      <w:r>
        <w:br/>
      </w:r>
      <w:r>
        <w:br/>
      </w:r>
      <w:r>
        <w:br/>
      </w:r>
      <w:r>
        <w:br/>
      </w:r>
      <w:r>
        <w:br/>
      </w:r>
    </w:p>
    <w:p w:rsidR="6197B28B" w:rsidP="6197B28B" w:rsidRDefault="6197B28B" w14:paraId="5E0915D5" w14:textId="29E1352C">
      <w:pPr>
        <w:spacing w:line="360" w:lineRule="auto"/>
        <w:rPr>
          <w:rFonts w:ascii="Arial" w:hAnsi="Arial" w:eastAsia="Arial" w:cs="Arial"/>
          <w:noProof w:val="0"/>
          <w:sz w:val="24"/>
          <w:szCs w:val="24"/>
          <w:lang w:val="en-GB"/>
        </w:rPr>
      </w:pPr>
    </w:p>
    <w:p w:rsidR="06BFC6FC" w:rsidP="06BFC6FC" w:rsidRDefault="06BFC6FC" w14:paraId="4E34AD79" w14:textId="39C0B0C9">
      <w:pPr>
        <w:pStyle w:val="Normal"/>
        <w:spacing w:line="360" w:lineRule="auto"/>
        <w:rPr>
          <w:rFonts w:ascii="Arial" w:hAnsi="Arial" w:eastAsia="Arial" w:cs="Arial"/>
          <w:noProof w:val="0"/>
          <w:sz w:val="24"/>
          <w:szCs w:val="24"/>
          <w:lang w:val="en-GB"/>
        </w:rPr>
      </w:pPr>
    </w:p>
    <w:p w:rsidR="1BFF2A54" w:rsidP="1BFF2A54" w:rsidRDefault="1BFF2A54" w14:paraId="77D9CE58" w14:textId="34CB9F54">
      <w:pPr>
        <w:spacing w:line="360" w:lineRule="auto"/>
        <w:rPr>
          <w:rFonts w:ascii="Arial" w:hAnsi="Arial" w:eastAsia="Arial" w:cs="Arial"/>
          <w:sz w:val="24"/>
          <w:szCs w:val="24"/>
        </w:rPr>
      </w:pPr>
      <w:r w:rsidRPr="06BFC6FC" w:rsidR="06BFC6FC">
        <w:rPr>
          <w:rFonts w:ascii="Arial" w:hAnsi="Arial" w:eastAsia="Arial" w:cs="Arial"/>
          <w:noProof w:val="0"/>
          <w:sz w:val="36"/>
          <w:szCs w:val="36"/>
          <w:lang w:val="en-GB"/>
        </w:rPr>
        <w:t>Task 3</w:t>
      </w:r>
      <w:r>
        <w:br/>
      </w:r>
    </w:p>
    <w:p w:rsidR="1BFF2A54" w:rsidP="1BFF2A54" w:rsidRDefault="1BFF2A54" w14:paraId="08015048" w14:textId="0C6F4813">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According to Tucker (2014) the environment impacts children in </w:t>
      </w:r>
      <w:r w:rsidRPr="06BFC6FC" w:rsidR="06BFC6FC">
        <w:rPr>
          <w:rFonts w:ascii="Arial" w:hAnsi="Arial" w:eastAsia="Arial" w:cs="Arial"/>
          <w:noProof w:val="0"/>
          <w:sz w:val="24"/>
          <w:szCs w:val="24"/>
          <w:lang w:val="en-GB"/>
        </w:rPr>
        <w:t>a number of</w:t>
      </w:r>
      <w:r w:rsidRPr="06BFC6FC" w:rsidR="06BFC6FC">
        <w:rPr>
          <w:rFonts w:ascii="Arial" w:hAnsi="Arial" w:eastAsia="Arial" w:cs="Arial"/>
          <w:noProof w:val="0"/>
          <w:sz w:val="24"/>
          <w:szCs w:val="24"/>
          <w:lang w:val="en-GB"/>
        </w:rPr>
        <w:t xml:space="preserve"> ways. It is therefore vital that the resources are carefully selected to support mathematical development. Turner (2013) states that there were very few resources in Victorian classrooms and lists these as a globe, a blackboard and perhaps an abacus whereas today resources come in an abundance of forms. Resources are chosen depending on the needs of the child and what they are going to be learning. There may be a number of resources that could support the teaching of a mathematical concept, but it is the </w:t>
      </w:r>
      <w:r w:rsidRPr="06BFC6FC" w:rsidR="06BFC6FC">
        <w:rPr>
          <w:rFonts w:ascii="Arial" w:hAnsi="Arial" w:eastAsia="Arial" w:cs="Arial"/>
          <w:noProof w:val="0"/>
          <w:sz w:val="24"/>
          <w:szCs w:val="24"/>
          <w:lang w:val="en-GB"/>
        </w:rPr>
        <w:t>teacher's</w:t>
      </w:r>
      <w:r w:rsidRPr="06BFC6FC" w:rsidR="06BFC6FC">
        <w:rPr>
          <w:rFonts w:ascii="Arial" w:hAnsi="Arial" w:eastAsia="Arial" w:cs="Arial"/>
          <w:noProof w:val="0"/>
          <w:sz w:val="24"/>
          <w:szCs w:val="24"/>
          <w:lang w:val="en-GB"/>
        </w:rPr>
        <w:t xml:space="preserve"> role to choose the resource that demonstrates this most effectively. An environment that supports mathematical development is one that weaves mathematics into other areas of the curriculum. Learning mathematics </w:t>
      </w:r>
      <w:r w:rsidRPr="06BFC6FC" w:rsidR="06BFC6FC">
        <w:rPr>
          <w:rFonts w:ascii="Arial" w:hAnsi="Arial" w:eastAsia="Arial" w:cs="Arial"/>
          <w:noProof w:val="0"/>
          <w:sz w:val="24"/>
          <w:szCs w:val="24"/>
          <w:lang w:val="en-GB"/>
        </w:rPr>
        <w:t>through the use of</w:t>
      </w:r>
      <w:r w:rsidRPr="06BFC6FC" w:rsidR="06BFC6FC">
        <w:rPr>
          <w:rFonts w:ascii="Arial" w:hAnsi="Arial" w:eastAsia="Arial" w:cs="Arial"/>
          <w:noProof w:val="0"/>
          <w:sz w:val="24"/>
          <w:szCs w:val="24"/>
          <w:lang w:val="en-GB"/>
        </w:rPr>
        <w:t xml:space="preserve"> multisensory resources and multisensory activities helps with memory and aids the development of children’s understanding. Inspiration for new resources could be found on online social media platforms. According to </w:t>
      </w:r>
      <w:r w:rsidRPr="06BFC6FC" w:rsidR="06BFC6FC">
        <w:rPr>
          <w:rFonts w:ascii="Arial" w:hAnsi="Arial" w:eastAsia="Arial" w:cs="Arial"/>
          <w:noProof w:val="0"/>
          <w:sz w:val="24"/>
          <w:szCs w:val="24"/>
          <w:lang w:val="en-GB"/>
        </w:rPr>
        <w:t>Schroender</w:t>
      </w:r>
      <w:r w:rsidRPr="06BFC6FC" w:rsidR="06BFC6FC">
        <w:rPr>
          <w:rFonts w:ascii="Arial" w:hAnsi="Arial" w:eastAsia="Arial" w:cs="Arial"/>
          <w:noProof w:val="0"/>
          <w:sz w:val="24"/>
          <w:szCs w:val="24"/>
          <w:lang w:val="en-GB"/>
        </w:rPr>
        <w:t>, Curcio and Lundgren (2019) Pinterest is a source used by teachers to find new ideas for resources to support teaching and learning.</w:t>
      </w:r>
    </w:p>
    <w:p w:rsidR="1BFF2A54" w:rsidP="1BFF2A54" w:rsidRDefault="1BFF2A54" w14:paraId="38A22F1E" w14:textId="6BB0C6A7">
      <w:pPr>
        <w:spacing w:line="360" w:lineRule="auto"/>
        <w:ind w:firstLine="720"/>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Tucker (2014) states that natural resources, such as pebbles and shells, support mathematics in </w:t>
      </w:r>
      <w:r w:rsidRPr="06BFC6FC" w:rsidR="06BFC6FC">
        <w:rPr>
          <w:rFonts w:ascii="Arial" w:hAnsi="Arial" w:eastAsia="Arial" w:cs="Arial"/>
          <w:noProof w:val="0"/>
          <w:sz w:val="24"/>
          <w:szCs w:val="24"/>
          <w:lang w:val="en-GB"/>
        </w:rPr>
        <w:t>several</w:t>
      </w:r>
      <w:r w:rsidRPr="06BFC6FC" w:rsidR="06BFC6FC">
        <w:rPr>
          <w:rFonts w:ascii="Arial" w:hAnsi="Arial" w:eastAsia="Arial" w:cs="Arial"/>
          <w:noProof w:val="0"/>
          <w:sz w:val="24"/>
          <w:szCs w:val="24"/>
          <w:lang w:val="en-GB"/>
        </w:rPr>
        <w:t xml:space="preserve"> ways but can also support other areas of the curriculum. A mathematically rich environment could have numbers on display and on different objects in a purposeful manner and number games should also be accessible to children. Having shapes, money, dough and wooden blocks available is beneficial. Equipment in various forms for measuring weight, length and capacity is also valuable. Tucker (2014, p. 24-25) suggests that natural objects provide opportunities for sorting and counting. Numbered cones, large numbers and markings on the ground could support number work. Forest School itself is a resource that offers an array of opportunities for investigations and challenges that support maths. Examples of how to use natural resources, according to Learning Through Landscapes (2011), include creating faces to develop children’s understanding of symmetry and outdoor cooking to support children developing measuring skills and developing their understanding of quantity. This would support the new Curriculum for Wales (Welsh Government, 2020) which states that learners need to be provided with opportunities in both indoor and outdoor mathematically rich settings.</w:t>
      </w:r>
    </w:p>
    <w:p w:rsidR="1BFF2A54" w:rsidP="1BFF2A54" w:rsidRDefault="1BFF2A54" w14:paraId="427989AC" w14:textId="6862879E">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2F326F19" w14:textId="11B9BBCE">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29ABE65B" w14:textId="5E7ABCA6">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1ABAFE76" w14:textId="4B3823AA">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241EE840" w14:textId="01AAD81C">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16EED764" w14:textId="7114A290">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116F0234" w14:textId="4A960772">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6D246729" w14:textId="704B251D">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4E13EC81" w14:textId="744605EA">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062C18B4" w14:textId="13129033">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6C06D0EB" w14:textId="4A020B39">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72DBA7BB" w14:textId="20A745B4">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02FC909C" w14:textId="53028A11">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069745E1" w14:textId="747076E1">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43E96D26" w14:textId="514C2F77">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4AF40283" w14:textId="231F1098">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0643333F" w14:textId="19B9B50C">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2AB8BA94" w14:textId="4577F985">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6197B28B" w:rsidP="6197B28B" w:rsidRDefault="6197B28B" w14:paraId="174EED5F" w14:textId="5174CCCE">
      <w:pPr>
        <w:pStyle w:val="Normal"/>
        <w:spacing w:line="360" w:lineRule="auto"/>
        <w:jc w:val="both"/>
        <w:rPr>
          <w:rFonts w:ascii="Arial" w:hAnsi="Arial" w:eastAsia="Arial" w:cs="Arial"/>
          <w:noProof w:val="0"/>
          <w:sz w:val="24"/>
          <w:szCs w:val="24"/>
          <w:lang w:val="en-GB"/>
        </w:rPr>
      </w:pPr>
    </w:p>
    <w:p w:rsidR="6197B28B" w:rsidP="6197B28B" w:rsidRDefault="6197B28B" w14:paraId="7D52836D" w14:textId="4D8288D4">
      <w:pPr>
        <w:pStyle w:val="Normal"/>
        <w:spacing w:line="360" w:lineRule="auto"/>
        <w:jc w:val="both"/>
        <w:rPr>
          <w:rFonts w:ascii="Arial" w:hAnsi="Arial" w:eastAsia="Arial" w:cs="Arial"/>
          <w:noProof w:val="0"/>
          <w:sz w:val="24"/>
          <w:szCs w:val="24"/>
          <w:lang w:val="en-GB"/>
        </w:rPr>
      </w:pPr>
    </w:p>
    <w:p w:rsidR="06BFC6FC" w:rsidP="06BFC6FC" w:rsidRDefault="06BFC6FC" w14:paraId="4E15D7AA" w14:textId="4C34FB9B">
      <w:pPr>
        <w:pStyle w:val="Normal"/>
        <w:spacing w:line="360" w:lineRule="auto"/>
        <w:jc w:val="both"/>
        <w:rPr>
          <w:rFonts w:ascii="Arial" w:hAnsi="Arial" w:eastAsia="Arial" w:cs="Arial"/>
          <w:noProof w:val="0"/>
          <w:sz w:val="24"/>
          <w:szCs w:val="24"/>
          <w:lang w:val="en-GB"/>
        </w:rPr>
      </w:pPr>
    </w:p>
    <w:p w:rsidR="06BFC6FC" w:rsidP="06BFC6FC" w:rsidRDefault="06BFC6FC" w14:paraId="20A9CE8B" w14:textId="417B7D3A">
      <w:pPr>
        <w:pStyle w:val="Normal"/>
        <w:spacing w:line="360" w:lineRule="auto"/>
        <w:jc w:val="both"/>
        <w:rPr>
          <w:rFonts w:ascii="Arial" w:hAnsi="Arial" w:eastAsia="Arial" w:cs="Arial"/>
          <w:noProof w:val="0"/>
          <w:sz w:val="24"/>
          <w:szCs w:val="24"/>
          <w:lang w:val="en-GB"/>
        </w:rPr>
      </w:pPr>
    </w:p>
    <w:p w:rsidR="1BFF2A54" w:rsidP="1BFF2A54" w:rsidRDefault="1BFF2A54" w14:paraId="68DFA576" w14:textId="3FCE126B">
      <w:pPr>
        <w:spacing w:line="360" w:lineRule="auto"/>
        <w:jc w:val="both"/>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w:t>
      </w:r>
    </w:p>
    <w:p w:rsidR="1BFF2A54" w:rsidP="1BFF2A54" w:rsidRDefault="1BFF2A54" w14:paraId="6633E95F" w14:textId="0A14950A">
      <w:pPr>
        <w:spacing w:line="360" w:lineRule="auto"/>
        <w:rPr>
          <w:rFonts w:ascii="Arial" w:hAnsi="Arial" w:eastAsia="Arial" w:cs="Arial"/>
          <w:sz w:val="24"/>
          <w:szCs w:val="24"/>
        </w:rPr>
      </w:pPr>
      <w:r w:rsidRPr="06BFC6FC" w:rsidR="06BFC6FC">
        <w:rPr>
          <w:rFonts w:ascii="Arial" w:hAnsi="Arial" w:eastAsia="Arial" w:cs="Arial"/>
          <w:noProof w:val="0"/>
          <w:sz w:val="36"/>
          <w:szCs w:val="36"/>
          <w:lang w:val="en-GB"/>
        </w:rPr>
        <w:t>Task 4</w:t>
      </w:r>
      <w:r>
        <w:br/>
      </w:r>
    </w:p>
    <w:p w:rsidR="1BFF2A54" w:rsidP="1BFF2A54" w:rsidRDefault="1BFF2A54" w14:paraId="664FA6DA" w14:textId="415C4084">
      <w:pPr>
        <w:spacing w:line="360" w:lineRule="auto"/>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According to the Department for Education (2011, p. 36), a child’s main educators are their parents. The child’s future mathematical development and confidence in maths is determined by the input from parents in the early years. Both the Department for Education (2011) and Frank Field MP (2010, cited in Tucker 2014, p. 127) state that the home has a greater impact on a child’s development than any other setting. However, Jordan et al. (2006, cited in Levine, 2009) claim that parents spend less time with their children working on number-related skills and more time helping them progress with reading. Clements and Sarama (2008, cited in Levine, 2009) state that parents of middle-income families are more likely to place importance on learning mathematics at home. In comparison, parents who believe that it is just the school's duty to teach mathematics are more likely to be of a lower income household. According to Towers, Takeuchi and Lyndon (2018) child’s relationship with maths is greatly influenced by their parents. Children whose parents have had a positive experience with maths, possibly because of their greater ability, are more likely to help their children at home than parents whose ability is low and attitudes and experiences around maths are negative. The effect of this is that children inherit their parent's relationship with maths which directly impacts children's achievement in the subject, creating a cycle, according to DCSF (2008, cited in Tucker, 2014, pp. 127). Tucker (2014, p. 128) suggests that it is the role of the teacher or practitioner to help parents understand how maths can be enjoyable and encourage them to become more positive influencers. Tucker (2014) asserts that parents should be actively involved in promoting a positive approach towards maths and suggests that parents can be involved by seeing their child engaged in the subject regardless of the child’s ability. Willis and Exley (2018) state that online social media can have a positive impact on parents as schools are able to use it as a platform to share learning ideas and evidence of their child engaging in learning, in this case, mathematics. Although, parental consent is imperative according to UK Safer Internet Centre (2018) when using a photo of a child and any safeguarding issues must be reported to the person responsible for safeguarding in the setting or the local authority. </w:t>
      </w:r>
    </w:p>
    <w:p w:rsidR="1BFF2A54" w:rsidP="06BFC6FC" w:rsidRDefault="1BFF2A54" w14:paraId="2F500722" w14:textId="1FA9CB1A">
      <w:pPr>
        <w:pStyle w:val="Normal"/>
        <w:spacing w:line="360" w:lineRule="auto"/>
        <w:ind w:firstLine="720"/>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It could also be considered that the role of the adult is also to break down gender stereotypes. Eccles et. al. (1990, cited in Gunderson et al., 2011) explains that research demonstrates parents of older children believe that boys have a greater talent for maths than girls. The general belief of parents is that boys are more likely to succeed in jobs that demand greater mathematical ability. However, parents of younger children believe that boys’ and girls' ability do not vary although parents generally have the opinion that mathematics is of less value for girls than boys. In addition to this, research, according to several authors cited in Gunderson et al. (2011), such as Midgley et al. (1989) and Yee and Eccles (1988), shows that children’s attitudes of mathematics can be impacted by adults differing expectations of boys and girls, based on gender stereotypes, which influences attainment. Contradictory to this, the Welsh Government (2019, b) reported that in Wales girls outperform boys across the core subjects although of each of the areas of learning mathematics has the smallest difference. According to Turner (2013), in order to encourage healthy attitudes towards mathematics children need to have fun with the subject from a young age. This can be through direct and indirect activities such as role-play, classroom activities and visits to places of interest, suggesting that this is the role of both the teachers and practitioners as well as parents. </w:t>
      </w:r>
    </w:p>
    <w:p w:rsidR="1BFF2A54" w:rsidP="1BFF2A54" w:rsidRDefault="1BFF2A54" w14:paraId="225E1C91" w14:textId="269245EF">
      <w:pPr>
        <w:spacing w:line="360" w:lineRule="auto"/>
        <w:ind w:firstLine="720"/>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According to NDNA (no date) the role of the practitioner is to help children gain confidence in mathematics during the early years. This can be done by using questions to encourage thinking and to develop problem-solving skills. Practitioners are then able plan activities to support mathematics using their understanding of cognitive development. For this reason, as demonstrated in the ‘activity overview’ section of the plan, adults carrying out the activity could use assessment for learning techniques. According to the Welsh Assembly Government (2010) assessment for learning consists of using open-ended questions to encourage thinking. This helps establish what the learner knows and helps to identify how learners can progress. This could help maximise learning during the activity and plan for future activities that support mathematics.</w:t>
      </w:r>
    </w:p>
    <w:p w:rsidR="1BFF2A54" w:rsidP="1BFF2A54" w:rsidRDefault="1BFF2A54" w14:paraId="5358DCFC" w14:textId="7DBEAB94">
      <w:pPr>
        <w:spacing w:line="360" w:lineRule="auto"/>
        <w:ind w:firstLine="720"/>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A final note to consider in discussing the role of the adult is health and safety. The settings Health and Safety policy (*****, 2018) states that it is the duty of all staff to ensure resources and learning spaces are safe for children to use. </w:t>
      </w:r>
      <w:r w:rsidRPr="06BFC6FC" w:rsidR="06BFC6FC">
        <w:rPr>
          <w:rFonts w:ascii="Arial" w:hAnsi="Arial" w:eastAsia="Arial" w:cs="Arial"/>
          <w:noProof w:val="0"/>
          <w:sz w:val="24"/>
          <w:szCs w:val="24"/>
          <w:lang w:val="en-GB"/>
        </w:rPr>
        <w:t>With this in mind it</w:t>
      </w:r>
      <w:r w:rsidRPr="06BFC6FC" w:rsidR="06BFC6FC">
        <w:rPr>
          <w:rFonts w:ascii="Arial" w:hAnsi="Arial" w:eastAsia="Arial" w:cs="Arial"/>
          <w:noProof w:val="0"/>
          <w:sz w:val="24"/>
          <w:szCs w:val="24"/>
          <w:lang w:val="en-GB"/>
        </w:rPr>
        <w:t xml:space="preserve"> is the responsibility of the adult to ensure the location is safe by using the checklist in the Forest School Health and Safety Policy (**** Primary School, 2014) before the planned activity takes place. This will assist the adult in making sure they have not overlooked any area or aspect of safety that would put children at risk. Examples of the items on the checklist include ensuring gates are secured, checking for cat litter and sharp objects. </w:t>
      </w:r>
    </w:p>
    <w:p w:rsidR="06BFC6FC" w:rsidP="06BFC6FC" w:rsidRDefault="06BFC6FC" w14:paraId="3D8761E4" w14:textId="312CA0F1">
      <w:pPr>
        <w:spacing w:line="360" w:lineRule="auto"/>
      </w:pPr>
      <w:r>
        <w:br/>
      </w:r>
      <w:r>
        <w:br/>
      </w:r>
      <w:r>
        <w:br/>
      </w:r>
      <w:r>
        <w:br/>
      </w:r>
      <w:r>
        <w:br/>
      </w:r>
      <w:r>
        <w:br/>
      </w:r>
      <w:r>
        <w:br/>
      </w:r>
      <w:r>
        <w:br/>
      </w:r>
      <w:r>
        <w:br/>
      </w:r>
      <w:r>
        <w:br/>
      </w:r>
      <w:r>
        <w:br/>
      </w:r>
      <w:r>
        <w:br/>
      </w:r>
      <w:r>
        <w:br/>
      </w:r>
      <w:r>
        <w:br/>
      </w:r>
      <w:r>
        <w:br/>
      </w:r>
      <w:r>
        <w:br/>
      </w:r>
      <w:r>
        <w:br/>
      </w:r>
      <w:r>
        <w:br/>
      </w:r>
      <w:r>
        <w:br/>
      </w:r>
      <w:r>
        <w:br/>
      </w:r>
      <w:r>
        <w:br/>
      </w:r>
      <w:r>
        <w:br/>
      </w:r>
      <w:r>
        <w:br/>
      </w:r>
      <w:r>
        <w:br/>
      </w:r>
    </w:p>
    <w:p w:rsidR="1BFF2A54" w:rsidP="06BFC6FC" w:rsidRDefault="1BFF2A54" w14:paraId="44576C70" w14:textId="7695EB10">
      <w:pPr>
        <w:spacing w:line="360" w:lineRule="auto"/>
        <w:rPr>
          <w:rFonts w:ascii="Arial" w:hAnsi="Arial" w:eastAsia="Arial" w:cs="Arial"/>
          <w:noProof w:val="0"/>
          <w:sz w:val="40"/>
          <w:szCs w:val="40"/>
          <w:lang w:val="en-GB"/>
        </w:rPr>
      </w:pPr>
      <w:r w:rsidRPr="06BFC6FC" w:rsidR="06BFC6FC">
        <w:rPr>
          <w:rFonts w:ascii="Arial" w:hAnsi="Arial" w:eastAsia="Arial" w:cs="Arial"/>
          <w:noProof w:val="0"/>
          <w:sz w:val="40"/>
          <w:szCs w:val="40"/>
          <w:lang w:val="en-GB"/>
        </w:rPr>
        <w:t>References</w:t>
      </w:r>
    </w:p>
    <w:p w:rsidR="1BFF2A54" w:rsidP="1BFF2A54" w:rsidRDefault="1BFF2A54" w14:paraId="57DEF4D2" w14:textId="2FA59AAD">
      <w:pPr>
        <w:spacing w:line="360" w:lineRule="auto"/>
        <w:rPr>
          <w:rFonts w:ascii="Arial" w:hAnsi="Arial" w:eastAsia="Arial" w:cs="Arial"/>
          <w:noProof w:val="0"/>
          <w:sz w:val="24"/>
          <w:szCs w:val="24"/>
          <w:lang w:val="en-GB"/>
        </w:rPr>
      </w:pPr>
      <w:r w:rsidRPr="06BFC6FC" w:rsidR="06BFC6FC">
        <w:rPr>
          <w:rFonts w:ascii="Arial" w:hAnsi="Arial" w:eastAsia="Arial" w:cs="Arial"/>
          <w:noProof w:val="0"/>
          <w:sz w:val="24"/>
          <w:szCs w:val="24"/>
          <w:lang w:val="en-GB"/>
        </w:rPr>
        <w:t xml:space="preserve">**** Primary School (2018) </w:t>
      </w:r>
      <w:r w:rsidRPr="06BFC6FC" w:rsidR="06BFC6FC">
        <w:rPr>
          <w:rFonts w:ascii="Arial" w:hAnsi="Arial" w:eastAsia="Arial" w:cs="Arial"/>
          <w:i w:val="1"/>
          <w:iCs w:val="1"/>
          <w:noProof w:val="0"/>
          <w:sz w:val="24"/>
          <w:szCs w:val="24"/>
          <w:lang w:val="en-GB"/>
        </w:rPr>
        <w:t>Health and Safety Policy</w:t>
      </w:r>
      <w:r w:rsidRPr="06BFC6FC" w:rsidR="06BFC6FC">
        <w:rPr>
          <w:rFonts w:ascii="Arial" w:hAnsi="Arial" w:eastAsia="Arial" w:cs="Arial"/>
          <w:noProof w:val="0"/>
          <w:sz w:val="24"/>
          <w:szCs w:val="24"/>
          <w:lang w:val="en-GB"/>
        </w:rPr>
        <w:t xml:space="preserve"> [Personal document]. </w:t>
      </w:r>
    </w:p>
    <w:p w:rsidR="06BFC6FC" w:rsidP="06BFC6FC" w:rsidRDefault="06BFC6FC" w14:paraId="5602A531" w14:textId="7CCB0203">
      <w:pPr>
        <w:pStyle w:val="Normal"/>
        <w:spacing w:line="360" w:lineRule="auto"/>
        <w:rPr>
          <w:rFonts w:ascii="Arial" w:hAnsi="Arial" w:eastAsia="Arial" w:cs="Arial"/>
          <w:noProof w:val="0"/>
          <w:color w:val="auto"/>
          <w:sz w:val="24"/>
          <w:szCs w:val="24"/>
          <w:lang w:val="en-GB"/>
        </w:rPr>
      </w:pPr>
    </w:p>
    <w:p w:rsidR="1BFF2A54" w:rsidP="06BFC6FC" w:rsidRDefault="1BFF2A54" w14:paraId="7A37EBFD" w14:textId="432DDDBE">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 Primary School (2014) </w:t>
      </w:r>
      <w:r w:rsidRPr="06BFC6FC" w:rsidR="06BFC6FC">
        <w:rPr>
          <w:rFonts w:ascii="Arial" w:hAnsi="Arial" w:eastAsia="Arial" w:cs="Arial"/>
          <w:i w:val="1"/>
          <w:iCs w:val="1"/>
          <w:noProof w:val="0"/>
          <w:color w:val="auto"/>
          <w:sz w:val="24"/>
          <w:szCs w:val="24"/>
          <w:lang w:val="en-GB"/>
        </w:rPr>
        <w:t xml:space="preserve">Forest School Site Risk Assessment </w:t>
      </w:r>
      <w:r w:rsidRPr="06BFC6FC" w:rsidR="06BFC6FC">
        <w:rPr>
          <w:rFonts w:ascii="Arial" w:hAnsi="Arial" w:eastAsia="Arial" w:cs="Arial"/>
          <w:noProof w:val="0"/>
          <w:color w:val="auto"/>
          <w:sz w:val="24"/>
          <w:szCs w:val="24"/>
          <w:lang w:val="en-GB"/>
        </w:rPr>
        <w:t>[Personal document].</w:t>
      </w:r>
    </w:p>
    <w:p w:rsidR="1BFF2A54" w:rsidP="06BFC6FC" w:rsidRDefault="1BFF2A54" w14:paraId="03B958FA" w14:textId="66058214">
      <w:pPr>
        <w:spacing w:line="360" w:lineRule="auto"/>
        <w:rPr>
          <w:rFonts w:ascii="Arial" w:hAnsi="Arial" w:eastAsia="Arial" w:cs="Arial"/>
          <w:noProof w:val="0"/>
          <w:color w:val="auto"/>
          <w:sz w:val="24"/>
          <w:szCs w:val="24"/>
          <w:lang w:val="en-GB"/>
        </w:rPr>
      </w:pPr>
      <w:r>
        <w:br/>
      </w:r>
      <w:r w:rsidRPr="06BFC6FC" w:rsidR="06BFC6FC">
        <w:rPr>
          <w:rFonts w:ascii="Arial" w:hAnsi="Arial" w:eastAsia="Arial" w:cs="Arial"/>
          <w:noProof w:val="0"/>
          <w:color w:val="auto"/>
          <w:sz w:val="24"/>
          <w:szCs w:val="24"/>
          <w:lang w:val="en-GB"/>
        </w:rPr>
        <w:t xml:space="preserve">Andreas </w:t>
      </w:r>
      <w:proofErr w:type="spellStart"/>
      <w:r w:rsidRPr="06BFC6FC" w:rsidR="06BFC6FC">
        <w:rPr>
          <w:rFonts w:ascii="Arial" w:hAnsi="Arial" w:eastAsia="Arial" w:cs="Arial"/>
          <w:noProof w:val="0"/>
          <w:color w:val="auto"/>
          <w:sz w:val="24"/>
          <w:szCs w:val="24"/>
          <w:lang w:val="en-GB"/>
        </w:rPr>
        <w:t>Schleicher</w:t>
      </w:r>
      <w:proofErr w:type="spellEnd"/>
      <w:r w:rsidRPr="06BFC6FC" w:rsidR="06BFC6FC">
        <w:rPr>
          <w:rFonts w:ascii="Arial" w:hAnsi="Arial" w:eastAsia="Arial" w:cs="Arial"/>
          <w:noProof w:val="0"/>
          <w:color w:val="auto"/>
          <w:sz w:val="24"/>
          <w:szCs w:val="24"/>
          <w:lang w:val="en-GB"/>
        </w:rPr>
        <w:t xml:space="preserve"> (2019) </w:t>
      </w:r>
      <w:r w:rsidRPr="06BFC6FC" w:rsidR="06BFC6FC">
        <w:rPr>
          <w:rFonts w:ascii="Arial" w:hAnsi="Arial" w:eastAsia="Arial" w:cs="Arial"/>
          <w:i w:val="1"/>
          <w:iCs w:val="1"/>
          <w:noProof w:val="0"/>
          <w:color w:val="auto"/>
          <w:sz w:val="24"/>
          <w:szCs w:val="24"/>
          <w:lang w:val="en-GB"/>
        </w:rPr>
        <w:t xml:space="preserve">PISA 2018 Insights and Interpretations. </w:t>
      </w:r>
      <w:r w:rsidRPr="06BFC6FC" w:rsidR="06BFC6FC">
        <w:rPr>
          <w:rFonts w:ascii="Arial" w:hAnsi="Arial" w:eastAsia="Arial" w:cs="Arial"/>
          <w:noProof w:val="0"/>
          <w:color w:val="auto"/>
          <w:sz w:val="24"/>
          <w:szCs w:val="24"/>
          <w:lang w:val="en-GB"/>
        </w:rPr>
        <w:t xml:space="preserve">Available at: </w:t>
      </w:r>
      <w:hyperlink r:id="R2a0512d86bd64471">
        <w:r w:rsidRPr="06BFC6FC" w:rsidR="06BFC6FC">
          <w:rPr>
            <w:rStyle w:val="Hyperlink"/>
            <w:rFonts w:ascii="Arial" w:hAnsi="Arial" w:eastAsia="Arial" w:cs="Arial"/>
            <w:noProof w:val="0"/>
            <w:color w:val="auto"/>
            <w:sz w:val="24"/>
            <w:szCs w:val="24"/>
            <w:lang w:val="en-GB"/>
          </w:rPr>
          <w:t>https://www.oecd.org/pisa/PISA%202018%20Insights%20and%20Interpretations%20FINAL%20PDF.pdf</w:t>
        </w:r>
      </w:hyperlink>
      <w:r w:rsidRPr="06BFC6FC" w:rsidR="06BFC6FC">
        <w:rPr>
          <w:rFonts w:ascii="Arial" w:hAnsi="Arial" w:eastAsia="Arial" w:cs="Arial"/>
          <w:noProof w:val="0"/>
          <w:color w:val="auto"/>
          <w:sz w:val="24"/>
          <w:szCs w:val="24"/>
          <w:lang w:val="en-GB"/>
        </w:rPr>
        <w:t xml:space="preserve"> (Accessed: 9 February 2020).</w:t>
      </w:r>
    </w:p>
    <w:p w:rsidR="06BFC6FC" w:rsidP="06BFC6FC" w:rsidRDefault="06BFC6FC" w14:paraId="67166795" w14:textId="746E874D">
      <w:pPr>
        <w:pStyle w:val="Normal"/>
        <w:spacing w:line="360" w:lineRule="auto"/>
        <w:rPr>
          <w:rFonts w:ascii="Arial" w:hAnsi="Arial" w:eastAsia="Arial" w:cs="Arial"/>
          <w:noProof w:val="0"/>
          <w:color w:val="auto"/>
          <w:sz w:val="24"/>
          <w:szCs w:val="24"/>
          <w:lang w:val="en-GB"/>
        </w:rPr>
      </w:pPr>
    </w:p>
    <w:p w:rsidR="1BFF2A54" w:rsidP="06BFC6FC" w:rsidRDefault="1BFF2A54" w14:paraId="3F1FD46B" w14:textId="1A9AA564">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Anstice, S. (2020) Personal image.</w:t>
      </w:r>
    </w:p>
    <w:p w:rsidR="06BFC6FC" w:rsidP="06BFC6FC" w:rsidRDefault="06BFC6FC" w14:paraId="25BF943F" w14:textId="25942BB1">
      <w:pPr>
        <w:pStyle w:val="Normal"/>
        <w:spacing w:line="360" w:lineRule="auto"/>
        <w:rPr>
          <w:rFonts w:ascii="Arial" w:hAnsi="Arial" w:eastAsia="Arial" w:cs="Arial"/>
          <w:noProof w:val="0"/>
          <w:color w:val="auto"/>
          <w:sz w:val="24"/>
          <w:szCs w:val="24"/>
          <w:lang w:val="en-GB"/>
        </w:rPr>
      </w:pPr>
    </w:p>
    <w:p w:rsidR="1BFF2A54" w:rsidP="06BFC6FC" w:rsidRDefault="1BFF2A54" w14:paraId="1F7B24B2" w14:textId="167C4698">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Anstice, S. (2020, a) Personal image.</w:t>
      </w:r>
      <w:r w:rsidRPr="06BFC6FC" w:rsidR="06BFC6FC">
        <w:rPr>
          <w:rFonts w:ascii="Arial" w:hAnsi="Arial" w:eastAsia="Arial" w:cs="Arial"/>
          <w:noProof w:val="0"/>
          <w:color w:val="auto"/>
          <w:sz w:val="24"/>
          <w:szCs w:val="24"/>
          <w:lang w:val="en-GB"/>
        </w:rPr>
        <w:t xml:space="preserve"> </w:t>
      </w:r>
    </w:p>
    <w:p w:rsidR="06BFC6FC" w:rsidP="06BFC6FC" w:rsidRDefault="06BFC6FC" w14:paraId="1702F5F9" w14:textId="7BFF0639">
      <w:pPr>
        <w:pStyle w:val="Normal"/>
        <w:spacing w:line="360" w:lineRule="auto"/>
        <w:rPr>
          <w:rFonts w:ascii="Arial" w:hAnsi="Arial" w:eastAsia="Arial" w:cs="Arial"/>
          <w:noProof w:val="0"/>
          <w:color w:val="auto"/>
          <w:sz w:val="24"/>
          <w:szCs w:val="24"/>
          <w:lang w:val="en-GB"/>
        </w:rPr>
      </w:pPr>
    </w:p>
    <w:p w:rsidR="1BFF2A54" w:rsidP="06BFC6FC" w:rsidRDefault="1BFF2A54" w14:paraId="2A348352" w14:textId="09093E63">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Anthony, G. and Walshaw, M. (2009) ‘Mathematics Education in the Early Years: building bridges’, </w:t>
      </w:r>
      <w:r w:rsidRPr="06BFC6FC" w:rsidR="06BFC6FC">
        <w:rPr>
          <w:rFonts w:ascii="Arial" w:hAnsi="Arial" w:eastAsia="Arial" w:cs="Arial"/>
          <w:i w:val="1"/>
          <w:iCs w:val="1"/>
          <w:noProof w:val="0"/>
          <w:color w:val="auto"/>
          <w:sz w:val="24"/>
          <w:szCs w:val="24"/>
          <w:lang w:val="en-GB"/>
        </w:rPr>
        <w:t xml:space="preserve">Contemporary Issues in Early Childhood, </w:t>
      </w:r>
      <w:r w:rsidRPr="06BFC6FC" w:rsidR="06BFC6FC">
        <w:rPr>
          <w:rFonts w:ascii="Arial" w:hAnsi="Arial" w:eastAsia="Arial" w:cs="Arial"/>
          <w:noProof w:val="0"/>
          <w:color w:val="auto"/>
          <w:sz w:val="24"/>
          <w:szCs w:val="24"/>
          <w:lang w:val="en-GB"/>
        </w:rPr>
        <w:t>10(2), pp. 107-121. DOI: 10.2304/ciec.2009.10.2.107.</w:t>
      </w:r>
      <w:r w:rsidRPr="06BFC6FC" w:rsidR="06BFC6FC">
        <w:rPr>
          <w:rFonts w:ascii="Arial" w:hAnsi="Arial" w:eastAsia="Arial" w:cs="Arial"/>
          <w:noProof w:val="0"/>
          <w:color w:val="auto"/>
          <w:sz w:val="24"/>
          <w:szCs w:val="24"/>
          <w:lang w:val="en-GB"/>
        </w:rPr>
        <w:t xml:space="preserve"> </w:t>
      </w:r>
    </w:p>
    <w:p w:rsidR="06BFC6FC" w:rsidP="06BFC6FC" w:rsidRDefault="06BFC6FC" w14:paraId="55F51F8C" w14:textId="1988F4DF">
      <w:pPr>
        <w:pStyle w:val="Normal"/>
        <w:spacing w:line="360" w:lineRule="auto"/>
        <w:rPr>
          <w:rFonts w:ascii="Arial" w:hAnsi="Arial" w:eastAsia="Arial" w:cs="Arial"/>
          <w:noProof w:val="0"/>
          <w:color w:val="auto"/>
          <w:sz w:val="24"/>
          <w:szCs w:val="24"/>
          <w:lang w:val="en-GB"/>
        </w:rPr>
      </w:pPr>
    </w:p>
    <w:p w:rsidR="1BFF2A54" w:rsidP="06BFC6FC" w:rsidRDefault="1BFF2A54" w14:paraId="037BFBAA" w14:textId="6014150D">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Bruce, T. (2012) </w:t>
      </w:r>
      <w:r w:rsidRPr="06BFC6FC" w:rsidR="06BFC6FC">
        <w:rPr>
          <w:rFonts w:ascii="Arial" w:hAnsi="Arial" w:eastAsia="Arial" w:cs="Arial"/>
          <w:i w:val="1"/>
          <w:iCs w:val="1"/>
          <w:noProof w:val="0"/>
          <w:color w:val="auto"/>
          <w:sz w:val="24"/>
          <w:szCs w:val="24"/>
          <w:lang w:val="en-GB"/>
        </w:rPr>
        <w:t xml:space="preserve">Early Childhood Practice: Froebel Today. </w:t>
      </w:r>
      <w:r w:rsidRPr="06BFC6FC" w:rsidR="06BFC6FC">
        <w:rPr>
          <w:rFonts w:ascii="Arial" w:hAnsi="Arial" w:eastAsia="Arial" w:cs="Arial"/>
          <w:noProof w:val="0"/>
          <w:color w:val="auto"/>
          <w:sz w:val="24"/>
          <w:szCs w:val="24"/>
          <w:lang w:val="en-GB"/>
        </w:rPr>
        <w:t xml:space="preserve">London: Sage. </w:t>
      </w:r>
    </w:p>
    <w:p w:rsidR="06BFC6FC" w:rsidP="06BFC6FC" w:rsidRDefault="06BFC6FC" w14:paraId="6257B0BF" w14:textId="3AE9C2F5">
      <w:pPr>
        <w:pStyle w:val="Normal"/>
        <w:spacing w:line="360" w:lineRule="auto"/>
        <w:rPr>
          <w:rFonts w:ascii="Arial" w:hAnsi="Arial" w:eastAsia="Arial" w:cs="Arial"/>
          <w:noProof w:val="0"/>
          <w:color w:val="auto"/>
          <w:sz w:val="24"/>
          <w:szCs w:val="24"/>
          <w:lang w:val="en-GB"/>
        </w:rPr>
      </w:pPr>
    </w:p>
    <w:p w:rsidR="1BFF2A54" w:rsidP="06BFC6FC" w:rsidRDefault="1BFF2A54" w14:paraId="5A506FA6" w14:textId="3CF12E0F">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Department for Education (2011) </w:t>
      </w:r>
      <w:r w:rsidRPr="06BFC6FC" w:rsidR="06BFC6FC">
        <w:rPr>
          <w:rFonts w:ascii="Arial" w:hAnsi="Arial" w:eastAsia="Arial" w:cs="Arial"/>
          <w:i w:val="1"/>
          <w:iCs w:val="1"/>
          <w:noProof w:val="0"/>
          <w:color w:val="auto"/>
          <w:sz w:val="24"/>
          <w:szCs w:val="24"/>
          <w:lang w:val="en-GB"/>
        </w:rPr>
        <w:t xml:space="preserve">Supporting Families in the Early Years. </w:t>
      </w:r>
      <w:r w:rsidRPr="06BFC6FC" w:rsidR="06BFC6FC">
        <w:rPr>
          <w:rFonts w:ascii="Arial" w:hAnsi="Arial" w:eastAsia="Arial" w:cs="Arial"/>
          <w:noProof w:val="0"/>
          <w:color w:val="auto"/>
          <w:sz w:val="24"/>
          <w:szCs w:val="24"/>
          <w:lang w:val="en-GB"/>
        </w:rPr>
        <w:t xml:space="preserve">Available at: </w:t>
      </w:r>
      <w:hyperlink r:id="R2c8b00a41b3a4831">
        <w:r w:rsidRPr="06BFC6FC" w:rsidR="06BFC6FC">
          <w:rPr>
            <w:rStyle w:val="Hyperlink"/>
            <w:rFonts w:ascii="Arial" w:hAnsi="Arial" w:eastAsia="Arial" w:cs="Arial"/>
            <w:noProof w:val="0"/>
            <w:color w:val="auto"/>
            <w:sz w:val="24"/>
            <w:szCs w:val="24"/>
            <w:lang w:val="en-GB"/>
          </w:rPr>
          <w:t>https://assets.publishing.service.gov.uk/government/uploads/system/uploads/attachment_data/file/184868/DFE-01001-2011_supporting_families_in_the_foundation_years.pdf</w:t>
        </w:r>
      </w:hyperlink>
      <w:r w:rsidRPr="06BFC6FC" w:rsidR="06BFC6FC">
        <w:rPr>
          <w:rFonts w:ascii="Arial" w:hAnsi="Arial" w:eastAsia="Arial" w:cs="Arial"/>
          <w:noProof w:val="0"/>
          <w:color w:val="auto"/>
          <w:sz w:val="24"/>
          <w:szCs w:val="24"/>
          <w:lang w:val="en-GB"/>
        </w:rPr>
        <w:t xml:space="preserve"> (Accessed: 12 February 2020).</w:t>
      </w:r>
      <w:r w:rsidRPr="06BFC6FC" w:rsidR="06BFC6FC">
        <w:rPr>
          <w:rFonts w:ascii="Arial" w:hAnsi="Arial" w:eastAsia="Arial" w:cs="Arial"/>
          <w:noProof w:val="0"/>
          <w:color w:val="auto"/>
          <w:sz w:val="24"/>
          <w:szCs w:val="24"/>
          <w:lang w:val="en-GB"/>
        </w:rPr>
        <w:t xml:space="preserve"> </w:t>
      </w:r>
    </w:p>
    <w:p w:rsidR="06BFC6FC" w:rsidP="06BFC6FC" w:rsidRDefault="06BFC6FC" w14:paraId="22356235" w14:textId="03FFFC86">
      <w:pPr>
        <w:pStyle w:val="Normal"/>
        <w:spacing w:line="360" w:lineRule="auto"/>
        <w:rPr>
          <w:rFonts w:ascii="Arial" w:hAnsi="Arial" w:eastAsia="Arial" w:cs="Arial"/>
          <w:noProof w:val="0"/>
          <w:color w:val="auto"/>
          <w:sz w:val="24"/>
          <w:szCs w:val="24"/>
          <w:lang w:val="en-GB"/>
        </w:rPr>
      </w:pPr>
    </w:p>
    <w:p w:rsidR="1BFF2A54" w:rsidP="06BFC6FC" w:rsidRDefault="1BFF2A54" w14:paraId="7D64A5BC" w14:textId="613620E6">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Department for Education (2014)</w:t>
      </w:r>
      <w:r w:rsidRPr="06BFC6FC" w:rsidR="06BFC6FC">
        <w:rPr>
          <w:rFonts w:ascii="Arial" w:hAnsi="Arial" w:eastAsia="Arial" w:cs="Arial"/>
          <w:i w:val="1"/>
          <w:iCs w:val="1"/>
          <w:noProof w:val="0"/>
          <w:color w:val="auto"/>
          <w:sz w:val="24"/>
          <w:szCs w:val="24"/>
          <w:lang w:val="en-GB"/>
        </w:rPr>
        <w:t xml:space="preserve"> The Equality Act 2010 and schools. </w:t>
      </w:r>
      <w:r w:rsidRPr="06BFC6FC" w:rsidR="06BFC6FC">
        <w:rPr>
          <w:rFonts w:ascii="Arial" w:hAnsi="Arial" w:eastAsia="Arial" w:cs="Arial"/>
          <w:noProof w:val="0"/>
          <w:color w:val="auto"/>
          <w:sz w:val="24"/>
          <w:szCs w:val="24"/>
          <w:lang w:val="en-GB"/>
        </w:rPr>
        <w:t xml:space="preserve">Available at: </w:t>
      </w:r>
      <w:hyperlink r:id="R48b455c95c1446ea">
        <w:r w:rsidRPr="06BFC6FC" w:rsidR="06BFC6FC">
          <w:rPr>
            <w:rStyle w:val="Hyperlink"/>
            <w:rFonts w:ascii="Arial" w:hAnsi="Arial" w:eastAsia="Arial" w:cs="Arial"/>
            <w:noProof w:val="0"/>
            <w:color w:val="auto"/>
            <w:sz w:val="24"/>
            <w:szCs w:val="24"/>
            <w:lang w:val="en-GB"/>
          </w:rPr>
          <w:t>https://assets.publishing.service.gov.uk/government/uploads/system/uploads/attachment_data/file/315587/Equality_Act_Advice_Final.pdf</w:t>
        </w:r>
      </w:hyperlink>
      <w:r w:rsidRPr="06BFC6FC" w:rsidR="06BFC6FC">
        <w:rPr>
          <w:rFonts w:ascii="Arial" w:hAnsi="Arial" w:eastAsia="Arial" w:cs="Arial"/>
          <w:noProof w:val="0"/>
          <w:color w:val="auto"/>
          <w:sz w:val="24"/>
          <w:szCs w:val="24"/>
          <w:lang w:val="en-GB"/>
        </w:rPr>
        <w:t xml:space="preserve"> (Accessed: 13 February 2020).</w:t>
      </w:r>
    </w:p>
    <w:p w:rsidR="06BFC6FC" w:rsidP="06BFC6FC" w:rsidRDefault="06BFC6FC" w14:paraId="45E640C8" w14:textId="4E9AABD6">
      <w:pPr>
        <w:pStyle w:val="Normal"/>
        <w:spacing w:line="360" w:lineRule="auto"/>
        <w:rPr>
          <w:rFonts w:ascii="Arial" w:hAnsi="Arial" w:eastAsia="Arial" w:cs="Arial"/>
          <w:noProof w:val="0"/>
          <w:color w:val="auto"/>
          <w:sz w:val="24"/>
          <w:szCs w:val="24"/>
          <w:lang w:val="en-GB"/>
        </w:rPr>
      </w:pPr>
    </w:p>
    <w:p w:rsidR="1BFF2A54" w:rsidP="06BFC6FC" w:rsidRDefault="1BFF2A54" w14:paraId="527C6967" w14:textId="106DC3FE">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Gunderson, E.A. </w:t>
      </w:r>
      <w:r w:rsidRPr="06BFC6FC" w:rsidR="06BFC6FC">
        <w:rPr>
          <w:rFonts w:ascii="Arial" w:hAnsi="Arial" w:eastAsia="Arial" w:cs="Arial"/>
          <w:i w:val="1"/>
          <w:iCs w:val="1"/>
          <w:noProof w:val="0"/>
          <w:color w:val="auto"/>
          <w:sz w:val="24"/>
          <w:szCs w:val="24"/>
          <w:lang w:val="en-GB"/>
        </w:rPr>
        <w:t>et al.</w:t>
      </w:r>
      <w:r w:rsidRPr="06BFC6FC" w:rsidR="06BFC6FC">
        <w:rPr>
          <w:rFonts w:ascii="Arial" w:hAnsi="Arial" w:eastAsia="Arial" w:cs="Arial"/>
          <w:noProof w:val="0"/>
          <w:color w:val="auto"/>
          <w:sz w:val="24"/>
          <w:szCs w:val="24"/>
          <w:lang w:val="en-GB"/>
        </w:rPr>
        <w:t xml:space="preserve"> (2012) ‘The Role of Parents and Teachers in the Development of Gender-Related Math Attitudes’, </w:t>
      </w:r>
      <w:r w:rsidRPr="06BFC6FC" w:rsidR="06BFC6FC">
        <w:rPr>
          <w:rFonts w:ascii="Arial" w:hAnsi="Arial" w:eastAsia="Arial" w:cs="Arial"/>
          <w:i w:val="1"/>
          <w:iCs w:val="1"/>
          <w:noProof w:val="0"/>
          <w:color w:val="auto"/>
          <w:sz w:val="24"/>
          <w:szCs w:val="24"/>
          <w:lang w:val="en-GB"/>
        </w:rPr>
        <w:t>Sex Roles</w:t>
      </w:r>
      <w:r w:rsidRPr="06BFC6FC" w:rsidR="06BFC6FC">
        <w:rPr>
          <w:rFonts w:ascii="Arial" w:hAnsi="Arial" w:eastAsia="Arial" w:cs="Arial"/>
          <w:noProof w:val="0"/>
          <w:color w:val="auto"/>
          <w:sz w:val="24"/>
          <w:szCs w:val="24"/>
          <w:lang w:val="en-GB"/>
        </w:rPr>
        <w:t xml:space="preserve"> 66, 153–166. DOI: </w:t>
      </w:r>
      <w:hyperlink r:id="R3ccb4a954ef34c26">
        <w:r w:rsidRPr="06BFC6FC" w:rsidR="06BFC6FC">
          <w:rPr>
            <w:rStyle w:val="Hyperlink"/>
            <w:rFonts w:ascii="Arial" w:hAnsi="Arial" w:eastAsia="Arial" w:cs="Arial"/>
            <w:noProof w:val="0"/>
            <w:color w:val="auto"/>
            <w:sz w:val="24"/>
            <w:szCs w:val="24"/>
            <w:lang w:val="en-GB"/>
          </w:rPr>
          <w:t>https://doi.org/10.1007/s11199-011-9996-2</w:t>
        </w:r>
      </w:hyperlink>
      <w:r w:rsidRPr="06BFC6FC" w:rsidR="06BFC6FC">
        <w:rPr>
          <w:rFonts w:ascii="Arial" w:hAnsi="Arial" w:eastAsia="Arial" w:cs="Arial"/>
          <w:noProof w:val="0"/>
          <w:color w:val="auto"/>
          <w:sz w:val="24"/>
          <w:szCs w:val="24"/>
          <w:lang w:val="en-GB"/>
        </w:rPr>
        <w:t xml:space="preserve"> </w:t>
      </w:r>
    </w:p>
    <w:p w:rsidR="06BFC6FC" w:rsidP="06BFC6FC" w:rsidRDefault="06BFC6FC" w14:paraId="191B0357" w14:textId="7BB9EC9E">
      <w:pPr>
        <w:pStyle w:val="Normal"/>
        <w:spacing w:line="360" w:lineRule="auto"/>
        <w:rPr>
          <w:rFonts w:ascii="Arial" w:hAnsi="Arial" w:eastAsia="Arial" w:cs="Arial"/>
          <w:noProof w:val="0"/>
          <w:color w:val="auto"/>
          <w:sz w:val="24"/>
          <w:szCs w:val="24"/>
          <w:lang w:val="en-GB"/>
        </w:rPr>
      </w:pPr>
    </w:p>
    <w:p w:rsidR="1BFF2A54" w:rsidP="06BFC6FC" w:rsidRDefault="1BFF2A54" w14:paraId="221B889E" w14:textId="41225A11">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Harding, B. (no date) </w:t>
      </w:r>
      <w:r w:rsidRPr="06BFC6FC" w:rsidR="06BFC6FC">
        <w:rPr>
          <w:rFonts w:ascii="Arial" w:hAnsi="Arial" w:eastAsia="Arial" w:cs="Arial"/>
          <w:i w:val="1"/>
          <w:iCs w:val="1"/>
          <w:noProof w:val="0"/>
          <w:color w:val="auto"/>
          <w:sz w:val="24"/>
          <w:szCs w:val="24"/>
          <w:lang w:val="en-GB"/>
        </w:rPr>
        <w:t xml:space="preserve">The Definitive Assessment Framework for Primary Mathematics. </w:t>
      </w:r>
      <w:r w:rsidRPr="06BFC6FC" w:rsidR="06BFC6FC">
        <w:rPr>
          <w:rFonts w:ascii="Arial" w:hAnsi="Arial" w:eastAsia="Arial" w:cs="Arial"/>
          <w:noProof w:val="0"/>
          <w:color w:val="auto"/>
          <w:sz w:val="24"/>
          <w:szCs w:val="24"/>
          <w:lang w:val="en-GB"/>
        </w:rPr>
        <w:t>Unpublished document: Andrell Education Ltd.</w:t>
      </w:r>
    </w:p>
    <w:p w:rsidR="06BFC6FC" w:rsidP="06BFC6FC" w:rsidRDefault="06BFC6FC" w14:paraId="58131B78" w14:textId="0FC7ECDF">
      <w:pPr>
        <w:pStyle w:val="Normal"/>
        <w:spacing w:line="360" w:lineRule="auto"/>
        <w:rPr>
          <w:rFonts w:ascii="Arial" w:hAnsi="Arial" w:eastAsia="Arial" w:cs="Arial"/>
          <w:noProof w:val="0"/>
          <w:color w:val="auto"/>
          <w:sz w:val="24"/>
          <w:szCs w:val="24"/>
          <w:lang w:val="en-GB"/>
        </w:rPr>
      </w:pPr>
    </w:p>
    <w:p w:rsidR="1BFF2A54" w:rsidP="06BFC6FC" w:rsidRDefault="1BFF2A54" w14:paraId="3E57AB59" w14:textId="6077A91B">
      <w:pPr>
        <w:pStyle w:val="Normal"/>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Jessen, J. (2012) </w:t>
      </w:r>
      <w:r w:rsidRPr="06BFC6FC" w:rsidR="06BFC6FC">
        <w:rPr>
          <w:rFonts w:ascii="Arial" w:hAnsi="Arial" w:eastAsia="Arial" w:cs="Arial"/>
          <w:i w:val="1"/>
          <w:iCs w:val="1"/>
          <w:noProof w:val="0"/>
          <w:color w:val="auto"/>
          <w:sz w:val="24"/>
          <w:szCs w:val="24"/>
          <w:lang w:val="en-GB"/>
        </w:rPr>
        <w:t xml:space="preserve">Developing Creativity in the Primary School. </w:t>
      </w:r>
      <w:r w:rsidRPr="06BFC6FC" w:rsidR="06BFC6FC">
        <w:rPr>
          <w:rFonts w:ascii="Arial" w:hAnsi="Arial" w:eastAsia="Arial" w:cs="Arial"/>
          <w:noProof w:val="0"/>
          <w:color w:val="auto"/>
          <w:sz w:val="24"/>
          <w:szCs w:val="24"/>
          <w:lang w:val="en-GB"/>
        </w:rPr>
        <w:t>Maidenhead: Open University Press.</w:t>
      </w:r>
    </w:p>
    <w:p w:rsidR="06BFC6FC" w:rsidP="06BFC6FC" w:rsidRDefault="06BFC6FC" w14:paraId="140C6FA0" w14:textId="564CCEA6">
      <w:pPr>
        <w:pStyle w:val="Normal"/>
        <w:spacing w:line="360" w:lineRule="auto"/>
        <w:rPr>
          <w:rFonts w:ascii="Arial" w:hAnsi="Arial" w:eastAsia="Arial" w:cs="Arial"/>
          <w:noProof w:val="0"/>
          <w:color w:val="auto"/>
          <w:sz w:val="24"/>
          <w:szCs w:val="24"/>
          <w:lang w:val="en-GB"/>
        </w:rPr>
      </w:pPr>
    </w:p>
    <w:p w:rsidR="1BFF2A54" w:rsidP="06BFC6FC" w:rsidRDefault="1BFF2A54" w14:paraId="61EE21BB" w14:textId="46D3A747">
      <w:pPr>
        <w:pStyle w:val="Normal"/>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Learning Through Landscapes (2011) </w:t>
      </w:r>
      <w:r w:rsidRPr="06BFC6FC" w:rsidR="06BFC6FC">
        <w:rPr>
          <w:rFonts w:ascii="Arial" w:hAnsi="Arial" w:eastAsia="Arial" w:cs="Arial"/>
          <w:i w:val="1"/>
          <w:iCs w:val="1"/>
          <w:noProof w:val="0"/>
          <w:color w:val="auto"/>
          <w:sz w:val="24"/>
          <w:szCs w:val="24"/>
          <w:lang w:val="en-GB"/>
        </w:rPr>
        <w:t xml:space="preserve">Messy Outdoor Maths </w:t>
      </w:r>
      <w:r w:rsidRPr="06BFC6FC" w:rsidR="06BFC6FC">
        <w:rPr>
          <w:rFonts w:ascii="Arial" w:hAnsi="Arial" w:eastAsia="Arial" w:cs="Arial"/>
          <w:noProof w:val="0"/>
          <w:color w:val="auto"/>
          <w:sz w:val="24"/>
          <w:szCs w:val="24"/>
          <w:lang w:val="en-GB"/>
        </w:rPr>
        <w:t xml:space="preserve">[video]. Available at: </w:t>
      </w:r>
      <w:hyperlink r:id="R96c8b48a42a9453e">
        <w:r w:rsidRPr="06BFC6FC" w:rsidR="06BFC6FC">
          <w:rPr>
            <w:rStyle w:val="Hyperlink"/>
            <w:rFonts w:ascii="Arial" w:hAnsi="Arial" w:eastAsia="Arial" w:cs="Arial"/>
            <w:noProof w:val="0"/>
            <w:color w:val="auto"/>
            <w:sz w:val="24"/>
            <w:szCs w:val="24"/>
            <w:lang w:val="en-GB"/>
          </w:rPr>
          <w:t>https://www.youtube.com/watch?v=Nh_4SEUpSrA</w:t>
        </w:r>
      </w:hyperlink>
      <w:r w:rsidRPr="06BFC6FC" w:rsidR="06BFC6FC">
        <w:rPr>
          <w:rFonts w:ascii="Arial" w:hAnsi="Arial" w:eastAsia="Arial" w:cs="Arial"/>
          <w:noProof w:val="0"/>
          <w:color w:val="auto"/>
          <w:sz w:val="24"/>
          <w:szCs w:val="24"/>
          <w:lang w:val="en-GB"/>
        </w:rPr>
        <w:t xml:space="preserve"> (Accessed: 23 February 2020).</w:t>
      </w:r>
    </w:p>
    <w:p w:rsidR="1BFF2A54" w:rsidP="06BFC6FC" w:rsidRDefault="1BFF2A54" w14:paraId="4C6C8A5B" w14:textId="1A45BF70">
      <w:pPr>
        <w:pStyle w:val="Normal"/>
        <w:spacing w:line="360" w:lineRule="auto"/>
        <w:rPr>
          <w:rFonts w:ascii="Arial" w:hAnsi="Arial" w:eastAsia="Arial" w:cs="Arial"/>
          <w:noProof w:val="0"/>
          <w:color w:val="auto"/>
          <w:sz w:val="24"/>
          <w:szCs w:val="24"/>
          <w:lang w:val="en-GB"/>
        </w:rPr>
      </w:pPr>
    </w:p>
    <w:p w:rsidR="1BFF2A54" w:rsidP="06BFC6FC" w:rsidRDefault="1BFF2A54" w14:paraId="380EBD51" w14:textId="1A414D12">
      <w:pPr>
        <w:spacing w:line="360" w:lineRule="auto"/>
        <w:rPr>
          <w:rFonts w:ascii="Arial" w:hAnsi="Arial" w:eastAsia="Arial" w:cs="Arial"/>
          <w:i w:val="1"/>
          <w:iCs w:val="1"/>
          <w:noProof w:val="0"/>
          <w:color w:val="auto"/>
          <w:sz w:val="24"/>
          <w:szCs w:val="24"/>
          <w:lang w:val="en-GB"/>
        </w:rPr>
      </w:pPr>
      <w:r w:rsidRPr="06BFC6FC" w:rsidR="06BFC6FC">
        <w:rPr>
          <w:rFonts w:ascii="Arial" w:hAnsi="Arial" w:eastAsia="Arial" w:cs="Arial"/>
          <w:noProof w:val="0"/>
          <w:color w:val="auto"/>
          <w:sz w:val="24"/>
          <w:szCs w:val="24"/>
          <w:lang w:val="en-GB"/>
        </w:rPr>
        <w:t xml:space="preserve">Lego Foundation (2017) </w:t>
      </w:r>
      <w:r w:rsidRPr="06BFC6FC" w:rsidR="06BFC6FC">
        <w:rPr>
          <w:rFonts w:ascii="Arial" w:hAnsi="Arial" w:eastAsia="Arial" w:cs="Arial"/>
          <w:i w:val="1"/>
          <w:iCs w:val="1"/>
          <w:noProof w:val="0"/>
          <w:color w:val="auto"/>
          <w:sz w:val="24"/>
          <w:szCs w:val="24"/>
          <w:lang w:val="en-GB"/>
        </w:rPr>
        <w:t>Learning through play:</w:t>
      </w:r>
    </w:p>
    <w:p w:rsidR="1BFF2A54" w:rsidP="06BFC6FC" w:rsidRDefault="1BFF2A54" w14:paraId="6B097ACC" w14:textId="512D08DF">
      <w:pPr>
        <w:spacing w:line="360" w:lineRule="auto"/>
        <w:rPr>
          <w:rFonts w:ascii="Arial" w:hAnsi="Arial" w:eastAsia="Arial" w:cs="Arial"/>
          <w:noProof w:val="0"/>
          <w:color w:val="auto"/>
          <w:sz w:val="24"/>
          <w:szCs w:val="24"/>
          <w:lang w:val="en-GB"/>
        </w:rPr>
      </w:pPr>
      <w:r w:rsidRPr="06BFC6FC" w:rsidR="06BFC6FC">
        <w:rPr>
          <w:rFonts w:ascii="Arial" w:hAnsi="Arial" w:eastAsia="Arial" w:cs="Arial"/>
          <w:i w:val="1"/>
          <w:iCs w:val="1"/>
          <w:noProof w:val="0"/>
          <w:color w:val="auto"/>
          <w:sz w:val="24"/>
          <w:szCs w:val="24"/>
          <w:lang w:val="en-GB"/>
        </w:rPr>
        <w:t xml:space="preserve">a review of the evidence. </w:t>
      </w:r>
      <w:r w:rsidRPr="06BFC6FC" w:rsidR="06BFC6FC">
        <w:rPr>
          <w:rFonts w:ascii="Arial" w:hAnsi="Arial" w:eastAsia="Arial" w:cs="Arial"/>
          <w:noProof w:val="0"/>
          <w:color w:val="auto"/>
          <w:sz w:val="24"/>
          <w:szCs w:val="24"/>
          <w:lang w:val="en-GB"/>
        </w:rPr>
        <w:t xml:space="preserve">Available at: </w:t>
      </w:r>
      <w:hyperlink r:id="Rd36ce97b65e44a1d">
        <w:r w:rsidRPr="06BFC6FC" w:rsidR="06BFC6FC">
          <w:rPr>
            <w:rStyle w:val="Hyperlink"/>
            <w:rFonts w:ascii="Arial" w:hAnsi="Arial" w:eastAsia="Arial" w:cs="Arial"/>
            <w:noProof w:val="0"/>
            <w:color w:val="auto"/>
            <w:sz w:val="24"/>
            <w:szCs w:val="24"/>
            <w:lang w:val="en-GB"/>
          </w:rPr>
          <w:t>https://www.legofoundation.com/media/1063/learning-through-play_web.pdf</w:t>
        </w:r>
      </w:hyperlink>
      <w:r w:rsidRPr="06BFC6FC" w:rsidR="06BFC6FC">
        <w:rPr>
          <w:rFonts w:ascii="Arial" w:hAnsi="Arial" w:eastAsia="Arial" w:cs="Arial"/>
          <w:noProof w:val="0"/>
          <w:color w:val="auto"/>
          <w:sz w:val="24"/>
          <w:szCs w:val="24"/>
          <w:lang w:val="en-GB"/>
        </w:rPr>
        <w:t xml:space="preserve"> (Accessed: 14 February 2020).</w:t>
      </w:r>
    </w:p>
    <w:p w:rsidR="06BFC6FC" w:rsidP="06BFC6FC" w:rsidRDefault="06BFC6FC" w14:paraId="3DDDC0C1" w14:textId="7BCF7C00">
      <w:pPr>
        <w:pStyle w:val="Normal"/>
        <w:spacing w:line="360" w:lineRule="auto"/>
        <w:rPr>
          <w:rFonts w:ascii="Arial" w:hAnsi="Arial" w:eastAsia="Arial" w:cs="Arial"/>
          <w:noProof w:val="0"/>
          <w:color w:val="auto"/>
          <w:sz w:val="24"/>
          <w:szCs w:val="24"/>
          <w:lang w:val="en-GB"/>
        </w:rPr>
      </w:pPr>
    </w:p>
    <w:p w:rsidR="1BFF2A54" w:rsidP="06BFC6FC" w:rsidRDefault="1BFF2A54" w14:paraId="78CB252C" w14:textId="453341AD">
      <w:pPr>
        <w:spacing w:line="360" w:lineRule="auto"/>
        <w:rPr>
          <w:rFonts w:ascii="Arial" w:hAnsi="Arial" w:eastAsia="Arial" w:cs="Arial"/>
          <w:i w:val="1"/>
          <w:iCs w:val="1"/>
          <w:noProof w:val="0"/>
          <w:color w:val="auto"/>
          <w:sz w:val="24"/>
          <w:szCs w:val="24"/>
          <w:lang w:val="en-GB"/>
        </w:rPr>
      </w:pPr>
      <w:r w:rsidRPr="06BFC6FC" w:rsidR="06BFC6FC">
        <w:rPr>
          <w:rFonts w:ascii="Arial" w:hAnsi="Arial" w:eastAsia="Arial" w:cs="Arial"/>
          <w:noProof w:val="0"/>
          <w:color w:val="auto"/>
          <w:sz w:val="24"/>
          <w:szCs w:val="24"/>
          <w:lang w:val="en-GB"/>
        </w:rPr>
        <w:t xml:space="preserve">Levine, S. and Jordan, N. (2009) ‘Socioeconomic Variation, Number Competence, and Mathematics Learning Difficulties in Young Children’ </w:t>
      </w:r>
      <w:r w:rsidRPr="06BFC6FC" w:rsidR="06BFC6FC">
        <w:rPr>
          <w:rFonts w:ascii="Arial" w:hAnsi="Arial" w:eastAsia="Arial" w:cs="Arial"/>
          <w:i w:val="1"/>
          <w:iCs w:val="1"/>
          <w:noProof w:val="0"/>
          <w:color w:val="auto"/>
          <w:sz w:val="24"/>
          <w:szCs w:val="24"/>
          <w:lang w:val="en-GB"/>
        </w:rPr>
        <w:t xml:space="preserve">Developmental Disabilities Research Reviews, </w:t>
      </w:r>
      <w:r w:rsidRPr="06BFC6FC" w:rsidR="06BFC6FC">
        <w:rPr>
          <w:rFonts w:ascii="Arial" w:hAnsi="Arial" w:eastAsia="Arial" w:cs="Arial"/>
          <w:noProof w:val="0"/>
          <w:color w:val="auto"/>
          <w:sz w:val="24"/>
          <w:szCs w:val="24"/>
          <w:lang w:val="en-GB"/>
        </w:rPr>
        <w:t>15(1)</w:t>
      </w:r>
      <w:r w:rsidRPr="06BFC6FC" w:rsidR="06BFC6FC">
        <w:rPr>
          <w:rFonts w:ascii="Arial" w:hAnsi="Arial" w:eastAsia="Arial" w:cs="Arial"/>
          <w:noProof w:val="0"/>
          <w:color w:val="auto"/>
          <w:sz w:val="24"/>
          <w:szCs w:val="24"/>
          <w:lang w:val="en-GB"/>
        </w:rPr>
        <w:t xml:space="preserve"> </w:t>
      </w:r>
      <w:r w:rsidRPr="06BFC6FC" w:rsidR="06BFC6FC">
        <w:rPr>
          <w:rFonts w:ascii="Arial" w:hAnsi="Arial" w:eastAsia="Arial" w:cs="Arial"/>
          <w:noProof w:val="0"/>
          <w:color w:val="auto"/>
          <w:sz w:val="24"/>
          <w:szCs w:val="24"/>
          <w:lang w:val="en-GB"/>
        </w:rPr>
        <w:t>60 – 68, DOI: 10.1002/ddrr.46.</w:t>
      </w:r>
    </w:p>
    <w:p w:rsidR="1BFF2A54" w:rsidP="06BFC6FC" w:rsidRDefault="1BFF2A54" w14:paraId="38F38E26" w14:textId="3530958A">
      <w:pPr>
        <w:spacing w:line="360" w:lineRule="auto"/>
        <w:rPr>
          <w:rFonts w:ascii="Arial" w:hAnsi="Arial" w:eastAsia="Arial" w:cs="Arial"/>
          <w:noProof w:val="0"/>
          <w:color w:val="auto"/>
          <w:sz w:val="24"/>
          <w:szCs w:val="24"/>
          <w:lang w:val="en-GB"/>
        </w:rPr>
      </w:pPr>
      <w:r>
        <w:br/>
      </w:r>
      <w:r w:rsidRPr="06BFC6FC" w:rsidR="06BFC6FC">
        <w:rPr>
          <w:rFonts w:ascii="Arial" w:hAnsi="Arial" w:eastAsia="Arial" w:cs="Arial"/>
          <w:noProof w:val="0"/>
          <w:color w:val="auto"/>
          <w:sz w:val="24"/>
          <w:szCs w:val="24"/>
          <w:lang w:val="en-GB"/>
        </w:rPr>
        <w:t xml:space="preserve">Moyles, J. (2010) </w:t>
      </w:r>
      <w:r w:rsidRPr="06BFC6FC" w:rsidR="06BFC6FC">
        <w:rPr>
          <w:rFonts w:ascii="Arial" w:hAnsi="Arial" w:eastAsia="Arial" w:cs="Arial"/>
          <w:i w:val="1"/>
          <w:iCs w:val="1"/>
          <w:noProof w:val="0"/>
          <w:color w:val="auto"/>
          <w:sz w:val="24"/>
          <w:szCs w:val="24"/>
          <w:lang w:val="en-GB"/>
        </w:rPr>
        <w:t xml:space="preserve">The Excellence of Play. </w:t>
      </w:r>
      <w:r w:rsidRPr="06BFC6FC" w:rsidR="06BFC6FC">
        <w:rPr>
          <w:rFonts w:ascii="Arial" w:hAnsi="Arial" w:eastAsia="Arial" w:cs="Arial"/>
          <w:noProof w:val="0"/>
          <w:color w:val="auto"/>
          <w:sz w:val="24"/>
          <w:szCs w:val="24"/>
          <w:lang w:val="en-GB"/>
        </w:rPr>
        <w:t>Maidenhead: Open University Press.</w:t>
      </w:r>
    </w:p>
    <w:p w:rsidR="06BFC6FC" w:rsidP="06BFC6FC" w:rsidRDefault="06BFC6FC" w14:paraId="68A7D16F" w14:textId="1C6826ED">
      <w:pPr>
        <w:pStyle w:val="Normal"/>
        <w:spacing w:line="360" w:lineRule="auto"/>
        <w:rPr>
          <w:rFonts w:ascii="Arial" w:hAnsi="Arial" w:eastAsia="Arial" w:cs="Arial"/>
          <w:noProof w:val="0"/>
          <w:color w:val="auto"/>
          <w:sz w:val="24"/>
          <w:szCs w:val="24"/>
          <w:lang w:val="en-GB"/>
        </w:rPr>
      </w:pPr>
    </w:p>
    <w:p w:rsidR="1BFF2A54" w:rsidP="06BFC6FC" w:rsidRDefault="1BFF2A54" w14:paraId="4662A789" w14:textId="58DF9D83">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NDNA (no date) </w:t>
      </w:r>
      <w:r w:rsidRPr="06BFC6FC" w:rsidR="06BFC6FC">
        <w:rPr>
          <w:rFonts w:ascii="Arial" w:hAnsi="Arial" w:eastAsia="Arial" w:cs="Arial"/>
          <w:i w:val="1"/>
          <w:iCs w:val="1"/>
          <w:noProof w:val="0"/>
          <w:color w:val="auto"/>
          <w:sz w:val="24"/>
          <w:szCs w:val="24"/>
          <w:lang w:val="en-GB"/>
        </w:rPr>
        <w:t xml:space="preserve">Maths in Early Years. </w:t>
      </w:r>
      <w:r w:rsidRPr="06BFC6FC" w:rsidR="06BFC6FC">
        <w:rPr>
          <w:rFonts w:ascii="Arial" w:hAnsi="Arial" w:eastAsia="Arial" w:cs="Arial"/>
          <w:noProof w:val="0"/>
          <w:color w:val="auto"/>
          <w:sz w:val="24"/>
          <w:szCs w:val="24"/>
          <w:lang w:val="en-GB"/>
        </w:rPr>
        <w:t xml:space="preserve">Available at: </w:t>
      </w:r>
      <w:hyperlink r:id="Rf3a55ecf63b44bd0">
        <w:r w:rsidRPr="06BFC6FC" w:rsidR="06BFC6FC">
          <w:rPr>
            <w:rStyle w:val="Hyperlink"/>
            <w:rFonts w:ascii="Arial" w:hAnsi="Arial" w:eastAsia="Arial" w:cs="Arial"/>
            <w:noProof w:val="0"/>
            <w:color w:val="auto"/>
            <w:sz w:val="24"/>
            <w:szCs w:val="24"/>
            <w:lang w:val="en-GB"/>
          </w:rPr>
          <w:t>https://www.ndna.org.uk/NDNA/Community/myNDNA/Mini_Guides/Maths_in_early_years.aspx</w:t>
        </w:r>
      </w:hyperlink>
      <w:r w:rsidRPr="06BFC6FC" w:rsidR="06BFC6FC">
        <w:rPr>
          <w:rFonts w:ascii="Arial" w:hAnsi="Arial" w:eastAsia="Arial" w:cs="Arial"/>
          <w:noProof w:val="0"/>
          <w:color w:val="auto"/>
          <w:sz w:val="24"/>
          <w:szCs w:val="24"/>
          <w:lang w:val="en-GB"/>
        </w:rPr>
        <w:t xml:space="preserve"> (Accessed: 14 February 2020).</w:t>
      </w:r>
      <w:r w:rsidRPr="06BFC6FC" w:rsidR="06BFC6FC">
        <w:rPr>
          <w:rFonts w:ascii="Arial" w:hAnsi="Arial" w:eastAsia="Arial" w:cs="Arial"/>
          <w:noProof w:val="0"/>
          <w:color w:val="auto"/>
          <w:sz w:val="24"/>
          <w:szCs w:val="24"/>
          <w:lang w:val="en-GB"/>
        </w:rPr>
        <w:t xml:space="preserve"> </w:t>
      </w:r>
    </w:p>
    <w:p w:rsidR="06BFC6FC" w:rsidP="06BFC6FC" w:rsidRDefault="06BFC6FC" w14:paraId="4BF78F2D" w14:textId="4CA78FA0">
      <w:pPr>
        <w:pStyle w:val="Normal"/>
        <w:spacing w:line="360" w:lineRule="auto"/>
        <w:rPr>
          <w:rFonts w:ascii="Arial" w:hAnsi="Arial" w:eastAsia="Arial" w:cs="Arial"/>
          <w:noProof w:val="0"/>
          <w:color w:val="auto"/>
          <w:sz w:val="24"/>
          <w:szCs w:val="24"/>
          <w:lang w:val="en-GB"/>
        </w:rPr>
      </w:pPr>
    </w:p>
    <w:p w:rsidR="1BFF2A54" w:rsidP="06BFC6FC" w:rsidRDefault="1BFF2A54" w14:paraId="2BE4538E" w14:textId="307DBE85">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OCED (2019) </w:t>
      </w:r>
      <w:r w:rsidRPr="06BFC6FC" w:rsidR="06BFC6FC">
        <w:rPr>
          <w:rFonts w:ascii="Arial" w:hAnsi="Arial" w:eastAsia="Arial" w:cs="Arial"/>
          <w:i w:val="1"/>
          <w:iCs w:val="1"/>
          <w:noProof w:val="0"/>
          <w:color w:val="auto"/>
          <w:sz w:val="24"/>
          <w:szCs w:val="24"/>
          <w:lang w:val="en-GB"/>
        </w:rPr>
        <w:t>Denmark p. 3.</w:t>
      </w:r>
      <w:r w:rsidRPr="06BFC6FC" w:rsidR="06BFC6FC">
        <w:rPr>
          <w:rFonts w:ascii="Arial" w:hAnsi="Arial" w:eastAsia="Arial" w:cs="Arial"/>
          <w:noProof w:val="0"/>
          <w:color w:val="auto"/>
          <w:sz w:val="24"/>
          <w:szCs w:val="24"/>
          <w:lang w:val="en-GB"/>
        </w:rPr>
        <w:t xml:space="preserve"> Available at: </w:t>
      </w:r>
      <w:hyperlink r:id="R9c744992f894402e">
        <w:r w:rsidRPr="06BFC6FC" w:rsidR="06BFC6FC">
          <w:rPr>
            <w:rStyle w:val="Hyperlink"/>
            <w:rFonts w:ascii="Arial" w:hAnsi="Arial" w:eastAsia="Arial" w:cs="Arial"/>
            <w:noProof w:val="0"/>
            <w:color w:val="auto"/>
            <w:sz w:val="24"/>
            <w:szCs w:val="24"/>
            <w:lang w:val="en-GB"/>
          </w:rPr>
          <w:t>https://www.oecd.org/education/education-at-a-glance/EAG2019_CN_DNK.pdf</w:t>
        </w:r>
      </w:hyperlink>
      <w:r w:rsidRPr="06BFC6FC" w:rsidR="06BFC6FC">
        <w:rPr>
          <w:rFonts w:ascii="Arial" w:hAnsi="Arial" w:eastAsia="Arial" w:cs="Arial"/>
          <w:noProof w:val="0"/>
          <w:color w:val="auto"/>
          <w:sz w:val="24"/>
          <w:szCs w:val="24"/>
          <w:lang w:val="en-GB"/>
        </w:rPr>
        <w:t xml:space="preserve"> (Accessed: 24 January 2020).</w:t>
      </w:r>
    </w:p>
    <w:p w:rsidR="06BFC6FC" w:rsidP="06BFC6FC" w:rsidRDefault="06BFC6FC" w14:paraId="1752645B" w14:textId="5E5CA5E0">
      <w:pPr>
        <w:pStyle w:val="Normal"/>
        <w:spacing w:line="360" w:lineRule="auto"/>
        <w:rPr>
          <w:rFonts w:ascii="Arial" w:hAnsi="Arial" w:eastAsia="Arial" w:cs="Arial"/>
          <w:noProof w:val="0"/>
          <w:color w:val="auto"/>
          <w:sz w:val="24"/>
          <w:szCs w:val="24"/>
          <w:lang w:val="en-GB"/>
        </w:rPr>
      </w:pPr>
    </w:p>
    <w:p w:rsidR="1BFF2A54" w:rsidP="06BFC6FC" w:rsidRDefault="1BFF2A54" w14:paraId="550BFC2D" w14:textId="2F24CA10">
      <w:pPr>
        <w:pStyle w:val="Normal"/>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Schroeder, S., Curcio, R. and Lundgren, L, and (2019) ‘Expanding the Learning Network: How Teachers Use Pinterest’, </w:t>
      </w:r>
      <w:r w:rsidRPr="06BFC6FC" w:rsidR="06BFC6FC">
        <w:rPr>
          <w:rFonts w:ascii="Arial" w:hAnsi="Arial" w:eastAsia="Arial" w:cs="Arial"/>
          <w:i w:val="1"/>
          <w:iCs w:val="1"/>
          <w:noProof w:val="0"/>
          <w:color w:val="auto"/>
          <w:sz w:val="24"/>
          <w:szCs w:val="24"/>
          <w:lang w:val="en-GB"/>
        </w:rPr>
        <w:t xml:space="preserve">Journal of Research on Technology in Education, </w:t>
      </w:r>
      <w:r w:rsidRPr="06BFC6FC" w:rsidR="06BFC6FC">
        <w:rPr>
          <w:rFonts w:ascii="Arial" w:hAnsi="Arial" w:eastAsia="Arial" w:cs="Arial"/>
          <w:noProof w:val="0"/>
          <w:color w:val="auto"/>
          <w:sz w:val="24"/>
          <w:szCs w:val="24"/>
          <w:lang w:val="en-GB"/>
        </w:rPr>
        <w:t>51(2), pp. 60-68. DOI: 10.1080/15391523.2019.1573354.</w:t>
      </w:r>
    </w:p>
    <w:p w:rsidR="06BFC6FC" w:rsidP="06BFC6FC" w:rsidRDefault="06BFC6FC" w14:paraId="2808200F" w14:textId="55E76260">
      <w:pPr>
        <w:pStyle w:val="Normal"/>
        <w:spacing w:line="360" w:lineRule="auto"/>
        <w:rPr>
          <w:rFonts w:ascii="Arial" w:hAnsi="Arial" w:eastAsia="Arial" w:cs="Arial"/>
          <w:noProof w:val="0"/>
          <w:color w:val="auto"/>
          <w:sz w:val="24"/>
          <w:szCs w:val="24"/>
          <w:lang w:val="en-GB"/>
        </w:rPr>
      </w:pPr>
    </w:p>
    <w:p w:rsidR="1BFF2A54" w:rsidP="06BFC6FC" w:rsidRDefault="1BFF2A54" w14:paraId="60324EE2" w14:textId="5A0B4BA3">
      <w:pPr>
        <w:pStyle w:val="Normal"/>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Smidt, S. (2015) </w:t>
      </w:r>
      <w:r w:rsidRPr="06BFC6FC" w:rsidR="06BFC6FC">
        <w:rPr>
          <w:rFonts w:ascii="Arial" w:hAnsi="Arial" w:eastAsia="Arial" w:cs="Arial"/>
          <w:i w:val="1"/>
          <w:iCs w:val="1"/>
          <w:noProof w:val="0"/>
          <w:color w:val="auto"/>
          <w:sz w:val="24"/>
          <w:szCs w:val="24"/>
          <w:lang w:val="en-GB"/>
        </w:rPr>
        <w:t xml:space="preserve">Observing Young Children: The Role of Observation and Assessment in Early Childhood Settings </w:t>
      </w:r>
      <w:r w:rsidRPr="06BFC6FC" w:rsidR="06BFC6FC">
        <w:rPr>
          <w:rFonts w:ascii="Arial" w:hAnsi="Arial" w:eastAsia="Arial" w:cs="Arial"/>
          <w:noProof w:val="0"/>
          <w:color w:val="auto"/>
          <w:sz w:val="24"/>
          <w:szCs w:val="24"/>
          <w:lang w:val="en-GB"/>
        </w:rPr>
        <w:t xml:space="preserve">(2nd Ed.). London: Routledge. </w:t>
      </w:r>
    </w:p>
    <w:p w:rsidR="06BFC6FC" w:rsidP="06BFC6FC" w:rsidRDefault="06BFC6FC" w14:paraId="0B55C814" w14:textId="17EBA14B">
      <w:pPr>
        <w:pStyle w:val="Normal"/>
        <w:spacing w:line="360" w:lineRule="auto"/>
        <w:rPr>
          <w:rFonts w:ascii="Arial" w:hAnsi="Arial" w:eastAsia="Arial" w:cs="Arial"/>
          <w:noProof w:val="0"/>
          <w:color w:val="auto"/>
          <w:sz w:val="24"/>
          <w:szCs w:val="24"/>
          <w:lang w:val="en-GB"/>
        </w:rPr>
      </w:pPr>
    </w:p>
    <w:p w:rsidR="1BFF2A54" w:rsidP="06BFC6FC" w:rsidRDefault="1BFF2A54" w14:paraId="34C0DDAC" w14:textId="4172485E">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Towers, J.</w:t>
      </w:r>
      <w:r w:rsidRPr="06BFC6FC" w:rsidR="06BFC6FC">
        <w:rPr>
          <w:rFonts w:ascii="Arial" w:hAnsi="Arial" w:eastAsia="Arial" w:cs="Arial"/>
          <w:noProof w:val="0"/>
          <w:color w:val="auto"/>
          <w:sz w:val="24"/>
          <w:szCs w:val="24"/>
          <w:lang w:val="en-GB"/>
        </w:rPr>
        <w:t>, Takeuchi</w:t>
      </w:r>
      <w:r w:rsidRPr="06BFC6FC" w:rsidR="06BFC6FC">
        <w:rPr>
          <w:rFonts w:ascii="Arial" w:hAnsi="Arial" w:eastAsia="Arial" w:cs="Arial"/>
          <w:noProof w:val="0"/>
          <w:color w:val="auto"/>
          <w:sz w:val="24"/>
          <w:szCs w:val="24"/>
          <w:lang w:val="en-GB"/>
        </w:rPr>
        <w:t>, M. and Martin, L. (2018) ‘Examining contextual influences on students’ emotional relationships with mathematics in the early years’,</w:t>
      </w:r>
      <w:r w:rsidRPr="06BFC6FC" w:rsidR="06BFC6FC">
        <w:rPr>
          <w:rFonts w:ascii="Arial" w:hAnsi="Arial" w:eastAsia="Arial" w:cs="Arial"/>
          <w:i w:val="1"/>
          <w:iCs w:val="1"/>
          <w:noProof w:val="0"/>
          <w:color w:val="auto"/>
          <w:sz w:val="24"/>
          <w:szCs w:val="24"/>
          <w:lang w:val="en-GB"/>
        </w:rPr>
        <w:t xml:space="preserve"> Research in Mathematics Education</w:t>
      </w:r>
      <w:r w:rsidRPr="06BFC6FC" w:rsidR="06BFC6FC">
        <w:rPr>
          <w:rFonts w:ascii="Arial" w:hAnsi="Arial" w:eastAsia="Arial" w:cs="Arial"/>
          <w:noProof w:val="0"/>
          <w:color w:val="auto"/>
          <w:sz w:val="24"/>
          <w:szCs w:val="24"/>
          <w:lang w:val="en-GB"/>
        </w:rPr>
        <w:t>, 20(2), pp. 146-165, DOI: 10.1080/14794802.2018.1477058.</w:t>
      </w:r>
    </w:p>
    <w:p w:rsidR="06BFC6FC" w:rsidP="06BFC6FC" w:rsidRDefault="06BFC6FC" w14:paraId="1B2DA441" w14:textId="71C03AD7">
      <w:pPr>
        <w:pStyle w:val="Normal"/>
        <w:spacing w:line="360" w:lineRule="auto"/>
        <w:rPr>
          <w:rFonts w:ascii="Arial" w:hAnsi="Arial" w:eastAsia="Arial" w:cs="Arial"/>
          <w:noProof w:val="0"/>
          <w:color w:val="auto"/>
          <w:sz w:val="24"/>
          <w:szCs w:val="24"/>
          <w:lang w:val="en-GB"/>
        </w:rPr>
      </w:pPr>
    </w:p>
    <w:p w:rsidR="1BFF2A54" w:rsidP="06BFC6FC" w:rsidRDefault="1BFF2A54" w14:paraId="61E5BAD8" w14:textId="79BC6CC5">
      <w:pPr>
        <w:pStyle w:val="Normal"/>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Tucker, K. (2010) </w:t>
      </w:r>
      <w:r w:rsidRPr="06BFC6FC" w:rsidR="06BFC6FC">
        <w:rPr>
          <w:rFonts w:ascii="Arial" w:hAnsi="Arial" w:eastAsia="Arial" w:cs="Arial"/>
          <w:i w:val="1"/>
          <w:iCs w:val="1"/>
          <w:noProof w:val="0"/>
          <w:color w:val="auto"/>
          <w:sz w:val="24"/>
          <w:szCs w:val="24"/>
          <w:lang w:val="en-GB"/>
        </w:rPr>
        <w:t xml:space="preserve">Mathematics Through Play in the Early Years. </w:t>
      </w:r>
      <w:r w:rsidRPr="06BFC6FC" w:rsidR="06BFC6FC">
        <w:rPr>
          <w:rFonts w:ascii="Arial" w:hAnsi="Arial" w:eastAsia="Arial" w:cs="Arial"/>
          <w:noProof w:val="0"/>
          <w:color w:val="auto"/>
          <w:sz w:val="24"/>
          <w:szCs w:val="24"/>
          <w:lang w:val="en-GB"/>
        </w:rPr>
        <w:t>2nd Ed. London: Sage.</w:t>
      </w:r>
    </w:p>
    <w:p w:rsidR="06BFC6FC" w:rsidP="06BFC6FC" w:rsidRDefault="06BFC6FC" w14:paraId="6E5C87F1" w14:textId="696217F9">
      <w:pPr>
        <w:pStyle w:val="Normal"/>
        <w:spacing w:line="360" w:lineRule="auto"/>
        <w:rPr>
          <w:rFonts w:ascii="Arial" w:hAnsi="Arial" w:eastAsia="Arial" w:cs="Arial"/>
          <w:noProof w:val="0"/>
          <w:color w:val="auto"/>
          <w:sz w:val="24"/>
          <w:szCs w:val="24"/>
          <w:lang w:val="en-GB"/>
        </w:rPr>
      </w:pPr>
    </w:p>
    <w:p w:rsidR="1BFF2A54" w:rsidP="06BFC6FC" w:rsidRDefault="1BFF2A54" w14:paraId="3D8BF00C" w14:textId="51D27C3E">
      <w:pPr>
        <w:pStyle w:val="Normal"/>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Tucker, K. (2014) </w:t>
      </w:r>
      <w:r w:rsidRPr="06BFC6FC" w:rsidR="06BFC6FC">
        <w:rPr>
          <w:rFonts w:ascii="Arial" w:hAnsi="Arial" w:eastAsia="Arial" w:cs="Arial"/>
          <w:i w:val="1"/>
          <w:iCs w:val="1"/>
          <w:noProof w:val="0"/>
          <w:color w:val="auto"/>
          <w:sz w:val="24"/>
          <w:szCs w:val="24"/>
          <w:lang w:val="en-GB"/>
        </w:rPr>
        <w:t>Mathematics Through Play in the Early Years</w:t>
      </w:r>
      <w:r w:rsidRPr="06BFC6FC" w:rsidR="06BFC6FC">
        <w:rPr>
          <w:rFonts w:ascii="Arial" w:hAnsi="Arial" w:eastAsia="Arial" w:cs="Arial"/>
          <w:noProof w:val="0"/>
          <w:color w:val="auto"/>
          <w:sz w:val="24"/>
          <w:szCs w:val="24"/>
          <w:lang w:val="en-GB"/>
        </w:rPr>
        <w:t xml:space="preserve">. 3rd Ed. London: Sage. </w:t>
      </w:r>
    </w:p>
    <w:p w:rsidR="1BFF2A54" w:rsidP="06BFC6FC" w:rsidRDefault="1BFF2A54" w14:paraId="12D5B04B" w14:textId="73086E08">
      <w:pPr>
        <w:pStyle w:val="Normal"/>
        <w:spacing w:line="360" w:lineRule="auto"/>
        <w:rPr>
          <w:rFonts w:ascii="Arial" w:hAnsi="Arial" w:eastAsia="Arial" w:cs="Arial"/>
          <w:noProof w:val="0"/>
          <w:color w:val="auto"/>
          <w:sz w:val="24"/>
          <w:szCs w:val="24"/>
          <w:lang w:val="en-GB"/>
        </w:rPr>
      </w:pPr>
      <w:r>
        <w:br/>
      </w:r>
      <w:r w:rsidRPr="06BFC6FC" w:rsidR="06BFC6FC">
        <w:rPr>
          <w:rFonts w:ascii="Arial" w:hAnsi="Arial" w:eastAsia="Arial" w:cs="Arial"/>
          <w:noProof w:val="0"/>
          <w:color w:val="auto"/>
          <w:sz w:val="24"/>
          <w:szCs w:val="24"/>
          <w:lang w:val="en-GB"/>
        </w:rPr>
        <w:t xml:space="preserve">Turner, S. (2013) </w:t>
      </w:r>
      <w:r w:rsidRPr="06BFC6FC" w:rsidR="06BFC6FC">
        <w:rPr>
          <w:rFonts w:ascii="Arial" w:hAnsi="Arial" w:eastAsia="Arial" w:cs="Arial"/>
          <w:i w:val="1"/>
          <w:iCs w:val="1"/>
          <w:noProof w:val="0"/>
          <w:color w:val="auto"/>
          <w:sz w:val="24"/>
          <w:szCs w:val="24"/>
          <w:lang w:val="en-GB"/>
        </w:rPr>
        <w:t xml:space="preserve">Teaching Primary Mathematics. </w:t>
      </w:r>
      <w:r w:rsidRPr="06BFC6FC" w:rsidR="06BFC6FC">
        <w:rPr>
          <w:rFonts w:ascii="Arial" w:hAnsi="Arial" w:eastAsia="Arial" w:cs="Arial"/>
          <w:noProof w:val="0"/>
          <w:color w:val="auto"/>
          <w:sz w:val="24"/>
          <w:szCs w:val="24"/>
          <w:lang w:val="en-GB"/>
        </w:rPr>
        <w:t>London: Sage.</w:t>
      </w:r>
    </w:p>
    <w:p w:rsidR="1BFF2A54" w:rsidP="06BFC6FC" w:rsidRDefault="1BFF2A54" w14:paraId="17A19F13" w14:textId="69C7C5FC">
      <w:pPr>
        <w:pStyle w:val="Normal"/>
        <w:spacing w:line="360" w:lineRule="auto"/>
        <w:rPr>
          <w:rFonts w:ascii="Arial" w:hAnsi="Arial" w:eastAsia="Arial" w:cs="Arial"/>
          <w:color w:val="auto"/>
          <w:sz w:val="24"/>
          <w:szCs w:val="24"/>
        </w:rPr>
      </w:pPr>
    </w:p>
    <w:p w:rsidR="1BFF2A54" w:rsidP="06BFC6FC" w:rsidRDefault="1BFF2A54" w14:paraId="5A4CC948" w14:textId="529DC599">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UNICEF (no date) </w:t>
      </w:r>
      <w:r w:rsidRPr="06BFC6FC" w:rsidR="06BFC6FC">
        <w:rPr>
          <w:rFonts w:ascii="Arial" w:hAnsi="Arial" w:eastAsia="Arial" w:cs="Arial"/>
          <w:i w:val="1"/>
          <w:iCs w:val="1"/>
          <w:noProof w:val="0"/>
          <w:color w:val="auto"/>
          <w:sz w:val="24"/>
          <w:szCs w:val="24"/>
          <w:lang w:val="en-GB"/>
        </w:rPr>
        <w:t xml:space="preserve">The United Nations Convention on the Rights of the Child. </w:t>
      </w:r>
      <w:r w:rsidRPr="06BFC6FC" w:rsidR="06BFC6FC">
        <w:rPr>
          <w:rFonts w:ascii="Arial" w:hAnsi="Arial" w:eastAsia="Arial" w:cs="Arial"/>
          <w:noProof w:val="0"/>
          <w:color w:val="auto"/>
          <w:sz w:val="24"/>
          <w:szCs w:val="24"/>
          <w:lang w:val="en-GB"/>
        </w:rPr>
        <w:t xml:space="preserve">Available at: </w:t>
      </w:r>
      <w:hyperlink r:id="Rbfbbbc6d92504a12">
        <w:r w:rsidRPr="06BFC6FC" w:rsidR="06BFC6FC">
          <w:rPr>
            <w:rStyle w:val="Hyperlink"/>
            <w:rFonts w:ascii="Arial" w:hAnsi="Arial" w:eastAsia="Arial" w:cs="Arial"/>
            <w:noProof w:val="0"/>
            <w:color w:val="auto"/>
            <w:sz w:val="24"/>
            <w:szCs w:val="24"/>
            <w:lang w:val="en-GB"/>
          </w:rPr>
          <w:t>https://downloads.unicef.org.uk/wp-content/uploads/2016/08/unicef-convention-rights-child-uncrc.pdf?_ga=2.57702634.1537694205.1581627453-1566294379.1570377609</w:t>
        </w:r>
      </w:hyperlink>
      <w:r w:rsidRPr="06BFC6FC" w:rsidR="06BFC6FC">
        <w:rPr>
          <w:rFonts w:ascii="Arial" w:hAnsi="Arial" w:eastAsia="Arial" w:cs="Arial"/>
          <w:noProof w:val="0"/>
          <w:color w:val="auto"/>
          <w:sz w:val="24"/>
          <w:szCs w:val="24"/>
          <w:lang w:val="en-GB"/>
        </w:rPr>
        <w:t xml:space="preserve"> (Accessed: 13 February 2020).</w:t>
      </w:r>
    </w:p>
    <w:p w:rsidR="06BFC6FC" w:rsidP="06BFC6FC" w:rsidRDefault="06BFC6FC" w14:paraId="388B5EB0" w14:textId="1CB717FF">
      <w:pPr>
        <w:pStyle w:val="Normal"/>
        <w:spacing w:line="360" w:lineRule="auto"/>
        <w:rPr>
          <w:rFonts w:ascii="Arial" w:hAnsi="Arial" w:eastAsia="Arial" w:cs="Arial"/>
          <w:noProof w:val="0"/>
          <w:color w:val="auto"/>
          <w:sz w:val="24"/>
          <w:szCs w:val="24"/>
          <w:lang w:val="en-GB"/>
        </w:rPr>
      </w:pPr>
    </w:p>
    <w:p w:rsidR="1BFF2A54" w:rsidP="06BFC6FC" w:rsidRDefault="1BFF2A54" w14:paraId="5BAB9674" w14:textId="404B585A">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Welsh Government (2015) </w:t>
      </w:r>
      <w:r w:rsidRPr="06BFC6FC" w:rsidR="06BFC6FC">
        <w:rPr>
          <w:rFonts w:ascii="Arial" w:hAnsi="Arial" w:eastAsia="Arial" w:cs="Arial"/>
          <w:i w:val="1"/>
          <w:iCs w:val="1"/>
          <w:noProof w:val="0"/>
          <w:color w:val="auto"/>
          <w:sz w:val="24"/>
          <w:szCs w:val="24"/>
          <w:lang w:val="en-GB"/>
        </w:rPr>
        <w:t xml:space="preserve">The Foundation Phase Framework. </w:t>
      </w:r>
      <w:r w:rsidRPr="06BFC6FC" w:rsidR="06BFC6FC">
        <w:rPr>
          <w:rFonts w:ascii="Arial" w:hAnsi="Arial" w:eastAsia="Arial" w:cs="Arial"/>
          <w:noProof w:val="0"/>
          <w:color w:val="auto"/>
          <w:sz w:val="24"/>
          <w:szCs w:val="24"/>
          <w:lang w:val="en-GB"/>
        </w:rPr>
        <w:t xml:space="preserve">Available at: </w:t>
      </w:r>
      <w:hyperlink r:id="R4b8ef50c36bc4b7c">
        <w:r w:rsidRPr="06BFC6FC" w:rsidR="06BFC6FC">
          <w:rPr>
            <w:rStyle w:val="Hyperlink"/>
            <w:rFonts w:ascii="Arial" w:hAnsi="Arial" w:eastAsia="Arial" w:cs="Arial"/>
            <w:noProof w:val="0"/>
            <w:color w:val="auto"/>
            <w:sz w:val="24"/>
            <w:szCs w:val="24"/>
            <w:lang w:val="en-GB"/>
          </w:rPr>
          <w:t>https://hwb.gov.wales/storage/d5d8e39c-b534-40cb-a3f5-7e2e126d8077/founda. tion-phase-framework.pdf</w:t>
        </w:r>
      </w:hyperlink>
      <w:r w:rsidRPr="06BFC6FC" w:rsidR="06BFC6FC">
        <w:rPr>
          <w:rFonts w:ascii="Arial" w:hAnsi="Arial" w:eastAsia="Arial" w:cs="Arial"/>
          <w:noProof w:val="0"/>
          <w:color w:val="auto"/>
          <w:sz w:val="24"/>
          <w:szCs w:val="24"/>
          <w:lang w:val="en-GB"/>
        </w:rPr>
        <w:t xml:space="preserve"> (Accessed 23 January 2020).</w:t>
      </w:r>
    </w:p>
    <w:p w:rsidR="06BFC6FC" w:rsidP="06BFC6FC" w:rsidRDefault="06BFC6FC" w14:paraId="7D560F65" w14:textId="455E574D">
      <w:pPr>
        <w:pStyle w:val="Normal"/>
        <w:spacing w:line="360" w:lineRule="auto"/>
        <w:rPr>
          <w:rFonts w:ascii="Arial" w:hAnsi="Arial" w:eastAsia="Arial" w:cs="Arial"/>
          <w:noProof w:val="0"/>
          <w:color w:val="auto"/>
          <w:sz w:val="24"/>
          <w:szCs w:val="24"/>
          <w:lang w:val="en-GB"/>
        </w:rPr>
      </w:pPr>
    </w:p>
    <w:p w:rsidR="1BFF2A54" w:rsidP="06BFC6FC" w:rsidRDefault="1BFF2A54" w14:paraId="57702976" w14:textId="09C40C93">
      <w:pPr>
        <w:spacing w:line="360" w:lineRule="auto"/>
        <w:rPr>
          <w:rFonts w:ascii="Arial" w:hAnsi="Arial" w:eastAsia="Arial" w:cs="Arial"/>
          <w:i w:val="1"/>
          <w:iCs w:val="1"/>
          <w:noProof w:val="0"/>
          <w:color w:val="auto"/>
          <w:sz w:val="24"/>
          <w:szCs w:val="24"/>
          <w:lang w:val="en-GB"/>
        </w:rPr>
      </w:pPr>
      <w:r w:rsidRPr="06BFC6FC" w:rsidR="06BFC6FC">
        <w:rPr>
          <w:rFonts w:ascii="Arial" w:hAnsi="Arial" w:eastAsia="Arial" w:cs="Arial"/>
          <w:noProof w:val="0"/>
          <w:color w:val="auto"/>
          <w:sz w:val="24"/>
          <w:szCs w:val="24"/>
          <w:lang w:val="en-GB"/>
        </w:rPr>
        <w:t xml:space="preserve">Welsh Assembly Government (2010) </w:t>
      </w:r>
      <w:r w:rsidRPr="06BFC6FC" w:rsidR="06BFC6FC">
        <w:rPr>
          <w:rFonts w:ascii="Arial" w:hAnsi="Arial" w:eastAsia="Arial" w:cs="Arial"/>
          <w:i w:val="1"/>
          <w:iCs w:val="1"/>
          <w:noProof w:val="0"/>
          <w:color w:val="auto"/>
          <w:sz w:val="24"/>
          <w:szCs w:val="24"/>
          <w:lang w:val="en-GB"/>
        </w:rPr>
        <w:t>Why develop thinking and</w:t>
      </w:r>
    </w:p>
    <w:p w:rsidR="1BFF2A54" w:rsidP="06BFC6FC" w:rsidRDefault="1BFF2A54" w14:paraId="785F5C33" w14:textId="062055B1">
      <w:pPr>
        <w:spacing w:line="360" w:lineRule="auto"/>
        <w:rPr>
          <w:rFonts w:ascii="Arial" w:hAnsi="Arial" w:eastAsia="Arial" w:cs="Arial"/>
          <w:noProof w:val="0"/>
          <w:color w:val="auto"/>
          <w:sz w:val="24"/>
          <w:szCs w:val="24"/>
          <w:lang w:val="en-GB"/>
        </w:rPr>
      </w:pPr>
      <w:r w:rsidRPr="06BFC6FC" w:rsidR="06BFC6FC">
        <w:rPr>
          <w:rFonts w:ascii="Arial" w:hAnsi="Arial" w:eastAsia="Arial" w:cs="Arial"/>
          <w:i w:val="1"/>
          <w:iCs w:val="1"/>
          <w:noProof w:val="0"/>
          <w:color w:val="auto"/>
          <w:sz w:val="24"/>
          <w:szCs w:val="24"/>
          <w:lang w:val="en-GB"/>
        </w:rPr>
        <w:t xml:space="preserve">assessment for learning in the classroom? </w:t>
      </w:r>
      <w:r w:rsidRPr="06BFC6FC" w:rsidR="06BFC6FC">
        <w:rPr>
          <w:rFonts w:ascii="Arial" w:hAnsi="Arial" w:eastAsia="Arial" w:cs="Arial"/>
          <w:noProof w:val="0"/>
          <w:color w:val="auto"/>
          <w:sz w:val="24"/>
          <w:szCs w:val="24"/>
          <w:lang w:val="en-GB"/>
        </w:rPr>
        <w:t xml:space="preserve">Available at: </w:t>
      </w:r>
      <w:hyperlink r:id="R3ea02febcd2d4001">
        <w:r w:rsidRPr="06BFC6FC" w:rsidR="06BFC6FC">
          <w:rPr>
            <w:rStyle w:val="Hyperlink"/>
            <w:rFonts w:ascii="Arial" w:hAnsi="Arial" w:eastAsia="Arial" w:cs="Arial"/>
            <w:noProof w:val="0"/>
            <w:color w:val="auto"/>
            <w:sz w:val="24"/>
            <w:szCs w:val="24"/>
            <w:lang w:val="en-GB"/>
          </w:rPr>
          <w:t>https://hwb.gov.wales/storage/2d2b99cd-5431-421e-ac8b-8608fe0edf05/why-develop-thinking-and-assessment-for-learning-in-the-classroom.pdf</w:t>
        </w:r>
      </w:hyperlink>
      <w:r w:rsidRPr="06BFC6FC" w:rsidR="06BFC6FC">
        <w:rPr>
          <w:rFonts w:ascii="Arial" w:hAnsi="Arial" w:eastAsia="Arial" w:cs="Arial"/>
          <w:noProof w:val="0"/>
          <w:color w:val="auto"/>
          <w:sz w:val="24"/>
          <w:szCs w:val="24"/>
          <w:lang w:val="en-GB"/>
        </w:rPr>
        <w:t xml:space="preserve"> (Accessed: 21 February 2020).</w:t>
      </w:r>
    </w:p>
    <w:p w:rsidR="1BFF2A54" w:rsidP="06BFC6FC" w:rsidRDefault="1BFF2A54" w14:paraId="61A8B42D" w14:textId="7D425CAD">
      <w:pPr>
        <w:pStyle w:val="Normal"/>
        <w:spacing w:line="360" w:lineRule="auto"/>
        <w:rPr>
          <w:rFonts w:ascii="Arial" w:hAnsi="Arial" w:eastAsia="Arial" w:cs="Arial"/>
          <w:color w:val="auto"/>
          <w:sz w:val="24"/>
          <w:szCs w:val="24"/>
        </w:rPr>
      </w:pPr>
      <w:r>
        <w:br/>
      </w:r>
      <w:r w:rsidRPr="06BFC6FC" w:rsidR="06BFC6FC">
        <w:rPr>
          <w:rFonts w:ascii="Arial" w:hAnsi="Arial" w:eastAsia="Arial" w:cs="Arial"/>
          <w:noProof w:val="0"/>
          <w:color w:val="auto"/>
          <w:sz w:val="24"/>
          <w:szCs w:val="24"/>
          <w:lang w:val="en-GB"/>
        </w:rPr>
        <w:t xml:space="preserve">Welsh Government (2019) </w:t>
      </w:r>
      <w:r w:rsidRPr="06BFC6FC" w:rsidR="06BFC6FC">
        <w:rPr>
          <w:rFonts w:ascii="Arial" w:hAnsi="Arial" w:eastAsia="Arial" w:cs="Arial"/>
          <w:i w:val="1"/>
          <w:iCs w:val="1"/>
          <w:noProof w:val="0"/>
          <w:color w:val="auto"/>
          <w:sz w:val="24"/>
          <w:szCs w:val="24"/>
          <w:lang w:val="en-GB"/>
        </w:rPr>
        <w:t xml:space="preserve">Area of Learning and Experience: Mathematics and Numeracy. </w:t>
      </w:r>
      <w:r w:rsidRPr="06BFC6FC" w:rsidR="06BFC6FC">
        <w:rPr>
          <w:rFonts w:ascii="Arial" w:hAnsi="Arial" w:eastAsia="Arial" w:cs="Arial"/>
          <w:noProof w:val="0"/>
          <w:color w:val="auto"/>
          <w:sz w:val="24"/>
          <w:szCs w:val="24"/>
          <w:lang w:val="en-GB"/>
        </w:rPr>
        <w:t xml:space="preserve">Available at: </w:t>
      </w:r>
      <w:hyperlink r:id="R8f62af21ee964dff">
        <w:r w:rsidRPr="06BFC6FC" w:rsidR="06BFC6FC">
          <w:rPr>
            <w:rStyle w:val="Hyperlink"/>
            <w:rFonts w:ascii="Arial" w:hAnsi="Arial" w:eastAsia="Arial" w:cs="Arial"/>
            <w:noProof w:val="0"/>
            <w:color w:val="auto"/>
            <w:sz w:val="24"/>
            <w:szCs w:val="24"/>
            <w:lang w:val="en-GB"/>
          </w:rPr>
          <w:t>https://hwb.gov.wales/curriculum-for-wales/mathematics-and-numeracy</w:t>
        </w:r>
      </w:hyperlink>
      <w:r w:rsidRPr="06BFC6FC" w:rsidR="06BFC6FC">
        <w:rPr>
          <w:rFonts w:ascii="Arial" w:hAnsi="Arial" w:eastAsia="Arial" w:cs="Arial"/>
          <w:noProof w:val="0"/>
          <w:color w:val="auto"/>
          <w:sz w:val="24"/>
          <w:szCs w:val="24"/>
          <w:lang w:val="en-GB"/>
        </w:rPr>
        <w:t xml:space="preserve"> (Accessed: 19 February 2020).</w:t>
      </w:r>
      <w:r>
        <w:br/>
      </w:r>
    </w:p>
    <w:p w:rsidR="1BFF2A54" w:rsidP="06BFC6FC" w:rsidRDefault="1BFF2A54" w14:paraId="7A08C872" w14:textId="2949FCC6">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Welsh Government (2019, a) </w:t>
      </w:r>
      <w:r w:rsidRPr="06BFC6FC" w:rsidR="06BFC6FC">
        <w:rPr>
          <w:rFonts w:ascii="Arial" w:hAnsi="Arial" w:eastAsia="Arial" w:cs="Arial"/>
          <w:i w:val="1"/>
          <w:iCs w:val="1"/>
          <w:noProof w:val="0"/>
          <w:color w:val="auto"/>
          <w:sz w:val="24"/>
          <w:szCs w:val="24"/>
          <w:lang w:val="en-GB"/>
        </w:rPr>
        <w:t xml:space="preserve">no title. </w:t>
      </w:r>
      <w:r w:rsidRPr="06BFC6FC" w:rsidR="06BFC6FC">
        <w:rPr>
          <w:rFonts w:ascii="Arial" w:hAnsi="Arial" w:eastAsia="Arial" w:cs="Arial"/>
          <w:noProof w:val="0"/>
          <w:color w:val="auto"/>
          <w:sz w:val="24"/>
          <w:szCs w:val="24"/>
          <w:lang w:val="en-GB"/>
        </w:rPr>
        <w:t xml:space="preserve">Available at: </w:t>
      </w:r>
      <w:hyperlink r:id="R9ef068b2e40642de">
        <w:r w:rsidRPr="06BFC6FC" w:rsidR="06BFC6FC">
          <w:rPr>
            <w:rStyle w:val="Hyperlink"/>
            <w:rFonts w:ascii="Arial" w:hAnsi="Arial" w:eastAsia="Arial" w:cs="Arial"/>
            <w:noProof w:val="0"/>
            <w:color w:val="auto"/>
            <w:sz w:val="24"/>
            <w:szCs w:val="24"/>
            <w:lang w:val="en-GB"/>
          </w:rPr>
          <w:t>https://hwb.gov.wales/storage/7a59cf3b-5ae6-47cd-8305-f8559b94af56/national-literacy-and-numeracy-framework-literacy-reading-across-the-curriculum-curriculum-2022.pdf</w:t>
        </w:r>
      </w:hyperlink>
      <w:r w:rsidRPr="06BFC6FC" w:rsidR="06BFC6FC">
        <w:rPr>
          <w:rFonts w:ascii="Arial" w:hAnsi="Arial" w:eastAsia="Arial" w:cs="Arial"/>
          <w:noProof w:val="0"/>
          <w:color w:val="auto"/>
          <w:sz w:val="24"/>
          <w:szCs w:val="24"/>
          <w:lang w:val="en-GB"/>
        </w:rPr>
        <w:t xml:space="preserve"> (Accessed: 14 February 2020).</w:t>
      </w:r>
    </w:p>
    <w:p w:rsidR="06BFC6FC" w:rsidP="06BFC6FC" w:rsidRDefault="06BFC6FC" w14:paraId="6F859175" w14:textId="730383BE">
      <w:pPr>
        <w:pStyle w:val="Normal"/>
        <w:spacing w:line="360" w:lineRule="auto"/>
        <w:rPr>
          <w:rFonts w:ascii="Arial" w:hAnsi="Arial" w:eastAsia="Arial" w:cs="Arial"/>
          <w:noProof w:val="0"/>
          <w:color w:val="auto"/>
          <w:sz w:val="24"/>
          <w:szCs w:val="24"/>
          <w:lang w:val="en-GB"/>
        </w:rPr>
      </w:pPr>
    </w:p>
    <w:p w:rsidR="1BFF2A54" w:rsidP="06BFC6FC" w:rsidRDefault="1BFF2A54" w14:paraId="0D3C30FB" w14:textId="7266E6A0">
      <w:pPr>
        <w:spacing w:line="360" w:lineRule="auto"/>
        <w:rPr>
          <w:rFonts w:ascii="Arial" w:hAnsi="Arial" w:eastAsia="Arial" w:cs="Arial"/>
          <w:i w:val="1"/>
          <w:iCs w:val="1"/>
          <w:noProof w:val="0"/>
          <w:color w:val="auto"/>
          <w:sz w:val="24"/>
          <w:szCs w:val="24"/>
          <w:lang w:val="en-GB"/>
        </w:rPr>
      </w:pPr>
      <w:r w:rsidRPr="06BFC6FC" w:rsidR="06BFC6FC">
        <w:rPr>
          <w:rFonts w:ascii="Arial" w:hAnsi="Arial" w:eastAsia="Arial" w:cs="Arial"/>
          <w:noProof w:val="0"/>
          <w:color w:val="auto"/>
          <w:sz w:val="24"/>
          <w:szCs w:val="24"/>
          <w:lang w:val="en-GB"/>
        </w:rPr>
        <w:t xml:space="preserve">Welsh Government (2019, b) </w:t>
      </w:r>
      <w:r w:rsidRPr="06BFC6FC" w:rsidR="06BFC6FC">
        <w:rPr>
          <w:rFonts w:ascii="Arial" w:hAnsi="Arial" w:eastAsia="Arial" w:cs="Arial"/>
          <w:i w:val="1"/>
          <w:iCs w:val="1"/>
          <w:noProof w:val="0"/>
          <w:color w:val="auto"/>
          <w:sz w:val="24"/>
          <w:szCs w:val="24"/>
          <w:lang w:val="en-GB"/>
        </w:rPr>
        <w:t>Academic achievement of pupils aged 4 to 14 in</w:t>
      </w:r>
    </w:p>
    <w:p w:rsidR="1BFF2A54" w:rsidP="06BFC6FC" w:rsidRDefault="1BFF2A54" w14:paraId="1424BA3B" w14:textId="004BC8E4">
      <w:pPr>
        <w:spacing w:line="360" w:lineRule="auto"/>
        <w:rPr>
          <w:rFonts w:ascii="Arial" w:hAnsi="Arial" w:eastAsia="Arial" w:cs="Arial"/>
          <w:noProof w:val="0"/>
          <w:color w:val="auto"/>
          <w:sz w:val="24"/>
          <w:szCs w:val="24"/>
          <w:lang w:val="en-GB"/>
        </w:rPr>
      </w:pPr>
      <w:r w:rsidRPr="06BFC6FC" w:rsidR="06BFC6FC">
        <w:rPr>
          <w:rFonts w:ascii="Arial" w:hAnsi="Arial" w:eastAsia="Arial" w:cs="Arial"/>
          <w:i w:val="1"/>
          <w:iCs w:val="1"/>
          <w:noProof w:val="0"/>
          <w:color w:val="auto"/>
          <w:sz w:val="24"/>
          <w:szCs w:val="24"/>
          <w:lang w:val="en-GB"/>
        </w:rPr>
        <w:t xml:space="preserve">core subjects, 2019. </w:t>
      </w:r>
      <w:r w:rsidRPr="06BFC6FC" w:rsidR="06BFC6FC">
        <w:rPr>
          <w:rFonts w:ascii="Arial" w:hAnsi="Arial" w:eastAsia="Arial" w:cs="Arial"/>
          <w:noProof w:val="0"/>
          <w:color w:val="auto"/>
          <w:sz w:val="24"/>
          <w:szCs w:val="24"/>
          <w:lang w:val="en-GB"/>
        </w:rPr>
        <w:t xml:space="preserve">Available at: </w:t>
      </w:r>
      <w:hyperlink r:id="Rcedf8012aae342ad">
        <w:r w:rsidRPr="06BFC6FC" w:rsidR="06BFC6FC">
          <w:rPr>
            <w:rStyle w:val="Hyperlink"/>
            <w:rFonts w:ascii="Arial" w:hAnsi="Arial" w:eastAsia="Arial" w:cs="Arial"/>
            <w:noProof w:val="0"/>
            <w:color w:val="auto"/>
            <w:sz w:val="24"/>
            <w:szCs w:val="24"/>
            <w:lang w:val="en-GB"/>
          </w:rPr>
          <w:t>https://gov.wales/sites/default/files/statistics-and-research/2019-08/academic-achievement-pupils-aged-4-14-core-subjects-2019.pdf</w:t>
        </w:r>
      </w:hyperlink>
      <w:r w:rsidRPr="06BFC6FC" w:rsidR="06BFC6FC">
        <w:rPr>
          <w:rFonts w:ascii="Arial" w:hAnsi="Arial" w:eastAsia="Arial" w:cs="Arial"/>
          <w:noProof w:val="0"/>
          <w:color w:val="auto"/>
          <w:sz w:val="24"/>
          <w:szCs w:val="24"/>
          <w:lang w:val="en-GB"/>
        </w:rPr>
        <w:t xml:space="preserve"> (Accessed: 20 February 2020).</w:t>
      </w:r>
    </w:p>
    <w:p w:rsidR="1BFF2A54" w:rsidP="06BFC6FC" w:rsidRDefault="1BFF2A54" w14:paraId="60F53173" w14:textId="413CF5E6">
      <w:pPr>
        <w:spacing w:line="360" w:lineRule="auto"/>
        <w:rPr>
          <w:rFonts w:ascii="Arial" w:hAnsi="Arial" w:eastAsia="Arial" w:cs="Arial"/>
          <w:color w:val="auto"/>
          <w:sz w:val="24"/>
          <w:szCs w:val="24"/>
        </w:rPr>
      </w:pPr>
    </w:p>
    <w:p w:rsidR="1BFF2A54" w:rsidP="06BFC6FC" w:rsidRDefault="1BFF2A54" w14:paraId="0AD2584C" w14:textId="51582DA8">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Welsh Government (2020) </w:t>
      </w:r>
      <w:r w:rsidRPr="06BFC6FC" w:rsidR="06BFC6FC">
        <w:rPr>
          <w:rFonts w:ascii="Arial" w:hAnsi="Arial" w:eastAsia="Arial" w:cs="Arial"/>
          <w:i w:val="1"/>
          <w:iCs w:val="1"/>
          <w:noProof w:val="0"/>
          <w:color w:val="auto"/>
          <w:sz w:val="24"/>
          <w:szCs w:val="24"/>
          <w:lang w:val="en-GB"/>
        </w:rPr>
        <w:t xml:space="preserve">Curriculum for Wales guidance. </w:t>
      </w:r>
      <w:r w:rsidRPr="06BFC6FC" w:rsidR="06BFC6FC">
        <w:rPr>
          <w:rFonts w:ascii="Arial" w:hAnsi="Arial" w:eastAsia="Arial" w:cs="Arial"/>
          <w:noProof w:val="0"/>
          <w:color w:val="auto"/>
          <w:sz w:val="24"/>
          <w:szCs w:val="24"/>
          <w:lang w:val="en-GB"/>
        </w:rPr>
        <w:t>Available at:</w:t>
      </w:r>
      <w:r w:rsidRPr="06BFC6FC" w:rsidR="06BFC6FC">
        <w:rPr>
          <w:rFonts w:ascii="Arial" w:hAnsi="Arial" w:eastAsia="Arial" w:cs="Arial"/>
          <w:i w:val="1"/>
          <w:iCs w:val="1"/>
          <w:noProof w:val="0"/>
          <w:color w:val="auto"/>
          <w:sz w:val="24"/>
          <w:szCs w:val="24"/>
          <w:lang w:val="en-GB"/>
        </w:rPr>
        <w:t xml:space="preserve"> </w:t>
      </w:r>
      <w:hyperlink r:id="R75028b1fbc5a470b">
        <w:r w:rsidRPr="06BFC6FC" w:rsidR="06BFC6FC">
          <w:rPr>
            <w:rStyle w:val="Hyperlink"/>
            <w:rFonts w:ascii="Arial" w:hAnsi="Arial" w:eastAsia="Arial" w:cs="Arial"/>
            <w:noProof w:val="0"/>
            <w:color w:val="auto"/>
            <w:sz w:val="24"/>
            <w:szCs w:val="24"/>
            <w:lang w:val="en-GB"/>
          </w:rPr>
          <w:t>https://hwb.gov.wales/storage/331eb63b-481f-4b0b-a607-5e6c3e41ae0f/curriculum-for-wales-guidance-070220.pdf</w:t>
        </w:r>
      </w:hyperlink>
      <w:r w:rsidRPr="06BFC6FC" w:rsidR="06BFC6FC">
        <w:rPr>
          <w:rFonts w:ascii="Arial" w:hAnsi="Arial" w:eastAsia="Arial" w:cs="Arial"/>
          <w:noProof w:val="0"/>
          <w:color w:val="auto"/>
          <w:sz w:val="24"/>
          <w:szCs w:val="24"/>
          <w:lang w:val="en-GB"/>
        </w:rPr>
        <w:t xml:space="preserve"> (Accessed: 20 February 2020).</w:t>
      </w:r>
    </w:p>
    <w:p w:rsidR="1BFF2A54" w:rsidP="06BFC6FC" w:rsidRDefault="1BFF2A54" w14:paraId="26A77BEC" w14:textId="11D5B346">
      <w:pPr>
        <w:spacing w:line="360" w:lineRule="auto"/>
        <w:rPr>
          <w:rFonts w:ascii="Arial" w:hAnsi="Arial" w:eastAsia="Arial" w:cs="Arial"/>
          <w:color w:val="auto"/>
          <w:sz w:val="24"/>
          <w:szCs w:val="24"/>
        </w:rPr>
      </w:pPr>
    </w:p>
    <w:p w:rsidR="1BFF2A54" w:rsidP="06BFC6FC" w:rsidRDefault="1BFF2A54" w14:paraId="295A1882" w14:textId="7EFC9167">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Willis, L. and Exley, B. (2018) ‘Using an Online Social Media Space to Engage Parents in Student Learning in the Early-years: Enablers and Impediments’, </w:t>
      </w:r>
      <w:r w:rsidRPr="06BFC6FC" w:rsidR="06BFC6FC">
        <w:rPr>
          <w:rFonts w:ascii="Arial" w:hAnsi="Arial" w:eastAsia="Arial" w:cs="Arial"/>
          <w:i w:val="1"/>
          <w:iCs w:val="1"/>
          <w:noProof w:val="0"/>
          <w:color w:val="auto"/>
          <w:sz w:val="24"/>
          <w:szCs w:val="24"/>
          <w:lang w:val="en-GB"/>
        </w:rPr>
        <w:t>Digital Education Review,</w:t>
      </w:r>
      <w:r w:rsidRPr="06BFC6FC" w:rsidR="06BFC6FC">
        <w:rPr>
          <w:rFonts w:ascii="Arial" w:hAnsi="Arial" w:eastAsia="Arial" w:cs="Arial"/>
          <w:noProof w:val="0"/>
          <w:color w:val="auto"/>
          <w:sz w:val="24"/>
          <w:szCs w:val="24"/>
          <w:lang w:val="en-GB"/>
        </w:rPr>
        <w:t xml:space="preserve"> (33), pp. 87-105. Available at: </w:t>
      </w:r>
      <w:hyperlink r:id="Recae230fdbea44da">
        <w:r w:rsidRPr="06BFC6FC" w:rsidR="06BFC6FC">
          <w:rPr>
            <w:rStyle w:val="Hyperlink"/>
            <w:rFonts w:ascii="Arial" w:hAnsi="Arial" w:eastAsia="Arial" w:cs="Arial"/>
            <w:noProof w:val="0"/>
            <w:color w:val="auto"/>
            <w:sz w:val="24"/>
            <w:szCs w:val="24"/>
            <w:lang w:val="en-GB"/>
          </w:rPr>
          <w:t>https://search-ebscohost-com.ezproxy.uwtsd.ac.uk/login.aspxdirect=true&amp;db=eue&amp;AN=130781755&amp;site=ehost-live</w:t>
        </w:r>
      </w:hyperlink>
      <w:r w:rsidRPr="06BFC6FC" w:rsidR="06BFC6FC">
        <w:rPr>
          <w:rFonts w:ascii="Arial" w:hAnsi="Arial" w:eastAsia="Arial" w:cs="Arial"/>
          <w:noProof w:val="0"/>
          <w:color w:val="auto"/>
          <w:sz w:val="24"/>
          <w:szCs w:val="24"/>
          <w:lang w:val="en-GB"/>
        </w:rPr>
        <w:t xml:space="preserve"> (Accessed: 22 February 2020)</w:t>
      </w:r>
      <w:r w:rsidRPr="06BFC6FC" w:rsidR="06BFC6FC">
        <w:rPr>
          <w:rFonts w:ascii="Arial" w:hAnsi="Arial" w:eastAsia="Arial" w:cs="Arial"/>
          <w:noProof w:val="0"/>
          <w:color w:val="auto"/>
          <w:sz w:val="24"/>
          <w:szCs w:val="24"/>
          <w:lang w:val="en-GB"/>
        </w:rPr>
        <w:t>.</w:t>
      </w:r>
    </w:p>
    <w:p w:rsidR="1BFF2A54" w:rsidP="06BFC6FC" w:rsidRDefault="1BFF2A54" w14:paraId="2288494E" w14:textId="0697C3FB">
      <w:pPr>
        <w:spacing w:line="360" w:lineRule="auto"/>
        <w:rPr>
          <w:color w:val="auto"/>
        </w:rPr>
      </w:pPr>
    </w:p>
    <w:p w:rsidR="1BFF2A54" w:rsidP="06BFC6FC" w:rsidRDefault="1BFF2A54" w14:paraId="38A382E7" w14:textId="6CDC1534">
      <w:pPr>
        <w:spacing w:line="360" w:lineRule="auto"/>
        <w:rPr>
          <w:rFonts w:ascii="Arial" w:hAnsi="Arial" w:eastAsia="Arial" w:cs="Arial"/>
          <w:noProof w:val="0"/>
          <w:color w:val="auto"/>
          <w:sz w:val="24"/>
          <w:szCs w:val="24"/>
          <w:lang w:val="en-GB"/>
        </w:rPr>
      </w:pPr>
      <w:r w:rsidRPr="06BFC6FC" w:rsidR="06BFC6FC">
        <w:rPr>
          <w:rFonts w:ascii="Arial" w:hAnsi="Arial" w:eastAsia="Arial" w:cs="Arial"/>
          <w:noProof w:val="0"/>
          <w:color w:val="auto"/>
          <w:sz w:val="24"/>
          <w:szCs w:val="24"/>
          <w:lang w:val="en-GB"/>
        </w:rPr>
        <w:t xml:space="preserve">UK Safer Internet Centre (2018) </w:t>
      </w:r>
      <w:r w:rsidRPr="06BFC6FC" w:rsidR="06BFC6FC">
        <w:rPr>
          <w:rFonts w:ascii="Arial" w:hAnsi="Arial" w:eastAsia="Arial" w:cs="Arial"/>
          <w:i w:val="1"/>
          <w:iCs w:val="1"/>
          <w:noProof w:val="0"/>
          <w:color w:val="auto"/>
          <w:sz w:val="24"/>
          <w:szCs w:val="24"/>
          <w:lang w:val="en-GB"/>
        </w:rPr>
        <w:t xml:space="preserve">Back to School: Social Media advice for teachers from the Professionals Online Safety Helpline. </w:t>
      </w:r>
      <w:r w:rsidRPr="06BFC6FC" w:rsidR="06BFC6FC">
        <w:rPr>
          <w:rFonts w:ascii="Arial" w:hAnsi="Arial" w:eastAsia="Arial" w:cs="Arial"/>
          <w:noProof w:val="0"/>
          <w:color w:val="auto"/>
          <w:sz w:val="24"/>
          <w:szCs w:val="24"/>
          <w:lang w:val="en-GB"/>
        </w:rPr>
        <w:t>Available at:</w:t>
      </w:r>
    </w:p>
    <w:p w:rsidR="1BFF2A54" w:rsidP="06BFC6FC" w:rsidRDefault="1BFF2A54" w14:paraId="53DD61FA" w14:textId="36D256C8">
      <w:pPr>
        <w:spacing w:line="360" w:lineRule="auto"/>
        <w:rPr>
          <w:rFonts w:ascii="Arial" w:hAnsi="Arial" w:eastAsia="Arial" w:cs="Arial"/>
          <w:noProof w:val="0"/>
          <w:color w:val="auto"/>
          <w:sz w:val="24"/>
          <w:szCs w:val="24"/>
          <w:lang w:val="en-GB"/>
        </w:rPr>
      </w:pPr>
      <w:hyperlink r:id="R7fc19a854a604117">
        <w:r w:rsidRPr="06BFC6FC" w:rsidR="06BFC6FC">
          <w:rPr>
            <w:rStyle w:val="Hyperlink"/>
            <w:rFonts w:ascii="Arial" w:hAnsi="Arial" w:eastAsia="Arial" w:cs="Arial"/>
            <w:noProof w:val="0"/>
            <w:color w:val="auto"/>
            <w:sz w:val="24"/>
            <w:szCs w:val="24"/>
            <w:lang w:val="en-GB"/>
          </w:rPr>
          <w:t>https://www.saferinternet.org.uk/blog/back-school-social-media-advice-teachers-professionals-online-safety-helpline</w:t>
        </w:r>
      </w:hyperlink>
      <w:r w:rsidRPr="06BFC6FC" w:rsidR="06BFC6FC">
        <w:rPr>
          <w:rFonts w:ascii="Arial" w:hAnsi="Arial" w:eastAsia="Arial" w:cs="Arial"/>
          <w:noProof w:val="0"/>
          <w:color w:val="auto"/>
          <w:sz w:val="24"/>
          <w:szCs w:val="24"/>
          <w:lang w:val="en-GB"/>
        </w:rPr>
        <w:t xml:space="preserve"> (Accessed: 21 February 2020).</w:t>
      </w:r>
    </w:p>
    <w:p w:rsidR="1BFF2A54" w:rsidRDefault="1BFF2A54" w14:paraId="7EDB7989" w14:textId="1FB7E337">
      <w:r>
        <w:br/>
      </w:r>
    </w:p>
    <w:p w:rsidR="1BFF2A54" w:rsidRDefault="1BFF2A54" w14:paraId="61C8CB05" w14:textId="532DCA6B">
      <w:r>
        <w:br/>
      </w:r>
      <w:r>
        <w:br/>
      </w:r>
    </w:p>
    <w:p w:rsidR="1BFF2A54" w:rsidRDefault="1BFF2A54" w14:paraId="7C39DC6C" w14:textId="359499ED">
      <w:r>
        <w:br/>
      </w:r>
    </w:p>
    <w:p w:rsidR="1BFF2A54" w:rsidRDefault="1BFF2A54" w14:paraId="2B999F68" w14:textId="719402E5">
      <w:r>
        <w:br/>
      </w:r>
      <w:r>
        <w:br/>
      </w:r>
    </w:p>
    <w:p w:rsidR="1BFF2A54" w:rsidRDefault="1BFF2A54" w14:paraId="6453B4F1" w14:textId="297DB6F6">
      <w:r>
        <w:br/>
      </w:r>
    </w:p>
    <w:p w:rsidR="1BFF2A54" w:rsidRDefault="1BFF2A54" w14:paraId="09422E4F" w14:textId="2132CCFC">
      <w:r>
        <w:br/>
      </w:r>
    </w:p>
    <w:p w:rsidR="1BFF2A54" w:rsidP="1BFF2A54" w:rsidRDefault="1BFF2A54" w14:paraId="1190356B" w14:textId="062EA1FD">
      <w:pPr>
        <w:pStyle w:val="Normal"/>
      </w:pPr>
    </w:p>
    <w:sectPr>
      <w:pgSz w:w="11906" w:h="16838" w:orient="portrait"/>
      <w:pgMar w:top="1440" w:right="1440" w:bottom="1440" w:left="1440" w:header="720" w:footer="720" w:gutter="0"/>
      <w:cols w:space="720"/>
      <w:docGrid w:linePitch="360"/>
      <w:headerReference w:type="default" r:id="Rf6229bd7859340e2"/>
      <w:footerReference w:type="default" r:id="Re79b92763c684c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6BFC6FC" w:rsidTr="06BFC6FC" w14:paraId="3B711E81">
      <w:tc>
        <w:tcPr>
          <w:tcW w:w="3009" w:type="dxa"/>
          <w:tcMar/>
        </w:tcPr>
        <w:p w:rsidR="06BFC6FC" w:rsidP="06BFC6FC" w:rsidRDefault="06BFC6FC" w14:paraId="416971C5" w14:textId="7A376400">
          <w:pPr>
            <w:pStyle w:val="Header"/>
            <w:bidi w:val="0"/>
            <w:ind w:left="-115"/>
            <w:jc w:val="left"/>
          </w:pPr>
        </w:p>
      </w:tc>
      <w:tc>
        <w:tcPr>
          <w:tcW w:w="3009" w:type="dxa"/>
          <w:tcMar/>
        </w:tcPr>
        <w:p w:rsidR="06BFC6FC" w:rsidP="06BFC6FC" w:rsidRDefault="06BFC6FC" w14:paraId="48B095AE" w14:textId="6EC6B884">
          <w:pPr>
            <w:pStyle w:val="Header"/>
            <w:bidi w:val="0"/>
            <w:jc w:val="center"/>
          </w:pPr>
        </w:p>
      </w:tc>
      <w:tc>
        <w:tcPr>
          <w:tcW w:w="3009" w:type="dxa"/>
          <w:tcMar/>
        </w:tcPr>
        <w:p w:rsidR="06BFC6FC" w:rsidP="06BFC6FC" w:rsidRDefault="06BFC6FC" w14:paraId="724C2FE6" w14:textId="53C59E78">
          <w:pPr>
            <w:pStyle w:val="Header"/>
            <w:bidi w:val="0"/>
            <w:ind w:right="-115"/>
            <w:jc w:val="right"/>
          </w:pPr>
        </w:p>
        <w:p w:rsidR="06BFC6FC" w:rsidP="06BFC6FC" w:rsidRDefault="06BFC6FC" w14:paraId="2309C751" w14:textId="08E418E5">
          <w:pPr>
            <w:pStyle w:val="Header"/>
            <w:bidi w:val="0"/>
            <w:ind w:right="-115"/>
            <w:jc w:val="right"/>
          </w:pPr>
          <w:r>
            <w:fldChar w:fldCharType="begin"/>
          </w:r>
          <w:r>
            <w:instrText xml:space="preserve">PAGE</w:instrText>
          </w:r>
          <w:r>
            <w:fldChar w:fldCharType="separate"/>
          </w:r>
          <w:r>
            <w:fldChar w:fldCharType="end"/>
          </w:r>
        </w:p>
      </w:tc>
    </w:tr>
  </w:tbl>
  <w:p w:rsidR="06BFC6FC" w:rsidP="06BFC6FC" w:rsidRDefault="06BFC6FC" w14:paraId="5FF593B9" w14:textId="220BDB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06BFC6FC" w:rsidTr="06BFC6FC" w14:paraId="49A1EA80">
      <w:tc>
        <w:tcPr>
          <w:tcW w:w="3009" w:type="dxa"/>
          <w:tcMar/>
        </w:tcPr>
        <w:p w:rsidR="06BFC6FC" w:rsidP="06BFC6FC" w:rsidRDefault="06BFC6FC" w14:paraId="55A48530" w14:textId="00CC40E8">
          <w:pPr>
            <w:pStyle w:val="Header"/>
            <w:bidi w:val="0"/>
            <w:ind w:left="-115"/>
            <w:jc w:val="left"/>
          </w:pPr>
          <w:r w:rsidR="06BFC6FC">
            <w:rPr/>
            <w:t>Student Number: 1905461</w:t>
          </w:r>
        </w:p>
      </w:tc>
      <w:tc>
        <w:tcPr>
          <w:tcW w:w="3009" w:type="dxa"/>
          <w:tcMar/>
        </w:tcPr>
        <w:p w:rsidR="06BFC6FC" w:rsidP="06BFC6FC" w:rsidRDefault="06BFC6FC" w14:paraId="05C28EC6" w14:textId="5F837428">
          <w:pPr>
            <w:pStyle w:val="Header"/>
            <w:bidi w:val="0"/>
            <w:jc w:val="center"/>
          </w:pPr>
          <w:r w:rsidR="06BFC6FC">
            <w:rPr/>
            <w:t>Module: EAEE4005</w:t>
          </w:r>
        </w:p>
      </w:tc>
      <w:tc>
        <w:tcPr>
          <w:tcW w:w="3009" w:type="dxa"/>
          <w:tcMar/>
        </w:tcPr>
        <w:p w:rsidR="06BFC6FC" w:rsidP="06BFC6FC" w:rsidRDefault="06BFC6FC" w14:paraId="79BDDBB4" w14:textId="5A637DC5">
          <w:pPr>
            <w:pStyle w:val="Header"/>
            <w:bidi w:val="0"/>
            <w:ind w:right="-115"/>
            <w:jc w:val="right"/>
          </w:pPr>
          <w:r w:rsidR="06BFC6FC">
            <w:rPr/>
            <w:t>Word Count: 3,281</w:t>
          </w:r>
        </w:p>
      </w:tc>
    </w:tr>
  </w:tbl>
  <w:p w:rsidR="06BFC6FC" w:rsidP="06BFC6FC" w:rsidRDefault="06BFC6FC" w14:paraId="376958C9" w14:textId="634A33BD">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50B7D2D"/>
  <w15:docId w15:val="{defe727d-81a1-4638-afcb-dc25555eb33a}"/>
  <w:rsids>
    <w:rsidRoot w:val="050B7D2D"/>
    <w:rsid w:val="050B7D2D"/>
    <w:rsid w:val="06BFC6FC"/>
    <w:rsid w:val="10AB00D0"/>
    <w:rsid w:val="1BFF2A54"/>
    <w:rsid w:val="2B8BFE33"/>
    <w:rsid w:val="2E25D47C"/>
    <w:rsid w:val="353BF863"/>
    <w:rsid w:val="35C193B4"/>
    <w:rsid w:val="36F52297"/>
    <w:rsid w:val="3C4C8833"/>
    <w:rsid w:val="5513A3C7"/>
    <w:rsid w:val="5F4A634F"/>
    <w:rsid w:val="6197B28B"/>
    <w:rsid w:val="6D853D61"/>
    <w:rsid w:val="7BA251F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5.jpg" Id="Rc51d52bbb7904fa6" /><Relationship Type="http://schemas.openxmlformats.org/officeDocument/2006/relationships/image" Target="/media/image6.jpg" Id="R301587e703e44294" /><Relationship Type="http://schemas.openxmlformats.org/officeDocument/2006/relationships/hyperlink" Target="https://www.oecd.org/pisa/PISA%202018%20Insights%20and%20Interpretations%20FINAL%20PDF.pdf" TargetMode="External" Id="R2a0512d86bd64471" /><Relationship Type="http://schemas.openxmlformats.org/officeDocument/2006/relationships/hyperlink" Target="https://assets.publishing.service.gov.uk/government/uploads/system/uploads/attachment_data/file/184868/DFE-01001-2011_supporting_families_in_the_foundation_years.pdf" TargetMode="External" Id="R2c8b00a41b3a4831" /><Relationship Type="http://schemas.openxmlformats.org/officeDocument/2006/relationships/hyperlink" Target="https://assets.publishing.service.gov.uk/government/uploads/system/uploads/attachment_data/file/315587/Equality_Act_Advice_Final.pdf" TargetMode="External" Id="R48b455c95c1446ea" /><Relationship Type="http://schemas.openxmlformats.org/officeDocument/2006/relationships/hyperlink" Target="https://doi.org/10.1007/s11199-011-9996-2" TargetMode="External" Id="R3ccb4a954ef34c26" /><Relationship Type="http://schemas.openxmlformats.org/officeDocument/2006/relationships/hyperlink" Target="https://www.youtube.com/watch?v=Nh_4SEUpSrA" TargetMode="External" Id="R96c8b48a42a9453e" /><Relationship Type="http://schemas.openxmlformats.org/officeDocument/2006/relationships/hyperlink" Target="https://www.legofoundation.com/media/1063/learning-through-play_web.pdf" TargetMode="External" Id="Rd36ce97b65e44a1d" /><Relationship Type="http://schemas.openxmlformats.org/officeDocument/2006/relationships/hyperlink" Target="https://www.ndna.org.uk/NDNA/Community/myNDNA/Mini_Guides/Maths_in_early_years.aspx" TargetMode="External" Id="Rf3a55ecf63b44bd0" /><Relationship Type="http://schemas.openxmlformats.org/officeDocument/2006/relationships/hyperlink" Target="https://www.oecd.org/education/education-at-a-glance/EAG2019_CN_DNK.pdf" TargetMode="External" Id="R9c744992f894402e" /><Relationship Type="http://schemas.openxmlformats.org/officeDocument/2006/relationships/hyperlink" Target="https://downloads.unicef.org.uk/wp-content/uploads/2016/08/unicef-convention-rights-child-uncrc.pdf?_ga=2.57702634.1537694205.1581627453-1566294379.1570377609" TargetMode="External" Id="Rbfbbbc6d92504a12" /><Relationship Type="http://schemas.openxmlformats.org/officeDocument/2006/relationships/hyperlink" Target="https://hwb.gov.wales/storage/d5d8e39c-b534-40cb-a3f5-7e2e126d8077/foundation-phase-framework.pdf" TargetMode="External" Id="R4b8ef50c36bc4b7c" /><Relationship Type="http://schemas.openxmlformats.org/officeDocument/2006/relationships/hyperlink" Target="https://hwb.gov.wales/storage/2d2b99cd-5431-421e-ac8b-8608fe0edf05/why-develop-thinking-and-assessment-for-learning-in-the-classroom.pdf" TargetMode="External" Id="R3ea02febcd2d4001" /><Relationship Type="http://schemas.openxmlformats.org/officeDocument/2006/relationships/hyperlink" Target="https://hwb.gov.wales/curriculum-for-wales/mathematics-and-numeracy" TargetMode="External" Id="R8f62af21ee964dff" /><Relationship Type="http://schemas.openxmlformats.org/officeDocument/2006/relationships/hyperlink" Target="https://hwb.gov.wales/storage/7a59cf3b-5ae6-47cd-8305-f8559b94af56/national-literacy-and-numeracy-framework-literacy-reading-across-the-curriculum-curriculum-2022.pdf" TargetMode="External" Id="R9ef068b2e40642de" /><Relationship Type="http://schemas.openxmlformats.org/officeDocument/2006/relationships/hyperlink" Target="https://gov.wales/sites/default/files/statistics-and-research/2019-08/academic-achievement-pupils-aged-4-14-core-subjects-2019.pdf" TargetMode="External" Id="Rcedf8012aae342ad" /><Relationship Type="http://schemas.openxmlformats.org/officeDocument/2006/relationships/hyperlink" Target="https://hwb.gov.wales/storage/331eb63b-481f-4b0b-a607-5e6c3e41ae0f/curriculum-for-wales-guidance-070220.pdf" TargetMode="External" Id="R75028b1fbc5a470b" /><Relationship Type="http://schemas.openxmlformats.org/officeDocument/2006/relationships/hyperlink" Target="https://search-ebscohost-com.ezproxy.uwtsd.ac.uk/login.aspx?direct=true&amp;db=eue&amp;AN=130781755&amp;site=ehost-live" TargetMode="External" Id="Recae230fdbea44da" /><Relationship Type="http://schemas.openxmlformats.org/officeDocument/2006/relationships/hyperlink" Target="https://www.saferinternet.org.uk/blog/back-school-social-media-advice-teachers-professionals-online-safety-helpline" TargetMode="External" Id="R7fc19a854a604117" /><Relationship Type="http://schemas.openxmlformats.org/officeDocument/2006/relationships/header" Target="/word/header.xml" Id="Rf6229bd7859340e2" /><Relationship Type="http://schemas.openxmlformats.org/officeDocument/2006/relationships/footer" Target="/word/footer.xml" Id="Re79b92763c684c99" /><Relationship Type="http://schemas.openxmlformats.org/officeDocument/2006/relationships/numbering" Target="/word/numbering.xml" Id="Rc3bdf3615b2045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Anstice (1905461)</dc:creator>
  <keywords/>
  <dc:description/>
  <lastModifiedBy>Sara Anstice (1905461)</lastModifiedBy>
  <revision>15</revision>
  <dcterms:created xsi:type="dcterms:W3CDTF">2020-02-24T20:56:37.3817370Z</dcterms:created>
  <dcterms:modified xsi:type="dcterms:W3CDTF">2020-02-24T22:23:25.9248926Z</dcterms:modified>
</coreProperties>
</file>