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firstLine="720"/>
        <w:jc w:val="center"/>
        <w:rPr>
          <w:b/>
          <w:bCs/>
          <w:color w:val="000000"/>
        </w:rPr>
      </w:pPr>
      <w:r>
        <w:rPr>
          <w:sz w:val="24"/>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-141605</wp:posOffset>
                </wp:positionV>
                <wp:extent cx="5286375" cy="7762875"/>
                <wp:effectExtent l="6350" t="6350" r="22225" b="22225"/>
                <wp:wrapNone/>
                <wp:docPr id="1" name="矩形 1"/>
                <wp:cNvGraphicFramePr/>
                <a:graphic xmlns:a="http://schemas.openxmlformats.org/drawingml/2006/main">
                  <a:graphicData uri="http://schemas.microsoft.com/office/word/2010/wordprocessingShape">
                    <wps:wsp>
                      <wps:cNvSpPr/>
                      <wps:spPr>
                        <a:xfrm>
                          <a:off x="1285875" y="791845"/>
                          <a:ext cx="5286375" cy="7762875"/>
                        </a:xfrm>
                        <a:prstGeom prst="rect">
                          <a:avLst/>
                        </a:prstGeom>
                        <a:solidFill>
                          <a:schemeClr val="accent1">
                            <a:lumMod val="40000"/>
                            <a:lumOff val="60000"/>
                          </a:schemeClr>
                        </a:solidFill>
                        <a:ln>
                          <a:solidFill>
                            <a:schemeClr val="accent1">
                              <a:lumMod val="60000"/>
                              <a:lumOff val="40000"/>
                            </a:scheme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75pt;margin-top:-11.15pt;height:611.25pt;width:416.25pt;z-index:251659264;v-text-anchor:middle;mso-width-relative:page;mso-height-relative:page;" fillcolor="#B4C7E7 [1300]" filled="t" stroked="t" coordsize="21600,21600" o:gfxdata="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Lj4sS3XAAAACwEAAA8AAAAAAAAAAQAgAAAAIgAAAGRycy9kb3ducmV2Lnht&#10;bFBLAQIUABQAAAAIAIdO4kAjAOBypQIAAHIFAAAOAAAAAAAAAAEAIAAAACYBAABkcnMvZTJvRG9j&#10;LnhtbFBLBQYAAAAABgAGAFkBAAA9BgAAAAA=&#10;">
                <v:fill on="t" focussize="0,0"/>
                <v:stroke weight="1pt" color="#8FAADC [1940]" miterlimit="8" joinstyle="miter"/>
                <v:imagedata o:title=""/>
                <o:lock v:ext="edit" aspectratio="f"/>
              </v:rect>
            </w:pict>
          </mc:Fallback>
        </mc:AlternateContent>
      </w:r>
    </w:p>
    <w:p>
      <w:pPr>
        <w:spacing w:line="480" w:lineRule="auto"/>
        <w:ind w:firstLine="720"/>
        <w:jc w:val="center"/>
        <w:rPr>
          <w:b/>
          <w:bCs/>
          <w:color w:val="000000"/>
        </w:rPr>
      </w:pPr>
      <w:r>
        <w:rPr>
          <w:sz w:val="24"/>
        </w:rPr>
        <mc:AlternateContent>
          <mc:Choice Requires="wps">
            <w:drawing>
              <wp:anchor distT="0" distB="0" distL="114300" distR="114300" simplePos="0" relativeHeight="251660288" behindDoc="0" locked="0" layoutInCell="1" allowOverlap="1">
                <wp:simplePos x="0" y="0"/>
                <wp:positionH relativeFrom="column">
                  <wp:posOffset>923925</wp:posOffset>
                </wp:positionH>
                <wp:positionV relativeFrom="paragraph">
                  <wp:posOffset>228600</wp:posOffset>
                </wp:positionV>
                <wp:extent cx="3724275" cy="704850"/>
                <wp:effectExtent l="4445" t="5080" r="5080" b="13970"/>
                <wp:wrapNone/>
                <wp:docPr id="2" name="文本框 2"/>
                <wp:cNvGraphicFramePr/>
                <a:graphic xmlns:a="http://schemas.openxmlformats.org/drawingml/2006/main">
                  <a:graphicData uri="http://schemas.microsoft.com/office/word/2010/wordprocessingShape">
                    <wps:wsp>
                      <wps:cNvSpPr txBox="1"/>
                      <wps:spPr>
                        <a:xfrm>
                          <a:off x="2038350" y="1616710"/>
                          <a:ext cx="3724275" cy="704850"/>
                        </a:xfrm>
                        <a:prstGeom prst="rect">
                          <a:avLst/>
                        </a:prstGeom>
                        <a:solidFill>
                          <a:schemeClr val="accent2">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480" w:lineRule="auto"/>
                              <w:jc w:val="center"/>
                              <w:rPr>
                                <w:b/>
                                <w:bCs/>
                              </w:rPr>
                            </w:pPr>
                            <w:bookmarkStart w:id="1" w:name="OLE_LINK2"/>
                            <w:r>
                              <w:rPr>
                                <w:b/>
                                <w:bCs/>
                                <w:color w:val="000000"/>
                              </w:rPr>
                              <w:t>The Best Leaders Can't Be Replaced by Artificial Intelligence</w:t>
                            </w:r>
                          </w:p>
                          <w:bookmarkEnd w:id="1"/>
                          <w:p>
                            <w:pPr>
                              <w:spacing w:line="480" w:lineRule="auto"/>
                              <w:jc w:val="center"/>
                              <w:rPr>
                                <w:b/>
                                <w:bCs/>
                                <w:color w:val="000000"/>
                              </w:rPr>
                            </w:pPr>
                          </w:p>
                          <w:p>
                            <w:pPr>
                              <w:spacing w:line="480" w:lineRule="auto"/>
                              <w:jc w:val="center"/>
                            </w:pPr>
                            <w:r>
                              <w:t>Student’s Name</w:t>
                            </w:r>
                          </w:p>
                          <w:p>
                            <w:pPr>
                              <w:spacing w:line="480" w:lineRule="auto"/>
                              <w:jc w:val="center"/>
                            </w:pPr>
                            <w:r>
                              <w:t>Student’s Number</w:t>
                            </w:r>
                          </w:p>
                          <w:p>
                            <w:pPr>
                              <w:spacing w:line="480" w:lineRule="auto"/>
                              <w:jc w:val="center"/>
                            </w:pPr>
                            <w:r>
                              <w:t>Module Title and Code</w:t>
                            </w:r>
                          </w:p>
                          <w:p>
                            <w:pPr>
                              <w:spacing w:line="480" w:lineRule="auto"/>
                              <w:rPr>
                                <w:b/>
                                <w:bCs/>
                                <w:color w:val="000000"/>
                              </w:rPr>
                            </w:pP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2.75pt;margin-top:18pt;height:55.5pt;width:293.25pt;z-index:251660288;mso-width-relative:page;mso-height-relative:page;" fillcolor="#FBE5D6 [661]" filled="t" stroked="t" coordsize="21600,21600" o:gfxdata="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9yZ0FdcAAAAKAQAADwAAAAAAAAABACAA&#10;AAAiAAAAZHJzL2Rvd25yZXYueG1sUEsBAhQAFAAAAAgAh07iQN/kLDOAAgAA/AQAAA4AAAAAAAAA&#10;AQAgAAAAJgEAAGRycy9lMm9Eb2MueG1sUEsFBgAAAAAGAAYAWQEAABgGAAAAAA==&#10;">
                <v:fill on="t" focussize="0,0"/>
                <v:stroke weight="0.5pt" color="#000000 [3204]" joinstyle="round"/>
                <v:imagedata o:title=""/>
                <o:lock v:ext="edit" aspectratio="f"/>
                <v:textbox>
                  <w:txbxContent>
                    <w:p>
                      <w:pPr>
                        <w:spacing w:line="480" w:lineRule="auto"/>
                        <w:jc w:val="center"/>
                        <w:rPr>
                          <w:b/>
                          <w:bCs/>
                        </w:rPr>
                      </w:pPr>
                      <w:bookmarkStart w:id="1" w:name="OLE_LINK2"/>
                      <w:r>
                        <w:rPr>
                          <w:b/>
                          <w:bCs/>
                          <w:color w:val="000000"/>
                        </w:rPr>
                        <w:t>The Best Leaders Can't Be Replaced by Artificial Intelligence</w:t>
                      </w:r>
                    </w:p>
                    <w:bookmarkEnd w:id="1"/>
                    <w:p>
                      <w:pPr>
                        <w:spacing w:line="480" w:lineRule="auto"/>
                        <w:jc w:val="center"/>
                        <w:rPr>
                          <w:b/>
                          <w:bCs/>
                          <w:color w:val="000000"/>
                        </w:rPr>
                      </w:pPr>
                    </w:p>
                    <w:p>
                      <w:pPr>
                        <w:spacing w:line="480" w:lineRule="auto"/>
                        <w:jc w:val="center"/>
                      </w:pPr>
                      <w:r>
                        <w:t>Student’s Name</w:t>
                      </w:r>
                    </w:p>
                    <w:p>
                      <w:pPr>
                        <w:spacing w:line="480" w:lineRule="auto"/>
                        <w:jc w:val="center"/>
                      </w:pPr>
                      <w:r>
                        <w:t>Student’s Number</w:t>
                      </w:r>
                    </w:p>
                    <w:p>
                      <w:pPr>
                        <w:spacing w:line="480" w:lineRule="auto"/>
                        <w:jc w:val="center"/>
                      </w:pPr>
                      <w:r>
                        <w:t>Module Title and Code</w:t>
                      </w:r>
                    </w:p>
                    <w:p>
                      <w:pPr>
                        <w:spacing w:line="480" w:lineRule="auto"/>
                        <w:rPr>
                          <w:b/>
                          <w:bCs/>
                          <w:color w:val="000000"/>
                        </w:rPr>
                      </w:pPr>
                    </w:p>
                    <w:p/>
                  </w:txbxContent>
                </v:textbox>
              </v:shape>
            </w:pict>
          </mc:Fallback>
        </mc:AlternateContent>
      </w: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bookmarkStart w:id="2" w:name="_GoBack"/>
      <w:bookmarkEnd w:id="2"/>
    </w:p>
    <w:p>
      <w:pPr>
        <w:spacing w:line="480" w:lineRule="auto"/>
        <w:ind w:firstLine="720"/>
        <w:jc w:val="center"/>
        <w:rPr>
          <w:b/>
          <w:bCs/>
          <w:color w:val="000000"/>
        </w:rPr>
      </w:pPr>
    </w:p>
    <w:p>
      <w:pPr>
        <w:spacing w:line="480" w:lineRule="auto"/>
        <w:ind w:firstLine="720"/>
        <w:jc w:val="center"/>
        <w:rPr>
          <w:b/>
          <w:bCs/>
          <w:color w:val="000000"/>
        </w:rPr>
      </w:pPr>
      <w:r>
        <w:rPr>
          <w:sz w:val="24"/>
        </w:rPr>
        <mc:AlternateContent>
          <mc:Choice Requires="wps">
            <w:drawing>
              <wp:anchor distT="0" distB="0" distL="114300" distR="114300" simplePos="0" relativeHeight="251661312" behindDoc="0" locked="0" layoutInCell="1" allowOverlap="1">
                <wp:simplePos x="0" y="0"/>
                <wp:positionH relativeFrom="column">
                  <wp:posOffset>361950</wp:posOffset>
                </wp:positionH>
                <wp:positionV relativeFrom="paragraph">
                  <wp:posOffset>274320</wp:posOffset>
                </wp:positionV>
                <wp:extent cx="1695450" cy="295275"/>
                <wp:effectExtent l="4445" t="4445" r="14605" b="5080"/>
                <wp:wrapNone/>
                <wp:docPr id="3" name="文本框 3"/>
                <wp:cNvGraphicFramePr/>
                <a:graphic xmlns:a="http://schemas.openxmlformats.org/drawingml/2006/main">
                  <a:graphicData uri="http://schemas.microsoft.com/office/word/2010/wordprocessingShape">
                    <wps:wsp>
                      <wps:cNvSpPr txBox="1"/>
                      <wps:spPr>
                        <a:xfrm>
                          <a:off x="1276350" y="7146925"/>
                          <a:ext cx="1695450" cy="295275"/>
                        </a:xfrm>
                        <a:prstGeom prst="rect">
                          <a:avLst/>
                        </a:prstGeom>
                        <a:solidFill>
                          <a:schemeClr val="accent2">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eastAsia="宋体"/>
                                <w:lang w:val="en-US" w:eastAsia="zh-CN"/>
                              </w:rPr>
                              <w:t>Name：Yuxin Ren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5pt;margin-top:21.6pt;height:23.25pt;width:133.5pt;z-index:251661312;mso-width-relative:page;mso-height-relative:page;" fillcolor="#FBE5D6 [661]" filled="t" stroked="t" coordsize="21600,21600" o:gfxdata="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DaSe1C2AAAAAgBAAAPAAAAAAAAAAEA&#10;IAAAACIAAABkcnMvZG93bnJldi54bWxQSwECFAAUAAAACACHTuJAKzQCJoECAAD8BAAADgAAAAAA&#10;AAABACAAAAAnAQAAZHJzL2Uyb0RvYy54bWxQSwUGAAAAAAYABgBZAQAAGgYAAAAA&#10;">
                <v:fill on="t" focussize="0,0"/>
                <v:stroke weight="0.5pt" color="#000000 [3204]" joinstyle="round"/>
                <v:imagedata o:title=""/>
                <o:lock v:ext="edit" aspectratio="f"/>
                <v:textbox>
                  <w:txbxContent>
                    <w:p>
                      <w:pPr>
                        <w:rPr>
                          <w:rFonts w:hint="default" w:eastAsia="宋体"/>
                          <w:lang w:val="en-US" w:eastAsia="zh-CN"/>
                        </w:rPr>
                      </w:pPr>
                      <w:r>
                        <w:rPr>
                          <w:rFonts w:hint="eastAsia" w:eastAsia="宋体"/>
                          <w:lang w:val="en-US" w:eastAsia="zh-CN"/>
                        </w:rPr>
                        <w:t>Name：Yuxin Ren</w:t>
                      </w:r>
                    </w:p>
                  </w:txbxContent>
                </v:textbox>
              </v:shape>
            </w:pict>
          </mc:Fallback>
        </mc:AlternateContent>
      </w:r>
    </w:p>
    <w:p>
      <w:pPr>
        <w:spacing w:line="480" w:lineRule="auto"/>
        <w:ind w:firstLine="720"/>
        <w:jc w:val="center"/>
        <w:rPr>
          <w:b/>
          <w:bCs/>
          <w:color w:val="000000"/>
        </w:rPr>
      </w:pPr>
    </w:p>
    <w:p>
      <w:pPr>
        <w:spacing w:line="480" w:lineRule="auto"/>
        <w:ind w:firstLine="720"/>
        <w:jc w:val="center"/>
        <w:rPr>
          <w:b/>
          <w:bCs/>
          <w:color w:val="000000"/>
        </w:rPr>
      </w:pPr>
      <w:r>
        <w:rPr>
          <w:sz w:val="24"/>
        </w:rPr>
        <mc:AlternateContent>
          <mc:Choice Requires="wps">
            <w:drawing>
              <wp:anchor distT="0" distB="0" distL="114300" distR="114300" simplePos="0" relativeHeight="251662336" behindDoc="0" locked="0" layoutInCell="1" allowOverlap="1">
                <wp:simplePos x="0" y="0"/>
                <wp:positionH relativeFrom="column">
                  <wp:posOffset>342900</wp:posOffset>
                </wp:positionH>
                <wp:positionV relativeFrom="paragraph">
                  <wp:posOffset>182880</wp:posOffset>
                </wp:positionV>
                <wp:extent cx="1733550" cy="323850"/>
                <wp:effectExtent l="4445" t="5080" r="14605" b="13970"/>
                <wp:wrapNone/>
                <wp:docPr id="4" name="文本框 4"/>
                <wp:cNvGraphicFramePr/>
                <a:graphic xmlns:a="http://schemas.openxmlformats.org/drawingml/2006/main">
                  <a:graphicData uri="http://schemas.microsoft.com/office/word/2010/wordprocessingShape">
                    <wps:wsp>
                      <wps:cNvSpPr txBox="1"/>
                      <wps:spPr>
                        <a:xfrm>
                          <a:off x="1257300" y="7756525"/>
                          <a:ext cx="1733550" cy="323850"/>
                        </a:xfrm>
                        <a:prstGeom prst="rect">
                          <a:avLst/>
                        </a:prstGeom>
                        <a:solidFill>
                          <a:schemeClr val="accent2">
                            <a:lumMod val="20000"/>
                            <a:lumOff val="8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eastAsia="宋体"/>
                                <w:lang w:val="en-US" w:eastAsia="zh-CN"/>
                              </w:rPr>
                              <w:t>Date：2024.04.13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pt;margin-top:14.4pt;height:25.5pt;width:136.5pt;z-index:251662336;mso-width-relative:page;mso-height-relative:page;" fillcolor="#FBE5D6 [661]" filled="t" stroked="t" coordsize="21600,21600" o:gfxdata="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B2lVezXAAAACAEAAA8AAAAAAAAAAQAg&#10;AAAAIgAAAGRycy9kb3ducmV2LnhtbFBLAQIUABQAAAAIAIdO4kA49iBVgQIAAPwEAAAOAAAAAAAA&#10;AAEAIAAAACYBAABkcnMvZTJvRG9jLnhtbFBLBQYAAAAABgAGAFkBAAAZBgAAAAA=&#10;">
                <v:fill on="t" focussize="0,0"/>
                <v:stroke weight="0.5pt" color="#000000 [3204]" joinstyle="round"/>
                <v:imagedata o:title=""/>
                <o:lock v:ext="edit" aspectratio="f"/>
                <v:textbox>
                  <w:txbxContent>
                    <w:p>
                      <w:pPr>
                        <w:rPr>
                          <w:rFonts w:hint="default" w:eastAsia="宋体"/>
                          <w:lang w:val="en-US" w:eastAsia="zh-CN"/>
                        </w:rPr>
                      </w:pPr>
                      <w:r>
                        <w:rPr>
                          <w:rFonts w:hint="eastAsia" w:eastAsia="宋体"/>
                          <w:lang w:val="en-US" w:eastAsia="zh-CN"/>
                        </w:rPr>
                        <w:t>Date：2024.04.13</w:t>
                      </w:r>
                    </w:p>
                  </w:txbxContent>
                </v:textbox>
              </v:shape>
            </w:pict>
          </mc:Fallback>
        </mc:AlternateContent>
      </w: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ind w:firstLine="720"/>
        <w:jc w:val="center"/>
        <w:rPr>
          <w:b/>
          <w:bCs/>
          <w:color w:val="000000"/>
        </w:rPr>
      </w:pPr>
    </w:p>
    <w:p>
      <w:pPr>
        <w:spacing w:line="480" w:lineRule="auto"/>
        <w:jc w:val="center"/>
      </w:pPr>
      <w:r>
        <w:rPr>
          <w:b/>
          <w:bCs/>
          <w:color w:val="000000"/>
        </w:rPr>
        <w:t>Introduction</w:t>
      </w:r>
    </w:p>
    <w:p>
      <w:pPr>
        <w:spacing w:line="480" w:lineRule="auto"/>
        <w:ind w:firstLine="720"/>
      </w:pPr>
      <w:r>
        <w:rPr>
          <w:color w:val="000000"/>
        </w:rPr>
        <w:t>Google Co-founder Andrew Ng once said that "artificial intelligence (AI) is the new electricity (Wall Street Journal 2017)." What he meant here was that the current transformation of the power of AI in different sector can be compared to how electricity revolutionized industries. This power can be evident in how AI has led to creation and even lose of jobs since its rapid development in the past decades. According to the Pew Research Center (2023), about 19% of American workers are in jobs that are highly exposed to AI which in the next decade will lead to a notable shift in the number of workers in such sectors. Pew Research Center (2023) further states that this exposure is higher among the workers with bachelor’s degree or more (27%) and Asian adults (24%) which explains that higher education and certain demographics correlate with increased AI integration in the workplace. The advancement of AI has also been felt in leadership sector where managers use various AI tools to make data driven decisions.  For example, the leaders use various AI models such as predictive analytics, natural language processing, and machine learning algorithms to enhance their decision-making skills and in some instances to personalize customer experiences. Other tools such as machine learning and deep learning also help businesses to leverage vast amounts of data to obtain strategic insights and patterns to tailor their business strategies to various customer segments. The overall result is that there has been an increased symbiotic relationship between human intuition and computational AI. However, despite the advancements in the field of AI, professions such as data scientists, AI specialists, ethicists, and human resources managers still play a significant role in overseeing the ethical deployment of AI. Therefore, this essay critically argues that the best leaders cannot be replaced by artificial intelligence because they have a unique capacity for emotional intelligence, empathy, ethical judgment, creativity, and cultural sensitivity.</w:t>
      </w:r>
    </w:p>
    <w:p>
      <w:pPr>
        <w:spacing w:line="480" w:lineRule="auto"/>
        <w:jc w:val="center"/>
      </w:pPr>
      <w:r>
        <w:rPr>
          <w:b/>
          <w:bCs/>
          <w:color w:val="000000"/>
        </w:rPr>
        <w:t>Emotional intelligence and Empathy</w:t>
      </w:r>
    </w:p>
    <w:p>
      <w:pPr>
        <w:spacing w:line="480" w:lineRule="auto"/>
        <w:ind w:firstLine="720"/>
      </w:pPr>
      <w:r>
        <w:rPr>
          <w:color w:val="000000"/>
        </w:rPr>
        <w:t>Human leaders can recognize and understand their own emotions and those of others, which is an important aspect of effective leadership. Human intelligence is the ability to notice, distinguish, and use emotions. The study by Kambur (2015) presents that emotional intelligence in recent years has influenced the advancement of artificial intelligence in critical areas such as comprehensiveness, format, and timeliness. This implies that human emotions play a role in shaping the development of artificial intelligence and its application in real world-world scenarios. This is evident in areas such as customer service where AI chatbots have been programmed to detect customer frustration through text analysis and respond accordingly. However, Kambur (2015) further states that despite the advancements of artificial intelligence in various fields, its abilities remain limited in replicating the full spectrum of human emotions, especially in the critical expressions required in leadership contexts such as understanding the emotions of others based on real-world scenarios. AI chatbots are programmed by humans which means that they can only mimic emotional intelligence to the extent of their programming and hence lack the genuine empathy and adaptability that true human interaction offers (Chaves and Gerosa 2020). This is further supported by Jonck and Swanepoel’s (2015) second approach to emotional intelligence which they refer to as emotional assimilation and is an ability only humans possess. This ability allows leaders to express emotion-based thinking which helps direct attention to important information. However, the components of artificial intelligence, such as the ability to process data, recognize patterns, and execute tasks, lack the capacity for emotional assimilation. Therefore, human leaders possess an irreplaceable depth of emotional intelligence that helps in making critical decisions that artificial intelligence even with its current advancements cannot replicate or substitute.</w:t>
      </w:r>
    </w:p>
    <w:p>
      <w:pPr>
        <w:spacing w:line="480" w:lineRule="auto"/>
        <w:ind w:firstLine="720"/>
      </w:pPr>
      <w:r>
        <w:rPr>
          <w:color w:val="000000"/>
        </w:rPr>
        <w:t>Unlike artificial intelligence, human leaders have empathy which enables them to connect with their team members on a personal level. This empathy allows leaders especially those in education environments to foster a supportive and inclusive work environment for other employees. This emotional connection is critical for motivating and inspiring teams, highlighting a distinct advantage human leaders have over artificial intelligence (AI). A study by Wang (2021, p.10) emphasized the important role played by artificial intelligence in making data driven decisions stating that “AI can efficiently retrieve and analyze massive amounts of data and provide real-time or near real-time results to assist school leaders in making data-driven, evidence-informed decisions.” Despite these capabilities, Wang’s (2021) study focusing on education states that AI cannot make decisions that take into account other people’s feelings and actions. This is evident from his study where it was found that many school leaders felt that it was not right to have uniform expectations for student achievement. Making these kinds of decisions requires empathy from the leaders to feel other people’s emotions which is a critical aspect of decision-making that the algorithms of AI cannot replicate (Decety and Cowell 2014). Consequently, the absence of empathy in AI highlights why the best leaders cannot be replaced by artificial intelligence.</w:t>
      </w:r>
    </w:p>
    <w:p>
      <w:pPr>
        <w:spacing w:line="480" w:lineRule="auto"/>
        <w:jc w:val="center"/>
      </w:pPr>
      <w:r>
        <w:rPr>
          <w:b/>
          <w:bCs/>
          <w:color w:val="000000"/>
        </w:rPr>
        <w:t>Ethical Judgment and Integrity</w:t>
      </w:r>
    </w:p>
    <w:p>
      <w:pPr>
        <w:spacing w:line="480" w:lineRule="auto"/>
        <w:ind w:firstLine="720"/>
      </w:pPr>
      <w:r>
        <w:rPr>
          <w:color w:val="000000"/>
        </w:rPr>
        <w:t>Leaders usually face ethical dilemmas that require a deep understanding of moral principles, and societal norms to make better decisions. Human leaders naturally can weigh these factors in a more critical manner than artificial intelligence which first requires pre-existing data and information to make a decision. Bhatta’s (2021, p.28) literature review on the ethical challenges of leadership presents that currently, there is an “apparent lack of industry standards and universally accepted ‘ethical codes’ for AI-based digital technologies that can make morally justifiable decisions. For instance, during the development of autonomous vehicles, human leaders are required to consider the moral implications of decision-making algorithms in scenarios where harm is unavoidable. The situation is usually referred as a ‘trolley problem’ and in this case refers to the challenge of making ethical decisions and further reveals the complexity that AI faces in navigating the complex ethical landscapes without clear and universally accepted guidelines (Nyholm and Smids 2016).</w:t>
      </w:r>
      <w:r>
        <w:rPr>
          <w:rFonts w:hint="eastAsia" w:eastAsia="宋体"/>
          <w:color w:val="000000"/>
          <w:lang w:eastAsia="zh-CN"/>
        </w:rPr>
        <w:t xml:space="preserve"> </w:t>
      </w:r>
      <w:r>
        <w:rPr>
          <w:color w:val="000000"/>
        </w:rPr>
        <w:t xml:space="preserve">Leicht-Deobald et al. (2022) in their article about the challenges faced while using AI in human resources management supports this idea stating that the AI systems lack the ‘moral imagination power’ and the capacity for ‘practical interpretation of norms’ suggesting that their capacity which is based on using the algorithms to make decisions falls short in addressing moral ethical complexities that are often faced in leadership. The indispensable value of human leaders lies not only in their ability to make data-driven decisions but, more importantly, in their capacity to make ethical judgments that consider the broader implications of those decisions on society and future generations. </w:t>
      </w:r>
    </w:p>
    <w:p>
      <w:pPr>
        <w:spacing w:line="480" w:lineRule="auto"/>
        <w:ind w:firstLine="720"/>
      </w:pPr>
      <w:r>
        <w:rPr>
          <w:color w:val="000000"/>
        </w:rPr>
        <w:t>Human leaders can practice integrity which is a critical aspect of leadership that helps build trust and credibility both within the organization and with external stakeholders. Leadership styles such as the transformational approach encourage leaders to be of high integrity levels and demonstrate it through accountability, honesty, and transparency in ways that are authentic and resonate with human values and ethics. A study by Seymour et al. (2020) that explored the perception of users of digital avatars and AI agents revealed that the visual realism presented by AI affects affinity and trust. This idea further suggests that the visual representation by AI especially in websites not only influences the trust of the users but it does not also address the deeper qualities of integrity and accountability which are inherent to human leaders (Alles, Munoko, and Vasarhelyi 2022). AI just as described by AI Bhatta does not have the capacity for moral judgment and ethical reasoning which are core aspects of leadership integrity. Additionally, Heyns and Rothmann's (2015) idea that a function of the trustor’s disposition to trust means that the concept of trustworthiness is assessed based on ability, integrity, and benevolence. These are critical attributes that AI cannot genuinely possess or demonstrate in real-world scenarios. Therefore, the inherent limitation of AI in replicating the principled nature of human integrity suggests that the best leaders who can genuinely embody and demonstrate integrity and trust therefore cannot be replaced by AI.  </w:t>
      </w:r>
    </w:p>
    <w:p>
      <w:pPr>
        <w:spacing w:line="480" w:lineRule="auto"/>
        <w:jc w:val="center"/>
      </w:pPr>
      <w:r>
        <w:rPr>
          <w:b/>
          <w:bCs/>
          <w:color w:val="000000"/>
        </w:rPr>
        <w:t>Creative Problem Solving and Innovation</w:t>
      </w:r>
    </w:p>
    <w:p>
      <w:pPr>
        <w:spacing w:line="480" w:lineRule="auto"/>
        <w:ind w:firstLine="720"/>
      </w:pPr>
      <w:r>
        <w:rPr>
          <w:color w:val="000000"/>
        </w:rPr>
        <w:t>Human leaders have the capability to think creatively by drawing on diverse experiences, intuition, and abstract thinking to generate innovative solutions. They are more capable of lateral thinking than AI which according to Brock and Wangenheim (2019, p.2) “requires new information technology (IT) skills that are both AI-specific, such as machine learning skills, and generic, such as understanding of modern programming languages (e.g., Python), application development techniques (e.g., agile software development).” This human leader’s capacity to think creatively is based on the idea that people can synthesize information in ways that are unpredictable and outside the confines of predefined algorithms. For example, in the healthcare sector, a human leader might intuitively combine patient care insights with emerging medical research to develop a novel treatment approach that an AI which usually relies on existing data would not be able to conceive. However, AI just as presented by Brock and Wangenheim (2019) is constrained by the data and algorithms which it was programmed with and will not be able to use ongoing research when it has not yet been updated. Hosanagar and Saxena (2017) further state that while AI can process a vast amount of data rapidly and sometimes identify critical patterns that human leaders may ignore, it cannot still make intuitive leaps or ethical considerations such as a patient's unique circumstances or preferences, to make creative decisions.  Therefore, while AI can assist in decision-making by analyzing a huge amount of data, it cannot replace the unique elements of leadership such as creativity. </w:t>
      </w:r>
    </w:p>
    <w:p>
      <w:pPr>
        <w:spacing w:line="480" w:lineRule="auto"/>
        <w:ind w:firstLine="720"/>
      </w:pPr>
      <w:r>
        <w:rPr>
          <w:color w:val="000000"/>
        </w:rPr>
        <w:t>Additionally, humans can adapt and find novel solutions in situations that are unprecedented or poorly defined. This means that human leaders do not have to rely on past data or information to identify potential challenges in an area and come up with solutions (Nocker and Sena 2019). This kind of innovation is lacking in AI which has to rely on past data to make informed decisions that in some cases may not fit with the existing circumstances. For example, in the political sector, a leader might need to decide on an international crisis that requires not only an understanding of the factual information but also a deep comprehension of cultural sensitivities, ethical implications, and the potential for human response. In this case, the AI system, although advanced, will just help in providing data and possible outcomes based on the historical precedents but in this case would lack the ability to innovate a viable solution that takes into account the populations involved (Li et al. 2023). Human leaders on the other hand will use the current diplomacy to innovate solutions that address the challenges of both sides amicably. This is usually the case in critical situations such as when two countries are about to go to war and the leader has to navigate complex international relations to avert conflict. The ability to come up with new ideas based on empathy and understanding of human emotion which AI lacks will critically help in such situations.  </w:t>
      </w:r>
    </w:p>
    <w:p>
      <w:pPr>
        <w:spacing w:line="480" w:lineRule="auto"/>
        <w:jc w:val="center"/>
      </w:pPr>
      <w:r>
        <w:rPr>
          <w:b/>
          <w:bCs/>
          <w:color w:val="000000"/>
        </w:rPr>
        <w:t>Visionary Leadership and Cultural Sensitivity</w:t>
      </w:r>
    </w:p>
    <w:p>
      <w:pPr>
        <w:spacing w:line="480" w:lineRule="auto"/>
        <w:ind w:firstLine="720"/>
      </w:pPr>
      <w:r>
        <w:rPr>
          <w:color w:val="000000"/>
        </w:rPr>
        <w:t>Unlike AI, Human leaders can articulate a compelling vision for their teams to inspire them to perform better. According to Men, Yue, and Liu (2020), vision is an important aspect of leadership that involves not just setting strategic goals but also inspiring trust and enthusiasm among the team members. It is this need to connect at a personal level that also sets human leaders apart from AI. For example, in the technology sector where projects are divided into teams and headed by an experienced human leader, the person can inspire the team members to achieve their target goals by sharing a personal story of their internship achievements and how they managed to get promotion in the various departments. Such stories cannot be created by AI and have a significant impact on the success of companies because they foster a culture where employees will be committed and loyal to their work. However, AI in such a circumstance would merely provide data-driven insights and recommend efficiencies in the employees' operations which although important for the success of the company does not “create a work climate that can make members feel motivated (Miharja and Hayati 2021, p.9).” This is because it lacks the capacity to understand the nuanced emotional drivers behind each employee's commitment and productivity. </w:t>
      </w:r>
    </w:p>
    <w:p>
      <w:pPr>
        <w:spacing w:line="480" w:lineRule="auto"/>
        <w:ind w:firstLine="720"/>
      </w:pPr>
      <w:r>
        <w:rPr>
          <w:color w:val="000000"/>
        </w:rPr>
        <w:t>Globalization has led to the need to build and maintain better relationships with people from different walks of life. In this globalized world, human leaders play a critical role in ensuring that people live in peace and harmony despite their cultural differences by creating policies that are favorable for everyone (Wiktor-Mach 2018). For example, the conflicts in regions such as the Middle East or Africa require leaders who understand the intricate cultural dynamics and historical grievances that AI may not fully comprehend based on the existing data (Unruh et al. 2019). These leaders can then craft policies that promote reconciliation and mutual respect and in the process foster an environment where diverse communities can coexist peacefully and work towards a common goal. While AI can help in such cases by providing data analysis and predictive modeling to inform policy decisions, it lacks the emotional intelligence and cultural sensitivity to navigate the complex human elements involved in such regions because in some instances it may fail to “respecting the will of Africa, listening to the voice of Africa and caring about the concerns of Africa, thus earning the trust of most African countries (Strange et al. 2015, p.3).” AI in such a case would struggle to replicate the subtlety and warmth required to interact with such delicate cases and possibly lead to further misunderstandings.  Therefore, human leaders are irreplaceable by AI because of their ability to engage in cross-cultural relationships which requires emotional intelligence and cultural sensitivity.</w:t>
      </w:r>
    </w:p>
    <w:p>
      <w:pPr>
        <w:spacing w:line="480" w:lineRule="auto"/>
        <w:jc w:val="center"/>
        <w:rPr>
          <w:b/>
          <w:bCs/>
        </w:rPr>
      </w:pPr>
      <w:r>
        <w:rPr>
          <w:b/>
          <w:bCs/>
        </w:rPr>
        <w:t>Conclusion</w:t>
      </w:r>
    </w:p>
    <w:p>
      <w:pPr>
        <w:spacing w:line="480" w:lineRule="auto"/>
        <w:ind w:firstLine="720"/>
      </w:pPr>
      <w:r>
        <w:rPr>
          <w:color w:val="000000"/>
        </w:rPr>
        <w:t xml:space="preserve">Leadership requires critical capabilities that the modern Artificial intelligence fails to achieve. The leaders in various sectors are required to guide and inspire their subordinates while still considering their human feelings. This kind of need for human and emotional touch has not yet been achieved by AI.  Human leaders have emotional intelligence and empathy which enables them to connect deeply with their team members. This kind of connection is also important in fostering environment of support motivation and inclusivity. Unlike artificial intelligence, human leaders can also critically judge various situations and come up with reasonable decisions that is comfortable for all the involved parties. Artificial intelligence is usually fed with pre-existing data and algorithms which in real world scenarios cannot solve the ethical complexities and moral dilemmas. The current globalization has also led to the need for human leaders who unlike artificial intelligence can improve the diverse cultural dynamics. </w:t>
      </w:r>
    </w:p>
    <w:p>
      <w:pPr>
        <w:spacing w:line="480" w:lineRule="auto"/>
      </w:pPr>
    </w:p>
    <w:p>
      <w:pPr>
        <w:rPr>
          <w:b/>
          <w:bCs/>
        </w:rPr>
      </w:pPr>
      <w:r>
        <w:rPr>
          <w:b/>
          <w:bCs/>
        </w:rPr>
        <w:br w:type="page"/>
      </w:r>
    </w:p>
    <w:p>
      <w:pPr>
        <w:spacing w:line="480" w:lineRule="auto"/>
        <w:jc w:val="center"/>
        <w:rPr>
          <w:b/>
          <w:bCs/>
          <w:color w:val="000000"/>
        </w:rPr>
      </w:pPr>
      <w:r>
        <w:rPr>
          <w:b/>
          <w:bCs/>
        </w:rPr>
        <w:t>References</w:t>
      </w:r>
    </w:p>
    <w:p>
      <w:pPr>
        <w:pStyle w:val="5"/>
        <w:spacing w:before="0" w:beforeAutospacing="0" w:after="0" w:afterAutospacing="0" w:line="480" w:lineRule="auto"/>
        <w:ind w:left="720" w:hanging="720"/>
      </w:pPr>
      <w:r>
        <w:t xml:space="preserve">Alles, M., Munoko, I. and Vasarhelyi, M. (2022) Ethics and the future of Artificial Intelligence in Auditing. </w:t>
      </w:r>
      <w:r>
        <w:rPr>
          <w:i/>
          <w:iCs/>
        </w:rPr>
        <w:t>Artificial Intelligence in Accounting</w:t>
      </w:r>
      <w:r>
        <w:t xml:space="preserve">, 1 June, 217–230. </w:t>
      </w:r>
    </w:p>
    <w:p>
      <w:pPr>
        <w:pStyle w:val="5"/>
        <w:spacing w:before="0" w:beforeAutospacing="0" w:after="0" w:afterAutospacing="0" w:line="480" w:lineRule="auto"/>
        <w:ind w:left="720" w:hanging="720"/>
      </w:pPr>
      <w:r>
        <w:rPr>
          <w:color w:val="000000"/>
        </w:rPr>
        <w:t xml:space="preserve">Bhatta, N. (2021) Emerging Ethical Challenges of Leadership in the Digital Era : A Multi-Vocal Literature Review. </w:t>
      </w:r>
      <w:r>
        <w:rPr>
          <w:i/>
          <w:iCs/>
          <w:color w:val="000000"/>
        </w:rPr>
        <w:t>Electronic Journal of Business Ethics and Organization Studies,</w:t>
      </w:r>
      <w:r>
        <w:rPr>
          <w:color w:val="000000"/>
        </w:rPr>
        <w:t xml:space="preserve"> 26 (1), 30–46.</w:t>
      </w:r>
    </w:p>
    <w:p>
      <w:pPr>
        <w:pStyle w:val="5"/>
        <w:spacing w:before="0" w:beforeAutospacing="0" w:after="0" w:afterAutospacing="0" w:line="480" w:lineRule="auto"/>
        <w:ind w:left="720" w:hanging="720"/>
      </w:pPr>
      <w:r>
        <w:rPr>
          <w:color w:val="000000"/>
        </w:rPr>
        <w:t xml:space="preserve">Brock, J.K.-U. and von Wangenheim, F. (2019) Demystifying ai: What Digital Transformation Leaders can teach you about realistic artificial intelligence. </w:t>
      </w:r>
      <w:r>
        <w:rPr>
          <w:i/>
          <w:iCs/>
          <w:color w:val="000000"/>
        </w:rPr>
        <w:t>California Management Review</w:t>
      </w:r>
      <w:r>
        <w:rPr>
          <w:color w:val="000000"/>
        </w:rPr>
        <w:t>, 61 (4), 110–134.</w:t>
      </w:r>
    </w:p>
    <w:p>
      <w:pPr>
        <w:pStyle w:val="5"/>
        <w:spacing w:before="0" w:beforeAutospacing="0" w:after="0" w:afterAutospacing="0" w:line="480" w:lineRule="auto"/>
        <w:ind w:left="720" w:hanging="720"/>
      </w:pPr>
      <w:r>
        <w:t xml:space="preserve">Chaves, A.P. and Gerosa, M.A. (2020) How should my chatbot interact? A survey on social characteristics in human–chatbot interaction design. </w:t>
      </w:r>
      <w:r>
        <w:rPr>
          <w:i/>
          <w:iCs/>
        </w:rPr>
        <w:t>International Journal of Human–Computer Interaction</w:t>
      </w:r>
      <w:r>
        <w:t xml:space="preserve">, 37 (8), 729–758. </w:t>
      </w:r>
    </w:p>
    <w:p>
      <w:pPr>
        <w:pStyle w:val="5"/>
        <w:spacing w:before="0" w:beforeAutospacing="0" w:after="0" w:afterAutospacing="0" w:line="480" w:lineRule="auto"/>
        <w:ind w:left="720" w:hanging="720"/>
      </w:pPr>
      <w:r>
        <w:rPr>
          <w:color w:val="000000"/>
        </w:rPr>
        <w:t xml:space="preserve">Decety, J. and Cowell, J.M. (2014) Friends or foes. </w:t>
      </w:r>
      <w:r>
        <w:rPr>
          <w:i/>
          <w:iCs/>
          <w:color w:val="000000"/>
        </w:rPr>
        <w:t>Perspectives on Psychological Science</w:t>
      </w:r>
      <w:r>
        <w:rPr>
          <w:color w:val="000000"/>
        </w:rPr>
        <w:t>, 9 (5), 525–537.</w:t>
      </w:r>
    </w:p>
    <w:p>
      <w:pPr>
        <w:pStyle w:val="5"/>
        <w:spacing w:before="0" w:beforeAutospacing="0" w:after="0" w:afterAutospacing="0" w:line="480" w:lineRule="auto"/>
        <w:ind w:left="720" w:hanging="720"/>
      </w:pPr>
      <w:r>
        <w:t xml:space="preserve">Heyns, M. and Rothmann, S. (2015) Dimensionality of Trust: An Analysis of the relations between propensity, trustworthiness and trust. </w:t>
      </w:r>
      <w:r>
        <w:rPr>
          <w:i/>
          <w:iCs/>
        </w:rPr>
        <w:t>SA Journal of Industrial Psychology</w:t>
      </w:r>
      <w:r>
        <w:t xml:space="preserve">, 41 (1). </w:t>
      </w:r>
    </w:p>
    <w:p>
      <w:pPr>
        <w:pStyle w:val="5"/>
        <w:spacing w:before="0" w:beforeAutospacing="0" w:after="0" w:afterAutospacing="0" w:line="480" w:lineRule="auto"/>
        <w:ind w:left="720" w:hanging="720"/>
      </w:pPr>
      <w:r>
        <w:rPr>
          <w:color w:val="000000"/>
        </w:rPr>
        <w:t xml:space="preserve">Hosanagar, K. and Saxena, A. (2018) Harvard Business Review: </w:t>
      </w:r>
      <w:r>
        <w:rPr>
          <w:i/>
          <w:iCs/>
          <w:color w:val="000000"/>
        </w:rPr>
        <w:t>The first wave of corporate AI is doomed to fail</w:t>
      </w:r>
      <w:r>
        <w:rPr>
          <w:color w:val="000000"/>
        </w:rPr>
        <w:t xml:space="preserve"> 24 July. Available from: https://hbr.org/2017/04/the-first-wave-of-corporate-ai-is-doomed-to-fail [Accessed 1 March 2024].</w:t>
      </w:r>
    </w:p>
    <w:p>
      <w:pPr>
        <w:pStyle w:val="5"/>
        <w:spacing w:before="0" w:beforeAutospacing="0" w:after="0" w:afterAutospacing="0" w:line="480" w:lineRule="auto"/>
        <w:ind w:left="720" w:hanging="720"/>
      </w:pPr>
      <w:r>
        <w:t xml:space="preserve">Jonck, P. and Swanepoel, E. (2015) Exploring the theoretical link between cultural and emotional intelligence: A system analysis for human resource management. </w:t>
      </w:r>
      <w:r>
        <w:rPr>
          <w:i/>
          <w:iCs/>
        </w:rPr>
        <w:t>South African Journal of Business Management</w:t>
      </w:r>
      <w:r>
        <w:t xml:space="preserve">, 46 (4), 77–84. </w:t>
      </w:r>
    </w:p>
    <w:p>
      <w:pPr>
        <w:pStyle w:val="5"/>
        <w:spacing w:before="0" w:beforeAutospacing="0" w:after="0" w:afterAutospacing="0" w:line="480" w:lineRule="auto"/>
        <w:ind w:left="720" w:hanging="720"/>
      </w:pPr>
      <w:r>
        <w:rPr>
          <w:color w:val="000000"/>
        </w:rPr>
        <w:t xml:space="preserve">Kambur, E. (2015) Emotional intelligence or artificial intelligence?: Emotional Artificial Intelligence. </w:t>
      </w:r>
      <w:r>
        <w:rPr>
          <w:i/>
          <w:iCs/>
          <w:color w:val="000000"/>
        </w:rPr>
        <w:t>Florya Chronicles of Political Economy</w:t>
      </w:r>
      <w:r>
        <w:rPr>
          <w:color w:val="000000"/>
        </w:rPr>
        <w:t>, 7 (2), 147–168.</w:t>
      </w:r>
    </w:p>
    <w:p>
      <w:pPr>
        <w:pStyle w:val="5"/>
        <w:spacing w:before="0" w:beforeAutospacing="0" w:after="0" w:afterAutospacing="0" w:line="480" w:lineRule="auto"/>
        <w:ind w:left="720" w:hanging="720"/>
      </w:pPr>
      <w:r>
        <w:rPr>
          <w:color w:val="000000"/>
        </w:rPr>
        <w:t xml:space="preserve">Leicht-Deobald, U., Busch, T., Schank, C., Weibel, A., Schafheitle, S., Wildhaber, I. and Kasper, G. (2022) The challenges of algorithm-based HR decision-making for personal integrity. </w:t>
      </w:r>
      <w:r>
        <w:rPr>
          <w:i/>
          <w:iCs/>
          <w:color w:val="000000"/>
        </w:rPr>
        <w:t>Business and the Ethical Implications of Technology</w:t>
      </w:r>
      <w:r>
        <w:rPr>
          <w:color w:val="000000"/>
        </w:rPr>
        <w:t>, 71–86.</w:t>
      </w:r>
    </w:p>
    <w:p>
      <w:pPr>
        <w:pStyle w:val="5"/>
        <w:spacing w:before="0" w:beforeAutospacing="0" w:after="0" w:afterAutospacing="0" w:line="480" w:lineRule="auto"/>
        <w:ind w:left="720" w:hanging="720"/>
      </w:pPr>
      <w:r>
        <w:rPr>
          <w:color w:val="000000"/>
        </w:rPr>
        <w:t xml:space="preserve">Li, J., Herdem, M.S., Nathwani, J. and Wen, J.Z. (2023) Methods and applications for artificial intelligence, Big Data, internet of things, and Blockchain in Smart Energy Management. </w:t>
      </w:r>
      <w:r>
        <w:rPr>
          <w:i/>
          <w:iCs/>
          <w:color w:val="000000"/>
        </w:rPr>
        <w:t>Energy and AI</w:t>
      </w:r>
      <w:r>
        <w:rPr>
          <w:color w:val="000000"/>
        </w:rPr>
        <w:t>, 11, 100208.</w:t>
      </w:r>
    </w:p>
    <w:p>
      <w:pPr>
        <w:pStyle w:val="5"/>
        <w:spacing w:before="0" w:beforeAutospacing="0" w:after="0" w:afterAutospacing="0" w:line="480" w:lineRule="auto"/>
        <w:ind w:left="720" w:hanging="720"/>
      </w:pPr>
      <w:r>
        <w:rPr>
          <w:color w:val="000000"/>
        </w:rPr>
        <w:t xml:space="preserve">Men, L.R., Yue, C.A. and Liu, Y. (2020) “Vision, passion, and care:” the impact of charismatic executive leadership communication on Employee Trust and support for organizational change. </w:t>
      </w:r>
      <w:r>
        <w:rPr>
          <w:i/>
          <w:iCs/>
          <w:color w:val="000000"/>
        </w:rPr>
        <w:t>Public Relations Review</w:t>
      </w:r>
      <w:r>
        <w:rPr>
          <w:color w:val="000000"/>
        </w:rPr>
        <w:t>, 46 (3), 101927.</w:t>
      </w:r>
    </w:p>
    <w:p>
      <w:pPr>
        <w:pStyle w:val="5"/>
        <w:spacing w:before="0" w:beforeAutospacing="0" w:after="0" w:afterAutospacing="0" w:line="480" w:lineRule="auto"/>
        <w:ind w:left="720" w:hanging="720"/>
      </w:pPr>
      <w:r>
        <w:rPr>
          <w:color w:val="000000"/>
        </w:rPr>
        <w:t xml:space="preserve">Miharja, R. and Hayati, N. (2021) The importance of visionary leadership and talent management to improve the employee performance. </w:t>
      </w:r>
      <w:r>
        <w:rPr>
          <w:i/>
          <w:iCs/>
          <w:color w:val="000000"/>
        </w:rPr>
        <w:t>HOLISTICA – Journal of Business and Public Administration</w:t>
      </w:r>
      <w:r>
        <w:rPr>
          <w:color w:val="000000"/>
        </w:rPr>
        <w:t>, 12 (2), 93–101.</w:t>
      </w:r>
    </w:p>
    <w:p>
      <w:pPr>
        <w:pStyle w:val="5"/>
        <w:spacing w:before="0" w:beforeAutospacing="0" w:after="0" w:afterAutospacing="0" w:line="480" w:lineRule="auto"/>
        <w:ind w:left="720" w:hanging="720"/>
      </w:pPr>
      <w:r>
        <w:rPr>
          <w:color w:val="000000"/>
        </w:rPr>
        <w:t xml:space="preserve">Nocker, M. and Sena, V. (2019) Big Data and Human Resources Management: The Rise of Talent Analytics. </w:t>
      </w:r>
      <w:r>
        <w:rPr>
          <w:i/>
          <w:iCs/>
          <w:color w:val="000000"/>
        </w:rPr>
        <w:t>Social Sciences</w:t>
      </w:r>
      <w:r>
        <w:rPr>
          <w:color w:val="000000"/>
        </w:rPr>
        <w:t>, 8 (10), 273.</w:t>
      </w:r>
    </w:p>
    <w:p>
      <w:pPr>
        <w:pStyle w:val="5"/>
        <w:spacing w:before="0" w:beforeAutospacing="0" w:after="0" w:afterAutospacing="0" w:line="480" w:lineRule="auto"/>
        <w:ind w:left="720" w:hanging="720"/>
      </w:pPr>
      <w:r>
        <w:t xml:space="preserve">Nyholm, S. and Smids, J. (2016) The ethics of Accident-algorithms for self-driving cars: An applied trolley problem? </w:t>
      </w:r>
      <w:r>
        <w:rPr>
          <w:i/>
          <w:iCs/>
        </w:rPr>
        <w:t>Ethical Theory and Moral Practice</w:t>
      </w:r>
      <w:r>
        <w:t xml:space="preserve">, 19 (5), 1275–1289. </w:t>
      </w:r>
    </w:p>
    <w:p>
      <w:pPr>
        <w:pStyle w:val="5"/>
        <w:spacing w:before="0" w:beforeAutospacing="0" w:after="0" w:afterAutospacing="0" w:line="480" w:lineRule="auto"/>
        <w:ind w:left="720" w:hanging="720"/>
      </w:pPr>
      <w:r>
        <w:t xml:space="preserve">Pew Research Center (2023) Pew Research Center’s Social &amp; Demographic Trends Project: </w:t>
      </w:r>
      <w:r>
        <w:rPr>
          <w:i/>
          <w:iCs/>
        </w:rPr>
        <w:t>Which U.S. workers are more exposed to AI on their jobs?</w:t>
      </w:r>
      <w:r>
        <w:t xml:space="preserve"> 26 July. Available from: https://www.pewresearch.org/social-trends/2023/07/26/which-u-s-workers-are-more-exposed-to-ai-on-their-jobs/ [Accessed 1 March 2024]. </w:t>
      </w:r>
    </w:p>
    <w:p>
      <w:pPr>
        <w:pStyle w:val="5"/>
        <w:spacing w:before="0" w:beforeAutospacing="0" w:after="0" w:afterAutospacing="0" w:line="480" w:lineRule="auto"/>
        <w:ind w:left="720" w:hanging="720"/>
        <w:rPr>
          <w:color w:val="000000"/>
        </w:rPr>
      </w:pPr>
      <w:r>
        <w:rPr>
          <w:color w:val="000000"/>
        </w:rPr>
        <w:t xml:space="preserve">Seymour, M., Yuan, L., Dennis, A. and Riemer, K. (2020) Facing the artificial: Understanding affinity, trustworthiness, and preference for more realistic digital humans. </w:t>
      </w:r>
      <w:r>
        <w:rPr>
          <w:i/>
          <w:iCs/>
          <w:color w:val="000000"/>
        </w:rPr>
        <w:t>Proceedings of the Annual Hawaii International Conference on System Sciences</w:t>
      </w:r>
      <w:r>
        <w:rPr>
          <w:color w:val="000000"/>
        </w:rPr>
        <w:t>.</w:t>
      </w:r>
    </w:p>
    <w:p>
      <w:pPr>
        <w:pStyle w:val="5"/>
        <w:spacing w:before="0" w:beforeAutospacing="0" w:after="0" w:afterAutospacing="0" w:line="480" w:lineRule="auto"/>
        <w:ind w:left="720" w:hanging="720"/>
        <w:rPr>
          <w:color w:val="000000"/>
        </w:rPr>
      </w:pPr>
      <w:r>
        <w:t xml:space="preserve">Strange, A.M., Dreher, A., Fuchs, A., Parks, B. and Tierney, M.J. (2015) Tracking underreported financial flows: China’s development finance and the aid–conflict nexus revisited. </w:t>
      </w:r>
      <w:r>
        <w:rPr>
          <w:i/>
          <w:iCs/>
        </w:rPr>
        <w:t>Journal of Conflict Resolution</w:t>
      </w:r>
      <w:r>
        <w:t xml:space="preserve">, 61 (5), 935–963. </w:t>
      </w:r>
    </w:p>
    <w:p>
      <w:pPr>
        <w:pStyle w:val="5"/>
        <w:spacing w:before="0" w:beforeAutospacing="0" w:after="0" w:afterAutospacing="0" w:line="480" w:lineRule="auto"/>
        <w:ind w:left="720" w:hanging="720"/>
      </w:pPr>
      <w:r>
        <w:t xml:space="preserve">Unruh, J., Pritchard, M., Savage, E., Wade, C., Nair, P., Adenwala, A., Lee, L., Malloy, M., Taner, I. and Frilander, M. (2019) Linkages between large-scale infrastructure development and conflict dynamics in East Africa. </w:t>
      </w:r>
      <w:r>
        <w:rPr>
          <w:i/>
          <w:iCs/>
        </w:rPr>
        <w:t>Journal of Infrastructure Development</w:t>
      </w:r>
      <w:r>
        <w:t xml:space="preserve">, 11 (1–2), 1–13. </w:t>
      </w:r>
    </w:p>
    <w:p>
      <w:pPr>
        <w:pStyle w:val="5"/>
        <w:spacing w:before="0" w:beforeAutospacing="0" w:after="0" w:afterAutospacing="0" w:line="480" w:lineRule="auto"/>
        <w:ind w:left="720" w:hanging="720"/>
      </w:pPr>
      <w:r>
        <w:t xml:space="preserve">Wall Street Journal (2017) The Wall Street Journal: </w:t>
      </w:r>
      <w:r>
        <w:rPr>
          <w:i/>
          <w:iCs/>
        </w:rPr>
        <w:t>Andrew Ng: Ai is the new electricity</w:t>
      </w:r>
      <w:r>
        <w:t xml:space="preserve">. Available from: https://www.wsj.com/video/andrew-ng-ai-is-the-new-electricity/56CF4056-4324-4AD2-AD2C-93CD5D32610A [Accessed 1 March 2024]. </w:t>
      </w:r>
    </w:p>
    <w:p>
      <w:pPr>
        <w:pStyle w:val="5"/>
        <w:spacing w:before="0" w:beforeAutospacing="0" w:after="0" w:afterAutospacing="0" w:line="480" w:lineRule="auto"/>
        <w:ind w:left="720" w:hanging="720"/>
      </w:pPr>
      <w:bookmarkStart w:id="0" w:name="OLE_LINK1"/>
      <w:r>
        <w:rPr>
          <w:color w:val="000000"/>
        </w:rPr>
        <w:t>Wang</w:t>
      </w:r>
      <w:bookmarkEnd w:id="0"/>
      <w:r>
        <w:rPr>
          <w:color w:val="000000"/>
        </w:rPr>
        <w:t xml:space="preserve">, Y. (2021) Artificial Intelligence in educational leadership: A symbiotic role of human-artificial intelligence decision-making. </w:t>
      </w:r>
      <w:r>
        <w:rPr>
          <w:i/>
          <w:iCs/>
          <w:color w:val="000000"/>
        </w:rPr>
        <w:t>Journal of Educational Administration</w:t>
      </w:r>
      <w:r>
        <w:rPr>
          <w:color w:val="000000"/>
        </w:rPr>
        <w:t>, 59 (3), 256–270.</w:t>
      </w:r>
    </w:p>
    <w:p>
      <w:pPr>
        <w:pStyle w:val="5"/>
        <w:spacing w:before="0" w:beforeAutospacing="0" w:after="0" w:afterAutospacing="0" w:line="480" w:lineRule="auto"/>
        <w:ind w:left="720" w:hanging="720"/>
        <w:rPr>
          <w:color w:val="000000"/>
        </w:rPr>
      </w:pPr>
      <w:r>
        <w:rPr>
          <w:color w:val="000000"/>
        </w:rPr>
        <w:t xml:space="preserve">Wiktor-Mach, D. (2018) What role for culture in the age of sustainable development? UNESCO’s advocacy in the 2030 agenda negotiations. </w:t>
      </w:r>
      <w:r>
        <w:rPr>
          <w:i/>
          <w:iCs/>
          <w:color w:val="000000"/>
        </w:rPr>
        <w:t>International Journal of Cultural Policy</w:t>
      </w:r>
      <w:r>
        <w:rPr>
          <w:color w:val="000000"/>
        </w:rPr>
        <w:t>, 26 (3), 312–327. </w:t>
      </w:r>
    </w:p>
    <w:p>
      <w:pPr>
        <w:pStyle w:val="5"/>
        <w:spacing w:before="240" w:beforeAutospacing="0" w:after="240" w:afterAutospacing="0"/>
        <w:ind w:left="560" w:hanging="20"/>
      </w:pPr>
    </w:p>
    <w:p>
      <w:pPr>
        <w:spacing w:line="480" w:lineRule="auto"/>
        <w:ind w:firstLine="720"/>
      </w:pPr>
    </w:p>
    <w:sectPr>
      <w:headerReference r:id="rId3" w:type="default"/>
      <w:pgSz w:w="12240" w:h="15840"/>
      <w:pgMar w:top="1440" w:right="1440" w:bottom="1440" w:left="14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8"/>
        <w:rFonts w:ascii="Times New Roman" w:hAnsi="Times New Roman" w:cs="Times New Roman"/>
      </w:rPr>
      <w:id w:val="-1597708938"/>
      <w:docPartObj>
        <w:docPartGallery w:val="autotext"/>
      </w:docPartObj>
    </w:sdtPr>
    <w:sdtEndPr>
      <w:rPr>
        <w:rStyle w:val="8"/>
        <w:rFonts w:ascii="Times New Roman" w:hAnsi="Times New Roman" w:cs="Times New Roman"/>
      </w:rPr>
    </w:sdtEndPr>
    <w:sdtContent>
      <w:p>
        <w:pPr>
          <w:pStyle w:val="4"/>
          <w:framePr w:wrap="auto" w:vAnchor="text" w:hAnchor="margin" w:xAlign="right" w:y="1"/>
          <w:rPr>
            <w:rStyle w:val="8"/>
            <w:rFonts w:ascii="Times New Roman" w:hAnsi="Times New Roman" w:cs="Times New Roman"/>
          </w:rPr>
        </w:pPr>
        <w:r>
          <w:rPr>
            <w:rStyle w:val="8"/>
            <w:rFonts w:ascii="Times New Roman" w:hAnsi="Times New Roman" w:cs="Times New Roman"/>
          </w:rPr>
          <w:fldChar w:fldCharType="begin"/>
        </w:r>
        <w:r>
          <w:rPr>
            <w:rStyle w:val="8"/>
            <w:rFonts w:ascii="Times New Roman" w:hAnsi="Times New Roman" w:cs="Times New Roman"/>
          </w:rPr>
          <w:instrText xml:space="preserve"> PAGE </w:instrText>
        </w:r>
        <w:r>
          <w:rPr>
            <w:rStyle w:val="8"/>
            <w:rFonts w:ascii="Times New Roman" w:hAnsi="Times New Roman" w:cs="Times New Roman"/>
          </w:rPr>
          <w:fldChar w:fldCharType="separate"/>
        </w:r>
        <w:r>
          <w:rPr>
            <w:rStyle w:val="8"/>
            <w:rFonts w:ascii="Times New Roman" w:hAnsi="Times New Roman" w:cs="Times New Roman"/>
          </w:rPr>
          <w:t>1</w:t>
        </w:r>
        <w:r>
          <w:rPr>
            <w:rStyle w:val="8"/>
            <w:rFonts w:ascii="Times New Roman" w:hAnsi="Times New Roman" w:cs="Times New Roman"/>
          </w:rPr>
          <w:fldChar w:fldCharType="end"/>
        </w:r>
      </w:p>
    </w:sdtContent>
  </w:sdt>
  <w:p>
    <w:pPr>
      <w:pStyle w:val="4"/>
      <w:ind w:right="360"/>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xMjFjMDZkZTU5Nzk1N2M3MGJkMDJhMmMwYzk3MDMifQ=="/>
  </w:docVars>
  <w:rsids>
    <w:rsidRoot w:val="005E34A7"/>
    <w:rsid w:val="00030B90"/>
    <w:rsid w:val="0029512D"/>
    <w:rsid w:val="00392DED"/>
    <w:rsid w:val="003B0585"/>
    <w:rsid w:val="00476EBB"/>
    <w:rsid w:val="005B63AF"/>
    <w:rsid w:val="005E34A7"/>
    <w:rsid w:val="00A94C68"/>
    <w:rsid w:val="00AE69A5"/>
    <w:rsid w:val="00C83C80"/>
    <w:rsid w:val="00CF5CE0"/>
    <w:rsid w:val="00D2203C"/>
    <w:rsid w:val="00F90C3E"/>
    <w:rsid w:val="1DAF0B75"/>
    <w:rsid w:val="25C667B0"/>
    <w:rsid w:val="4DFF72F7"/>
    <w:rsid w:val="71E57C0B"/>
    <w:rsid w:val="7A727F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en-US" w:bidi="ar-SA"/>
    </w:rPr>
  </w:style>
  <w:style w:type="character" w:default="1" w:styleId="7">
    <w:name w:val="Default Paragraph Font"/>
    <w:autoRedefine/>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semiHidden/>
    <w:unhideWhenUsed/>
    <w:uiPriority w:val="99"/>
  </w:style>
  <w:style w:type="paragraph" w:styleId="3">
    <w:name w:val="footer"/>
    <w:basedOn w:val="1"/>
    <w:link w:val="11"/>
    <w:unhideWhenUsed/>
    <w:uiPriority w:val="99"/>
    <w:pPr>
      <w:tabs>
        <w:tab w:val="center" w:pos="4680"/>
        <w:tab w:val="right" w:pos="9360"/>
      </w:tabs>
    </w:pPr>
    <w:rPr>
      <w:rFonts w:asciiTheme="minorHAnsi" w:hAnsiTheme="minorHAnsi" w:eastAsiaTheme="minorHAnsi" w:cstheme="minorBidi"/>
    </w:rPr>
  </w:style>
  <w:style w:type="paragraph" w:styleId="4">
    <w:name w:val="header"/>
    <w:basedOn w:val="1"/>
    <w:link w:val="10"/>
    <w:autoRedefine/>
    <w:unhideWhenUsed/>
    <w:qFormat/>
    <w:uiPriority w:val="99"/>
    <w:pPr>
      <w:tabs>
        <w:tab w:val="center" w:pos="4680"/>
        <w:tab w:val="right" w:pos="9360"/>
      </w:tabs>
    </w:pPr>
    <w:rPr>
      <w:rFonts w:asciiTheme="minorHAnsi" w:hAnsiTheme="minorHAnsi" w:eastAsiaTheme="minorHAnsi" w:cstheme="minorBidi"/>
    </w:rPr>
  </w:style>
  <w:style w:type="paragraph" w:styleId="5">
    <w:name w:val="Normal (Web)"/>
    <w:basedOn w:val="1"/>
    <w:autoRedefine/>
    <w:unhideWhenUsed/>
    <w:qFormat/>
    <w:uiPriority w:val="99"/>
    <w:pPr>
      <w:spacing w:before="100" w:beforeAutospacing="1" w:after="100" w:afterAutospacing="1"/>
    </w:pPr>
  </w:style>
  <w:style w:type="character" w:styleId="8">
    <w:name w:val="page number"/>
    <w:basedOn w:val="7"/>
    <w:autoRedefine/>
    <w:semiHidden/>
    <w:unhideWhenUsed/>
    <w:qFormat/>
    <w:uiPriority w:val="99"/>
  </w:style>
  <w:style w:type="character" w:styleId="9">
    <w:name w:val="annotation reference"/>
    <w:basedOn w:val="7"/>
    <w:autoRedefine/>
    <w:semiHidden/>
    <w:unhideWhenUsed/>
    <w:qFormat/>
    <w:uiPriority w:val="99"/>
    <w:rPr>
      <w:sz w:val="16"/>
      <w:szCs w:val="16"/>
    </w:rPr>
  </w:style>
  <w:style w:type="character" w:customStyle="1" w:styleId="10">
    <w:name w:val="Header Char"/>
    <w:basedOn w:val="7"/>
    <w:link w:val="4"/>
    <w:autoRedefine/>
    <w:qFormat/>
    <w:uiPriority w:val="99"/>
  </w:style>
  <w:style w:type="character" w:customStyle="1" w:styleId="11">
    <w:name w:val="Footer Char"/>
    <w:basedOn w:val="7"/>
    <w:link w:val="3"/>
    <w:autoRedefine/>
    <w:qFormat/>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3154</Words>
  <Characters>17763</Characters>
  <Lines>261</Lines>
  <Paragraphs>29</Paragraphs>
  <TotalTime>2</TotalTime>
  <ScaleCrop>false</ScaleCrop>
  <LinksUpToDate>false</LinksUpToDate>
  <CharactersWithSpaces>20888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2024-03-01T20:21:00Z</dcterms:created>
  <dc:creator>Administrator</dc:creator>
  <cp:lastModifiedBy>Administrator</cp:lastModifiedBy>
  <dcterms:modified xsi:type="dcterms:W3CDTF">2024-04-15T16:16:49Z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6A227507AD594DBD9BD65232B816A76B_12</vt:lpwstr>
  </property>
</Properties>
</file>