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3FFB01"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Financial Performance &amp; Ratio Analysis (2020–2024)</w:t>
      </w:r>
      <w:r w:rsidRPr="00D55BFF">
        <w:rPr>
          <w:rFonts w:ascii="Times New Roman" w:eastAsia="Times New Roman" w:hAnsi="Times New Roman" w:cs="Times New Roman"/>
          <w:sz w:val="24"/>
          <w:szCs w:val="24"/>
          <w:lang w:eastAsia="en-IN"/>
        </w:rPr>
        <w:br/>
      </w:r>
      <w:r w:rsidRPr="00D55BFF">
        <w:rPr>
          <w:rFonts w:ascii="Times New Roman" w:eastAsia="Times New Roman" w:hAnsi="Times New Roman" w:cs="Times New Roman"/>
          <w:b/>
          <w:bCs/>
          <w:color w:val="000000"/>
          <w:sz w:val="24"/>
          <w:szCs w:val="24"/>
          <w:lang w:eastAsia="en-IN"/>
        </w:rPr>
        <w:t>Date:</w:t>
      </w:r>
      <w:r w:rsidRPr="00D55BFF">
        <w:rPr>
          <w:rFonts w:ascii="Times New Roman" w:eastAsia="Times New Roman" w:hAnsi="Times New Roman" w:cs="Times New Roman"/>
          <w:color w:val="000000"/>
          <w:sz w:val="24"/>
          <w:szCs w:val="24"/>
          <w:lang w:eastAsia="en-IN"/>
        </w:rPr>
        <w:t xml:space="preserve"> July 9, 2026</w:t>
      </w:r>
      <w:r w:rsidRPr="00D55BFF">
        <w:rPr>
          <w:rFonts w:ascii="Times New Roman" w:eastAsia="Times New Roman" w:hAnsi="Times New Roman" w:cs="Times New Roman"/>
          <w:sz w:val="24"/>
          <w:szCs w:val="24"/>
          <w:lang w:eastAsia="en-IN"/>
        </w:rPr>
        <w:br/>
      </w:r>
      <w:r w:rsidRPr="00D55BFF">
        <w:rPr>
          <w:rFonts w:ascii="Times New Roman" w:eastAsia="Times New Roman" w:hAnsi="Times New Roman" w:cs="Times New Roman"/>
          <w:b/>
          <w:bCs/>
          <w:color w:val="000000"/>
          <w:sz w:val="24"/>
          <w:szCs w:val="24"/>
          <w:lang w:eastAsia="en-IN"/>
        </w:rPr>
        <w:t>Subject:</w:t>
      </w:r>
      <w:r w:rsidRPr="00D55BFF">
        <w:rPr>
          <w:rFonts w:ascii="Times New Roman" w:eastAsia="Times New Roman" w:hAnsi="Times New Roman" w:cs="Times New Roman"/>
          <w:color w:val="000000"/>
          <w:sz w:val="24"/>
          <w:szCs w:val="24"/>
          <w:lang w:eastAsia="en-IN"/>
        </w:rPr>
        <w:t xml:space="preserve"> Initial Observations and 5-Year Trend Commentary</w:t>
      </w:r>
    </w:p>
    <w:p w14:paraId="3B8D2157" w14:textId="77777777" w:rsidR="00D55BFF" w:rsidRPr="00D55BFF" w:rsidRDefault="00D55BFF" w:rsidP="00D55BFF">
      <w:pPr>
        <w:spacing w:after="0"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sz w:val="24"/>
          <w:szCs w:val="24"/>
          <w:lang w:eastAsia="en-IN"/>
        </w:rPr>
        <w:pict w14:anchorId="565ED610">
          <v:rect id="_x0000_i1025" style="width:0;height:1.5pt" o:hralign="center" o:hrstd="t" o:hr="t" fillcolor="#a0a0a0" stroked="f"/>
        </w:pict>
      </w:r>
    </w:p>
    <w:p w14:paraId="3044E77D"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7"/>
          <w:szCs w:val="27"/>
          <w:lang w:eastAsia="en-IN"/>
        </w:rPr>
        <w:t>1. Executive Summary</w:t>
      </w:r>
    </w:p>
    <w:p w14:paraId="5E717AEE"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color w:val="000000"/>
          <w:sz w:val="24"/>
          <w:szCs w:val="24"/>
          <w:lang w:eastAsia="en-IN"/>
        </w:rPr>
        <w:t>Over the five-year period from 2020 to 2024, the company has demonstrated a stark divergence in its financial health. While operational efficiency and core profitability have improved dramatically, these gains are accompanied by persistently weak short-term liquidity and a highly leveraged balance sheet. The data suggests a company that is highly effective at generating revenue from its assets but faces ongoing working capital constraints and relies heavily on debt financing.</w:t>
      </w:r>
    </w:p>
    <w:p w14:paraId="4285D21B" w14:textId="77777777" w:rsidR="00D55BFF" w:rsidRPr="00D55BFF" w:rsidRDefault="00D55BFF" w:rsidP="00D55BFF">
      <w:pPr>
        <w:spacing w:after="0"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sz w:val="24"/>
          <w:szCs w:val="24"/>
          <w:lang w:eastAsia="en-IN"/>
        </w:rPr>
        <w:pict w14:anchorId="0F46F902">
          <v:rect id="_x0000_i1026" style="width:0;height:1.5pt" o:hralign="center" o:hrstd="t" o:hr="t" fillcolor="#a0a0a0" stroked="f"/>
        </w:pict>
      </w:r>
    </w:p>
    <w:p w14:paraId="22DA20E4"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7"/>
          <w:szCs w:val="27"/>
          <w:lang w:eastAsia="en-IN"/>
        </w:rPr>
        <w:t>2. Trend Commentary by Category</w:t>
      </w:r>
    </w:p>
    <w:p w14:paraId="252C7E75"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Profitability</w:t>
      </w:r>
    </w:p>
    <w:p w14:paraId="36FC07C0"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Operating Margin (%):</w:t>
      </w:r>
      <w:r w:rsidRPr="00D55BFF">
        <w:rPr>
          <w:rFonts w:ascii="Times New Roman" w:eastAsia="Times New Roman" w:hAnsi="Times New Roman" w:cs="Times New Roman"/>
          <w:color w:val="000000"/>
          <w:sz w:val="24"/>
          <w:szCs w:val="24"/>
          <w:lang w:eastAsia="en-IN"/>
        </w:rPr>
        <w:t xml:space="preserve"> Exhibits a highly positive and consistent upward trajectory. The margin more than quadrupled from 1.47% in 2020 to 6.15% in 2024, indicating strong core operational improvements, better cost control, or </w:t>
      </w:r>
      <w:proofErr w:type="spellStart"/>
      <w:r w:rsidRPr="00D55BFF">
        <w:rPr>
          <w:rFonts w:ascii="Times New Roman" w:eastAsia="Times New Roman" w:hAnsi="Times New Roman" w:cs="Times New Roman"/>
          <w:color w:val="000000"/>
          <w:sz w:val="24"/>
          <w:szCs w:val="24"/>
          <w:lang w:eastAsia="en-IN"/>
        </w:rPr>
        <w:t>favorable</w:t>
      </w:r>
      <w:proofErr w:type="spellEnd"/>
      <w:r w:rsidRPr="00D55BFF">
        <w:rPr>
          <w:rFonts w:ascii="Times New Roman" w:eastAsia="Times New Roman" w:hAnsi="Times New Roman" w:cs="Times New Roman"/>
          <w:color w:val="000000"/>
          <w:sz w:val="24"/>
          <w:szCs w:val="24"/>
          <w:lang w:eastAsia="en-IN"/>
        </w:rPr>
        <w:t xml:space="preserve"> pricing power.</w:t>
      </w:r>
    </w:p>
    <w:p w14:paraId="7DC221E5"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Net Margin (%):</w:t>
      </w:r>
      <w:r w:rsidRPr="00D55BFF">
        <w:rPr>
          <w:rFonts w:ascii="Times New Roman" w:eastAsia="Times New Roman" w:hAnsi="Times New Roman" w:cs="Times New Roman"/>
          <w:color w:val="000000"/>
          <w:sz w:val="24"/>
          <w:szCs w:val="24"/>
          <w:lang w:eastAsia="en-IN"/>
        </w:rPr>
        <w:t xml:space="preserve"> Showed significant growth from 0.68% in 2020 to a peak of 4.38% in 2022. However, it has contracted over the last two years, settling at 3.37% in 2024. The divergence between the rising operating margin and falling net margin in recent years suggests increasing non-operating expenses, such as higher interest costs or tax burdens.</w:t>
      </w:r>
    </w:p>
    <w:p w14:paraId="1B9B4388" w14:textId="77777777" w:rsidR="00D55BFF" w:rsidRPr="00D55BFF" w:rsidRDefault="00D55BFF" w:rsidP="00D55BFF">
      <w:pPr>
        <w:spacing w:after="0"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sz w:val="24"/>
          <w:szCs w:val="24"/>
          <w:lang w:eastAsia="en-IN"/>
        </w:rPr>
        <w:pict w14:anchorId="30CB895C">
          <v:rect id="_x0000_i1027" style="width:0;height:1.5pt" o:hralign="center" o:hrstd="t" o:hr="t" fillcolor="#a0a0a0" stroked="f"/>
        </w:pict>
      </w:r>
    </w:p>
    <w:p w14:paraId="2E7A7D44"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Liquidity</w:t>
      </w:r>
    </w:p>
    <w:p w14:paraId="2C2470C5"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Current, Quick, and Cash Ratios:</w:t>
      </w:r>
      <w:r w:rsidRPr="00D55BFF">
        <w:rPr>
          <w:rFonts w:ascii="Times New Roman" w:eastAsia="Times New Roman" w:hAnsi="Times New Roman" w:cs="Times New Roman"/>
          <w:color w:val="000000"/>
          <w:sz w:val="24"/>
          <w:szCs w:val="24"/>
          <w:lang w:eastAsia="en-IN"/>
        </w:rPr>
        <w:t xml:space="preserve"> The company faces chronic short-term liquidity constraints. All three ratios remain well below the standard benchmark of 1.0x.</w:t>
      </w:r>
    </w:p>
    <w:p w14:paraId="0D0711F5"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Trend:</w:t>
      </w:r>
      <w:r w:rsidRPr="00D55BFF">
        <w:rPr>
          <w:rFonts w:ascii="Times New Roman" w:eastAsia="Times New Roman" w:hAnsi="Times New Roman" w:cs="Times New Roman"/>
          <w:color w:val="000000"/>
          <w:sz w:val="24"/>
          <w:szCs w:val="24"/>
          <w:lang w:eastAsia="en-IN"/>
        </w:rPr>
        <w:t xml:space="preserve"> Liquidity metrics followed a similar pattern, peaking in 2021 (Current: 0.76x, Quick: 0.74x, Cash: 0.41x), dropping sharply in 2023 (hitting lows of 0.42x, 0.40x, and 0.15x respectively), and showing only a marginal recovery in 2024. This indicates a tight working capital cycle and a reliance on short-term liabilities to fund operations.</w:t>
      </w:r>
    </w:p>
    <w:p w14:paraId="6348960E" w14:textId="77777777" w:rsidR="00D55BFF" w:rsidRPr="00D55BFF" w:rsidRDefault="00D55BFF" w:rsidP="00D55BFF">
      <w:pPr>
        <w:spacing w:after="0"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sz w:val="24"/>
          <w:szCs w:val="24"/>
          <w:lang w:eastAsia="en-IN"/>
        </w:rPr>
        <w:pict w14:anchorId="0B615AC7">
          <v:rect id="_x0000_i1028" style="width:0;height:1.5pt" o:hralign="center" o:hrstd="t" o:hr="t" fillcolor="#a0a0a0" stroked="f"/>
        </w:pict>
      </w:r>
    </w:p>
    <w:p w14:paraId="72B17DCF"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Efficiency</w:t>
      </w:r>
    </w:p>
    <w:p w14:paraId="1E346F87"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Asset &amp; Fixed Asset Turnover:</w:t>
      </w:r>
      <w:r w:rsidRPr="00D55BFF">
        <w:rPr>
          <w:rFonts w:ascii="Times New Roman" w:eastAsia="Times New Roman" w:hAnsi="Times New Roman" w:cs="Times New Roman"/>
          <w:color w:val="000000"/>
          <w:sz w:val="24"/>
          <w:szCs w:val="24"/>
          <w:lang w:eastAsia="en-IN"/>
        </w:rPr>
        <w:t xml:space="preserve"> This is the strongest area of financial performance. Asset Turnover grew steadily from 1.62x to 2.82x. More impressively, Fixed Asset Turnover surged from 20.56x to 40.04x. This demonstrates highly aggressive and effective utilization of the company’s asset base to generate sales.</w:t>
      </w:r>
    </w:p>
    <w:p w14:paraId="5CA7554C"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lastRenderedPageBreak/>
        <w:t>Interest Coverage Ratio:</w:t>
      </w:r>
      <w:r w:rsidRPr="00D55BFF">
        <w:rPr>
          <w:rFonts w:ascii="Times New Roman" w:eastAsia="Times New Roman" w:hAnsi="Times New Roman" w:cs="Times New Roman"/>
          <w:color w:val="000000"/>
          <w:sz w:val="24"/>
          <w:szCs w:val="24"/>
          <w:lang w:eastAsia="en-IN"/>
        </w:rPr>
        <w:t xml:space="preserve"> Peaked at 15.62x in 2022 due to strong operating profits. While it has declined to 9.68x in 2024 (likely due to the rising debt levels noted below), it remains comfortably high compared to the 2020 baseline of 2.35x, meaning the company currently generates more than enough operating income to cover its interest obligations.</w:t>
      </w:r>
    </w:p>
    <w:p w14:paraId="1A803AD9" w14:textId="77777777" w:rsidR="00D55BFF" w:rsidRPr="00D55BFF" w:rsidRDefault="00D55BFF" w:rsidP="00D55BFF">
      <w:pPr>
        <w:spacing w:after="0"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sz w:val="24"/>
          <w:szCs w:val="24"/>
          <w:lang w:eastAsia="en-IN"/>
        </w:rPr>
        <w:pict w14:anchorId="30E43B4B">
          <v:rect id="_x0000_i1029" style="width:0;height:1.5pt" o:hralign="center" o:hrstd="t" o:hr="t" fillcolor="#a0a0a0" stroked="f"/>
        </w:pict>
      </w:r>
    </w:p>
    <w:p w14:paraId="445E626F"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Leverage &amp; Solvency</w:t>
      </w:r>
    </w:p>
    <w:p w14:paraId="73F320BA"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Debt-to-Equity (x):</w:t>
      </w:r>
      <w:r w:rsidRPr="00D55BFF">
        <w:rPr>
          <w:rFonts w:ascii="Times New Roman" w:eastAsia="Times New Roman" w:hAnsi="Times New Roman" w:cs="Times New Roman"/>
          <w:color w:val="000000"/>
          <w:sz w:val="24"/>
          <w:szCs w:val="24"/>
          <w:lang w:eastAsia="en-IN"/>
        </w:rPr>
        <w:t xml:space="preserve"> The company began the period with high financial leverage at 4.83x in 2020. A significant deleveraging effort successfully brought this ratio down to 1.77x by 2023. However, the ratio ticked back up to 2.29x in 2024, indicating a renewed reliance on debt financing to fund operations or growth in the most recent year.</w:t>
      </w:r>
    </w:p>
    <w:p w14:paraId="513B68B2" w14:textId="77777777" w:rsidR="00D55BFF" w:rsidRPr="00D55BFF" w:rsidRDefault="00D55BFF" w:rsidP="00D55BFF">
      <w:pPr>
        <w:spacing w:after="0"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sz w:val="24"/>
          <w:szCs w:val="24"/>
          <w:lang w:eastAsia="en-IN"/>
        </w:rPr>
        <w:pict w14:anchorId="3EC36C29">
          <v:rect id="_x0000_i1030" style="width:0;height:1.5pt" o:hralign="center" o:hrstd="t" o:hr="t" fillcolor="#a0a0a0" stroked="f"/>
        </w:pict>
      </w:r>
    </w:p>
    <w:p w14:paraId="6F2C4882" w14:textId="77777777" w:rsidR="00D55BFF" w:rsidRPr="00D55BFF" w:rsidRDefault="00D55BFF" w:rsidP="00D55BFF">
      <w:pPr>
        <w:spacing w:before="100" w:beforeAutospacing="1" w:after="100" w:afterAutospacing="1" w:line="240" w:lineRule="auto"/>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7"/>
          <w:szCs w:val="27"/>
          <w:lang w:eastAsia="en-IN"/>
        </w:rPr>
        <w:t>3. Key Takeaways &amp; Recommendations for Further Review</w:t>
      </w:r>
    </w:p>
    <w:p w14:paraId="10E686E2" w14:textId="77777777" w:rsidR="00D55BFF" w:rsidRPr="00D55BFF" w:rsidRDefault="00D55BFF" w:rsidP="00D55BFF">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Working Capital Management:</w:t>
      </w:r>
      <w:r w:rsidRPr="00D55BFF">
        <w:rPr>
          <w:rFonts w:ascii="Times New Roman" w:eastAsia="Times New Roman" w:hAnsi="Times New Roman" w:cs="Times New Roman"/>
          <w:color w:val="000000"/>
          <w:sz w:val="24"/>
          <w:szCs w:val="24"/>
          <w:lang w:eastAsia="en-IN"/>
        </w:rPr>
        <w:t xml:space="preserve"> Management should investigate the root causes of the tight liquidity ratios (all &lt; 1.0x) to mitigate short-term solvency risks.</w:t>
      </w:r>
    </w:p>
    <w:p w14:paraId="76D1560E" w14:textId="77777777" w:rsidR="00D55BFF" w:rsidRPr="00D55BFF" w:rsidRDefault="00D55BFF" w:rsidP="00D55BFF">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Expense Control:</w:t>
      </w:r>
      <w:r w:rsidRPr="00D55BFF">
        <w:rPr>
          <w:rFonts w:ascii="Times New Roman" w:eastAsia="Times New Roman" w:hAnsi="Times New Roman" w:cs="Times New Roman"/>
          <w:color w:val="000000"/>
          <w:sz w:val="24"/>
          <w:szCs w:val="24"/>
          <w:lang w:eastAsia="en-IN"/>
        </w:rPr>
        <w:t xml:space="preserve"> The gap between the rising Operating Margin and falling Net Margin in 2023–2024 warrants a review of interest expenses, tax strategies, and non-operating costs.</w:t>
      </w:r>
    </w:p>
    <w:p w14:paraId="57DF3BA3" w14:textId="77777777" w:rsidR="00D55BFF" w:rsidRPr="00D55BFF" w:rsidRDefault="00D55BFF" w:rsidP="00D55BFF">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IN"/>
        </w:rPr>
      </w:pPr>
      <w:r w:rsidRPr="00D55BFF">
        <w:rPr>
          <w:rFonts w:ascii="Times New Roman" w:eastAsia="Times New Roman" w:hAnsi="Times New Roman" w:cs="Times New Roman"/>
          <w:b/>
          <w:bCs/>
          <w:color w:val="000000"/>
          <w:sz w:val="24"/>
          <w:szCs w:val="24"/>
          <w:lang w:eastAsia="en-IN"/>
        </w:rPr>
        <w:t>Capital Structure:</w:t>
      </w:r>
      <w:r w:rsidRPr="00D55BFF">
        <w:rPr>
          <w:rFonts w:ascii="Times New Roman" w:eastAsia="Times New Roman" w:hAnsi="Times New Roman" w:cs="Times New Roman"/>
          <w:color w:val="000000"/>
          <w:sz w:val="24"/>
          <w:szCs w:val="24"/>
          <w:lang w:eastAsia="en-IN"/>
        </w:rPr>
        <w:t xml:space="preserve"> The recent increase in the Debt-to-Equity ratio in 2024 should be monitored to ensure it does not further strain the company's already tight liquidity position</w:t>
      </w:r>
    </w:p>
    <w:p w14:paraId="29FFD36D" w14:textId="77777777" w:rsidR="001046D7" w:rsidRDefault="001046D7">
      <w:bookmarkStart w:id="0" w:name="_GoBack"/>
      <w:bookmarkEnd w:id="0"/>
    </w:p>
    <w:sectPr w:rsidR="001046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D864A0"/>
    <w:multiLevelType w:val="multilevel"/>
    <w:tmpl w:val="111E0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BFF"/>
    <w:rsid w:val="001046D7"/>
    <w:rsid w:val="00D55B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871F7"/>
  <w15:chartTrackingRefBased/>
  <w15:docId w15:val="{C284DF0E-4CB2-40AA-B9A3-47141F0B7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5BFF"/>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9948602">
      <w:bodyDiv w:val="1"/>
      <w:marLeft w:val="0"/>
      <w:marRight w:val="0"/>
      <w:marTop w:val="0"/>
      <w:marBottom w:val="0"/>
      <w:divBdr>
        <w:top w:val="none" w:sz="0" w:space="0" w:color="auto"/>
        <w:left w:val="none" w:sz="0" w:space="0" w:color="auto"/>
        <w:bottom w:val="none" w:sz="0" w:space="0" w:color="auto"/>
        <w:right w:val="none" w:sz="0" w:space="0" w:color="auto"/>
      </w:divBdr>
      <w:divsChild>
        <w:div w:id="5499985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508</Words>
  <Characters>2896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Charchil Patel</dc:creator>
  <cp:keywords/>
  <dc:description/>
  <cp:lastModifiedBy>Charchil Patel</cp:lastModifiedBy>
  <cp:revision>1</cp:revision>
  <dcterms:created xsi:type="dcterms:W3CDTF">2026-07-08T17:50:00Z</dcterms:created>
  <dcterms:modified xsi:type="dcterms:W3CDTF">2026-07-08T17:51:00Z</dcterms:modified>
</cp:coreProperties>
</file>