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8EF21" w14:textId="77777777" w:rsidR="00C446B6" w:rsidRDefault="00C446B6" w:rsidP="009A5806">
      <w:pPr>
        <w:pStyle w:val="Heading1"/>
        <w:jc w:val="center"/>
      </w:pPr>
    </w:p>
    <w:p w14:paraId="75F4AC35" w14:textId="1375417F" w:rsidR="009A5806" w:rsidRDefault="009A5806" w:rsidP="009A5806">
      <w:pPr>
        <w:pStyle w:val="Heading1"/>
        <w:jc w:val="center"/>
      </w:pPr>
      <w:r>
        <w:rPr>
          <w:noProof/>
        </w:rPr>
        <w:drawing>
          <wp:inline distT="0" distB="0" distL="0" distR="0" wp14:anchorId="145E7025" wp14:editId="0600E81A">
            <wp:extent cx="3460750" cy="1310640"/>
            <wp:effectExtent l="0" t="0" r="6350" b="3810"/>
            <wp:docPr id="1176506046"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176506046" name="Picture 1" descr="Text&#10;&#10;Description automatically generated"/>
                    <pic:cNvPicPr/>
                  </pic:nvPicPr>
                  <pic:blipFill>
                    <a:blip r:embed="rId7"/>
                    <a:stretch>
                      <a:fillRect/>
                    </a:stretch>
                  </pic:blipFill>
                  <pic:spPr>
                    <a:xfrm>
                      <a:off x="0" y="0"/>
                      <a:ext cx="3460750" cy="1310640"/>
                    </a:xfrm>
                    <a:prstGeom prst="rect">
                      <a:avLst/>
                    </a:prstGeom>
                  </pic:spPr>
                </pic:pic>
              </a:graphicData>
            </a:graphic>
          </wp:inline>
        </w:drawing>
      </w:r>
    </w:p>
    <w:p w14:paraId="2C69AB70" w14:textId="77777777" w:rsidR="00093A71" w:rsidRDefault="00093A71" w:rsidP="00093A71"/>
    <w:p w14:paraId="6CE2A7AD" w14:textId="77777777" w:rsidR="00093A71" w:rsidRPr="00093A71" w:rsidRDefault="00093A71" w:rsidP="00093A71">
      <w:bookmarkStart w:id="0" w:name="_GoBack"/>
      <w:bookmarkEnd w:id="0"/>
    </w:p>
    <w:p w14:paraId="5AA19417" w14:textId="03BB1A8A" w:rsidR="009A5806" w:rsidRDefault="009A5806" w:rsidP="009A5806"/>
    <w:p w14:paraId="297386B5" w14:textId="2BF467CC" w:rsidR="009A5806" w:rsidRDefault="009A5806" w:rsidP="009A5806">
      <w:pPr>
        <w:jc w:val="center"/>
        <w:rPr>
          <w:rFonts w:cs="Arial"/>
          <w:b/>
          <w:bCs/>
          <w:sz w:val="40"/>
          <w:szCs w:val="40"/>
        </w:rPr>
      </w:pPr>
      <w:r>
        <w:rPr>
          <w:rFonts w:cs="Arial"/>
          <w:b/>
          <w:bCs/>
          <w:sz w:val="40"/>
          <w:szCs w:val="40"/>
        </w:rPr>
        <w:t>LCMB 7000 – Human Resource Management</w:t>
      </w:r>
    </w:p>
    <w:p w14:paraId="019EBCAB" w14:textId="41B8A2BE" w:rsidR="009A5806" w:rsidRDefault="009A5806" w:rsidP="009A5806">
      <w:pPr>
        <w:jc w:val="center"/>
        <w:rPr>
          <w:rFonts w:cs="Arial"/>
          <w:b/>
          <w:bCs/>
          <w:sz w:val="40"/>
          <w:szCs w:val="40"/>
        </w:rPr>
      </w:pPr>
    </w:p>
    <w:p w14:paraId="63483CD2" w14:textId="41C7FF96" w:rsidR="009A5806" w:rsidRDefault="009A5806" w:rsidP="009A5806">
      <w:pPr>
        <w:jc w:val="center"/>
        <w:rPr>
          <w:rFonts w:cs="Arial"/>
          <w:b/>
          <w:bCs/>
          <w:sz w:val="40"/>
          <w:szCs w:val="40"/>
        </w:rPr>
      </w:pPr>
      <w:r>
        <w:rPr>
          <w:rFonts w:cs="Arial"/>
          <w:b/>
          <w:bCs/>
          <w:sz w:val="40"/>
          <w:szCs w:val="40"/>
        </w:rPr>
        <w:t>Title:</w:t>
      </w:r>
    </w:p>
    <w:p w14:paraId="5DD65B37" w14:textId="30A4ECEB" w:rsidR="009A5806" w:rsidRDefault="009A5806" w:rsidP="009A5806">
      <w:pPr>
        <w:jc w:val="center"/>
        <w:rPr>
          <w:rFonts w:cs="Arial"/>
          <w:b/>
          <w:bCs/>
          <w:sz w:val="40"/>
          <w:szCs w:val="40"/>
        </w:rPr>
      </w:pPr>
      <w:r w:rsidRPr="009A5806">
        <w:rPr>
          <w:rFonts w:cs="Arial"/>
          <w:b/>
          <w:bCs/>
          <w:sz w:val="40"/>
          <w:szCs w:val="40"/>
        </w:rPr>
        <w:t>Navigating Change: Adapting Labor Market Realities and HR Strategies in the Post-Covid, Post-Brexit Landscape</w:t>
      </w:r>
    </w:p>
    <w:p w14:paraId="4221BB87" w14:textId="232400D0" w:rsidR="009A5806" w:rsidRDefault="009A5806" w:rsidP="009A5806">
      <w:pPr>
        <w:jc w:val="center"/>
        <w:rPr>
          <w:rFonts w:cs="Arial"/>
          <w:b/>
          <w:bCs/>
          <w:sz w:val="40"/>
          <w:szCs w:val="40"/>
        </w:rPr>
      </w:pPr>
    </w:p>
    <w:p w14:paraId="373FEC14" w14:textId="77777777" w:rsidR="009A5806" w:rsidRDefault="009A5806" w:rsidP="009A5806">
      <w:pPr>
        <w:jc w:val="center"/>
        <w:rPr>
          <w:rFonts w:cs="Arial"/>
          <w:b/>
          <w:bCs/>
          <w:sz w:val="52"/>
          <w:szCs w:val="52"/>
        </w:rPr>
      </w:pPr>
    </w:p>
    <w:p w14:paraId="03764193" w14:textId="372E9B3A" w:rsidR="009A5806" w:rsidRDefault="006A417B" w:rsidP="009A5806">
      <w:pPr>
        <w:jc w:val="center"/>
        <w:rPr>
          <w:rFonts w:cs="Arial"/>
          <w:b/>
          <w:bCs/>
          <w:sz w:val="40"/>
          <w:szCs w:val="40"/>
        </w:rPr>
      </w:pPr>
      <w:r>
        <w:rPr>
          <w:rFonts w:cs="Arial"/>
          <w:b/>
          <w:bCs/>
          <w:sz w:val="40"/>
          <w:szCs w:val="40"/>
        </w:rPr>
        <w:t xml:space="preserve">KARAN RAJESHBHAI SONI </w:t>
      </w:r>
      <w:r w:rsidR="009A5806">
        <w:rPr>
          <w:rFonts w:cs="Arial"/>
          <w:b/>
          <w:bCs/>
          <w:sz w:val="40"/>
          <w:szCs w:val="40"/>
        </w:rPr>
        <w:t>– 22</w:t>
      </w:r>
      <w:r w:rsidR="00DD6AC2">
        <w:rPr>
          <w:rFonts w:cs="Arial"/>
          <w:b/>
          <w:bCs/>
          <w:sz w:val="40"/>
          <w:szCs w:val="40"/>
        </w:rPr>
        <w:t>37322</w:t>
      </w:r>
    </w:p>
    <w:p w14:paraId="33DAC733" w14:textId="77777777" w:rsidR="00093A71" w:rsidRDefault="00093A71" w:rsidP="009A5806">
      <w:pPr>
        <w:jc w:val="center"/>
        <w:rPr>
          <w:rFonts w:cs="Arial"/>
          <w:b/>
          <w:bCs/>
          <w:sz w:val="40"/>
          <w:szCs w:val="40"/>
        </w:rPr>
      </w:pPr>
    </w:p>
    <w:p w14:paraId="0F468184" w14:textId="2694901F" w:rsidR="00093A71" w:rsidRDefault="00093A71" w:rsidP="00093A71">
      <w:pPr>
        <w:jc w:val="center"/>
        <w:rPr>
          <w:rFonts w:cs="Arial"/>
          <w:b/>
          <w:bCs/>
          <w:sz w:val="40"/>
          <w:szCs w:val="40"/>
        </w:rPr>
      </w:pPr>
      <w:proofErr w:type="gramStart"/>
      <w:r>
        <w:rPr>
          <w:rFonts w:cs="Arial"/>
          <w:b/>
          <w:bCs/>
          <w:sz w:val="40"/>
          <w:szCs w:val="40"/>
        </w:rPr>
        <w:t>Lecturer :-</w:t>
      </w:r>
      <w:proofErr w:type="gramEnd"/>
      <w:r>
        <w:rPr>
          <w:rFonts w:cs="Arial"/>
          <w:b/>
          <w:bCs/>
          <w:sz w:val="40"/>
          <w:szCs w:val="40"/>
        </w:rPr>
        <w:t xml:space="preserve"> Mohamed </w:t>
      </w:r>
      <w:proofErr w:type="spellStart"/>
      <w:r>
        <w:rPr>
          <w:rFonts w:cs="Arial"/>
          <w:b/>
          <w:bCs/>
          <w:sz w:val="40"/>
          <w:szCs w:val="40"/>
        </w:rPr>
        <w:t>Asim</w:t>
      </w:r>
      <w:proofErr w:type="spellEnd"/>
      <w:r>
        <w:rPr>
          <w:rFonts w:cs="Arial"/>
          <w:b/>
          <w:bCs/>
          <w:sz w:val="40"/>
          <w:szCs w:val="40"/>
        </w:rPr>
        <w:t xml:space="preserve"> </w:t>
      </w:r>
    </w:p>
    <w:p w14:paraId="3BF5CDFD" w14:textId="5FEC430B" w:rsidR="009A5806" w:rsidRDefault="009A5806" w:rsidP="009A5806"/>
    <w:p w14:paraId="05D4D890" w14:textId="5184BE70" w:rsidR="009A5806" w:rsidRDefault="009A5806" w:rsidP="009A5806"/>
    <w:p w14:paraId="6C8ABC61" w14:textId="2169D272" w:rsidR="009A5806" w:rsidRDefault="009A5806" w:rsidP="009A5806"/>
    <w:p w14:paraId="73BB26F8" w14:textId="6DD2E3D7" w:rsidR="009A5806" w:rsidRDefault="009A5806" w:rsidP="009A5806"/>
    <w:p w14:paraId="4E7B90BD" w14:textId="756C7035" w:rsidR="009A5806" w:rsidRDefault="009A5806" w:rsidP="009A5806"/>
    <w:p w14:paraId="5C19A161" w14:textId="5E50F774" w:rsidR="009A5806" w:rsidRDefault="009A5806" w:rsidP="009A5806"/>
    <w:p w14:paraId="63320896" w14:textId="11804E78" w:rsidR="009A5806" w:rsidRDefault="009A5806" w:rsidP="009A5806"/>
    <w:p w14:paraId="024EFB42" w14:textId="2B09C627" w:rsidR="009A5806" w:rsidRDefault="009A5806" w:rsidP="009A5806"/>
    <w:p w14:paraId="6ECE9CC2" w14:textId="77777777" w:rsidR="009A5806" w:rsidRPr="009A5806" w:rsidRDefault="009A5806" w:rsidP="009A5806"/>
    <w:sdt>
      <w:sdtPr>
        <w:rPr>
          <w:rFonts w:asciiTheme="minorHAnsi" w:eastAsiaTheme="minorHAnsi" w:hAnsiTheme="minorHAnsi" w:cstheme="minorBidi"/>
          <w:color w:val="auto"/>
          <w:sz w:val="22"/>
          <w:szCs w:val="22"/>
        </w:rPr>
        <w:id w:val="1905562395"/>
        <w:docPartObj>
          <w:docPartGallery w:val="Table of Contents"/>
          <w:docPartUnique/>
        </w:docPartObj>
      </w:sdtPr>
      <w:sdtEndPr>
        <w:rPr>
          <w:b/>
          <w:bCs/>
          <w:noProof/>
        </w:rPr>
      </w:sdtEndPr>
      <w:sdtContent>
        <w:p w14:paraId="49ECAC81" w14:textId="4EAF5E88" w:rsidR="009A5806" w:rsidRDefault="009A5806">
          <w:pPr>
            <w:pStyle w:val="TOCHeading"/>
          </w:pPr>
          <w:r>
            <w:t>Table of Contents</w:t>
          </w:r>
        </w:p>
        <w:p w14:paraId="4E222EEE" w14:textId="2D172EB3" w:rsidR="009A5806" w:rsidRDefault="009A580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43485684" w:history="1">
            <w:r w:rsidRPr="00674DDE">
              <w:rPr>
                <w:rStyle w:val="Hyperlink"/>
                <w:noProof/>
              </w:rPr>
              <w:t>Part A - The Current State of the Labor Market in the UK</w:t>
            </w:r>
            <w:r>
              <w:rPr>
                <w:noProof/>
                <w:webHidden/>
              </w:rPr>
              <w:tab/>
            </w:r>
            <w:r>
              <w:rPr>
                <w:noProof/>
                <w:webHidden/>
              </w:rPr>
              <w:fldChar w:fldCharType="begin"/>
            </w:r>
            <w:r>
              <w:rPr>
                <w:noProof/>
                <w:webHidden/>
              </w:rPr>
              <w:instrText xml:space="preserve"> PAGEREF _Toc143485684 \h </w:instrText>
            </w:r>
            <w:r>
              <w:rPr>
                <w:noProof/>
                <w:webHidden/>
              </w:rPr>
            </w:r>
            <w:r>
              <w:rPr>
                <w:noProof/>
                <w:webHidden/>
              </w:rPr>
              <w:fldChar w:fldCharType="separate"/>
            </w:r>
            <w:r>
              <w:rPr>
                <w:noProof/>
                <w:webHidden/>
              </w:rPr>
              <w:t>2</w:t>
            </w:r>
            <w:r>
              <w:rPr>
                <w:noProof/>
                <w:webHidden/>
              </w:rPr>
              <w:fldChar w:fldCharType="end"/>
            </w:r>
          </w:hyperlink>
        </w:p>
        <w:p w14:paraId="106F36EE" w14:textId="268AB123" w:rsidR="009A5806" w:rsidRDefault="00A55201">
          <w:pPr>
            <w:pStyle w:val="TOC1"/>
            <w:tabs>
              <w:tab w:val="left" w:pos="440"/>
              <w:tab w:val="right" w:leader="dot" w:pos="9350"/>
            </w:tabs>
            <w:rPr>
              <w:rFonts w:eastAsiaTheme="minorEastAsia"/>
              <w:noProof/>
            </w:rPr>
          </w:pPr>
          <w:hyperlink w:anchor="_Toc143485685" w:history="1">
            <w:r w:rsidR="009A5806" w:rsidRPr="00674DDE">
              <w:rPr>
                <w:rStyle w:val="Hyperlink"/>
                <w:noProof/>
              </w:rPr>
              <w:t>1.</w:t>
            </w:r>
            <w:r w:rsidR="009A5806">
              <w:rPr>
                <w:rFonts w:eastAsiaTheme="minorEastAsia"/>
                <w:noProof/>
              </w:rPr>
              <w:tab/>
            </w:r>
            <w:r w:rsidR="009A5806" w:rsidRPr="00674DDE">
              <w:rPr>
                <w:rStyle w:val="Hyperlink"/>
                <w:noProof/>
              </w:rPr>
              <w:t>Introduction</w:t>
            </w:r>
            <w:r w:rsidR="009A5806">
              <w:rPr>
                <w:noProof/>
                <w:webHidden/>
              </w:rPr>
              <w:tab/>
            </w:r>
            <w:r w:rsidR="009A5806">
              <w:rPr>
                <w:noProof/>
                <w:webHidden/>
              </w:rPr>
              <w:fldChar w:fldCharType="begin"/>
            </w:r>
            <w:r w:rsidR="009A5806">
              <w:rPr>
                <w:noProof/>
                <w:webHidden/>
              </w:rPr>
              <w:instrText xml:space="preserve"> PAGEREF _Toc143485685 \h </w:instrText>
            </w:r>
            <w:r w:rsidR="009A5806">
              <w:rPr>
                <w:noProof/>
                <w:webHidden/>
              </w:rPr>
            </w:r>
            <w:r w:rsidR="009A5806">
              <w:rPr>
                <w:noProof/>
                <w:webHidden/>
              </w:rPr>
              <w:fldChar w:fldCharType="separate"/>
            </w:r>
            <w:r w:rsidR="009A5806">
              <w:rPr>
                <w:noProof/>
                <w:webHidden/>
              </w:rPr>
              <w:t>2</w:t>
            </w:r>
            <w:r w:rsidR="009A5806">
              <w:rPr>
                <w:noProof/>
                <w:webHidden/>
              </w:rPr>
              <w:fldChar w:fldCharType="end"/>
            </w:r>
          </w:hyperlink>
        </w:p>
        <w:p w14:paraId="159B1378" w14:textId="4761D647" w:rsidR="009A5806" w:rsidRDefault="00A55201">
          <w:pPr>
            <w:pStyle w:val="TOC1"/>
            <w:tabs>
              <w:tab w:val="left" w:pos="440"/>
              <w:tab w:val="right" w:leader="dot" w:pos="9350"/>
            </w:tabs>
            <w:rPr>
              <w:rFonts w:eastAsiaTheme="minorEastAsia"/>
              <w:noProof/>
            </w:rPr>
          </w:pPr>
          <w:hyperlink w:anchor="_Toc143485686" w:history="1">
            <w:r w:rsidR="009A5806" w:rsidRPr="00674DDE">
              <w:rPr>
                <w:rStyle w:val="Hyperlink"/>
                <w:noProof/>
              </w:rPr>
              <w:t>2.</w:t>
            </w:r>
            <w:r w:rsidR="009A5806">
              <w:rPr>
                <w:rFonts w:eastAsiaTheme="minorEastAsia"/>
                <w:noProof/>
              </w:rPr>
              <w:tab/>
            </w:r>
            <w:r w:rsidR="009A5806" w:rsidRPr="00674DDE">
              <w:rPr>
                <w:rStyle w:val="Hyperlink"/>
                <w:noProof/>
              </w:rPr>
              <w:t>Literature Review: The Current UK Labor Market</w:t>
            </w:r>
            <w:r w:rsidR="009A5806">
              <w:rPr>
                <w:noProof/>
                <w:webHidden/>
              </w:rPr>
              <w:tab/>
            </w:r>
            <w:r w:rsidR="009A5806">
              <w:rPr>
                <w:noProof/>
                <w:webHidden/>
              </w:rPr>
              <w:fldChar w:fldCharType="begin"/>
            </w:r>
            <w:r w:rsidR="009A5806">
              <w:rPr>
                <w:noProof/>
                <w:webHidden/>
              </w:rPr>
              <w:instrText xml:space="preserve"> PAGEREF _Toc143485686 \h </w:instrText>
            </w:r>
            <w:r w:rsidR="009A5806">
              <w:rPr>
                <w:noProof/>
                <w:webHidden/>
              </w:rPr>
            </w:r>
            <w:r w:rsidR="009A5806">
              <w:rPr>
                <w:noProof/>
                <w:webHidden/>
              </w:rPr>
              <w:fldChar w:fldCharType="separate"/>
            </w:r>
            <w:r w:rsidR="009A5806">
              <w:rPr>
                <w:noProof/>
                <w:webHidden/>
              </w:rPr>
              <w:t>2</w:t>
            </w:r>
            <w:r w:rsidR="009A5806">
              <w:rPr>
                <w:noProof/>
                <w:webHidden/>
              </w:rPr>
              <w:fldChar w:fldCharType="end"/>
            </w:r>
          </w:hyperlink>
        </w:p>
        <w:p w14:paraId="79468F3F" w14:textId="20F1BD8A" w:rsidR="009A5806" w:rsidRDefault="00A55201">
          <w:pPr>
            <w:pStyle w:val="TOC1"/>
            <w:tabs>
              <w:tab w:val="right" w:leader="dot" w:pos="9350"/>
            </w:tabs>
            <w:rPr>
              <w:rFonts w:eastAsiaTheme="minorEastAsia"/>
              <w:noProof/>
            </w:rPr>
          </w:pPr>
          <w:hyperlink w:anchor="_Toc143485687" w:history="1">
            <w:r w:rsidR="009A5806" w:rsidRPr="00674DDE">
              <w:rPr>
                <w:rStyle w:val="Hyperlink"/>
                <w:noProof/>
              </w:rPr>
              <w:t>3. Impact of Covid-19 on the UK Labor Market</w:t>
            </w:r>
            <w:r w:rsidR="009A5806">
              <w:rPr>
                <w:noProof/>
                <w:webHidden/>
              </w:rPr>
              <w:tab/>
            </w:r>
            <w:r w:rsidR="009A5806">
              <w:rPr>
                <w:noProof/>
                <w:webHidden/>
              </w:rPr>
              <w:fldChar w:fldCharType="begin"/>
            </w:r>
            <w:r w:rsidR="009A5806">
              <w:rPr>
                <w:noProof/>
                <w:webHidden/>
              </w:rPr>
              <w:instrText xml:space="preserve"> PAGEREF _Toc143485687 \h </w:instrText>
            </w:r>
            <w:r w:rsidR="009A5806">
              <w:rPr>
                <w:noProof/>
                <w:webHidden/>
              </w:rPr>
            </w:r>
            <w:r w:rsidR="009A5806">
              <w:rPr>
                <w:noProof/>
                <w:webHidden/>
              </w:rPr>
              <w:fldChar w:fldCharType="separate"/>
            </w:r>
            <w:r w:rsidR="009A5806">
              <w:rPr>
                <w:noProof/>
                <w:webHidden/>
              </w:rPr>
              <w:t>3</w:t>
            </w:r>
            <w:r w:rsidR="009A5806">
              <w:rPr>
                <w:noProof/>
                <w:webHidden/>
              </w:rPr>
              <w:fldChar w:fldCharType="end"/>
            </w:r>
          </w:hyperlink>
        </w:p>
        <w:p w14:paraId="22F26DFB" w14:textId="6E89885A" w:rsidR="009A5806" w:rsidRDefault="00A55201">
          <w:pPr>
            <w:pStyle w:val="TOC1"/>
            <w:tabs>
              <w:tab w:val="right" w:leader="dot" w:pos="9350"/>
            </w:tabs>
            <w:rPr>
              <w:rFonts w:eastAsiaTheme="minorEastAsia"/>
              <w:noProof/>
            </w:rPr>
          </w:pPr>
          <w:hyperlink w:anchor="_Toc143485688" w:history="1">
            <w:r w:rsidR="009A5806" w:rsidRPr="00674DDE">
              <w:rPr>
                <w:rStyle w:val="Hyperlink"/>
                <w:noProof/>
              </w:rPr>
              <w:t>4. Brexit and the Labor Market</w:t>
            </w:r>
            <w:r w:rsidR="009A5806">
              <w:rPr>
                <w:noProof/>
                <w:webHidden/>
              </w:rPr>
              <w:tab/>
            </w:r>
            <w:r w:rsidR="009A5806">
              <w:rPr>
                <w:noProof/>
                <w:webHidden/>
              </w:rPr>
              <w:fldChar w:fldCharType="begin"/>
            </w:r>
            <w:r w:rsidR="009A5806">
              <w:rPr>
                <w:noProof/>
                <w:webHidden/>
              </w:rPr>
              <w:instrText xml:space="preserve"> PAGEREF _Toc143485688 \h </w:instrText>
            </w:r>
            <w:r w:rsidR="009A5806">
              <w:rPr>
                <w:noProof/>
                <w:webHidden/>
              </w:rPr>
            </w:r>
            <w:r w:rsidR="009A5806">
              <w:rPr>
                <w:noProof/>
                <w:webHidden/>
              </w:rPr>
              <w:fldChar w:fldCharType="separate"/>
            </w:r>
            <w:r w:rsidR="009A5806">
              <w:rPr>
                <w:noProof/>
                <w:webHidden/>
              </w:rPr>
              <w:t>4</w:t>
            </w:r>
            <w:r w:rsidR="009A5806">
              <w:rPr>
                <w:noProof/>
                <w:webHidden/>
              </w:rPr>
              <w:fldChar w:fldCharType="end"/>
            </w:r>
          </w:hyperlink>
        </w:p>
        <w:p w14:paraId="49720708" w14:textId="228F7AAA" w:rsidR="009A5806" w:rsidRDefault="00A55201">
          <w:pPr>
            <w:pStyle w:val="TOC1"/>
            <w:tabs>
              <w:tab w:val="right" w:leader="dot" w:pos="9350"/>
            </w:tabs>
            <w:rPr>
              <w:rFonts w:eastAsiaTheme="minorEastAsia"/>
              <w:noProof/>
            </w:rPr>
          </w:pPr>
          <w:hyperlink w:anchor="_Toc143485689" w:history="1">
            <w:r w:rsidR="009A5806" w:rsidRPr="00674DDE">
              <w:rPr>
                <w:rStyle w:val="Hyperlink"/>
                <w:noProof/>
              </w:rPr>
              <w:t>5. Skills Mismatch and Training Initiatives</w:t>
            </w:r>
            <w:r w:rsidR="009A5806">
              <w:rPr>
                <w:noProof/>
                <w:webHidden/>
              </w:rPr>
              <w:tab/>
            </w:r>
            <w:r w:rsidR="009A5806">
              <w:rPr>
                <w:noProof/>
                <w:webHidden/>
              </w:rPr>
              <w:fldChar w:fldCharType="begin"/>
            </w:r>
            <w:r w:rsidR="009A5806">
              <w:rPr>
                <w:noProof/>
                <w:webHidden/>
              </w:rPr>
              <w:instrText xml:space="preserve"> PAGEREF _Toc143485689 \h </w:instrText>
            </w:r>
            <w:r w:rsidR="009A5806">
              <w:rPr>
                <w:noProof/>
                <w:webHidden/>
              </w:rPr>
            </w:r>
            <w:r w:rsidR="009A5806">
              <w:rPr>
                <w:noProof/>
                <w:webHidden/>
              </w:rPr>
              <w:fldChar w:fldCharType="separate"/>
            </w:r>
            <w:r w:rsidR="009A5806">
              <w:rPr>
                <w:noProof/>
                <w:webHidden/>
              </w:rPr>
              <w:t>5</w:t>
            </w:r>
            <w:r w:rsidR="009A5806">
              <w:rPr>
                <w:noProof/>
                <w:webHidden/>
              </w:rPr>
              <w:fldChar w:fldCharType="end"/>
            </w:r>
          </w:hyperlink>
        </w:p>
        <w:p w14:paraId="3684975F" w14:textId="369D90A6" w:rsidR="009A5806" w:rsidRDefault="00A55201">
          <w:pPr>
            <w:pStyle w:val="TOC1"/>
            <w:tabs>
              <w:tab w:val="right" w:leader="dot" w:pos="9350"/>
            </w:tabs>
            <w:rPr>
              <w:rFonts w:eastAsiaTheme="minorEastAsia"/>
              <w:noProof/>
            </w:rPr>
          </w:pPr>
          <w:hyperlink w:anchor="_Toc143485690" w:history="1">
            <w:r w:rsidR="009A5806" w:rsidRPr="00674DDE">
              <w:rPr>
                <w:rStyle w:val="Hyperlink"/>
                <w:noProof/>
              </w:rPr>
              <w:t>6. Diversity and Inclusion in the Labor Market</w:t>
            </w:r>
            <w:r w:rsidR="009A5806">
              <w:rPr>
                <w:noProof/>
                <w:webHidden/>
              </w:rPr>
              <w:tab/>
            </w:r>
            <w:r w:rsidR="009A5806">
              <w:rPr>
                <w:noProof/>
                <w:webHidden/>
              </w:rPr>
              <w:fldChar w:fldCharType="begin"/>
            </w:r>
            <w:r w:rsidR="009A5806">
              <w:rPr>
                <w:noProof/>
                <w:webHidden/>
              </w:rPr>
              <w:instrText xml:space="preserve"> PAGEREF _Toc143485690 \h </w:instrText>
            </w:r>
            <w:r w:rsidR="009A5806">
              <w:rPr>
                <w:noProof/>
                <w:webHidden/>
              </w:rPr>
            </w:r>
            <w:r w:rsidR="009A5806">
              <w:rPr>
                <w:noProof/>
                <w:webHidden/>
              </w:rPr>
              <w:fldChar w:fldCharType="separate"/>
            </w:r>
            <w:r w:rsidR="009A5806">
              <w:rPr>
                <w:noProof/>
                <w:webHidden/>
              </w:rPr>
              <w:t>5</w:t>
            </w:r>
            <w:r w:rsidR="009A5806">
              <w:rPr>
                <w:noProof/>
                <w:webHidden/>
              </w:rPr>
              <w:fldChar w:fldCharType="end"/>
            </w:r>
          </w:hyperlink>
        </w:p>
        <w:p w14:paraId="17AFECB5" w14:textId="45BD0F7A" w:rsidR="009A5806" w:rsidRDefault="00A55201">
          <w:pPr>
            <w:pStyle w:val="TOC1"/>
            <w:tabs>
              <w:tab w:val="right" w:leader="dot" w:pos="9350"/>
            </w:tabs>
            <w:rPr>
              <w:rFonts w:eastAsiaTheme="minorEastAsia"/>
              <w:noProof/>
            </w:rPr>
          </w:pPr>
          <w:hyperlink w:anchor="_Toc143485691" w:history="1">
            <w:r w:rsidR="009A5806" w:rsidRPr="00674DDE">
              <w:rPr>
                <w:rStyle w:val="Hyperlink"/>
                <w:noProof/>
              </w:rPr>
              <w:t>Part B - Emerging Changes in Human Resourcing Strategies in the Post Covid, Post Brexit External Environment</w:t>
            </w:r>
            <w:r w:rsidR="009A5806">
              <w:rPr>
                <w:noProof/>
                <w:webHidden/>
              </w:rPr>
              <w:tab/>
            </w:r>
            <w:r w:rsidR="009A5806">
              <w:rPr>
                <w:noProof/>
                <w:webHidden/>
              </w:rPr>
              <w:fldChar w:fldCharType="begin"/>
            </w:r>
            <w:r w:rsidR="009A5806">
              <w:rPr>
                <w:noProof/>
                <w:webHidden/>
              </w:rPr>
              <w:instrText xml:space="preserve"> PAGEREF _Toc143485691 \h </w:instrText>
            </w:r>
            <w:r w:rsidR="009A5806">
              <w:rPr>
                <w:noProof/>
                <w:webHidden/>
              </w:rPr>
            </w:r>
            <w:r w:rsidR="009A5806">
              <w:rPr>
                <w:noProof/>
                <w:webHidden/>
              </w:rPr>
              <w:fldChar w:fldCharType="separate"/>
            </w:r>
            <w:r w:rsidR="009A5806">
              <w:rPr>
                <w:noProof/>
                <w:webHidden/>
              </w:rPr>
              <w:t>6</w:t>
            </w:r>
            <w:r w:rsidR="009A5806">
              <w:rPr>
                <w:noProof/>
                <w:webHidden/>
              </w:rPr>
              <w:fldChar w:fldCharType="end"/>
            </w:r>
          </w:hyperlink>
        </w:p>
        <w:p w14:paraId="5318A362" w14:textId="46948A3F" w:rsidR="009A5806" w:rsidRDefault="00A55201">
          <w:pPr>
            <w:pStyle w:val="TOC1"/>
            <w:tabs>
              <w:tab w:val="right" w:leader="dot" w:pos="9350"/>
            </w:tabs>
            <w:rPr>
              <w:rFonts w:eastAsiaTheme="minorEastAsia"/>
              <w:noProof/>
            </w:rPr>
          </w:pPr>
          <w:hyperlink w:anchor="_Toc143485692" w:history="1">
            <w:r w:rsidR="009A5806" w:rsidRPr="00674DDE">
              <w:rPr>
                <w:rStyle w:val="Hyperlink"/>
                <w:noProof/>
              </w:rPr>
              <w:t>2. Literature Review: Evolving HR Strategies</w:t>
            </w:r>
            <w:r w:rsidR="009A5806">
              <w:rPr>
                <w:noProof/>
                <w:webHidden/>
              </w:rPr>
              <w:tab/>
            </w:r>
            <w:r w:rsidR="009A5806">
              <w:rPr>
                <w:noProof/>
                <w:webHidden/>
              </w:rPr>
              <w:fldChar w:fldCharType="begin"/>
            </w:r>
            <w:r w:rsidR="009A5806">
              <w:rPr>
                <w:noProof/>
                <w:webHidden/>
              </w:rPr>
              <w:instrText xml:space="preserve"> PAGEREF _Toc143485692 \h </w:instrText>
            </w:r>
            <w:r w:rsidR="009A5806">
              <w:rPr>
                <w:noProof/>
                <w:webHidden/>
              </w:rPr>
            </w:r>
            <w:r w:rsidR="009A5806">
              <w:rPr>
                <w:noProof/>
                <w:webHidden/>
              </w:rPr>
              <w:fldChar w:fldCharType="separate"/>
            </w:r>
            <w:r w:rsidR="009A5806">
              <w:rPr>
                <w:noProof/>
                <w:webHidden/>
              </w:rPr>
              <w:t>6</w:t>
            </w:r>
            <w:r w:rsidR="009A5806">
              <w:rPr>
                <w:noProof/>
                <w:webHidden/>
              </w:rPr>
              <w:fldChar w:fldCharType="end"/>
            </w:r>
          </w:hyperlink>
        </w:p>
        <w:p w14:paraId="7340D950" w14:textId="206662B1" w:rsidR="009A5806" w:rsidRDefault="00A55201">
          <w:pPr>
            <w:pStyle w:val="TOC1"/>
            <w:tabs>
              <w:tab w:val="right" w:leader="dot" w:pos="9350"/>
            </w:tabs>
            <w:rPr>
              <w:rFonts w:eastAsiaTheme="minorEastAsia"/>
              <w:noProof/>
            </w:rPr>
          </w:pPr>
          <w:hyperlink w:anchor="_Toc143485693" w:history="1">
            <w:r w:rsidR="009A5806" w:rsidRPr="00674DDE">
              <w:rPr>
                <w:rStyle w:val="Hyperlink"/>
                <w:noProof/>
              </w:rPr>
              <w:t>3. Remote Work and Hybrid Models</w:t>
            </w:r>
            <w:r w:rsidR="009A5806">
              <w:rPr>
                <w:noProof/>
                <w:webHidden/>
              </w:rPr>
              <w:tab/>
            </w:r>
            <w:r w:rsidR="009A5806">
              <w:rPr>
                <w:noProof/>
                <w:webHidden/>
              </w:rPr>
              <w:fldChar w:fldCharType="begin"/>
            </w:r>
            <w:r w:rsidR="009A5806">
              <w:rPr>
                <w:noProof/>
                <w:webHidden/>
              </w:rPr>
              <w:instrText xml:space="preserve"> PAGEREF _Toc143485693 \h </w:instrText>
            </w:r>
            <w:r w:rsidR="009A5806">
              <w:rPr>
                <w:noProof/>
                <w:webHidden/>
              </w:rPr>
            </w:r>
            <w:r w:rsidR="009A5806">
              <w:rPr>
                <w:noProof/>
                <w:webHidden/>
              </w:rPr>
              <w:fldChar w:fldCharType="separate"/>
            </w:r>
            <w:r w:rsidR="009A5806">
              <w:rPr>
                <w:noProof/>
                <w:webHidden/>
              </w:rPr>
              <w:t>7</w:t>
            </w:r>
            <w:r w:rsidR="009A5806">
              <w:rPr>
                <w:noProof/>
                <w:webHidden/>
              </w:rPr>
              <w:fldChar w:fldCharType="end"/>
            </w:r>
          </w:hyperlink>
        </w:p>
        <w:p w14:paraId="19DDD5CA" w14:textId="1FEF7F43" w:rsidR="009A5806" w:rsidRDefault="00A55201">
          <w:pPr>
            <w:pStyle w:val="TOC1"/>
            <w:tabs>
              <w:tab w:val="right" w:leader="dot" w:pos="9350"/>
            </w:tabs>
            <w:rPr>
              <w:rFonts w:eastAsiaTheme="minorEastAsia"/>
              <w:noProof/>
            </w:rPr>
          </w:pPr>
          <w:hyperlink w:anchor="_Toc143485694" w:history="1">
            <w:r w:rsidR="009A5806" w:rsidRPr="00674DDE">
              <w:rPr>
                <w:rStyle w:val="Hyperlink"/>
                <w:noProof/>
              </w:rPr>
              <w:t>4. Talent Acquisition and Retention</w:t>
            </w:r>
            <w:r w:rsidR="009A5806">
              <w:rPr>
                <w:noProof/>
                <w:webHidden/>
              </w:rPr>
              <w:tab/>
            </w:r>
            <w:r w:rsidR="009A5806">
              <w:rPr>
                <w:noProof/>
                <w:webHidden/>
              </w:rPr>
              <w:fldChar w:fldCharType="begin"/>
            </w:r>
            <w:r w:rsidR="009A5806">
              <w:rPr>
                <w:noProof/>
                <w:webHidden/>
              </w:rPr>
              <w:instrText xml:space="preserve"> PAGEREF _Toc143485694 \h </w:instrText>
            </w:r>
            <w:r w:rsidR="009A5806">
              <w:rPr>
                <w:noProof/>
                <w:webHidden/>
              </w:rPr>
            </w:r>
            <w:r w:rsidR="009A5806">
              <w:rPr>
                <w:noProof/>
                <w:webHidden/>
              </w:rPr>
              <w:fldChar w:fldCharType="separate"/>
            </w:r>
            <w:r w:rsidR="009A5806">
              <w:rPr>
                <w:noProof/>
                <w:webHidden/>
              </w:rPr>
              <w:t>7</w:t>
            </w:r>
            <w:r w:rsidR="009A5806">
              <w:rPr>
                <w:noProof/>
                <w:webHidden/>
              </w:rPr>
              <w:fldChar w:fldCharType="end"/>
            </w:r>
          </w:hyperlink>
        </w:p>
        <w:p w14:paraId="6E5F6672" w14:textId="3081D9BB" w:rsidR="009A5806" w:rsidRDefault="00A55201">
          <w:pPr>
            <w:pStyle w:val="TOC1"/>
            <w:tabs>
              <w:tab w:val="right" w:leader="dot" w:pos="9350"/>
            </w:tabs>
            <w:rPr>
              <w:rFonts w:eastAsiaTheme="minorEastAsia"/>
              <w:noProof/>
            </w:rPr>
          </w:pPr>
          <w:hyperlink w:anchor="_Toc143485695" w:history="1">
            <w:r w:rsidR="009A5806" w:rsidRPr="00674DDE">
              <w:rPr>
                <w:rStyle w:val="Hyperlink"/>
                <w:noProof/>
              </w:rPr>
              <w:t>5. Skills Development and Lifelong Learning</w:t>
            </w:r>
            <w:r w:rsidR="009A5806">
              <w:rPr>
                <w:noProof/>
                <w:webHidden/>
              </w:rPr>
              <w:tab/>
            </w:r>
            <w:r w:rsidR="009A5806">
              <w:rPr>
                <w:noProof/>
                <w:webHidden/>
              </w:rPr>
              <w:fldChar w:fldCharType="begin"/>
            </w:r>
            <w:r w:rsidR="009A5806">
              <w:rPr>
                <w:noProof/>
                <w:webHidden/>
              </w:rPr>
              <w:instrText xml:space="preserve"> PAGEREF _Toc143485695 \h </w:instrText>
            </w:r>
            <w:r w:rsidR="009A5806">
              <w:rPr>
                <w:noProof/>
                <w:webHidden/>
              </w:rPr>
            </w:r>
            <w:r w:rsidR="009A5806">
              <w:rPr>
                <w:noProof/>
                <w:webHidden/>
              </w:rPr>
              <w:fldChar w:fldCharType="separate"/>
            </w:r>
            <w:r w:rsidR="009A5806">
              <w:rPr>
                <w:noProof/>
                <w:webHidden/>
              </w:rPr>
              <w:t>7</w:t>
            </w:r>
            <w:r w:rsidR="009A5806">
              <w:rPr>
                <w:noProof/>
                <w:webHidden/>
              </w:rPr>
              <w:fldChar w:fldCharType="end"/>
            </w:r>
          </w:hyperlink>
        </w:p>
        <w:p w14:paraId="5CEA08DE" w14:textId="328E93A4" w:rsidR="009A5806" w:rsidRDefault="00A55201">
          <w:pPr>
            <w:pStyle w:val="TOC1"/>
            <w:tabs>
              <w:tab w:val="right" w:leader="dot" w:pos="9350"/>
            </w:tabs>
            <w:rPr>
              <w:rFonts w:eastAsiaTheme="minorEastAsia"/>
              <w:noProof/>
            </w:rPr>
          </w:pPr>
          <w:hyperlink w:anchor="_Toc143485696" w:history="1">
            <w:r w:rsidR="009A5806" w:rsidRPr="00674DDE">
              <w:rPr>
                <w:rStyle w:val="Hyperlink"/>
                <w:noProof/>
              </w:rPr>
              <w:t>6. Agility and Change Management</w:t>
            </w:r>
            <w:r w:rsidR="009A5806">
              <w:rPr>
                <w:noProof/>
                <w:webHidden/>
              </w:rPr>
              <w:tab/>
            </w:r>
            <w:r w:rsidR="009A5806">
              <w:rPr>
                <w:noProof/>
                <w:webHidden/>
              </w:rPr>
              <w:fldChar w:fldCharType="begin"/>
            </w:r>
            <w:r w:rsidR="009A5806">
              <w:rPr>
                <w:noProof/>
                <w:webHidden/>
              </w:rPr>
              <w:instrText xml:space="preserve"> PAGEREF _Toc143485696 \h </w:instrText>
            </w:r>
            <w:r w:rsidR="009A5806">
              <w:rPr>
                <w:noProof/>
                <w:webHidden/>
              </w:rPr>
            </w:r>
            <w:r w:rsidR="009A5806">
              <w:rPr>
                <w:noProof/>
                <w:webHidden/>
              </w:rPr>
              <w:fldChar w:fldCharType="separate"/>
            </w:r>
            <w:r w:rsidR="009A5806">
              <w:rPr>
                <w:noProof/>
                <w:webHidden/>
              </w:rPr>
              <w:t>8</w:t>
            </w:r>
            <w:r w:rsidR="009A5806">
              <w:rPr>
                <w:noProof/>
                <w:webHidden/>
              </w:rPr>
              <w:fldChar w:fldCharType="end"/>
            </w:r>
          </w:hyperlink>
        </w:p>
        <w:p w14:paraId="19630464" w14:textId="28A92449" w:rsidR="009A5806" w:rsidRDefault="00A55201">
          <w:pPr>
            <w:pStyle w:val="TOC1"/>
            <w:tabs>
              <w:tab w:val="right" w:leader="dot" w:pos="9350"/>
            </w:tabs>
            <w:rPr>
              <w:rFonts w:eastAsiaTheme="minorEastAsia"/>
              <w:noProof/>
            </w:rPr>
          </w:pPr>
          <w:hyperlink w:anchor="_Toc143485697" w:history="1">
            <w:r w:rsidR="009A5806" w:rsidRPr="00674DDE">
              <w:rPr>
                <w:rStyle w:val="Hyperlink"/>
                <w:noProof/>
              </w:rPr>
              <w:t>7. Diversity, Equity, and Inclusion (DEI) in HR Strategies</w:t>
            </w:r>
            <w:r w:rsidR="009A5806">
              <w:rPr>
                <w:noProof/>
                <w:webHidden/>
              </w:rPr>
              <w:tab/>
            </w:r>
            <w:r w:rsidR="009A5806">
              <w:rPr>
                <w:noProof/>
                <w:webHidden/>
              </w:rPr>
              <w:fldChar w:fldCharType="begin"/>
            </w:r>
            <w:r w:rsidR="009A5806">
              <w:rPr>
                <w:noProof/>
                <w:webHidden/>
              </w:rPr>
              <w:instrText xml:space="preserve"> PAGEREF _Toc143485697 \h </w:instrText>
            </w:r>
            <w:r w:rsidR="009A5806">
              <w:rPr>
                <w:noProof/>
                <w:webHidden/>
              </w:rPr>
            </w:r>
            <w:r w:rsidR="009A5806">
              <w:rPr>
                <w:noProof/>
                <w:webHidden/>
              </w:rPr>
              <w:fldChar w:fldCharType="separate"/>
            </w:r>
            <w:r w:rsidR="009A5806">
              <w:rPr>
                <w:noProof/>
                <w:webHidden/>
              </w:rPr>
              <w:t>8</w:t>
            </w:r>
            <w:r w:rsidR="009A5806">
              <w:rPr>
                <w:noProof/>
                <w:webHidden/>
              </w:rPr>
              <w:fldChar w:fldCharType="end"/>
            </w:r>
          </w:hyperlink>
        </w:p>
        <w:p w14:paraId="06AC3EB5" w14:textId="321D48A8" w:rsidR="009A5806" w:rsidRDefault="00A55201">
          <w:pPr>
            <w:pStyle w:val="TOC1"/>
            <w:tabs>
              <w:tab w:val="right" w:leader="dot" w:pos="9350"/>
            </w:tabs>
            <w:rPr>
              <w:rFonts w:eastAsiaTheme="minorEastAsia"/>
              <w:noProof/>
            </w:rPr>
          </w:pPr>
          <w:hyperlink w:anchor="_Toc143485698" w:history="1">
            <w:r w:rsidR="009A5806" w:rsidRPr="00674DDE">
              <w:rPr>
                <w:rStyle w:val="Hyperlink"/>
                <w:noProof/>
              </w:rPr>
              <w:t>9. Recommendations and Future Directions</w:t>
            </w:r>
            <w:r w:rsidR="009A5806">
              <w:rPr>
                <w:noProof/>
                <w:webHidden/>
              </w:rPr>
              <w:tab/>
            </w:r>
            <w:r w:rsidR="009A5806">
              <w:rPr>
                <w:noProof/>
                <w:webHidden/>
              </w:rPr>
              <w:fldChar w:fldCharType="begin"/>
            </w:r>
            <w:r w:rsidR="009A5806">
              <w:rPr>
                <w:noProof/>
                <w:webHidden/>
              </w:rPr>
              <w:instrText xml:space="preserve"> PAGEREF _Toc143485698 \h </w:instrText>
            </w:r>
            <w:r w:rsidR="009A5806">
              <w:rPr>
                <w:noProof/>
                <w:webHidden/>
              </w:rPr>
            </w:r>
            <w:r w:rsidR="009A5806">
              <w:rPr>
                <w:noProof/>
                <w:webHidden/>
              </w:rPr>
              <w:fldChar w:fldCharType="separate"/>
            </w:r>
            <w:r w:rsidR="009A5806">
              <w:rPr>
                <w:noProof/>
                <w:webHidden/>
              </w:rPr>
              <w:t>9</w:t>
            </w:r>
            <w:r w:rsidR="009A5806">
              <w:rPr>
                <w:noProof/>
                <w:webHidden/>
              </w:rPr>
              <w:fldChar w:fldCharType="end"/>
            </w:r>
          </w:hyperlink>
        </w:p>
        <w:p w14:paraId="18EE5915" w14:textId="7D271DE6" w:rsidR="009A5806" w:rsidRDefault="00A55201">
          <w:pPr>
            <w:pStyle w:val="TOC1"/>
            <w:tabs>
              <w:tab w:val="right" w:leader="dot" w:pos="9350"/>
            </w:tabs>
            <w:rPr>
              <w:rFonts w:eastAsiaTheme="minorEastAsia"/>
              <w:noProof/>
            </w:rPr>
          </w:pPr>
          <w:hyperlink w:anchor="_Toc143485699" w:history="1">
            <w:r w:rsidR="009A5806" w:rsidRPr="00674DDE">
              <w:rPr>
                <w:rStyle w:val="Hyperlink"/>
                <w:noProof/>
              </w:rPr>
              <w:t>References</w:t>
            </w:r>
            <w:r w:rsidR="009A5806">
              <w:rPr>
                <w:noProof/>
                <w:webHidden/>
              </w:rPr>
              <w:tab/>
            </w:r>
            <w:r w:rsidR="009A5806">
              <w:rPr>
                <w:noProof/>
                <w:webHidden/>
              </w:rPr>
              <w:fldChar w:fldCharType="begin"/>
            </w:r>
            <w:r w:rsidR="009A5806">
              <w:rPr>
                <w:noProof/>
                <w:webHidden/>
              </w:rPr>
              <w:instrText xml:space="preserve"> PAGEREF _Toc143485699 \h </w:instrText>
            </w:r>
            <w:r w:rsidR="009A5806">
              <w:rPr>
                <w:noProof/>
                <w:webHidden/>
              </w:rPr>
            </w:r>
            <w:r w:rsidR="009A5806">
              <w:rPr>
                <w:noProof/>
                <w:webHidden/>
              </w:rPr>
              <w:fldChar w:fldCharType="separate"/>
            </w:r>
            <w:r w:rsidR="009A5806">
              <w:rPr>
                <w:noProof/>
                <w:webHidden/>
              </w:rPr>
              <w:t>10</w:t>
            </w:r>
            <w:r w:rsidR="009A5806">
              <w:rPr>
                <w:noProof/>
                <w:webHidden/>
              </w:rPr>
              <w:fldChar w:fldCharType="end"/>
            </w:r>
          </w:hyperlink>
        </w:p>
        <w:p w14:paraId="17A2BD23" w14:textId="60B3040D" w:rsidR="009A5806" w:rsidRDefault="009A5806">
          <w:r>
            <w:rPr>
              <w:b/>
              <w:bCs/>
              <w:noProof/>
            </w:rPr>
            <w:fldChar w:fldCharType="end"/>
          </w:r>
        </w:p>
      </w:sdtContent>
    </w:sdt>
    <w:p w14:paraId="2E8B575B" w14:textId="32A31893" w:rsidR="009A5806" w:rsidRDefault="009A5806" w:rsidP="009A5806"/>
    <w:p w14:paraId="35F28310" w14:textId="339AD77A" w:rsidR="009A5806" w:rsidRDefault="009A5806" w:rsidP="009A5806"/>
    <w:p w14:paraId="564934EB" w14:textId="517FEDCB" w:rsidR="009A5806" w:rsidRDefault="009A5806" w:rsidP="009A5806"/>
    <w:p w14:paraId="33D25718" w14:textId="2763FF19" w:rsidR="009A5806" w:rsidRDefault="009A5806" w:rsidP="009A5806"/>
    <w:p w14:paraId="423E3195" w14:textId="6700F040" w:rsidR="009A5806" w:rsidRDefault="009A5806" w:rsidP="009A5806"/>
    <w:p w14:paraId="2A0DC043" w14:textId="6C958B3A" w:rsidR="009A5806" w:rsidRDefault="009A5806" w:rsidP="009A5806"/>
    <w:p w14:paraId="400B1573" w14:textId="0442AD7B" w:rsidR="009A5806" w:rsidRDefault="009A5806" w:rsidP="009A5806"/>
    <w:p w14:paraId="1DA47A18" w14:textId="67F74F84" w:rsidR="009A5806" w:rsidRDefault="009A5806" w:rsidP="009A5806"/>
    <w:p w14:paraId="15B277DD" w14:textId="6ABE49CA" w:rsidR="009A5806" w:rsidRDefault="009A5806" w:rsidP="009A5806"/>
    <w:p w14:paraId="2121BCBA" w14:textId="2651E617" w:rsidR="009A5806" w:rsidRDefault="009A5806" w:rsidP="009A5806"/>
    <w:p w14:paraId="2EF4D4E0" w14:textId="77777777" w:rsidR="009A5806" w:rsidRPr="009A5806" w:rsidRDefault="009A5806" w:rsidP="009A5806"/>
    <w:p w14:paraId="2C12BD69" w14:textId="15A674C3" w:rsidR="009A5806" w:rsidRPr="009A5806" w:rsidRDefault="00CD48D6" w:rsidP="009A5806">
      <w:pPr>
        <w:pStyle w:val="Heading1"/>
        <w:jc w:val="both"/>
      </w:pPr>
      <w:bookmarkStart w:id="1" w:name="_Toc143485684"/>
      <w:r w:rsidRPr="00CD48D6">
        <w:t>Part A - The Current State of the Labor Market in the UK</w:t>
      </w:r>
      <w:bookmarkEnd w:id="1"/>
    </w:p>
    <w:p w14:paraId="60BFD316" w14:textId="77777777" w:rsidR="00CD48D6" w:rsidRPr="00CD48D6" w:rsidRDefault="00CD48D6" w:rsidP="00382E0C">
      <w:pPr>
        <w:jc w:val="both"/>
      </w:pPr>
    </w:p>
    <w:p w14:paraId="28B25F79" w14:textId="77777777" w:rsidR="00CD48D6" w:rsidRDefault="00CD48D6" w:rsidP="00382E0C">
      <w:pPr>
        <w:pStyle w:val="ListParagraph"/>
        <w:numPr>
          <w:ilvl w:val="0"/>
          <w:numId w:val="1"/>
        </w:numPr>
        <w:jc w:val="both"/>
        <w:rPr>
          <w:rStyle w:val="Heading1Char"/>
        </w:rPr>
      </w:pPr>
      <w:bookmarkStart w:id="2" w:name="_Toc143485685"/>
      <w:r w:rsidRPr="00CD48D6">
        <w:rPr>
          <w:rStyle w:val="Heading1Char"/>
        </w:rPr>
        <w:t>Introduction</w:t>
      </w:r>
      <w:bookmarkEnd w:id="2"/>
    </w:p>
    <w:p w14:paraId="15BAFA17" w14:textId="376B3CE3" w:rsidR="00CD48D6" w:rsidRDefault="00CD48D6" w:rsidP="00382E0C">
      <w:pPr>
        <w:spacing w:line="276" w:lineRule="auto"/>
        <w:ind w:left="360"/>
        <w:jc w:val="both"/>
      </w:pPr>
      <w:r w:rsidRPr="00CD48D6">
        <w:t xml:space="preserve">This report </w:t>
      </w:r>
      <w:r w:rsidR="00635CFC">
        <w:t>goes</w:t>
      </w:r>
      <w:r w:rsidRPr="00CD48D6">
        <w:t xml:space="preserve"> into a comprehensive analysis of the current state of the labor market in the United Kingdom. With its multifaceted landscape shaped by factors such as the Covid-19 pandemic and the ramifications of Brexit, understanding the dynamics of the labor market has gained paramount importance. As organizations and policymakers navigate these unprecedented changes, a profound insight into the evolving employment landscape is vital for making informed decisions and formulating effective strategies. This report is structured to provide a holistic view of the present state of the UK labor market, offering valuable insights into its various dimensions and implications for businesses, workers, and policy formulation.</w:t>
      </w:r>
    </w:p>
    <w:p w14:paraId="715E05F4" w14:textId="77777777" w:rsidR="00CD48D6" w:rsidRDefault="00CD48D6" w:rsidP="00382E0C">
      <w:pPr>
        <w:spacing w:line="276" w:lineRule="auto"/>
        <w:ind w:left="360"/>
        <w:jc w:val="both"/>
      </w:pPr>
      <w:r w:rsidRPr="00CD48D6">
        <w:t>The significance of comprehending the contemporary labor market extends beyond its immediate scope. The labor market's performance serves as a key indicator of the overall economic health of the nation (Smith, 2020). An in-depth understanding of employment trends, unemployment rates, and shifts in workforce composition sheds light on the country's economic resilience and adaptability. Moreover, the labor market's evolving nature presents both challenges and opportunities. The ongoing Covid-19 pandemic and the complex aftermath of Brexit have introduced a wave of changes that demand careful observation and analysis to facilitate strategic responses (CIPD, 2022).</w:t>
      </w:r>
    </w:p>
    <w:p w14:paraId="5615B93E" w14:textId="0CE55D20" w:rsidR="00CD48D6" w:rsidRDefault="00CD48D6" w:rsidP="00382E0C">
      <w:pPr>
        <w:spacing w:line="276" w:lineRule="auto"/>
        <w:ind w:left="360"/>
        <w:jc w:val="both"/>
      </w:pPr>
      <w:r w:rsidRPr="00CD48D6">
        <w:t xml:space="preserve">In light of these factors, the need to comprehend the present state of the UK labor market cannot be overstated. This report serves as an essential resource for grasping the nuances of the employment landscape, offering a comprehensive foundation for subsequent sections that </w:t>
      </w:r>
      <w:r w:rsidR="00635CFC">
        <w:t>go through</w:t>
      </w:r>
      <w:r w:rsidRPr="00CD48D6">
        <w:t xml:space="preserve"> the emergent human resourcing strategies in response to these shifting dynamics. By providing a thorough examination of the prevailing conditions, this report equips stakeholders across sectors with the knowledge necessary to adapt, innovate, and make well-informed decisions that resonate with the contemporary labor market realities.</w:t>
      </w:r>
    </w:p>
    <w:p w14:paraId="05F3DC8A" w14:textId="77777777" w:rsidR="00CD48D6" w:rsidRDefault="00CD48D6" w:rsidP="00382E0C">
      <w:pPr>
        <w:pStyle w:val="ListParagraph"/>
        <w:numPr>
          <w:ilvl w:val="0"/>
          <w:numId w:val="1"/>
        </w:numPr>
        <w:spacing w:line="276" w:lineRule="auto"/>
        <w:jc w:val="both"/>
        <w:rPr>
          <w:rStyle w:val="Heading1Char"/>
        </w:rPr>
      </w:pPr>
      <w:bookmarkStart w:id="3" w:name="_Toc143485686"/>
      <w:r w:rsidRPr="00CD48D6">
        <w:rPr>
          <w:rStyle w:val="Heading1Char"/>
        </w:rPr>
        <w:t>Literature Review: The Current UK Labor Market</w:t>
      </w:r>
      <w:bookmarkEnd w:id="3"/>
    </w:p>
    <w:p w14:paraId="242C216F" w14:textId="77777777" w:rsidR="00382E0C" w:rsidRDefault="00CD48D6" w:rsidP="00382E0C">
      <w:pPr>
        <w:spacing w:line="276" w:lineRule="auto"/>
        <w:ind w:left="360"/>
        <w:jc w:val="both"/>
      </w:pPr>
      <w:r w:rsidRPr="00CD48D6">
        <w:cr/>
        <w:t xml:space="preserve">The assessment of the current state of the UK labor market draws upon a diverse array of scholarly sources, comprising academic journal articles, official reports, and news articles. This literature </w:t>
      </w:r>
      <w:r w:rsidRPr="00CD48D6">
        <w:lastRenderedPageBreak/>
        <w:t>review underscores the intricate interplay of factors that contribute to shaping the contemporary labor landscape.</w:t>
      </w:r>
    </w:p>
    <w:p w14:paraId="3D2C7D09" w14:textId="0DCD9DD1" w:rsidR="00CD48D6" w:rsidRDefault="00CD48D6" w:rsidP="00382E0C">
      <w:pPr>
        <w:spacing w:line="276" w:lineRule="auto"/>
        <w:ind w:left="360"/>
        <w:jc w:val="both"/>
      </w:pPr>
      <w:r w:rsidRPr="00CD48D6">
        <w:t>Key trends and indicators within the UK labor market are pivotal in grasping its dynamics. Statistical evidence reveals that despite the initial shocks induced by the Covid-19 pandemic, the labor market has exhibited remarkable resilience (Office for National Statistics, 2021). The creation of new job opportunities in digital sectors and the gradual rebound of traditional industries are significant trends to consider.</w:t>
      </w:r>
    </w:p>
    <w:p w14:paraId="2D56379B" w14:textId="6F181196" w:rsidR="00CD48D6" w:rsidRDefault="00CD48D6" w:rsidP="00382E0C">
      <w:pPr>
        <w:spacing w:line="276" w:lineRule="auto"/>
        <w:ind w:left="360"/>
        <w:jc w:val="both"/>
      </w:pPr>
      <w:r w:rsidRPr="00CD48D6">
        <w:t>An illustrative table (Table 1) synthesizes pertinent statistics, offering a visual representation of key trends. This table provides a concise overview of employment rates, unemployment rates, and specific sectoral distributions, revealing the sectors that have experienced growth and those that have faced challenges.</w:t>
      </w:r>
      <w:r>
        <w:t xml:space="preserve"> </w:t>
      </w:r>
    </w:p>
    <w:p w14:paraId="228771F1" w14:textId="6667CB0C" w:rsidR="009A4C49" w:rsidRDefault="00CD48D6" w:rsidP="00CD48D6">
      <w:pPr>
        <w:spacing w:line="276" w:lineRule="auto"/>
        <w:ind w:left="360"/>
        <w:jc w:val="center"/>
        <w:rPr>
          <w:i/>
          <w:iCs/>
        </w:rPr>
      </w:pPr>
      <w:r w:rsidRPr="00CD48D6">
        <w:cr/>
      </w:r>
      <w:r w:rsidRPr="00CD48D6">
        <w:rPr>
          <w:i/>
          <w:iCs/>
        </w:rPr>
        <w:t>Table 1: Key Labor Market Indicators in the UK (2021)</w:t>
      </w:r>
    </w:p>
    <w:tbl>
      <w:tblPr>
        <w:tblStyle w:val="TableGrid"/>
        <w:tblW w:w="0" w:type="auto"/>
        <w:tblInd w:w="360" w:type="dxa"/>
        <w:tblLook w:val="04A0" w:firstRow="1" w:lastRow="0" w:firstColumn="1" w:lastColumn="0" w:noHBand="0" w:noVBand="1"/>
      </w:tblPr>
      <w:tblGrid>
        <w:gridCol w:w="2996"/>
        <w:gridCol w:w="2997"/>
        <w:gridCol w:w="2997"/>
      </w:tblGrid>
      <w:tr w:rsidR="00CD48D6" w14:paraId="50ADD78C" w14:textId="77777777" w:rsidTr="00CD48D6">
        <w:tc>
          <w:tcPr>
            <w:tcW w:w="2996" w:type="dxa"/>
          </w:tcPr>
          <w:p w14:paraId="11AEFCA5" w14:textId="70EDF9ED" w:rsidR="00CD48D6" w:rsidRPr="00CD48D6" w:rsidRDefault="00CD48D6" w:rsidP="00CD48D6">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Indicator</w:t>
            </w:r>
          </w:p>
        </w:tc>
        <w:tc>
          <w:tcPr>
            <w:tcW w:w="2997" w:type="dxa"/>
          </w:tcPr>
          <w:p w14:paraId="011F0290" w14:textId="171FF659" w:rsidR="00CD48D6" w:rsidRPr="00CD48D6" w:rsidRDefault="00CD48D6" w:rsidP="00CD48D6">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w:t>
            </w:r>
          </w:p>
        </w:tc>
        <w:tc>
          <w:tcPr>
            <w:tcW w:w="2997" w:type="dxa"/>
          </w:tcPr>
          <w:p w14:paraId="1DB1FFC5" w14:textId="572C1AFF" w:rsidR="00CD48D6" w:rsidRPr="00CD48D6" w:rsidRDefault="00CD48D6" w:rsidP="00CD48D6">
            <w:pPr>
              <w:jc w:val="center"/>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Trend</w:t>
            </w:r>
          </w:p>
        </w:tc>
      </w:tr>
      <w:tr w:rsidR="00CD48D6" w14:paraId="7619C8B7" w14:textId="77777777" w:rsidTr="00CD48D6">
        <w:tc>
          <w:tcPr>
            <w:tcW w:w="2996" w:type="dxa"/>
          </w:tcPr>
          <w:p w14:paraId="3832F6EE" w14:textId="17F9F6BB"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Employment Rate (%)</w:t>
            </w:r>
          </w:p>
        </w:tc>
        <w:tc>
          <w:tcPr>
            <w:tcW w:w="2997" w:type="dxa"/>
          </w:tcPr>
          <w:p w14:paraId="1637DB2F" w14:textId="3735A49E"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73.5</w:t>
            </w:r>
          </w:p>
        </w:tc>
        <w:tc>
          <w:tcPr>
            <w:tcW w:w="2997" w:type="dxa"/>
          </w:tcPr>
          <w:p w14:paraId="77E061ED" w14:textId="227C6AD8"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Steady recovery</w:t>
            </w:r>
          </w:p>
        </w:tc>
      </w:tr>
      <w:tr w:rsidR="00CD48D6" w14:paraId="75536D89" w14:textId="77777777" w:rsidTr="00CD48D6">
        <w:tc>
          <w:tcPr>
            <w:tcW w:w="2996" w:type="dxa"/>
          </w:tcPr>
          <w:p w14:paraId="56360BFD" w14:textId="4D6683F7"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Unemployment Rate (%)</w:t>
            </w:r>
          </w:p>
        </w:tc>
        <w:tc>
          <w:tcPr>
            <w:tcW w:w="2997" w:type="dxa"/>
          </w:tcPr>
          <w:p w14:paraId="7276DE52" w14:textId="37AFE87D"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w:t>
            </w:r>
          </w:p>
        </w:tc>
        <w:tc>
          <w:tcPr>
            <w:tcW w:w="2997" w:type="dxa"/>
          </w:tcPr>
          <w:p w14:paraId="553BE1D4" w14:textId="0B9C7EE9"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Gradual decline</w:t>
            </w:r>
          </w:p>
        </w:tc>
      </w:tr>
      <w:tr w:rsidR="00CD48D6" w14:paraId="5D0AC881" w14:textId="77777777" w:rsidTr="00CD48D6">
        <w:tc>
          <w:tcPr>
            <w:tcW w:w="2996" w:type="dxa"/>
          </w:tcPr>
          <w:p w14:paraId="1C9E13B6" w14:textId="4EEBD20F"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Full-time Employment</w:t>
            </w:r>
          </w:p>
        </w:tc>
        <w:tc>
          <w:tcPr>
            <w:tcW w:w="2997" w:type="dxa"/>
          </w:tcPr>
          <w:p w14:paraId="7766F92B" w14:textId="04589DB6"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15.6 million</w:t>
            </w:r>
          </w:p>
        </w:tc>
        <w:tc>
          <w:tcPr>
            <w:tcW w:w="2997" w:type="dxa"/>
          </w:tcPr>
          <w:p w14:paraId="4471CE79" w14:textId="20E2FE57"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Stable</w:t>
            </w:r>
          </w:p>
        </w:tc>
      </w:tr>
      <w:tr w:rsidR="00CD48D6" w14:paraId="7A2A6F90" w14:textId="77777777" w:rsidTr="00CD48D6">
        <w:tc>
          <w:tcPr>
            <w:tcW w:w="2996" w:type="dxa"/>
          </w:tcPr>
          <w:p w14:paraId="01BAE0D2" w14:textId="58B1C2C8"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Part-time Employment</w:t>
            </w:r>
          </w:p>
        </w:tc>
        <w:tc>
          <w:tcPr>
            <w:tcW w:w="2997" w:type="dxa"/>
          </w:tcPr>
          <w:p w14:paraId="794F979A" w14:textId="26DBA57B"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8.6 million</w:t>
            </w:r>
          </w:p>
        </w:tc>
        <w:tc>
          <w:tcPr>
            <w:tcW w:w="2997" w:type="dxa"/>
          </w:tcPr>
          <w:p w14:paraId="7D77DB71" w14:textId="36AAE81F"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 increase</w:t>
            </w:r>
          </w:p>
        </w:tc>
      </w:tr>
      <w:tr w:rsidR="00CD48D6" w14:paraId="54DF5E89" w14:textId="77777777" w:rsidTr="00CD48D6">
        <w:tc>
          <w:tcPr>
            <w:tcW w:w="2996" w:type="dxa"/>
          </w:tcPr>
          <w:p w14:paraId="4906EEB5" w14:textId="19DE476D"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Manufacturing Sector</w:t>
            </w:r>
          </w:p>
        </w:tc>
        <w:tc>
          <w:tcPr>
            <w:tcW w:w="2997" w:type="dxa"/>
          </w:tcPr>
          <w:p w14:paraId="2A007849" w14:textId="63F08AEC"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 million</w:t>
            </w:r>
          </w:p>
        </w:tc>
        <w:tc>
          <w:tcPr>
            <w:tcW w:w="2997" w:type="dxa"/>
          </w:tcPr>
          <w:p w14:paraId="6F135CE3" w14:textId="38569C20"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Slow recovery</w:t>
            </w:r>
          </w:p>
        </w:tc>
      </w:tr>
      <w:tr w:rsidR="00CD48D6" w14:paraId="3A83818C" w14:textId="77777777" w:rsidTr="00CD48D6">
        <w:tc>
          <w:tcPr>
            <w:tcW w:w="2996" w:type="dxa"/>
          </w:tcPr>
          <w:p w14:paraId="7D14BD27" w14:textId="60D91386"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Sector</w:t>
            </w:r>
          </w:p>
        </w:tc>
        <w:tc>
          <w:tcPr>
            <w:tcW w:w="2997" w:type="dxa"/>
          </w:tcPr>
          <w:p w14:paraId="1FA98B1E" w14:textId="25D5F985"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million</w:t>
            </w:r>
          </w:p>
        </w:tc>
        <w:tc>
          <w:tcPr>
            <w:tcW w:w="2997" w:type="dxa"/>
          </w:tcPr>
          <w:p w14:paraId="464AB160" w14:textId="7DE4F85A"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Robust growth</w:t>
            </w:r>
          </w:p>
        </w:tc>
      </w:tr>
    </w:tbl>
    <w:p w14:paraId="009D244A" w14:textId="77777777" w:rsidR="00CD48D6" w:rsidRDefault="00CD48D6" w:rsidP="00CD48D6">
      <w:pPr>
        <w:spacing w:line="276" w:lineRule="auto"/>
        <w:jc w:val="both"/>
      </w:pPr>
    </w:p>
    <w:p w14:paraId="4FC34356" w14:textId="77777777" w:rsidR="00382E0C" w:rsidRDefault="00CD48D6" w:rsidP="00382E0C">
      <w:pPr>
        <w:spacing w:line="276" w:lineRule="auto"/>
        <w:jc w:val="both"/>
      </w:pPr>
      <w:r w:rsidRPr="00CD48D6">
        <w:t>The distribution of employment contracts is a noteworthy aspect of the labor market's complexity. Permanent and temporary employment contracts, along with self-employment, coalesce to create a diverse employment landscape (ONS, 2020). These varied employment contracts reflect the agility that workers and organizations embrace to adapt to changing conditions.</w:t>
      </w:r>
    </w:p>
    <w:p w14:paraId="66D3708F" w14:textId="7850D333" w:rsidR="00382E0C" w:rsidRDefault="00CD48D6" w:rsidP="00382E0C">
      <w:pPr>
        <w:spacing w:line="276" w:lineRule="auto"/>
        <w:jc w:val="both"/>
      </w:pPr>
      <w:r w:rsidRPr="00CD48D6">
        <w:t>Moreover, sectoral distribution of jobs is a crucial dimension that underscores the unique challenges and opportunities of the UK labor market. The shift towards technology-driven industries, coupled with the ongoing transformation of traditional sectors, demands a nuanced understanding of workforce dynamics (Coe &amp; Han, 2020).</w:t>
      </w:r>
    </w:p>
    <w:p w14:paraId="48B34F18" w14:textId="280221DA" w:rsidR="00382E0C" w:rsidRDefault="00382E0C" w:rsidP="00382E0C">
      <w:pPr>
        <w:spacing w:line="276" w:lineRule="auto"/>
        <w:jc w:val="both"/>
      </w:pPr>
      <w:r>
        <w:t>So, t</w:t>
      </w:r>
      <w:r w:rsidR="00CD48D6" w:rsidRPr="00CD48D6">
        <w:t xml:space="preserve">his literature review has illuminated the intricacies of the current UK labor market, highlighting the significance of understanding trends, statistics, and indicators. The subsequent sections of this report will </w:t>
      </w:r>
      <w:r w:rsidR="00635CFC">
        <w:t>see</w:t>
      </w:r>
      <w:r w:rsidR="00CD48D6" w:rsidRPr="00CD48D6">
        <w:t xml:space="preserve"> deeper into the factors reshaping the labor market and explore the strategies that organizations are adopting to thrive in this dynamic environment.</w:t>
      </w:r>
    </w:p>
    <w:p w14:paraId="68D6A1C7" w14:textId="77777777" w:rsidR="00382E0C" w:rsidRDefault="00CD48D6" w:rsidP="00382E0C">
      <w:pPr>
        <w:spacing w:line="276" w:lineRule="auto"/>
        <w:jc w:val="both"/>
        <w:rPr>
          <w:rStyle w:val="Heading1Char"/>
        </w:rPr>
      </w:pPr>
      <w:r w:rsidRPr="00CD48D6">
        <w:cr/>
      </w:r>
      <w:bookmarkStart w:id="4" w:name="_Toc143485687"/>
      <w:r w:rsidRPr="00382E0C">
        <w:rPr>
          <w:rStyle w:val="Heading1Char"/>
        </w:rPr>
        <w:t>3. Impact of Covid-19 on the UK Labor Market</w:t>
      </w:r>
      <w:bookmarkEnd w:id="4"/>
    </w:p>
    <w:p w14:paraId="6A26ECA9" w14:textId="02A4B2FE" w:rsidR="00382E0C" w:rsidRDefault="00CD48D6" w:rsidP="00382E0C">
      <w:pPr>
        <w:spacing w:line="276" w:lineRule="auto"/>
        <w:jc w:val="both"/>
      </w:pPr>
      <w:r w:rsidRPr="00CD48D6">
        <w:lastRenderedPageBreak/>
        <w:t xml:space="preserve">The Covid-19 pandemic has left an indelible mark on the UK labor market, triggering seismic shifts in its dynamics. This section </w:t>
      </w:r>
      <w:r w:rsidR="00635CFC">
        <w:t>checks</w:t>
      </w:r>
      <w:r w:rsidRPr="00CD48D6">
        <w:t xml:space="preserve"> into the multifaceted ways in which the pandemic has impacted employment patterns, accelerated the adoption of remote work, fostered the growth of the gig economy, and how governmental interventions have sought to navigate these challenges.</w:t>
      </w:r>
    </w:p>
    <w:p w14:paraId="79F56654" w14:textId="77777777" w:rsidR="00382E0C" w:rsidRDefault="00CD48D6" w:rsidP="00382E0C">
      <w:pPr>
        <w:spacing w:line="276" w:lineRule="auto"/>
        <w:jc w:val="both"/>
        <w:rPr>
          <w:b/>
          <w:bCs/>
        </w:rPr>
      </w:pPr>
      <w:r w:rsidRPr="00382E0C">
        <w:rPr>
          <w:b/>
          <w:bCs/>
        </w:rPr>
        <w:t>Examination of Employment Patterns and Remote Work</w:t>
      </w:r>
    </w:p>
    <w:p w14:paraId="02CDB6C3" w14:textId="77777777" w:rsidR="00382E0C" w:rsidRDefault="00CD48D6" w:rsidP="00382E0C">
      <w:pPr>
        <w:spacing w:line="276" w:lineRule="auto"/>
        <w:jc w:val="both"/>
      </w:pPr>
      <w:r w:rsidRPr="00CD48D6">
        <w:t>The pandemic's onset precipitated unprecedented changes in employment patterns, triggering widespread furloughs and redundancies across sectors. Analysis of Office for National Statistics (ONS) data reveals that the UK witnessed a peak in the unemployment rate at 5.1% in 2021, as compared to 3.8% in 2019 (ONS, 2021). This disruption, coupled with the imperative for social distancing, prompted a</w:t>
      </w:r>
    </w:p>
    <w:p w14:paraId="181721D0" w14:textId="77777777" w:rsidR="00382E0C" w:rsidRDefault="00CD48D6" w:rsidP="00382E0C">
      <w:pPr>
        <w:spacing w:line="276" w:lineRule="auto"/>
        <w:jc w:val="both"/>
      </w:pPr>
      <w:proofErr w:type="gramStart"/>
      <w:r w:rsidRPr="00CD48D6">
        <w:t>substantial</w:t>
      </w:r>
      <w:proofErr w:type="gramEnd"/>
      <w:r w:rsidRPr="00CD48D6">
        <w:t xml:space="preserve"> portion of the workforce to pivot to remote work.</w:t>
      </w:r>
    </w:p>
    <w:p w14:paraId="3562D5A2" w14:textId="77777777" w:rsidR="00382E0C" w:rsidRDefault="00CD48D6" w:rsidP="00382E0C">
      <w:pPr>
        <w:spacing w:line="276" w:lineRule="auto"/>
        <w:jc w:val="both"/>
        <w:rPr>
          <w:b/>
          <w:bCs/>
        </w:rPr>
      </w:pPr>
      <w:r w:rsidRPr="00382E0C">
        <w:rPr>
          <w:b/>
          <w:bCs/>
        </w:rPr>
        <w:t>Rise of Remote Work and the Gig Economy</w:t>
      </w:r>
    </w:p>
    <w:p w14:paraId="7DA19F53" w14:textId="77777777" w:rsidR="00382E0C" w:rsidRDefault="00CD48D6" w:rsidP="00382E0C">
      <w:pPr>
        <w:spacing w:line="276" w:lineRule="auto"/>
        <w:jc w:val="both"/>
      </w:pPr>
      <w:r w:rsidRPr="00CD48D6">
        <w:t>The surge in remote work adoption was a defining response to the pandemic. Remote work, once considered a niche practice, became a fundamental pillar of business continuity. A report by McKinsey &amp; Company (2020) highlighted that up to 25-30% of the UK workforce could work remotely multiple days a week. Furthermore, the gig economy experienced a parallel ascent, as individuals sought alternative income sources amid the economic uncertainty.</w:t>
      </w:r>
    </w:p>
    <w:p w14:paraId="665A4346" w14:textId="6EE68F1D" w:rsidR="00CD48D6" w:rsidRDefault="00CD48D6" w:rsidP="00382E0C">
      <w:pPr>
        <w:spacing w:line="276" w:lineRule="auto"/>
        <w:jc w:val="center"/>
        <w:rPr>
          <w:i/>
          <w:iCs/>
        </w:rPr>
      </w:pPr>
      <w:r w:rsidRPr="00382E0C">
        <w:rPr>
          <w:i/>
          <w:iCs/>
        </w:rPr>
        <w:t>Table 2: Remote Work and Gig Economy Statistics (2021)</w:t>
      </w:r>
      <w:r w:rsidRPr="00382E0C">
        <w:rPr>
          <w:i/>
          <w:iCs/>
        </w:rPr>
        <w:cr/>
      </w:r>
    </w:p>
    <w:tbl>
      <w:tblPr>
        <w:tblStyle w:val="TableGrid"/>
        <w:tblW w:w="0" w:type="auto"/>
        <w:tblLook w:val="04A0" w:firstRow="1" w:lastRow="0" w:firstColumn="1" w:lastColumn="0" w:noHBand="0" w:noVBand="1"/>
      </w:tblPr>
      <w:tblGrid>
        <w:gridCol w:w="3116"/>
        <w:gridCol w:w="3117"/>
        <w:gridCol w:w="3117"/>
      </w:tblGrid>
      <w:tr w:rsidR="00382E0C" w14:paraId="5F4981A2" w14:textId="77777777" w:rsidTr="00382E0C">
        <w:tc>
          <w:tcPr>
            <w:tcW w:w="3116" w:type="dxa"/>
          </w:tcPr>
          <w:p w14:paraId="752427F7" w14:textId="4393D3FD" w:rsidR="00382E0C" w:rsidRPr="00382E0C" w:rsidRDefault="00382E0C" w:rsidP="00382E0C">
            <w:pPr>
              <w:spacing w:line="276" w:lineRule="auto"/>
              <w:jc w:val="center"/>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2E0C">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Indicator</w:t>
            </w:r>
          </w:p>
        </w:tc>
        <w:tc>
          <w:tcPr>
            <w:tcW w:w="3117" w:type="dxa"/>
          </w:tcPr>
          <w:p w14:paraId="071E135D" w14:textId="44533F52" w:rsidR="00382E0C" w:rsidRPr="00382E0C" w:rsidRDefault="00382E0C" w:rsidP="00382E0C">
            <w:pPr>
              <w:spacing w:line="276" w:lineRule="auto"/>
              <w:jc w:val="center"/>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2E0C">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w:t>
            </w:r>
          </w:p>
        </w:tc>
        <w:tc>
          <w:tcPr>
            <w:tcW w:w="3117" w:type="dxa"/>
          </w:tcPr>
          <w:p w14:paraId="27D9882A" w14:textId="322B8A9D" w:rsidR="00382E0C" w:rsidRPr="00382E0C" w:rsidRDefault="00382E0C" w:rsidP="00382E0C">
            <w:pPr>
              <w:spacing w:line="276" w:lineRule="auto"/>
              <w:jc w:val="center"/>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2E0C">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Trend</w:t>
            </w:r>
          </w:p>
        </w:tc>
      </w:tr>
      <w:tr w:rsidR="00382E0C" w14:paraId="14A4D7A8" w14:textId="77777777" w:rsidTr="00382E0C">
        <w:tc>
          <w:tcPr>
            <w:tcW w:w="3116" w:type="dxa"/>
          </w:tcPr>
          <w:p w14:paraId="21FEFD8B" w14:textId="07460245"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Remote Workers (%)</w:t>
            </w:r>
          </w:p>
        </w:tc>
        <w:tc>
          <w:tcPr>
            <w:tcW w:w="3117" w:type="dxa"/>
          </w:tcPr>
          <w:p w14:paraId="4E51813B" w14:textId="3E5881FD"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46.6</w:t>
            </w:r>
          </w:p>
        </w:tc>
        <w:tc>
          <w:tcPr>
            <w:tcW w:w="3117" w:type="dxa"/>
          </w:tcPr>
          <w:p w14:paraId="27D79611" w14:textId="73F274ED"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Significance increase</w:t>
            </w:r>
          </w:p>
        </w:tc>
      </w:tr>
      <w:tr w:rsidR="00382E0C" w14:paraId="6F854214" w14:textId="77777777" w:rsidTr="00382E0C">
        <w:trPr>
          <w:trHeight w:val="43"/>
        </w:trPr>
        <w:tc>
          <w:tcPr>
            <w:tcW w:w="3116" w:type="dxa"/>
          </w:tcPr>
          <w:p w14:paraId="12F1F478" w14:textId="086AE934"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Gig Economy (%)</w:t>
            </w:r>
          </w:p>
        </w:tc>
        <w:tc>
          <w:tcPr>
            <w:tcW w:w="3117" w:type="dxa"/>
          </w:tcPr>
          <w:p w14:paraId="673C480E" w14:textId="434313FA"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w:t>
            </w:r>
          </w:p>
        </w:tc>
        <w:tc>
          <w:tcPr>
            <w:tcW w:w="3117" w:type="dxa"/>
          </w:tcPr>
          <w:p w14:paraId="0EA51E3A" w14:textId="2E5C1A3E"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Rapid Expansion</w:t>
            </w:r>
          </w:p>
        </w:tc>
      </w:tr>
      <w:tr w:rsidR="00382E0C" w14:paraId="05EBD831" w14:textId="77777777" w:rsidTr="00382E0C">
        <w:tc>
          <w:tcPr>
            <w:tcW w:w="3116" w:type="dxa"/>
          </w:tcPr>
          <w:p w14:paraId="6644DD25" w14:textId="27FF8E18"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Freelancers </w:t>
            </w:r>
          </w:p>
        </w:tc>
        <w:tc>
          <w:tcPr>
            <w:tcW w:w="3117" w:type="dxa"/>
          </w:tcPr>
          <w:p w14:paraId="7AE4B339" w14:textId="4A3BABBF"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million</w:t>
            </w:r>
          </w:p>
        </w:tc>
        <w:tc>
          <w:tcPr>
            <w:tcW w:w="3117" w:type="dxa"/>
          </w:tcPr>
          <w:p w14:paraId="32BC894B" w14:textId="60B9BF02"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Growing Independent  work </w:t>
            </w:r>
          </w:p>
        </w:tc>
      </w:tr>
    </w:tbl>
    <w:p w14:paraId="1E0D31AA" w14:textId="0C03A00A" w:rsidR="00382E0C" w:rsidRDefault="00382E0C" w:rsidP="00382E0C">
      <w:pPr>
        <w:spacing w:line="276" w:lineRule="auto"/>
        <w:jc w:val="center"/>
        <w:rPr>
          <w:rFonts w:eastAsiaTheme="majorEastAsia" w:cstheme="minorHAnsi"/>
          <w:color w:val="2F5496" w:themeColor="accent1" w:themeShade="BF"/>
        </w:rPr>
      </w:pPr>
    </w:p>
    <w:p w14:paraId="24D5A644" w14:textId="77777777" w:rsidR="00382E0C" w:rsidRDefault="00382E0C" w:rsidP="00382E0C">
      <w:pPr>
        <w:spacing w:line="276" w:lineRule="auto"/>
        <w:rPr>
          <w:b/>
          <w:bCs/>
        </w:rPr>
      </w:pPr>
      <w:r w:rsidRPr="00382E0C">
        <w:rPr>
          <w:b/>
          <w:bCs/>
        </w:rPr>
        <w:t>Government Interventions and Policies</w:t>
      </w:r>
    </w:p>
    <w:p w14:paraId="1D8E8AAB" w14:textId="77777777" w:rsidR="00382E0C" w:rsidRDefault="00382E0C" w:rsidP="00382E0C">
      <w:pPr>
        <w:spacing w:line="276" w:lineRule="auto"/>
        <w:jc w:val="both"/>
      </w:pPr>
      <w:r w:rsidRPr="00382E0C">
        <w:t>To mitigate the pandemic's repercussions on employment, the UK government launched a series of interventions. The Coronavirus Job Retention Scheme, commonly known as the furlough scheme, aimed to safeguard jobs by subsidizing employee wages (HM Treasury, 2020). Additionally, policies promoting skills development and job creation were introduced to ensure long-term resilience.</w:t>
      </w:r>
    </w:p>
    <w:p w14:paraId="021F4A32" w14:textId="0C512983" w:rsidR="00382E0C" w:rsidRDefault="00382E0C" w:rsidP="00382E0C">
      <w:pPr>
        <w:spacing w:line="276" w:lineRule="auto"/>
        <w:jc w:val="both"/>
      </w:pPr>
      <w:r>
        <w:t>To sum up</w:t>
      </w:r>
      <w:r w:rsidRPr="00382E0C">
        <w:t>, the Covid-19 pandemic reshaped the UK labor market, propelling remote work into the mainstream, fostering the growth of the gig economy, and necessitating robust government interventions to mitigate its impact on employment. The following sections of this report will examine the labor market in the post-Brexit era, integrating these pandemic-induced changes into the broader landscape.</w:t>
      </w:r>
    </w:p>
    <w:p w14:paraId="5FC9D8AC" w14:textId="2B6D78E9" w:rsidR="00382E0C" w:rsidRDefault="00382E0C" w:rsidP="00382E0C">
      <w:pPr>
        <w:spacing w:line="276" w:lineRule="auto"/>
        <w:jc w:val="both"/>
      </w:pPr>
      <w:bookmarkStart w:id="5" w:name="_Toc143485688"/>
      <w:r w:rsidRPr="00382E0C">
        <w:rPr>
          <w:rStyle w:val="Heading1Char"/>
        </w:rPr>
        <w:t>4. Brexit and the Labor Market</w:t>
      </w:r>
      <w:bookmarkEnd w:id="5"/>
    </w:p>
    <w:p w14:paraId="010F2169" w14:textId="4ADAD0D3" w:rsidR="00382E0C" w:rsidRDefault="00382E0C" w:rsidP="00382E0C">
      <w:pPr>
        <w:spacing w:line="276" w:lineRule="auto"/>
        <w:jc w:val="both"/>
      </w:pPr>
      <w:r w:rsidRPr="00382E0C">
        <w:lastRenderedPageBreak/>
        <w:t>The departure of the UK from the European Union, known as Brexit, has introduced significant implications for the nation's labor market. The altered immigration policies and revised access to international talent have shaped a new landscape. The shift in the flow of migrant workers, particularly from the EU, has led to complexities in staffing for certain industries and professions (Migration Advisory Committee, 2020). The confluence of factors has prompted a reevaluation of the supply and demand for skilled labor, with industries reliant on foreign workforce experiencing challenges in recruitment and retention. This structural adjustment has compelled businesses to explore domestic talent pools, invest in training programs, and innovate to meet workforce needs.</w:t>
      </w:r>
    </w:p>
    <w:p w14:paraId="1105918A" w14:textId="77777777" w:rsidR="00382E0C" w:rsidRDefault="00382E0C" w:rsidP="00382E0C">
      <w:pPr>
        <w:pStyle w:val="Heading1"/>
        <w:jc w:val="both"/>
      </w:pPr>
      <w:bookmarkStart w:id="6" w:name="_Toc143485689"/>
      <w:r w:rsidRPr="00382E0C">
        <w:t>5. Skills Mismatch and Training Initiatives</w:t>
      </w:r>
      <w:bookmarkEnd w:id="6"/>
    </w:p>
    <w:p w14:paraId="50FBF468" w14:textId="77777777" w:rsidR="00382E0C" w:rsidRDefault="00382E0C" w:rsidP="00382E0C">
      <w:pPr>
        <w:spacing w:line="276" w:lineRule="auto"/>
        <w:jc w:val="both"/>
      </w:pPr>
    </w:p>
    <w:p w14:paraId="1C30B7F5" w14:textId="3B778A91" w:rsidR="00382E0C" w:rsidRDefault="00382E0C" w:rsidP="00382E0C">
      <w:pPr>
        <w:spacing w:line="276" w:lineRule="auto"/>
        <w:jc w:val="both"/>
      </w:pPr>
      <w:r w:rsidRPr="00382E0C">
        <w:t>The UK labor market grapples with a persistent skills gap, where the competencies of the available workforce often misalign with industry demands. This mismatch underscores the urgency of upskilling and reskilling initiatives to bridge the gap. Organizations, educational institutions, and the government have embarked on collaborative endeavors to address this challenge. Upskilling programs target the enhancement of existing skills, while reskilling programs equip workers with new proficiencies for transitioning into emerging roles. These initiatives strive to align the workforce with evolving job requirements, enhancing employability and fostering economic resilience (CBI, 2021). Collaborations between sectors facilitate tailored training that caters to industry-specific needs, thereby contributing to a more agile and adaptable labor force.</w:t>
      </w:r>
    </w:p>
    <w:p w14:paraId="54C3AB95" w14:textId="740BA5BA" w:rsidR="00382E0C" w:rsidRDefault="00382E0C" w:rsidP="00382E0C">
      <w:pPr>
        <w:spacing w:line="276" w:lineRule="auto"/>
        <w:jc w:val="both"/>
      </w:pPr>
      <w:bookmarkStart w:id="7" w:name="_Toc143485690"/>
      <w:r w:rsidRPr="00382E0C">
        <w:rPr>
          <w:rStyle w:val="Heading1Char"/>
        </w:rPr>
        <w:t>6. Diversity and Inclusion in the Labor Market</w:t>
      </w:r>
      <w:bookmarkEnd w:id="7"/>
      <w:r w:rsidRPr="00382E0C">
        <w:rPr>
          <w:rStyle w:val="Heading1Char"/>
        </w:rPr>
        <w:cr/>
      </w:r>
      <w:r w:rsidRPr="00382E0C">
        <w:cr/>
        <w:t>Diversity and inclusion have emerged as pivotal considerations in the UK labor market. A comprehensive examination of trends reveals both challenges and opportunities pertaining to gender, ethnicity, and other dimensions of diversity. Gender and ethnic pay gaps persist, underscoring the need for concerted efforts to ensure equitable compensation (EHRC, 2020). Organizations are increasingly recognizing the strategic importance of diversity, adopting inclusive policies to enhance innovation, employee satisfaction, and business performance. Initiatives such as inclusive recruitment practices and mentorship programs demonstrate a commitment to reducing inequalities and creating an inclusive work environment that harnesses the potential of a diverse workforce.</w:t>
      </w:r>
    </w:p>
    <w:p w14:paraId="7DE1D497" w14:textId="75AC2872" w:rsidR="00382E0C" w:rsidRDefault="00382E0C" w:rsidP="00382E0C">
      <w:pPr>
        <w:spacing w:line="276" w:lineRule="auto"/>
      </w:pPr>
    </w:p>
    <w:p w14:paraId="7D138C12" w14:textId="77777777" w:rsidR="00D6418C" w:rsidRDefault="00D6418C" w:rsidP="00382E0C">
      <w:pPr>
        <w:spacing w:line="276" w:lineRule="auto"/>
        <w:rPr>
          <w:rStyle w:val="Heading1Char"/>
        </w:rPr>
      </w:pPr>
    </w:p>
    <w:p w14:paraId="57E76442" w14:textId="77777777" w:rsidR="00D6418C" w:rsidRDefault="00D6418C" w:rsidP="00382E0C">
      <w:pPr>
        <w:spacing w:line="276" w:lineRule="auto"/>
        <w:rPr>
          <w:rStyle w:val="Heading1Char"/>
        </w:rPr>
      </w:pPr>
    </w:p>
    <w:p w14:paraId="4B0C2D6C" w14:textId="77777777" w:rsidR="00D6418C" w:rsidRDefault="00D6418C" w:rsidP="00382E0C">
      <w:pPr>
        <w:spacing w:line="276" w:lineRule="auto"/>
        <w:rPr>
          <w:rStyle w:val="Heading1Char"/>
        </w:rPr>
      </w:pPr>
    </w:p>
    <w:p w14:paraId="3F6713D6" w14:textId="77777777" w:rsidR="00D6418C" w:rsidRDefault="00D6418C" w:rsidP="00382E0C">
      <w:pPr>
        <w:spacing w:line="276" w:lineRule="auto"/>
        <w:rPr>
          <w:rStyle w:val="Heading1Char"/>
        </w:rPr>
      </w:pPr>
    </w:p>
    <w:p w14:paraId="315D060C" w14:textId="77777777" w:rsidR="00D6418C" w:rsidRDefault="00D6418C" w:rsidP="00382E0C">
      <w:pPr>
        <w:spacing w:line="276" w:lineRule="auto"/>
        <w:rPr>
          <w:rStyle w:val="Heading1Char"/>
        </w:rPr>
      </w:pPr>
    </w:p>
    <w:p w14:paraId="02749D61" w14:textId="77777777" w:rsidR="00D6418C" w:rsidRDefault="00D6418C" w:rsidP="00382E0C">
      <w:pPr>
        <w:spacing w:line="276" w:lineRule="auto"/>
        <w:rPr>
          <w:rStyle w:val="Heading1Char"/>
        </w:rPr>
      </w:pPr>
    </w:p>
    <w:p w14:paraId="289E0173" w14:textId="77777777" w:rsidR="00D6418C" w:rsidRDefault="00D6418C" w:rsidP="00382E0C">
      <w:pPr>
        <w:spacing w:line="276" w:lineRule="auto"/>
        <w:rPr>
          <w:rStyle w:val="Heading1Char"/>
        </w:rPr>
      </w:pPr>
    </w:p>
    <w:p w14:paraId="115A146B" w14:textId="77777777" w:rsidR="00D6418C" w:rsidRDefault="00D6418C" w:rsidP="00382E0C">
      <w:pPr>
        <w:spacing w:line="276" w:lineRule="auto"/>
        <w:rPr>
          <w:rStyle w:val="Heading1Char"/>
        </w:rPr>
      </w:pPr>
    </w:p>
    <w:p w14:paraId="6898888F" w14:textId="1EE1942F" w:rsidR="00382E0C" w:rsidRDefault="00382E0C" w:rsidP="006113A7">
      <w:pPr>
        <w:spacing w:line="276" w:lineRule="auto"/>
        <w:jc w:val="both"/>
      </w:pPr>
      <w:bookmarkStart w:id="8" w:name="_Toc143485691"/>
      <w:r w:rsidRPr="00382E0C">
        <w:rPr>
          <w:rStyle w:val="Heading1Char"/>
        </w:rPr>
        <w:t>Part B - Emerging Changes in Human Resourcing Strategies in the Post Covid, Post Brexit External Environment</w:t>
      </w:r>
      <w:bookmarkEnd w:id="8"/>
      <w:r w:rsidRPr="00382E0C">
        <w:cr/>
      </w:r>
      <w:r w:rsidRPr="00382E0C">
        <w:cr/>
      </w:r>
      <w:r w:rsidRPr="00382E0C">
        <w:rPr>
          <w:rStyle w:val="Heading1Char"/>
        </w:rPr>
        <w:t>1. Introduction</w:t>
      </w:r>
      <w:r w:rsidRPr="00382E0C">
        <w:cr/>
      </w:r>
      <w:r w:rsidRPr="00382E0C">
        <w:cr/>
        <w:t xml:space="preserve">Part B of this report </w:t>
      </w:r>
      <w:r w:rsidR="00635CFC">
        <w:t>looks</w:t>
      </w:r>
      <w:r w:rsidRPr="00382E0C">
        <w:t xml:space="preserve"> into the dynamic landscape of human resourcing strategies in the aftermath of the Covid-19 pandemic and the complexities introduced by Brexit. This section provides a concise overview of the subsequent discussions, which will analyze the imperative for organizations to adapt their HR strategies in response to the evolving external factors. The importance of aligning HR strategies with these changes is pivotal for organizations to remain agile, competitive, and resilient in the face of a rapidly transforming business environment. By comprehending the interplay between the post-pandemic and post-Brexit context, organizations can craft effective HR strategies that embrace innovation and promote sustainable growth.</w:t>
      </w:r>
    </w:p>
    <w:p w14:paraId="5C47CFB9" w14:textId="77777777" w:rsidR="00D6418C" w:rsidRDefault="00D6418C" w:rsidP="006113A7">
      <w:pPr>
        <w:spacing w:line="276" w:lineRule="auto"/>
        <w:jc w:val="both"/>
        <w:rPr>
          <w:rStyle w:val="Heading1Char"/>
        </w:rPr>
      </w:pPr>
      <w:bookmarkStart w:id="9" w:name="_Toc143485692"/>
      <w:r w:rsidRPr="00D6418C">
        <w:rPr>
          <w:rStyle w:val="Heading1Char"/>
        </w:rPr>
        <w:t>2. Literature Review: Evolving HR Strategies</w:t>
      </w:r>
      <w:bookmarkEnd w:id="9"/>
    </w:p>
    <w:p w14:paraId="7FA0BF88" w14:textId="77777777" w:rsidR="00D6418C" w:rsidRDefault="00D6418C" w:rsidP="006113A7">
      <w:pPr>
        <w:spacing w:line="276" w:lineRule="auto"/>
        <w:jc w:val="both"/>
      </w:pPr>
      <w:r w:rsidRPr="00D6418C">
        <w:t>This section engages with scholarly literature to expound upon the dynamic evolution of HR strategies, placing a particular emphasis on innovation and adaptability. A comprehensive review of academic sources, research papers, and industry reports informs the exploration of the intricate relationship between external factors, such as the impact of Covid-19 and Brexit, and the resultant shifts in HR strategy.</w:t>
      </w:r>
    </w:p>
    <w:p w14:paraId="4F649517" w14:textId="77777777" w:rsidR="00D6418C" w:rsidRDefault="00D6418C" w:rsidP="00382E0C">
      <w:pPr>
        <w:spacing w:line="276" w:lineRule="auto"/>
      </w:pPr>
    </w:p>
    <w:p w14:paraId="459120C3" w14:textId="2C046643" w:rsidR="00D6418C" w:rsidRDefault="00D6418C" w:rsidP="00D6418C">
      <w:pPr>
        <w:spacing w:line="276" w:lineRule="auto"/>
        <w:jc w:val="center"/>
        <w:rPr>
          <w:i/>
          <w:iCs/>
        </w:rPr>
      </w:pPr>
      <w:r w:rsidRPr="00D6418C">
        <w:rPr>
          <w:i/>
          <w:iCs/>
        </w:rPr>
        <w:t xml:space="preserve">Table </w:t>
      </w:r>
      <w:r>
        <w:rPr>
          <w:i/>
          <w:iCs/>
        </w:rPr>
        <w:t>3</w:t>
      </w:r>
      <w:r w:rsidRPr="00D6418C">
        <w:rPr>
          <w:i/>
          <w:iCs/>
        </w:rPr>
        <w:t>: Overview of HR Strategy Evolution</w:t>
      </w:r>
    </w:p>
    <w:tbl>
      <w:tblPr>
        <w:tblStyle w:val="TableGrid"/>
        <w:tblW w:w="0" w:type="auto"/>
        <w:tblLook w:val="04A0" w:firstRow="1" w:lastRow="0" w:firstColumn="1" w:lastColumn="0" w:noHBand="0" w:noVBand="1"/>
      </w:tblPr>
      <w:tblGrid>
        <w:gridCol w:w="3116"/>
        <w:gridCol w:w="3117"/>
        <w:gridCol w:w="3117"/>
      </w:tblGrid>
      <w:tr w:rsidR="00D6418C" w14:paraId="082EC8CF" w14:textId="77777777" w:rsidTr="00D6418C">
        <w:tc>
          <w:tcPr>
            <w:tcW w:w="3116" w:type="dxa"/>
          </w:tcPr>
          <w:p w14:paraId="4FA5F474" w14:textId="360F7314" w:rsidR="00D6418C" w:rsidRPr="00D6418C" w:rsidRDefault="00D6418C" w:rsidP="00D6418C">
            <w:pPr>
              <w:spacing w:line="276" w:lineRule="auto"/>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18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Aspects</w:t>
            </w:r>
          </w:p>
        </w:tc>
        <w:tc>
          <w:tcPr>
            <w:tcW w:w="3117" w:type="dxa"/>
          </w:tcPr>
          <w:p w14:paraId="2C9FE3A7" w14:textId="03E5D5DD" w:rsidR="00D6418C" w:rsidRPr="00D6418C" w:rsidRDefault="00D6418C" w:rsidP="00D6418C">
            <w:pPr>
              <w:spacing w:line="276" w:lineRule="auto"/>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18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of External Factors</w:t>
            </w:r>
          </w:p>
        </w:tc>
        <w:tc>
          <w:tcPr>
            <w:tcW w:w="3117" w:type="dxa"/>
          </w:tcPr>
          <w:p w14:paraId="0CED56FC" w14:textId="76B7CAA3" w:rsidR="00D6418C" w:rsidRPr="00D6418C" w:rsidRDefault="00D6418C" w:rsidP="00D6418C">
            <w:pPr>
              <w:spacing w:line="276" w:lineRule="auto"/>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18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 strategy Responses</w:t>
            </w:r>
          </w:p>
        </w:tc>
      </w:tr>
      <w:tr w:rsidR="00D6418C" w14:paraId="22E99C03" w14:textId="77777777" w:rsidTr="00D6418C">
        <w:tc>
          <w:tcPr>
            <w:tcW w:w="3116" w:type="dxa"/>
          </w:tcPr>
          <w:p w14:paraId="05DA56B7" w14:textId="3B4CA62F"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Remote Work</w:t>
            </w:r>
          </w:p>
        </w:tc>
        <w:tc>
          <w:tcPr>
            <w:tcW w:w="3117" w:type="dxa"/>
          </w:tcPr>
          <w:p w14:paraId="243D4FB9" w14:textId="5452AB58"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Covid-19, Technology Trends</w:t>
            </w:r>
          </w:p>
        </w:tc>
        <w:tc>
          <w:tcPr>
            <w:tcW w:w="3117" w:type="dxa"/>
          </w:tcPr>
          <w:p w14:paraId="5F282A3F" w14:textId="0880FDED"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Hybrid work Models</w:t>
            </w:r>
          </w:p>
        </w:tc>
      </w:tr>
      <w:tr w:rsidR="00D6418C" w14:paraId="450D87B2" w14:textId="77777777" w:rsidTr="00D6418C">
        <w:tc>
          <w:tcPr>
            <w:tcW w:w="3116" w:type="dxa"/>
          </w:tcPr>
          <w:p w14:paraId="7712F2DB" w14:textId="099B827C"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Talent Retention</w:t>
            </w:r>
          </w:p>
        </w:tc>
        <w:tc>
          <w:tcPr>
            <w:tcW w:w="3117" w:type="dxa"/>
          </w:tcPr>
          <w:p w14:paraId="2CFBBE9C" w14:textId="405665D2"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Brexit, Competitive Market</w:t>
            </w:r>
          </w:p>
        </w:tc>
        <w:tc>
          <w:tcPr>
            <w:tcW w:w="3117" w:type="dxa"/>
          </w:tcPr>
          <w:p w14:paraId="50CC34AC" w14:textId="0E66BD2C"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Enhanced Benefits Packages</w:t>
            </w:r>
          </w:p>
        </w:tc>
      </w:tr>
      <w:tr w:rsidR="00D6418C" w14:paraId="16C09711" w14:textId="77777777" w:rsidTr="00D6418C">
        <w:tc>
          <w:tcPr>
            <w:tcW w:w="3116" w:type="dxa"/>
          </w:tcPr>
          <w:p w14:paraId="331B9001" w14:textId="1F8F2B12"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Development</w:t>
            </w:r>
          </w:p>
        </w:tc>
        <w:tc>
          <w:tcPr>
            <w:tcW w:w="3117" w:type="dxa"/>
          </w:tcPr>
          <w:p w14:paraId="4370561F" w14:textId="51890561"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Uncertainty, Digital Transformation</w:t>
            </w:r>
          </w:p>
        </w:tc>
        <w:tc>
          <w:tcPr>
            <w:tcW w:w="3117" w:type="dxa"/>
          </w:tcPr>
          <w:p w14:paraId="47A4C258" w14:textId="5D9CB13D"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 Learning Initiatives</w:t>
            </w:r>
          </w:p>
        </w:tc>
      </w:tr>
      <w:tr w:rsidR="00D6418C" w14:paraId="19662958" w14:textId="77777777" w:rsidTr="00D6418C">
        <w:tc>
          <w:tcPr>
            <w:tcW w:w="3116" w:type="dxa"/>
          </w:tcPr>
          <w:p w14:paraId="75702CA2" w14:textId="0B417BF7"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Diversity and Inclusion </w:t>
            </w:r>
          </w:p>
        </w:tc>
        <w:tc>
          <w:tcPr>
            <w:tcW w:w="3117" w:type="dxa"/>
          </w:tcPr>
          <w:p w14:paraId="6B6D2B4D" w14:textId="4AD305CD"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Awareness, Regulatory changes</w:t>
            </w:r>
          </w:p>
        </w:tc>
        <w:tc>
          <w:tcPr>
            <w:tcW w:w="3117" w:type="dxa"/>
          </w:tcPr>
          <w:p w14:paraId="56230AE7" w14:textId="5418B3BA"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Inclusive Work Environment</w:t>
            </w:r>
          </w:p>
        </w:tc>
      </w:tr>
    </w:tbl>
    <w:p w14:paraId="1CF757B6" w14:textId="52B3CCC6" w:rsidR="00D6418C" w:rsidRDefault="00D6418C" w:rsidP="00D6418C">
      <w:pPr>
        <w:spacing w:line="276" w:lineRule="auto"/>
        <w:jc w:val="center"/>
      </w:pPr>
    </w:p>
    <w:p w14:paraId="5B0F6A63" w14:textId="77777777" w:rsidR="00D6418C" w:rsidRDefault="00D6418C" w:rsidP="006113A7">
      <w:pPr>
        <w:spacing w:line="276" w:lineRule="auto"/>
        <w:jc w:val="both"/>
      </w:pPr>
      <w:r w:rsidRPr="00D6418C">
        <w:t>The intertwining influences of Covid-19 and Brexit have necessitated fundamental reconfigurations in HR strategies. The pandemic underscored the viability of remote work, paving the way for hybrid work models that balance flexibility and collaboration (PwC, 2021). Simultaneously, Brexit amplified talent retention challenges, prompting organizations to offer enhanced benefits to retain top talent in a competitive market (Deloitte, 2020).</w:t>
      </w:r>
      <w:r w:rsidRPr="00D6418C">
        <w:cr/>
      </w:r>
      <w:r w:rsidRPr="00D6418C">
        <w:cr/>
      </w:r>
    </w:p>
    <w:p w14:paraId="56C3987A" w14:textId="79714A87" w:rsidR="00D6418C" w:rsidRDefault="00D6418C" w:rsidP="006113A7">
      <w:pPr>
        <w:spacing w:line="276" w:lineRule="auto"/>
        <w:jc w:val="both"/>
      </w:pPr>
      <w:r w:rsidRPr="00D6418C">
        <w:t>The intersection of economic uncertainty and digital transformation has propelled the demand for continuous skills development initiatives. HR strategies have adapted to foster a culture of lifelong learning, ensuring a workforce equipped to navigate evolving job roles (McKinsey, 2021). Moreover, the heightened awareness of diversity and inclusion, augmented by regulatory changes, has prompted HR strategies to focus on cultivating inclusive work environments that promote diversity as a strategic advantage (CIPD, 2021).</w:t>
      </w:r>
    </w:p>
    <w:p w14:paraId="2E1DED03" w14:textId="77777777" w:rsidR="00D6418C" w:rsidRDefault="00D6418C" w:rsidP="006113A7">
      <w:pPr>
        <w:spacing w:line="276" w:lineRule="auto"/>
        <w:jc w:val="both"/>
        <w:rPr>
          <w:rStyle w:val="Heading1Char"/>
        </w:rPr>
      </w:pPr>
      <w:bookmarkStart w:id="10" w:name="_Toc143485693"/>
      <w:r w:rsidRPr="00D6418C">
        <w:rPr>
          <w:rStyle w:val="Heading1Char"/>
        </w:rPr>
        <w:t>3. Remote Work and Hybrid Models</w:t>
      </w:r>
      <w:bookmarkEnd w:id="10"/>
    </w:p>
    <w:p w14:paraId="0A4512D5" w14:textId="4D1A4B41" w:rsidR="00D6418C" w:rsidRDefault="00D6418C" w:rsidP="006113A7">
      <w:pPr>
        <w:spacing w:line="276" w:lineRule="auto"/>
        <w:jc w:val="both"/>
      </w:pPr>
      <w:r w:rsidRPr="00D6418C">
        <w:t>The ascension of remote work and hybrid work models within organizational frameworks reflects a pivotal shift post Covid-19. This section evaluates the mounting prevalence of these models, examining the associated challenges and benefits. Managing remote teams presents complexities ranging from communication barriers to potential feelings of isolation, while enabling a healthier work-life balance and access to a broader talent pool. Amid this paradigm shift, technologies such as collaboration tools and project management software have gained prominence. Practices encompassing regular check-ins, clear goal-setting, and wellness initiatives are instrumental in cultivating productivity and safeguarding employee well-being in remote work settings (Sakurai, 2022). Striking a balance between autonomy and collaboration remains a strategic endeavor as organizations forge a path towards a more flexible and resilient work ecosystem.</w:t>
      </w:r>
    </w:p>
    <w:p w14:paraId="66ADEFCE" w14:textId="20AD4CCE" w:rsidR="006113A7" w:rsidRDefault="00D6418C" w:rsidP="006113A7">
      <w:pPr>
        <w:spacing w:line="276" w:lineRule="auto"/>
        <w:jc w:val="both"/>
      </w:pPr>
      <w:bookmarkStart w:id="11" w:name="_Toc143485694"/>
      <w:r w:rsidRPr="00D6418C">
        <w:rPr>
          <w:rStyle w:val="Heading1Char"/>
        </w:rPr>
        <w:t>4. Talent Acquisition and Retention</w:t>
      </w:r>
      <w:bookmarkEnd w:id="11"/>
      <w:r w:rsidRPr="00D6418C">
        <w:rPr>
          <w:rStyle w:val="Heading1Char"/>
        </w:rPr>
        <w:cr/>
      </w:r>
      <w:r w:rsidRPr="00D6418C">
        <w:cr/>
        <w:t xml:space="preserve">Post Covid-19 and Brexit, talent acquisition has undergone transformative shifts. This section scrutinizes the recalibration of talent acquisition strategies, focusing on changes in recruitment processes. Virtual interviews and remote assessments have emerged as indispensable components, </w:t>
      </w:r>
      <w:r w:rsidR="006113A7" w:rsidRPr="00D6418C">
        <w:t>streamlined</w:t>
      </w:r>
      <w:r w:rsidRPr="00D6418C">
        <w:t xml:space="preserve"> candidate evaluation while </w:t>
      </w:r>
      <w:r w:rsidR="006113A7" w:rsidRPr="00D6418C">
        <w:t>adapted</w:t>
      </w:r>
      <w:r w:rsidRPr="00D6418C">
        <w:t xml:space="preserve"> to remote work trends. Simultaneously, the post-pandemic environment heightened competition for skilled workers, necessitating strategies to retain top talent. Organizations are augmenting employee loyalty through enhanced benefits, personalized career development paths, and a strong emphasis on organizational culture and values</w:t>
      </w:r>
      <w:r w:rsidR="006113A7">
        <w:t xml:space="preserve"> (SHRM</w:t>
      </w:r>
      <w:proofErr w:type="gramStart"/>
      <w:r w:rsidR="006113A7">
        <w:t>,2021</w:t>
      </w:r>
      <w:proofErr w:type="gramEnd"/>
      <w:r w:rsidR="006113A7">
        <w:t>)</w:t>
      </w:r>
      <w:r w:rsidRPr="00D6418C">
        <w:t>. This strategic approach aims to ensure sustainable workforce stability in an increasingly competitive landscape, underpinned by the evolving dynamics of the external environment.</w:t>
      </w:r>
    </w:p>
    <w:p w14:paraId="27CFBD2F" w14:textId="72BCD91C" w:rsidR="006113A7" w:rsidRDefault="006113A7" w:rsidP="006113A7">
      <w:pPr>
        <w:spacing w:line="276" w:lineRule="auto"/>
        <w:jc w:val="both"/>
      </w:pPr>
      <w:bookmarkStart w:id="12" w:name="_Toc143485695"/>
      <w:r w:rsidRPr="006113A7">
        <w:rPr>
          <w:rStyle w:val="Heading1Char"/>
        </w:rPr>
        <w:lastRenderedPageBreak/>
        <w:t>5. Skills Development and Lifelong Learning</w:t>
      </w:r>
      <w:bookmarkEnd w:id="12"/>
      <w:r w:rsidRPr="006113A7">
        <w:cr/>
      </w:r>
      <w:r w:rsidRPr="006113A7">
        <w:cr/>
        <w:t>The role of HR in nurturing continuous skills development takes center stage in the evolving post Covid-19, post Brexit context. This section assesses HR's pivotal role in fostering a culture of reskilling and upskilling. As industries grapple with changing job roles and evolving demands, HR initiatives geared towards equipping the workforce with relevant competencies become paramount. Organizations are collaborating with educational institutions and training providers to offer tailored development programs that align with industry shifts. These partnerships empower employees with the tools needed to remain adaptable and relevant, while concurrently fostering an environment of innovation and growth. By fostering a commitment to lifelong learning, HR strategies contribute significantly to building a workforce resilient in the face of external transformations</w:t>
      </w:r>
      <w:r>
        <w:t xml:space="preserve"> (WEF, 2022)</w:t>
      </w:r>
      <w:r w:rsidRPr="006113A7">
        <w:t>.</w:t>
      </w:r>
    </w:p>
    <w:p w14:paraId="4A5C848D" w14:textId="77777777" w:rsidR="006113A7" w:rsidRDefault="006113A7" w:rsidP="006113A7">
      <w:pPr>
        <w:spacing w:line="276" w:lineRule="auto"/>
        <w:jc w:val="both"/>
      </w:pPr>
      <w:bookmarkStart w:id="13" w:name="_Toc143485696"/>
      <w:r w:rsidRPr="006113A7">
        <w:rPr>
          <w:rStyle w:val="Heading1Char"/>
        </w:rPr>
        <w:t>6. Agility and Change Management</w:t>
      </w:r>
      <w:bookmarkEnd w:id="13"/>
    </w:p>
    <w:p w14:paraId="1475D352" w14:textId="4523681A" w:rsidR="006113A7" w:rsidRDefault="006113A7" w:rsidP="006113A7">
      <w:pPr>
        <w:spacing w:line="276" w:lineRule="auto"/>
        <w:jc w:val="both"/>
      </w:pPr>
      <w:r w:rsidRPr="006113A7">
        <w:t>Within the evolving post Covid-19, post Brexit landscape, the HR function assumes a critical role in bolstering organizational agility. This section probes the extent to which HR acts as a catalyst for agility by steering change management efforts. Amid the uncertainties engendered by external shifts, HR strategists adopt multifaceted approaches to navigate change adeptly. This entails the implementation of effective communication channels, clear transition plans, and engagement initiatives that assuage employee apprehensions. HR's pivotal role is further underscored by its efforts to foster a culture of adaptability and innovation. By championing continuous learning, experimentation, and embracing change as a core value, HR cultivates an environment that encourages employees to not only weather transformations but also drive them</w:t>
      </w:r>
      <w:r>
        <w:t xml:space="preserve"> (SHRM</w:t>
      </w:r>
      <w:proofErr w:type="gramStart"/>
      <w:r>
        <w:t>,2020</w:t>
      </w:r>
      <w:proofErr w:type="gramEnd"/>
      <w:r>
        <w:t>)</w:t>
      </w:r>
      <w:r w:rsidRPr="006113A7">
        <w:t>. This confluence of strategic change management and cultural transformation equips organizations with the resilience and flexibility needed to thrive amidst turbulence.</w:t>
      </w:r>
    </w:p>
    <w:p w14:paraId="2B69BB00" w14:textId="6B64CCB7" w:rsidR="006113A7" w:rsidRDefault="006113A7" w:rsidP="006113A7">
      <w:pPr>
        <w:spacing w:line="276" w:lineRule="auto"/>
        <w:jc w:val="both"/>
      </w:pPr>
      <w:bookmarkStart w:id="14" w:name="_Toc143485697"/>
      <w:r w:rsidRPr="006113A7">
        <w:rPr>
          <w:rStyle w:val="Heading1Char"/>
        </w:rPr>
        <w:t>7. Diversity, Equity, and Inclusion (DEI) in HR Strategies</w:t>
      </w:r>
      <w:bookmarkEnd w:id="14"/>
      <w:r w:rsidRPr="006113A7">
        <w:rPr>
          <w:rStyle w:val="Heading1Char"/>
        </w:rPr>
        <w:cr/>
      </w:r>
      <w:r w:rsidRPr="006113A7">
        <w:cr/>
        <w:t xml:space="preserve">This section </w:t>
      </w:r>
      <w:r w:rsidR="00635CFC">
        <w:t>explores</w:t>
      </w:r>
      <w:r w:rsidRPr="006113A7">
        <w:t xml:space="preserve"> the pivotal role of Diversity, Equity, and Inclusion (DEI) within contemporary HR strategies. It evaluates how HR functions serve as agents of change by fostering diversity and inclusivity in the workplace, harnessing the power of diverse perspectives for enhanced creativity and innovation. A comprehensive examination is presented in Table </w:t>
      </w:r>
      <w:r>
        <w:t>4</w:t>
      </w:r>
      <w:r w:rsidRPr="006113A7">
        <w:t>, showcasing how HR strategies can promote DEI at various levels.</w:t>
      </w:r>
    </w:p>
    <w:p w14:paraId="732F9543" w14:textId="1562E360" w:rsidR="006113A7" w:rsidRDefault="006113A7" w:rsidP="006113A7">
      <w:pPr>
        <w:spacing w:line="276" w:lineRule="auto"/>
        <w:jc w:val="center"/>
        <w:rPr>
          <w:i/>
          <w:iCs/>
        </w:rPr>
      </w:pPr>
      <w:r w:rsidRPr="006113A7">
        <w:rPr>
          <w:i/>
          <w:iCs/>
        </w:rPr>
        <w:t>Table 1: HR Strategies for Fostering Diversity, Equity, and Inclusion</w:t>
      </w:r>
    </w:p>
    <w:tbl>
      <w:tblPr>
        <w:tblStyle w:val="TableGrid"/>
        <w:tblW w:w="0" w:type="auto"/>
        <w:tblLook w:val="04A0" w:firstRow="1" w:lastRow="0" w:firstColumn="1" w:lastColumn="0" w:noHBand="0" w:noVBand="1"/>
      </w:tblPr>
      <w:tblGrid>
        <w:gridCol w:w="3116"/>
        <w:gridCol w:w="3117"/>
        <w:gridCol w:w="3117"/>
      </w:tblGrid>
      <w:tr w:rsidR="006113A7" w14:paraId="3C52B19E" w14:textId="77777777" w:rsidTr="006113A7">
        <w:tc>
          <w:tcPr>
            <w:tcW w:w="3116" w:type="dxa"/>
          </w:tcPr>
          <w:p w14:paraId="2C35FA89" w14:textId="203CCCCA" w:rsidR="006113A7" w:rsidRPr="006113A7" w:rsidRDefault="006113A7" w:rsidP="006113A7">
            <w:pPr>
              <w:spacing w:line="276"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3A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 Strategy</w:t>
            </w:r>
          </w:p>
        </w:tc>
        <w:tc>
          <w:tcPr>
            <w:tcW w:w="3117" w:type="dxa"/>
          </w:tcPr>
          <w:p w14:paraId="2DD9224D" w14:textId="268D9328" w:rsidR="006113A7" w:rsidRPr="006113A7" w:rsidRDefault="006113A7" w:rsidP="006113A7">
            <w:pPr>
              <w:spacing w:line="276"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3A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p>
        </w:tc>
        <w:tc>
          <w:tcPr>
            <w:tcW w:w="3117" w:type="dxa"/>
          </w:tcPr>
          <w:p w14:paraId="7E05B737" w14:textId="503312CE" w:rsidR="006113A7" w:rsidRPr="006113A7" w:rsidRDefault="006113A7" w:rsidP="006113A7">
            <w:pPr>
              <w:spacing w:line="276"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3A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p>
        </w:tc>
      </w:tr>
      <w:tr w:rsidR="006113A7" w14:paraId="36E30F35" w14:textId="77777777" w:rsidTr="006113A7">
        <w:tc>
          <w:tcPr>
            <w:tcW w:w="3116" w:type="dxa"/>
          </w:tcPr>
          <w:p w14:paraId="4B74BEF5" w14:textId="75775101"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Inclusive Recruitment</w:t>
            </w:r>
          </w:p>
        </w:tc>
        <w:tc>
          <w:tcPr>
            <w:tcW w:w="3117" w:type="dxa"/>
          </w:tcPr>
          <w:p w14:paraId="58CE9E8F" w14:textId="4D7F6130"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Unbiased job Description, Diverse interview panels</w:t>
            </w:r>
          </w:p>
        </w:tc>
        <w:tc>
          <w:tcPr>
            <w:tcW w:w="3117" w:type="dxa"/>
          </w:tcPr>
          <w:p w14:paraId="09A5C0D3" w14:textId="6C3C896A"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Enhanced Representation</w:t>
            </w:r>
          </w:p>
        </w:tc>
      </w:tr>
      <w:tr w:rsidR="006113A7" w14:paraId="36209353" w14:textId="77777777" w:rsidTr="006113A7">
        <w:tc>
          <w:tcPr>
            <w:tcW w:w="3116" w:type="dxa"/>
          </w:tcPr>
          <w:p w14:paraId="3FCB32B4" w14:textId="763B95BE"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Bias Mitigation in Promotion </w:t>
            </w:r>
          </w:p>
        </w:tc>
        <w:tc>
          <w:tcPr>
            <w:tcW w:w="3117" w:type="dxa"/>
          </w:tcPr>
          <w:p w14:paraId="7165040C" w14:textId="076AD995"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Structured Evaluation Criteria, Objective Performance Metrics</w:t>
            </w:r>
          </w:p>
        </w:tc>
        <w:tc>
          <w:tcPr>
            <w:tcW w:w="3117" w:type="dxa"/>
          </w:tcPr>
          <w:p w14:paraId="4B592656" w14:textId="0A52A394"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Equitable Career Growth</w:t>
            </w:r>
          </w:p>
        </w:tc>
      </w:tr>
      <w:tr w:rsidR="006113A7" w14:paraId="2717D895" w14:textId="77777777" w:rsidTr="006113A7">
        <w:tc>
          <w:tcPr>
            <w:tcW w:w="3116" w:type="dxa"/>
          </w:tcPr>
          <w:p w14:paraId="1AC0A814" w14:textId="1D5C7AA5"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Resource Groups</w:t>
            </w:r>
          </w:p>
        </w:tc>
        <w:tc>
          <w:tcPr>
            <w:tcW w:w="3117" w:type="dxa"/>
          </w:tcPr>
          <w:p w14:paraId="6BFCC155" w14:textId="0B51080E"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Affinity Networks, Cultural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Awareness Programs</w:t>
            </w:r>
          </w:p>
        </w:tc>
        <w:tc>
          <w:tcPr>
            <w:tcW w:w="3117" w:type="dxa"/>
          </w:tcPr>
          <w:p w14:paraId="5A91D150" w14:textId="3358D1FF"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Sense of Belonging </w:t>
            </w:r>
          </w:p>
        </w:tc>
      </w:tr>
    </w:tbl>
    <w:p w14:paraId="0DB99286" w14:textId="77777777" w:rsidR="006113A7" w:rsidRPr="006113A7" w:rsidRDefault="006113A7" w:rsidP="006113A7">
      <w:pPr>
        <w:spacing w:line="276" w:lineRule="auto"/>
        <w:jc w:val="center"/>
      </w:pPr>
    </w:p>
    <w:p w14:paraId="273885E1" w14:textId="4A62C89F" w:rsidR="006113A7" w:rsidRDefault="006113A7" w:rsidP="006113A7">
      <w:pPr>
        <w:spacing w:line="276" w:lineRule="auto"/>
        <w:jc w:val="both"/>
      </w:pPr>
      <w:r w:rsidRPr="006113A7">
        <w:t>HR strategies also strive to rectify biases ingrained in talent acquisition and promotion processes. By introducing objective evaluation criteria and embracing data-driven decision-making, HR contributes to mitigating biases that could impede equitable opportunities for underrepresented individuals. The culmination of these efforts creates a work environment characterized by diverse voices, equal opportunities, and a sense of belonging, echoing a commitment to fostering a progressive and inclusive organization.</w:t>
      </w:r>
    </w:p>
    <w:p w14:paraId="4AB75C7E" w14:textId="77643AB7" w:rsidR="006113A7" w:rsidRDefault="006113A7" w:rsidP="006113A7">
      <w:pPr>
        <w:spacing w:line="276" w:lineRule="auto"/>
        <w:jc w:val="both"/>
      </w:pPr>
    </w:p>
    <w:p w14:paraId="5B2D82BA" w14:textId="2B24F06C" w:rsidR="006113A7" w:rsidRDefault="006113A7" w:rsidP="006113A7">
      <w:pPr>
        <w:spacing w:line="276" w:lineRule="auto"/>
        <w:jc w:val="both"/>
      </w:pPr>
      <w:bookmarkStart w:id="15" w:name="_Toc143485698"/>
      <w:r w:rsidRPr="006113A7">
        <w:rPr>
          <w:rStyle w:val="Heading1Char"/>
        </w:rPr>
        <w:t>9. Recommendations and Future Directions</w:t>
      </w:r>
      <w:bookmarkEnd w:id="15"/>
      <w:r w:rsidRPr="006113A7">
        <w:rPr>
          <w:rStyle w:val="Heading1Char"/>
        </w:rPr>
        <w:cr/>
      </w:r>
      <w:r w:rsidRPr="006113A7">
        <w:cr/>
        <w:t>This section offers pragmatic recommendations for organizations to effectively navigate the intricate post Covid-19, post Brexit labor market. These include proactive adoption of remote work policies, investment in upskilling and reskilling initiatives, and fostering a culture of diversity and inclusion. To anticipate future trends and challenges, HR professionals must embrace agile strategies that accommodate evolving work models, technological advancements, and shifts in workforce demographics.</w:t>
      </w:r>
      <w:r w:rsidRPr="006113A7">
        <w:cr/>
      </w:r>
      <w:r w:rsidRPr="006113A7">
        <w:cr/>
      </w:r>
      <w:r w:rsidRPr="006113A7">
        <w:rPr>
          <w:rStyle w:val="Heading1Char"/>
        </w:rPr>
        <w:t>10. Overall Conclusion</w:t>
      </w:r>
      <w:r w:rsidRPr="006113A7">
        <w:rPr>
          <w:rStyle w:val="Heading1Char"/>
        </w:rPr>
        <w:cr/>
      </w:r>
      <w:r w:rsidRPr="006113A7">
        <w:cr/>
        <w:t>The synthesis of findings from both Part A and Part B underscores the pressing need for HR strategies to adapt to the dynamic external environment. The interplay of Covid-19 and Brexit has engendered intricate shifts in the labor market that demand organizations to be agile, innovative, and people-centric. By aligning HR strategies with these changes, businesses can position themselves for sustainable growth, ensuring they are not only responsive to current challenges but also primed to seize future opportunities. This report underscores the vital role of HR as a strategic partner in the journey toward a resilient and thriving workforce in a rapidly evolving landscape.</w:t>
      </w:r>
    </w:p>
    <w:p w14:paraId="22F25C77" w14:textId="77777777" w:rsidR="006113A7" w:rsidRDefault="006113A7" w:rsidP="006113A7">
      <w:pPr>
        <w:spacing w:line="276" w:lineRule="auto"/>
        <w:jc w:val="both"/>
      </w:pPr>
    </w:p>
    <w:p w14:paraId="02F86F26" w14:textId="77777777" w:rsidR="006113A7" w:rsidRDefault="006113A7" w:rsidP="006113A7">
      <w:pPr>
        <w:spacing w:line="276" w:lineRule="auto"/>
        <w:jc w:val="both"/>
      </w:pPr>
    </w:p>
    <w:p w14:paraId="3CE02728" w14:textId="77777777" w:rsidR="006113A7" w:rsidRDefault="006113A7" w:rsidP="006113A7">
      <w:pPr>
        <w:spacing w:line="276" w:lineRule="auto"/>
        <w:jc w:val="both"/>
      </w:pPr>
    </w:p>
    <w:p w14:paraId="1F26412D" w14:textId="77777777" w:rsidR="006113A7" w:rsidRDefault="006113A7" w:rsidP="006113A7">
      <w:pPr>
        <w:spacing w:line="276" w:lineRule="auto"/>
        <w:jc w:val="both"/>
      </w:pPr>
    </w:p>
    <w:p w14:paraId="09D41A9E" w14:textId="77777777" w:rsidR="006113A7" w:rsidRDefault="006113A7" w:rsidP="006113A7">
      <w:pPr>
        <w:spacing w:line="276" w:lineRule="auto"/>
        <w:jc w:val="both"/>
      </w:pPr>
    </w:p>
    <w:p w14:paraId="10884242" w14:textId="77777777" w:rsidR="006113A7" w:rsidRDefault="006113A7" w:rsidP="006113A7">
      <w:pPr>
        <w:spacing w:line="276" w:lineRule="auto"/>
        <w:jc w:val="both"/>
      </w:pPr>
    </w:p>
    <w:p w14:paraId="21EDF8B9" w14:textId="77777777" w:rsidR="006113A7" w:rsidRDefault="006113A7" w:rsidP="006113A7">
      <w:pPr>
        <w:spacing w:line="276" w:lineRule="auto"/>
        <w:jc w:val="both"/>
      </w:pPr>
    </w:p>
    <w:p w14:paraId="58C1D1B9" w14:textId="77777777" w:rsidR="006113A7" w:rsidRDefault="006113A7" w:rsidP="006113A7">
      <w:pPr>
        <w:spacing w:line="276" w:lineRule="auto"/>
        <w:jc w:val="both"/>
      </w:pPr>
    </w:p>
    <w:p w14:paraId="361AD265" w14:textId="77777777" w:rsidR="006113A7" w:rsidRDefault="006113A7" w:rsidP="006113A7">
      <w:pPr>
        <w:spacing w:line="276" w:lineRule="auto"/>
        <w:jc w:val="both"/>
      </w:pPr>
    </w:p>
    <w:p w14:paraId="0DE44E16" w14:textId="77777777" w:rsidR="006113A7" w:rsidRDefault="006113A7" w:rsidP="006113A7">
      <w:pPr>
        <w:spacing w:line="276" w:lineRule="auto"/>
        <w:jc w:val="both"/>
      </w:pPr>
    </w:p>
    <w:p w14:paraId="79C1D5B1" w14:textId="77777777" w:rsidR="006113A7" w:rsidRDefault="006113A7" w:rsidP="006113A7">
      <w:pPr>
        <w:spacing w:line="276" w:lineRule="auto"/>
        <w:jc w:val="both"/>
      </w:pPr>
    </w:p>
    <w:p w14:paraId="72642D8B" w14:textId="77777777" w:rsidR="006113A7" w:rsidRDefault="006113A7" w:rsidP="006113A7">
      <w:pPr>
        <w:spacing w:line="276" w:lineRule="auto"/>
        <w:jc w:val="both"/>
      </w:pPr>
    </w:p>
    <w:p w14:paraId="512F475D" w14:textId="77777777" w:rsidR="006113A7" w:rsidRDefault="006113A7" w:rsidP="006113A7">
      <w:pPr>
        <w:spacing w:line="276" w:lineRule="auto"/>
        <w:jc w:val="both"/>
      </w:pPr>
    </w:p>
    <w:p w14:paraId="0B4B3ACB" w14:textId="77777777" w:rsidR="006113A7" w:rsidRDefault="006113A7" w:rsidP="006113A7">
      <w:pPr>
        <w:spacing w:line="276" w:lineRule="auto"/>
        <w:jc w:val="both"/>
      </w:pPr>
    </w:p>
    <w:p w14:paraId="7CCD3402" w14:textId="77777777" w:rsidR="006113A7" w:rsidRDefault="006113A7" w:rsidP="006113A7">
      <w:pPr>
        <w:spacing w:line="276" w:lineRule="auto"/>
        <w:jc w:val="both"/>
      </w:pPr>
    </w:p>
    <w:p w14:paraId="43282FC8" w14:textId="1FC720FF" w:rsidR="006113A7" w:rsidRPr="006113A7" w:rsidRDefault="006113A7" w:rsidP="006113A7">
      <w:pPr>
        <w:pStyle w:val="Heading1"/>
      </w:pPr>
      <w:bookmarkStart w:id="16" w:name="_Toc143485699"/>
      <w:r>
        <w:t>References</w:t>
      </w:r>
      <w:bookmarkEnd w:id="16"/>
    </w:p>
    <w:p w14:paraId="2B7FA075" w14:textId="77777777" w:rsidR="009A5806" w:rsidRDefault="009A5806" w:rsidP="009A5806">
      <w:pPr>
        <w:spacing w:line="240" w:lineRule="auto"/>
      </w:pPr>
    </w:p>
    <w:p w14:paraId="7FF6FB8E" w14:textId="543A600E" w:rsidR="009A5806" w:rsidRDefault="009A5806" w:rsidP="009A5806">
      <w:pPr>
        <w:pStyle w:val="ListParagraph"/>
        <w:numPr>
          <w:ilvl w:val="0"/>
          <w:numId w:val="3"/>
        </w:numPr>
        <w:spacing w:line="276" w:lineRule="auto"/>
        <w:jc w:val="both"/>
      </w:pPr>
      <w:r>
        <w:t xml:space="preserve">Smith, J. (2020). </w:t>
      </w:r>
      <w:proofErr w:type="spellStart"/>
      <w:r>
        <w:t>Labour</w:t>
      </w:r>
      <w:proofErr w:type="spellEnd"/>
      <w:r>
        <w:t xml:space="preserve"> market analysis: what is it and why does it matter? UK Parliament Research Briefing.</w:t>
      </w:r>
    </w:p>
    <w:p w14:paraId="22857394" w14:textId="7BF9203C" w:rsidR="009A5806" w:rsidRDefault="009A5806" w:rsidP="009A5806">
      <w:pPr>
        <w:pStyle w:val="ListParagraph"/>
        <w:numPr>
          <w:ilvl w:val="0"/>
          <w:numId w:val="3"/>
        </w:numPr>
        <w:spacing w:line="276" w:lineRule="auto"/>
        <w:jc w:val="both"/>
      </w:pPr>
      <w:r>
        <w:t xml:space="preserve">CIPD. (2022). Impact of the Covid-19 pandemic on the UK </w:t>
      </w:r>
      <w:proofErr w:type="spellStart"/>
      <w:r>
        <w:t>labour</w:t>
      </w:r>
      <w:proofErr w:type="spellEnd"/>
      <w:r>
        <w:t xml:space="preserve"> market. Chartered Institute of Personnel and Development.</w:t>
      </w:r>
    </w:p>
    <w:p w14:paraId="16E689DF" w14:textId="1F56A1BF" w:rsidR="009A5806" w:rsidRDefault="009A5806" w:rsidP="009A5806">
      <w:pPr>
        <w:pStyle w:val="ListParagraph"/>
        <w:numPr>
          <w:ilvl w:val="0"/>
          <w:numId w:val="3"/>
        </w:numPr>
        <w:spacing w:line="276" w:lineRule="auto"/>
        <w:jc w:val="both"/>
      </w:pPr>
      <w:r>
        <w:t>Office for National Statistics (ONS). (2020). Employment in the UK: April 2020.</w:t>
      </w:r>
    </w:p>
    <w:p w14:paraId="3B9A2021" w14:textId="5987F147" w:rsidR="009A5806" w:rsidRDefault="009A5806" w:rsidP="009A5806">
      <w:pPr>
        <w:pStyle w:val="ListParagraph"/>
        <w:numPr>
          <w:ilvl w:val="0"/>
          <w:numId w:val="3"/>
        </w:numPr>
        <w:spacing w:line="276" w:lineRule="auto"/>
        <w:jc w:val="both"/>
      </w:pPr>
      <w:r>
        <w:t xml:space="preserve">Office for National Statistics (ONS). (2021). </w:t>
      </w:r>
      <w:proofErr w:type="spellStart"/>
      <w:r>
        <w:t>Labour</w:t>
      </w:r>
      <w:proofErr w:type="spellEnd"/>
      <w:r>
        <w:t xml:space="preserve"> Market Overview, UK: May 2021.</w:t>
      </w:r>
    </w:p>
    <w:p w14:paraId="0B206D6A" w14:textId="4F402947" w:rsidR="009A5806" w:rsidRDefault="009A5806" w:rsidP="009A5806">
      <w:pPr>
        <w:pStyle w:val="ListParagraph"/>
        <w:numPr>
          <w:ilvl w:val="0"/>
          <w:numId w:val="3"/>
        </w:numPr>
        <w:spacing w:line="276" w:lineRule="auto"/>
        <w:jc w:val="both"/>
      </w:pPr>
      <w:r>
        <w:t>Coe, N., &amp; Han, D. (2020). The geography of the post-COVID-19 world: Industry, occupation and regional vulnerability. Regional Studies, 1-14.</w:t>
      </w:r>
    </w:p>
    <w:p w14:paraId="334803B8" w14:textId="6B7C65A0" w:rsidR="009A5806" w:rsidRDefault="009A5806" w:rsidP="009A5806">
      <w:pPr>
        <w:pStyle w:val="ListParagraph"/>
        <w:numPr>
          <w:ilvl w:val="0"/>
          <w:numId w:val="3"/>
        </w:numPr>
        <w:spacing w:line="276" w:lineRule="auto"/>
        <w:jc w:val="both"/>
      </w:pPr>
      <w:r>
        <w:t xml:space="preserve">McKinsey &amp; Company. (2020). </w:t>
      </w:r>
      <w:proofErr w:type="gramStart"/>
      <w:r>
        <w:t>The</w:t>
      </w:r>
      <w:proofErr w:type="gramEnd"/>
      <w:r>
        <w:t xml:space="preserve"> future of work after COVID-19. McKinsey Global Institute.</w:t>
      </w:r>
    </w:p>
    <w:p w14:paraId="223B3249" w14:textId="37D63DB6" w:rsidR="009A5806" w:rsidRDefault="009A5806" w:rsidP="009A5806">
      <w:pPr>
        <w:pStyle w:val="ListParagraph"/>
        <w:numPr>
          <w:ilvl w:val="0"/>
          <w:numId w:val="3"/>
        </w:numPr>
        <w:spacing w:line="276" w:lineRule="auto"/>
        <w:jc w:val="both"/>
      </w:pPr>
      <w:r>
        <w:t>HM Treasury. (2020). Coronavirus Job Retention Scheme. UK Government.</w:t>
      </w:r>
    </w:p>
    <w:p w14:paraId="592B6C9D" w14:textId="310A3DB8" w:rsidR="009A5806" w:rsidRDefault="009A5806" w:rsidP="009A5806">
      <w:pPr>
        <w:pStyle w:val="ListParagraph"/>
        <w:numPr>
          <w:ilvl w:val="0"/>
          <w:numId w:val="3"/>
        </w:numPr>
        <w:spacing w:line="276" w:lineRule="auto"/>
        <w:jc w:val="both"/>
      </w:pPr>
      <w:r>
        <w:t xml:space="preserve">Migration Advisory Committee. (2020). </w:t>
      </w:r>
      <w:proofErr w:type="gramStart"/>
      <w:r>
        <w:t>A</w:t>
      </w:r>
      <w:proofErr w:type="gramEnd"/>
      <w:r>
        <w:t xml:space="preserve"> Points-Based System and Salary Thresholds for Immigration: Economic and Social Impacts. UK Government.</w:t>
      </w:r>
    </w:p>
    <w:p w14:paraId="08139A07" w14:textId="70EE8412" w:rsidR="009A5806" w:rsidRDefault="009A5806" w:rsidP="009A5806">
      <w:pPr>
        <w:pStyle w:val="ListParagraph"/>
        <w:numPr>
          <w:ilvl w:val="0"/>
          <w:numId w:val="3"/>
        </w:numPr>
        <w:spacing w:line="276" w:lineRule="auto"/>
        <w:jc w:val="both"/>
      </w:pPr>
      <w:r>
        <w:t>CBI (Confederation of British Industry). (2021). Building Skills for Tomorrow: Developing Skills to Drive the UK's Economic Recovery.</w:t>
      </w:r>
    </w:p>
    <w:p w14:paraId="2F51BF1C" w14:textId="3AA151A5" w:rsidR="009A5806" w:rsidRDefault="009A5806" w:rsidP="009A5806">
      <w:pPr>
        <w:pStyle w:val="ListParagraph"/>
        <w:numPr>
          <w:ilvl w:val="0"/>
          <w:numId w:val="3"/>
        </w:numPr>
        <w:spacing w:line="276" w:lineRule="auto"/>
        <w:jc w:val="both"/>
      </w:pPr>
      <w:r>
        <w:t xml:space="preserve">EHRC (Equality and Human Rights Commission). (2020). </w:t>
      </w:r>
      <w:proofErr w:type="gramStart"/>
      <w:r>
        <w:t>The</w:t>
      </w:r>
      <w:proofErr w:type="gramEnd"/>
      <w:r>
        <w:t xml:space="preserve"> Gender and Ethnicity Pay Gaps in Great Britain: 2020.</w:t>
      </w:r>
    </w:p>
    <w:p w14:paraId="7A3897C2" w14:textId="59C5FEFB" w:rsidR="009A5806" w:rsidRDefault="009A5806" w:rsidP="009A5806">
      <w:pPr>
        <w:pStyle w:val="ListParagraph"/>
        <w:numPr>
          <w:ilvl w:val="0"/>
          <w:numId w:val="3"/>
        </w:numPr>
        <w:spacing w:line="276" w:lineRule="auto"/>
        <w:jc w:val="both"/>
      </w:pPr>
      <w:r>
        <w:t>PwC. (2021). The future of work: Seizing the opportunities. PricewaterhouseCoopers.</w:t>
      </w:r>
    </w:p>
    <w:p w14:paraId="1EF97E7A" w14:textId="1BD3CD6F" w:rsidR="009A5806" w:rsidRDefault="009A5806" w:rsidP="009A5806">
      <w:pPr>
        <w:pStyle w:val="ListParagraph"/>
        <w:numPr>
          <w:ilvl w:val="0"/>
          <w:numId w:val="3"/>
        </w:numPr>
        <w:spacing w:line="276" w:lineRule="auto"/>
        <w:jc w:val="both"/>
      </w:pPr>
      <w:r>
        <w:t>Deloitte. (2020). Brexit and the People Agenda: From Immediate Actions to Planning for the Future. Deloitte UK.</w:t>
      </w:r>
    </w:p>
    <w:p w14:paraId="180AF915" w14:textId="277CE488" w:rsidR="009A5806" w:rsidRDefault="009A5806" w:rsidP="009A5806">
      <w:pPr>
        <w:pStyle w:val="ListParagraph"/>
        <w:numPr>
          <w:ilvl w:val="0"/>
          <w:numId w:val="3"/>
        </w:numPr>
        <w:spacing w:line="276" w:lineRule="auto"/>
        <w:jc w:val="both"/>
      </w:pPr>
      <w:r>
        <w:t xml:space="preserve">McKinsey &amp; Company. (2021). </w:t>
      </w:r>
      <w:proofErr w:type="gramStart"/>
      <w:r>
        <w:t>The</w:t>
      </w:r>
      <w:proofErr w:type="gramEnd"/>
      <w:r>
        <w:t xml:space="preserve"> Future of Work in Europe: Making the New Normal Better than the Old. McKinsey Global Institute.</w:t>
      </w:r>
    </w:p>
    <w:p w14:paraId="0B8992D6" w14:textId="7D57FAA3" w:rsidR="009A5806" w:rsidRDefault="009A5806" w:rsidP="009A5806">
      <w:pPr>
        <w:pStyle w:val="ListParagraph"/>
        <w:numPr>
          <w:ilvl w:val="0"/>
          <w:numId w:val="3"/>
        </w:numPr>
        <w:spacing w:line="276" w:lineRule="auto"/>
        <w:jc w:val="both"/>
      </w:pPr>
      <w:r>
        <w:t>CIPD (Chartered Institute of Personnel and Development). (2021). Diversity and inclusion at work: Facing up to the business case.</w:t>
      </w:r>
    </w:p>
    <w:p w14:paraId="2FFF4B03" w14:textId="33373920" w:rsidR="009A5806" w:rsidRDefault="009A5806" w:rsidP="009A5806">
      <w:pPr>
        <w:pStyle w:val="ListParagraph"/>
        <w:numPr>
          <w:ilvl w:val="0"/>
          <w:numId w:val="3"/>
        </w:numPr>
        <w:spacing w:line="276" w:lineRule="auto"/>
        <w:jc w:val="both"/>
      </w:pPr>
      <w:r>
        <w:t xml:space="preserve">Sakurai, M. (2022). The Work from Home Challenge: The Role of Telework in the Post-COVID-19 Era. International </w:t>
      </w:r>
      <w:proofErr w:type="spellStart"/>
      <w:r>
        <w:t>Labour</w:t>
      </w:r>
      <w:proofErr w:type="spellEnd"/>
      <w:r>
        <w:t xml:space="preserve"> Organization.</w:t>
      </w:r>
    </w:p>
    <w:p w14:paraId="077FB6BD" w14:textId="6897487B" w:rsidR="009A5806" w:rsidRDefault="009A5806" w:rsidP="009A5806">
      <w:pPr>
        <w:pStyle w:val="ListParagraph"/>
        <w:numPr>
          <w:ilvl w:val="0"/>
          <w:numId w:val="3"/>
        </w:numPr>
        <w:spacing w:line="276" w:lineRule="auto"/>
        <w:jc w:val="both"/>
      </w:pPr>
      <w:r>
        <w:t>Society for Human Resource Management (SHRM). (2021). Recruiting Amid Uncertainty: Building a Resilient Workforce. Society for Human Resource Management.</w:t>
      </w:r>
    </w:p>
    <w:p w14:paraId="086F8E25" w14:textId="0EC477F2" w:rsidR="009A5806" w:rsidRDefault="009A5806" w:rsidP="009A5806">
      <w:pPr>
        <w:pStyle w:val="ListParagraph"/>
        <w:numPr>
          <w:ilvl w:val="0"/>
          <w:numId w:val="3"/>
        </w:numPr>
        <w:spacing w:line="276" w:lineRule="auto"/>
        <w:jc w:val="both"/>
      </w:pPr>
      <w:r>
        <w:t xml:space="preserve">World Economic Forum. (2022). </w:t>
      </w:r>
      <w:proofErr w:type="gramStart"/>
      <w:r>
        <w:t>The</w:t>
      </w:r>
      <w:proofErr w:type="gramEnd"/>
      <w:r>
        <w:t xml:space="preserve"> Future of Jobs Report 2022. World Economic Forum.</w:t>
      </w:r>
    </w:p>
    <w:p w14:paraId="16622B2A" w14:textId="223A298D" w:rsidR="009A5806" w:rsidRDefault="009A5806" w:rsidP="009A5806">
      <w:pPr>
        <w:pStyle w:val="ListParagraph"/>
        <w:numPr>
          <w:ilvl w:val="0"/>
          <w:numId w:val="3"/>
        </w:numPr>
        <w:spacing w:line="276" w:lineRule="auto"/>
        <w:jc w:val="both"/>
      </w:pPr>
      <w:proofErr w:type="spellStart"/>
      <w:r>
        <w:lastRenderedPageBreak/>
        <w:t>Sull</w:t>
      </w:r>
      <w:proofErr w:type="spellEnd"/>
      <w:r>
        <w:t xml:space="preserve">, D., </w:t>
      </w:r>
      <w:proofErr w:type="spellStart"/>
      <w:r>
        <w:t>Homkes</w:t>
      </w:r>
      <w:proofErr w:type="spellEnd"/>
      <w:r>
        <w:t xml:space="preserve">, R., &amp; </w:t>
      </w:r>
      <w:proofErr w:type="spellStart"/>
      <w:r>
        <w:t>Sull</w:t>
      </w:r>
      <w:proofErr w:type="spellEnd"/>
      <w:r>
        <w:t>, C. (2015). Why Strategy Execution Unravels—And What to Do About It. Harvard Business Review.</w:t>
      </w:r>
    </w:p>
    <w:p w14:paraId="63B01150" w14:textId="2C58C743" w:rsidR="009A5806" w:rsidRDefault="009A5806" w:rsidP="009A5806">
      <w:pPr>
        <w:pStyle w:val="ListParagraph"/>
        <w:numPr>
          <w:ilvl w:val="0"/>
          <w:numId w:val="3"/>
        </w:numPr>
        <w:spacing w:line="276" w:lineRule="auto"/>
        <w:jc w:val="both"/>
      </w:pPr>
      <w:r>
        <w:t>Society for Human Resource Management (SHRM). (2020). Navigating the New Normal: A People-First Approach to Return to Work. Society for Human Resource Management.</w:t>
      </w:r>
    </w:p>
    <w:p w14:paraId="171C200E" w14:textId="64E1224A" w:rsidR="009A5806" w:rsidRDefault="009A5806" w:rsidP="009A5806">
      <w:pPr>
        <w:pStyle w:val="ListParagraph"/>
        <w:numPr>
          <w:ilvl w:val="0"/>
          <w:numId w:val="3"/>
        </w:numPr>
        <w:spacing w:line="276" w:lineRule="auto"/>
        <w:jc w:val="both"/>
      </w:pPr>
      <w:r>
        <w:t>McKinsey &amp; Company. (2020). Diversity Wins: How Inclusion Matters. McKinsey Global Institute.</w:t>
      </w:r>
    </w:p>
    <w:p w14:paraId="6A5D2389" w14:textId="2BED5FA1" w:rsidR="009A5806" w:rsidRDefault="009A5806" w:rsidP="009A5806">
      <w:pPr>
        <w:pStyle w:val="ListParagraph"/>
        <w:numPr>
          <w:ilvl w:val="0"/>
          <w:numId w:val="3"/>
        </w:numPr>
        <w:spacing w:line="276" w:lineRule="auto"/>
        <w:jc w:val="both"/>
      </w:pPr>
      <w:r>
        <w:t xml:space="preserve">Catalyst. (2021). </w:t>
      </w:r>
      <w:proofErr w:type="gramStart"/>
      <w:r>
        <w:t>The</w:t>
      </w:r>
      <w:proofErr w:type="gramEnd"/>
      <w:r>
        <w:t xml:space="preserve"> Business Case for Diversity, Equity, and Inclusion. Catalyst.</w:t>
      </w:r>
    </w:p>
    <w:p w14:paraId="4F3A17FB" w14:textId="4C7A68CC" w:rsidR="009A5806" w:rsidRDefault="009A5806" w:rsidP="009A5806">
      <w:pPr>
        <w:pStyle w:val="ListParagraph"/>
        <w:numPr>
          <w:ilvl w:val="0"/>
          <w:numId w:val="3"/>
        </w:numPr>
        <w:spacing w:line="276" w:lineRule="auto"/>
        <w:jc w:val="both"/>
      </w:pPr>
      <w:r>
        <w:t xml:space="preserve">World Economic Forum. (2021). </w:t>
      </w:r>
      <w:proofErr w:type="gramStart"/>
      <w:r>
        <w:t>The</w:t>
      </w:r>
      <w:proofErr w:type="gramEnd"/>
      <w:r>
        <w:t xml:space="preserve"> Future of Jobs Report 2021. World Economic Forum.</w:t>
      </w:r>
    </w:p>
    <w:p w14:paraId="50A4A9C1" w14:textId="02B6C7D6" w:rsidR="006113A7" w:rsidRPr="00D6418C" w:rsidRDefault="009A5806" w:rsidP="009A5806">
      <w:pPr>
        <w:pStyle w:val="ListParagraph"/>
        <w:numPr>
          <w:ilvl w:val="0"/>
          <w:numId w:val="3"/>
        </w:numPr>
        <w:spacing w:line="276" w:lineRule="auto"/>
        <w:jc w:val="both"/>
      </w:pPr>
      <w:r>
        <w:t>CIPD (Chartered Institute of Personnel and Development). (2022). People and Strategy after the Pandemic: HR’s Role in Reinventing the Future. CIPD.</w:t>
      </w:r>
    </w:p>
    <w:sectPr w:rsidR="006113A7" w:rsidRPr="00D641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E4D8E"/>
    <w:multiLevelType w:val="hybridMultilevel"/>
    <w:tmpl w:val="098823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E8305BD"/>
    <w:multiLevelType w:val="hybridMultilevel"/>
    <w:tmpl w:val="F190E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025A02"/>
    <w:multiLevelType w:val="hybridMultilevel"/>
    <w:tmpl w:val="1E26D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8D6"/>
    <w:rsid w:val="00093A71"/>
    <w:rsid w:val="00382E0C"/>
    <w:rsid w:val="006113A7"/>
    <w:rsid w:val="00635CFC"/>
    <w:rsid w:val="006A417B"/>
    <w:rsid w:val="008E4896"/>
    <w:rsid w:val="009A4C49"/>
    <w:rsid w:val="009A5806"/>
    <w:rsid w:val="00A55201"/>
    <w:rsid w:val="00C446B6"/>
    <w:rsid w:val="00CD48D6"/>
    <w:rsid w:val="00D6418C"/>
    <w:rsid w:val="00DD6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B8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48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8D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D48D6"/>
    <w:pPr>
      <w:ind w:left="720"/>
      <w:contextualSpacing/>
    </w:pPr>
  </w:style>
  <w:style w:type="table" w:styleId="TableGrid">
    <w:name w:val="Table Grid"/>
    <w:basedOn w:val="TableNormal"/>
    <w:uiPriority w:val="39"/>
    <w:rsid w:val="00CD4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A5806"/>
    <w:pPr>
      <w:outlineLvl w:val="9"/>
    </w:pPr>
  </w:style>
  <w:style w:type="paragraph" w:styleId="TOC1">
    <w:name w:val="toc 1"/>
    <w:basedOn w:val="Normal"/>
    <w:next w:val="Normal"/>
    <w:autoRedefine/>
    <w:uiPriority w:val="39"/>
    <w:unhideWhenUsed/>
    <w:rsid w:val="009A5806"/>
    <w:pPr>
      <w:spacing w:after="100"/>
    </w:pPr>
  </w:style>
  <w:style w:type="character" w:styleId="Hyperlink">
    <w:name w:val="Hyperlink"/>
    <w:basedOn w:val="DefaultParagraphFont"/>
    <w:uiPriority w:val="99"/>
    <w:unhideWhenUsed/>
    <w:rsid w:val="009A5806"/>
    <w:rPr>
      <w:color w:val="0563C1" w:themeColor="hyperlink"/>
      <w:u w:val="single"/>
    </w:rPr>
  </w:style>
  <w:style w:type="paragraph" w:styleId="BalloonText">
    <w:name w:val="Balloon Text"/>
    <w:basedOn w:val="Normal"/>
    <w:link w:val="BalloonTextChar"/>
    <w:uiPriority w:val="99"/>
    <w:semiHidden/>
    <w:unhideWhenUsed/>
    <w:rsid w:val="006A4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1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48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8D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D48D6"/>
    <w:pPr>
      <w:ind w:left="720"/>
      <w:contextualSpacing/>
    </w:pPr>
  </w:style>
  <w:style w:type="table" w:styleId="TableGrid">
    <w:name w:val="Table Grid"/>
    <w:basedOn w:val="TableNormal"/>
    <w:uiPriority w:val="39"/>
    <w:rsid w:val="00CD4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A5806"/>
    <w:pPr>
      <w:outlineLvl w:val="9"/>
    </w:pPr>
  </w:style>
  <w:style w:type="paragraph" w:styleId="TOC1">
    <w:name w:val="toc 1"/>
    <w:basedOn w:val="Normal"/>
    <w:next w:val="Normal"/>
    <w:autoRedefine/>
    <w:uiPriority w:val="39"/>
    <w:unhideWhenUsed/>
    <w:rsid w:val="009A5806"/>
    <w:pPr>
      <w:spacing w:after="100"/>
    </w:pPr>
  </w:style>
  <w:style w:type="character" w:styleId="Hyperlink">
    <w:name w:val="Hyperlink"/>
    <w:basedOn w:val="DefaultParagraphFont"/>
    <w:uiPriority w:val="99"/>
    <w:unhideWhenUsed/>
    <w:rsid w:val="009A5806"/>
    <w:rPr>
      <w:color w:val="0563C1" w:themeColor="hyperlink"/>
      <w:u w:val="single"/>
    </w:rPr>
  </w:style>
  <w:style w:type="paragraph" w:styleId="BalloonText">
    <w:name w:val="Balloon Text"/>
    <w:basedOn w:val="Normal"/>
    <w:link w:val="BalloonTextChar"/>
    <w:uiPriority w:val="99"/>
    <w:semiHidden/>
    <w:unhideWhenUsed/>
    <w:rsid w:val="006A4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1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74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10C0D-E725-46A1-B07A-FE05F3C7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3508</Words>
  <Characters>19996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dc:creator>
  <cp:lastModifiedBy>admin</cp:lastModifiedBy>
  <cp:revision>2</cp:revision>
  <dcterms:created xsi:type="dcterms:W3CDTF">2023-08-22T23:18:00Z</dcterms:created>
  <dcterms:modified xsi:type="dcterms:W3CDTF">2023-08-22T23:18:00Z</dcterms:modified>
</cp:coreProperties>
</file>