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33ADF1FC" w:rsidR="33572C6E" w:rsidRDefault="7908378C" w:rsidP="33572C6E">
            <w:pPr>
              <w:ind w:right="237"/>
              <w:rPr>
                <w:b/>
                <w:bCs/>
                <w:color w:val="auto"/>
                <w:sz w:val="32"/>
                <w:szCs w:val="32"/>
              </w:rPr>
            </w:pPr>
            <w:r w:rsidRPr="33572C6E">
              <w:rPr>
                <w:b/>
                <w:bCs/>
                <w:color w:val="auto"/>
                <w:sz w:val="32"/>
                <w:szCs w:val="32"/>
              </w:rPr>
              <w:t>Learner name:</w:t>
            </w:r>
            <w:r w:rsidR="00EB0C96">
              <w:rPr>
                <w:b/>
                <w:bCs/>
                <w:color w:val="auto"/>
                <w:sz w:val="32"/>
                <w:szCs w:val="32"/>
              </w:rPr>
              <w:t xml:space="preserve"> Kelly Tuck</w:t>
            </w:r>
          </w:p>
          <w:p w14:paraId="1D86F74A" w14:textId="4463BE68" w:rsidR="33572C6E" w:rsidRDefault="7908378C" w:rsidP="33572C6E">
            <w:pPr>
              <w:ind w:right="237"/>
              <w:rPr>
                <w:b/>
                <w:bCs/>
                <w:color w:val="auto"/>
                <w:sz w:val="32"/>
                <w:szCs w:val="32"/>
              </w:rPr>
            </w:pPr>
            <w:r w:rsidRPr="33572C6E">
              <w:rPr>
                <w:b/>
                <w:bCs/>
                <w:color w:val="auto"/>
                <w:sz w:val="32"/>
                <w:szCs w:val="32"/>
              </w:rPr>
              <w:t>Learner’s University Registration Number:</w:t>
            </w:r>
            <w:r w:rsidR="00EB0C96">
              <w:rPr>
                <w:b/>
                <w:bCs/>
                <w:color w:val="auto"/>
                <w:sz w:val="32"/>
                <w:szCs w:val="32"/>
              </w:rPr>
              <w:t xml:space="preserve"> 2222463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00EC2EDC">
      <w:pPr>
        <w:ind w:right="237"/>
        <w:jc w:val="both"/>
        <w:rPr>
          <w:b/>
          <w:bCs/>
          <w:sz w:val="24"/>
          <w:szCs w:val="24"/>
        </w:rPr>
      </w:pPr>
    </w:p>
    <w:p w14:paraId="687D87A2" w14:textId="77777777" w:rsidR="00EC2EDC" w:rsidRPr="00EC2EDC" w:rsidRDefault="00EC2EDC" w:rsidP="00EC2EDC">
      <w:pPr>
        <w:overflowPunct/>
        <w:autoSpaceDE/>
        <w:autoSpaceDN/>
        <w:adjustRightInd/>
        <w:textAlignment w:val="auto"/>
        <w:rPr>
          <w:sz w:val="24"/>
          <w:szCs w:val="24"/>
        </w:rPr>
      </w:pPr>
      <w:r w:rsidRPr="00EC2EDC">
        <w:rPr>
          <w:sz w:val="24"/>
          <w:szCs w:val="24"/>
        </w:rPr>
        <w:t>In this essay I am going to discuss an incident of Public Order contrary to section 4 of the Public Order Act 1986 (The national archives, 2006) involving a repeat vulnerable victim who was threatened by his neighbour’s brother.  The victim perceived that he was targeted because of his disability, making this a hate crime.</w:t>
      </w:r>
    </w:p>
    <w:p w14:paraId="581A85D1" w14:textId="0EDFB99C" w:rsidR="00EC2EDC" w:rsidRPr="00EC2EDC" w:rsidRDefault="00EC2EDC" w:rsidP="00EC2EDC">
      <w:pPr>
        <w:overflowPunct/>
        <w:autoSpaceDE/>
        <w:autoSpaceDN/>
        <w:adjustRightInd/>
        <w:textAlignment w:val="auto"/>
        <w:rPr>
          <w:sz w:val="24"/>
          <w:szCs w:val="24"/>
        </w:rPr>
      </w:pPr>
      <w:r w:rsidRPr="00EC2EDC">
        <w:rPr>
          <w:sz w:val="24"/>
          <w:szCs w:val="24"/>
        </w:rPr>
        <w:t>The College of Policing (COP), (2021) define a person as being vulnerable if they are unable to keep themselves safe due to the situation, they find themselves in. The victim in the incident was disabled due to a brain injury and therefore unable to keep himself safe. Repeat victimisation as defined by the home office (Bridgeman and Hobbs, 1997) occurs when the same person or place suffers from more than one incident of crime over a specified period. This victim had previously made multiple similar calls to police reporting his neighbour and their family.</w:t>
      </w:r>
      <w:r>
        <w:rPr>
          <w:sz w:val="24"/>
          <w:szCs w:val="24"/>
        </w:rPr>
        <w:t xml:space="preserve"> </w:t>
      </w:r>
      <w:r w:rsidRPr="00EC2EDC">
        <w:rPr>
          <w:sz w:val="24"/>
          <w:szCs w:val="24"/>
        </w:rPr>
        <w:t>The law identifies five kinds of hate crime, one of which is disability, which is defined jointly by the Crown Prosecution Service (CPS) (2022) and police as, “Any criminal offence which the victim or any other person perceives to be motivated by prejudice or hostility based on a person’s disability or perceived disability”.</w:t>
      </w:r>
      <w:r>
        <w:rPr>
          <w:sz w:val="24"/>
          <w:szCs w:val="24"/>
        </w:rPr>
        <w:t xml:space="preserve"> </w:t>
      </w:r>
      <w:r w:rsidRPr="00EC2EDC">
        <w:rPr>
          <w:sz w:val="24"/>
          <w:szCs w:val="24"/>
        </w:rPr>
        <w:t>I will reflect on this incident using Borton’s (1970) reflection model and critically evaluate the appropriateness of approaches by the police and other professionals in supporting vulnerable people and explore what works in relation to tackling repeat victimisation considering the use of evidence-based policing (EBP).</w:t>
      </w:r>
    </w:p>
    <w:p w14:paraId="0C8C8BAE" w14:textId="77777777" w:rsidR="00EC2EDC" w:rsidRPr="00EC2EDC" w:rsidRDefault="00EC2EDC" w:rsidP="00EC2EDC">
      <w:pPr>
        <w:overflowPunct/>
        <w:autoSpaceDE/>
        <w:autoSpaceDN/>
        <w:adjustRightInd/>
        <w:textAlignment w:val="auto"/>
        <w:rPr>
          <w:sz w:val="24"/>
          <w:szCs w:val="24"/>
        </w:rPr>
      </w:pPr>
    </w:p>
    <w:p w14:paraId="06D74325" w14:textId="20D5E1AB" w:rsidR="00EC2EDC" w:rsidRPr="00EC2EDC" w:rsidRDefault="00EC2EDC" w:rsidP="00EC2EDC">
      <w:pPr>
        <w:overflowPunct/>
        <w:autoSpaceDE/>
        <w:autoSpaceDN/>
        <w:adjustRightInd/>
        <w:textAlignment w:val="auto"/>
        <w:rPr>
          <w:sz w:val="24"/>
          <w:szCs w:val="24"/>
        </w:rPr>
      </w:pPr>
      <w:r w:rsidRPr="00EC2EDC">
        <w:rPr>
          <w:sz w:val="24"/>
          <w:szCs w:val="24"/>
        </w:rPr>
        <w:t>Firstly, I will use Borton’s question of what? to describe the incident that I attended. The incident involved a male victim who stated that as he was leaving his house to go out his next-door neighbour’s brother was outside and threatened him, saying, “</w:t>
      </w:r>
      <w:r>
        <w:rPr>
          <w:sz w:val="24"/>
          <w:szCs w:val="24"/>
        </w:rPr>
        <w:t>I’ll</w:t>
      </w:r>
      <w:r w:rsidRPr="00EC2EDC">
        <w:rPr>
          <w:sz w:val="24"/>
          <w:szCs w:val="24"/>
        </w:rPr>
        <w:t xml:space="preserve"> </w:t>
      </w:r>
      <w:r>
        <w:rPr>
          <w:sz w:val="24"/>
          <w:szCs w:val="24"/>
        </w:rPr>
        <w:lastRenderedPageBreak/>
        <w:t>have you later</w:t>
      </w:r>
      <w:r w:rsidRPr="00EC2EDC">
        <w:rPr>
          <w:sz w:val="24"/>
          <w:szCs w:val="24"/>
        </w:rPr>
        <w:t>”. Initially the victim ignored this comment and left the area in his car to continue his plans for the day, however, on returning home he noticed the offender was still in the front garden. Due to the earlier threat, the victim did not feel safe getting out of his car or staying at his house, so he asked his mother to ring the police for him and went to her address to wait for police there.</w:t>
      </w:r>
    </w:p>
    <w:p w14:paraId="0B378703" w14:textId="77777777" w:rsidR="00EC2EDC" w:rsidRPr="00EC2EDC" w:rsidRDefault="00EC2EDC" w:rsidP="00EC2EDC">
      <w:pPr>
        <w:overflowPunct/>
        <w:autoSpaceDE/>
        <w:autoSpaceDN/>
        <w:adjustRightInd/>
        <w:textAlignment w:val="auto"/>
        <w:rPr>
          <w:sz w:val="24"/>
          <w:szCs w:val="24"/>
        </w:rPr>
      </w:pPr>
      <w:r w:rsidRPr="00EC2EDC">
        <w:rPr>
          <w:sz w:val="24"/>
          <w:szCs w:val="24"/>
        </w:rPr>
        <w:t>Before I attended, I utilised an initial risk assessment which was completed by the force control room (FCR) to identify the victim was a vulnerable repeat victim. On attendance the victim’s mother explained how her son had suffered a traumatic head injury a few years previous which has affected his mobility and while he has capacity, he struggles to understand what is asked of him. While talking to the victim he stated that he perceived the comment that his neighbour’s brother had made was because of his disability, therefore I identified this was a hate crime.</w:t>
      </w:r>
    </w:p>
    <w:p w14:paraId="6C4323C7" w14:textId="77777777" w:rsidR="00EC2EDC" w:rsidRPr="00EC2EDC" w:rsidRDefault="00EC2EDC" w:rsidP="00EC2EDC">
      <w:pPr>
        <w:overflowPunct/>
        <w:autoSpaceDE/>
        <w:autoSpaceDN/>
        <w:adjustRightInd/>
        <w:textAlignment w:val="auto"/>
        <w:rPr>
          <w:sz w:val="24"/>
          <w:szCs w:val="24"/>
        </w:rPr>
      </w:pPr>
      <w:r w:rsidRPr="00EC2EDC">
        <w:rPr>
          <w:sz w:val="24"/>
          <w:szCs w:val="24"/>
        </w:rPr>
        <w:t>My initial actions when managing the incident were to, take a first account from the victim using a witness interview booklet (WIB) to assess his level of capacity, a hate crime risk assessment to assess the level of threat to him and submitted a public protection notification (PPN) report to share information with other agencies.</w:t>
      </w:r>
    </w:p>
    <w:p w14:paraId="66C07124" w14:textId="77777777" w:rsidR="00EC2EDC" w:rsidRPr="00EC2EDC" w:rsidRDefault="00EC2EDC" w:rsidP="00EC2EDC">
      <w:pPr>
        <w:overflowPunct/>
        <w:autoSpaceDE/>
        <w:autoSpaceDN/>
        <w:adjustRightInd/>
        <w:textAlignment w:val="auto"/>
        <w:rPr>
          <w:sz w:val="24"/>
          <w:szCs w:val="24"/>
        </w:rPr>
      </w:pPr>
    </w:p>
    <w:p w14:paraId="1E9EE54A" w14:textId="77C491E7" w:rsidR="00EC2EDC" w:rsidRDefault="00EC2EDC" w:rsidP="00EC2EDC">
      <w:pPr>
        <w:overflowPunct/>
        <w:autoSpaceDE/>
        <w:autoSpaceDN/>
        <w:adjustRightInd/>
        <w:textAlignment w:val="auto"/>
        <w:rPr>
          <w:sz w:val="24"/>
          <w:szCs w:val="24"/>
        </w:rPr>
      </w:pPr>
      <w:r w:rsidRPr="00EC2EDC">
        <w:rPr>
          <w:sz w:val="24"/>
          <w:szCs w:val="24"/>
        </w:rPr>
        <w:t>Now that I have described the incident I attended in the ‘what?’ stage of Borton’s model, I will now use the ‘So What?’ stage to critically assess the appropriateness of the police and other agencies approaches in supporting and managing vulnerable people. The police approach is to provide the initial response to a criminal incident by safeguarding the vulnerable victim and subsequently prosecuting the offender. Brown (2021) states the police service have a duty to prevent and detect crime as well as protect the public.</w:t>
      </w:r>
      <w:r w:rsidR="00B80DDE">
        <w:rPr>
          <w:sz w:val="24"/>
          <w:szCs w:val="24"/>
        </w:rPr>
        <w:t xml:space="preserve"> </w:t>
      </w:r>
      <w:r w:rsidRPr="00EC2EDC">
        <w:rPr>
          <w:sz w:val="24"/>
          <w:szCs w:val="24"/>
        </w:rPr>
        <w:t>One of the police approaches when managing vulnerable people is for the FCR to complete an initial risk assessment, known as the THRIVE model. This is described by his majesty’s inspectorate of constabulary and fire and rescue services (HMICFRS, 2023) as a risk assessment model used in the FCR allowing the staff to make a judgement on the risk posed by the call placing the needs of the victim at the heart of that decision to assess the appropriate police response to the call. The COP (2021) state the THRIVE approach help the call taker identify a person’s vulnerability, understand how a person’s vulnerability interacts with the situation to create a risk of harm, assess the level of risk of harm, and take the appropriate action.</w:t>
      </w:r>
      <w:r w:rsidR="00B80DDE">
        <w:rPr>
          <w:sz w:val="24"/>
          <w:szCs w:val="24"/>
        </w:rPr>
        <w:t xml:space="preserve"> </w:t>
      </w:r>
      <w:r w:rsidRPr="00EC2EDC">
        <w:rPr>
          <w:sz w:val="24"/>
          <w:szCs w:val="24"/>
        </w:rPr>
        <w:t>A criticism of this approach however, as highlighted by the COP (2021) is that responders have become too reliant on tools to determine risk. A review of these risk assessment tools has identified a lack of evidence related to their effectiveness because a single tool is unlikely to address all vulnerabilities. Although in this instance it was successful in providing me with the victim’s vulnerabilities for my initial response.</w:t>
      </w:r>
      <w:r w:rsidR="00B80DDE">
        <w:rPr>
          <w:sz w:val="24"/>
          <w:szCs w:val="24"/>
        </w:rPr>
        <w:t xml:space="preserve"> </w:t>
      </w:r>
      <w:r w:rsidRPr="00EC2EDC">
        <w:rPr>
          <w:sz w:val="24"/>
          <w:szCs w:val="24"/>
        </w:rPr>
        <w:t>Another police approach to supporting vulnerable people is to adapt the way they conduct the victim interview by following Achieving Best Evidence (ABE) guidelines, (Bryant, R. Bryant, S., 2019, pg580). Due to the victim’s vulnerability, I identified that I would need to follow ABE guidelines and therefore I used a WIB to take the victims first account in the presence of his mother, ready for a specially trained officer to complete the next stage of the ABE process. Looking back, I feel that this was the correct approach to use, and I provided a good, personalised service to the victim. ABE guidelines as stated by Bryant and Bryant (2020) are used for a witness/victim who has been assessed as having a specific vulnerability that will require a certain approach and will involve visually recording the interview. Guidance for the Ministry of Justice (2022) suggests that the first account is vital to formulate a risk assessment for the witness / victim and should be brief account of what has taken place.</w:t>
      </w:r>
      <w:r>
        <w:rPr>
          <w:sz w:val="24"/>
          <w:szCs w:val="24"/>
        </w:rPr>
        <w:t xml:space="preserve"> </w:t>
      </w:r>
      <w:r w:rsidRPr="00EC2EDC">
        <w:rPr>
          <w:sz w:val="24"/>
          <w:szCs w:val="24"/>
        </w:rPr>
        <w:t xml:space="preserve">Within the incident I was able to build a rapport </w:t>
      </w:r>
      <w:r w:rsidRPr="00EC2EDC">
        <w:rPr>
          <w:sz w:val="24"/>
          <w:szCs w:val="24"/>
        </w:rPr>
        <w:lastRenderedPageBreak/>
        <w:t>with the victim before interviewing him by talking to him about the football match that he had been to, this put the victim at ease and enabled him to open to me. The victim’s mother also being present helped to facilitate the conversation when the victim was unable to comprehend the questions he was being asked. I carried out a hate crime risk assessment with the victim which involved asking the victim questions based on risk factors advised by the COP (2022), such as, the victim’s isolation, personal characteristics which may increase their vulnerability and particular issues that leave them open to intimidation. Within this incident the template I used asked which strand of hate crime is applicable, which was disability. The template also asked questions about further vulnerability concerns, repeat incidents, ongoing concerns of bullying or harassment and whether the was a repeat offender. By totalling the number of yes answers it allowed me to grade the level of threat to the victim as standard risk. Following this I informed my sergeant of the incident, classified the incident as a hate crime make the hate crime officer aware. Based on the obvious impact to the victim, who was scared to go home, I felt that the risk level would be higher, therefore I was concerned that this incident might not have been taken as seriously as incidents with higher risk assessment scores.</w:t>
      </w:r>
      <w:r>
        <w:rPr>
          <w:sz w:val="24"/>
          <w:szCs w:val="24"/>
        </w:rPr>
        <w:t xml:space="preserve"> </w:t>
      </w:r>
      <w:r w:rsidRPr="00EC2EDC">
        <w:rPr>
          <w:sz w:val="24"/>
          <w:szCs w:val="24"/>
        </w:rPr>
        <w:t>A criticism of hate crime risk assessments as identified by HMICFRS (2018) is that despite the widespread acceptance of risk to hate crime victims there is no standard way for police forces to assess risk. The COP do not give definitive guidance on the best model to use to assess the risk to hate crime victims, therefore the lack of national direction means the level of service victims receive will depend on where they live. Hate crime victims would benefit from a national risk assessment tool like that of the domestic abuse stalking and harassment (DASH) tool that is used nationally for assessing the risk to victims of domestic abuse, (HMICFRS,2018).</w:t>
      </w:r>
      <w:r>
        <w:rPr>
          <w:sz w:val="24"/>
          <w:szCs w:val="24"/>
        </w:rPr>
        <w:t xml:space="preserve"> </w:t>
      </w:r>
      <w:r w:rsidRPr="00EC2EDC">
        <w:rPr>
          <w:sz w:val="24"/>
          <w:szCs w:val="24"/>
        </w:rPr>
        <w:t>Overall criticisms to the</w:t>
      </w:r>
      <w:r w:rsidR="00B80DDE">
        <w:rPr>
          <w:sz w:val="24"/>
          <w:szCs w:val="24"/>
        </w:rPr>
        <w:t xml:space="preserve"> </w:t>
      </w:r>
      <w:r w:rsidRPr="00EC2EDC">
        <w:rPr>
          <w:sz w:val="24"/>
          <w:szCs w:val="24"/>
        </w:rPr>
        <w:t>appropriateness of the police response to vulnerable hate crime victims are</w:t>
      </w:r>
      <w:r>
        <w:rPr>
          <w:sz w:val="24"/>
          <w:szCs w:val="24"/>
        </w:rPr>
        <w:t xml:space="preserve"> </w:t>
      </w:r>
      <w:r w:rsidRPr="00EC2EDC">
        <w:rPr>
          <w:sz w:val="24"/>
          <w:szCs w:val="24"/>
        </w:rPr>
        <w:t>documented by Gidda etal (2021) who state that both victims of hate crime and hate crime charities say that police do not take hate crime seriously. Furthermore, they go on to report that tens of thousands of hate crime victims relinquish the subsequent police investigation due to a lack of trust in the police. Further to this Holden and Conner (2021) state that disabled people are being failed by the police disabled victims have no confidence in the criminal justice services because of the length of time it takes to get a prosecution coupled with the defendant not getting a custodial sentence so still living nearby.</w:t>
      </w:r>
    </w:p>
    <w:p w14:paraId="39BFE650" w14:textId="77777777" w:rsidR="00B80DDE" w:rsidRPr="00EC2EDC" w:rsidRDefault="00B80DDE" w:rsidP="00EC2EDC">
      <w:pPr>
        <w:overflowPunct/>
        <w:autoSpaceDE/>
        <w:autoSpaceDN/>
        <w:adjustRightInd/>
        <w:textAlignment w:val="auto"/>
        <w:rPr>
          <w:sz w:val="24"/>
          <w:szCs w:val="24"/>
        </w:rPr>
      </w:pPr>
    </w:p>
    <w:p w14:paraId="44B535E4" w14:textId="34CDFD0D" w:rsidR="00EC2EDC" w:rsidRPr="00EC2EDC" w:rsidRDefault="00EC2EDC" w:rsidP="00EC2EDC">
      <w:pPr>
        <w:overflowPunct/>
        <w:autoSpaceDE/>
        <w:autoSpaceDN/>
        <w:adjustRightInd/>
        <w:textAlignment w:val="auto"/>
        <w:rPr>
          <w:sz w:val="24"/>
          <w:szCs w:val="24"/>
        </w:rPr>
      </w:pPr>
      <w:r w:rsidRPr="00EC2EDC">
        <w:rPr>
          <w:sz w:val="24"/>
          <w:szCs w:val="24"/>
        </w:rPr>
        <w:t>It is not just the police who are responsible for safeguarding vulnerable victims, partner agencies such as social services have a responsibility also. To safeguard the victim of the incident I attended, I completed a PPN report where I recorded the safeguarding concerns, I have for the victim so that I could share them with partner agencies such as adult social services to inform a multi-agency response. (HMICFRS, 2023). The victim was already supported by social services, so it was imperative that I made them aware that there had been further incidents between the victim and his neighbours so that they could support him further, like with housing. HMIC (2015) highlight that an effective response to vulnerable victims involves statutory and voluntary sectors working together to carryout joint risk assessments and safety planning to address the needs of vulnerable victims.</w:t>
      </w:r>
      <w:r w:rsidR="00B80DDE">
        <w:rPr>
          <w:sz w:val="24"/>
          <w:szCs w:val="24"/>
        </w:rPr>
        <w:t xml:space="preserve"> </w:t>
      </w:r>
      <w:r w:rsidRPr="00EC2EDC">
        <w:rPr>
          <w:sz w:val="24"/>
          <w:szCs w:val="24"/>
        </w:rPr>
        <w:t>A criticism of partnership working especially with agencies like social services are highlighted by Ford et al (2017) and include the contrasting risk thresholds and a limited knowledge of partner agency processes and protocols as police officers may not agree with the response made by partner agencies.</w:t>
      </w:r>
    </w:p>
    <w:p w14:paraId="76E144FD" w14:textId="77777777" w:rsidR="00EC2EDC" w:rsidRPr="00EC2EDC" w:rsidRDefault="00EC2EDC" w:rsidP="00EC2EDC">
      <w:pPr>
        <w:overflowPunct/>
        <w:autoSpaceDE/>
        <w:autoSpaceDN/>
        <w:adjustRightInd/>
        <w:textAlignment w:val="auto"/>
        <w:rPr>
          <w:sz w:val="24"/>
          <w:szCs w:val="24"/>
        </w:rPr>
      </w:pPr>
    </w:p>
    <w:p w14:paraId="79463DFC" w14:textId="4E8D9861" w:rsidR="00EC2EDC" w:rsidRPr="00EC2EDC" w:rsidRDefault="00EC2EDC" w:rsidP="00EC2EDC">
      <w:pPr>
        <w:overflowPunct/>
        <w:autoSpaceDE/>
        <w:autoSpaceDN/>
        <w:adjustRightInd/>
        <w:textAlignment w:val="auto"/>
        <w:rPr>
          <w:sz w:val="24"/>
          <w:szCs w:val="24"/>
        </w:rPr>
      </w:pPr>
      <w:r w:rsidRPr="00EC2EDC">
        <w:rPr>
          <w:sz w:val="24"/>
          <w:szCs w:val="24"/>
        </w:rPr>
        <w:t>EBP was considered to explore what works in relation to tackling repeat victimisation and repeat offending. EBP as described by Sherman (2013) is a way of making decisions about what works in policing and which practices and strategies achieve police objectives in the most cost-effective way. According to the Ministry of Justice and his Majesty’s Prison and Probation Service (2022) what works best when tackling repeat offenders are offending behaviour programmes and interventions the content of which matches a person’s risk of re-offending and cover the areas a person needs to address to stop further behaviour. Cognitive behavioural techniques (CBT) are used with the aim to change the behaviour, attitude and thinking of re-offenders. A meta-analytic study conducted By the COP (2018) showed a 25% reduction in re-offending where participants received CBT.</w:t>
      </w:r>
      <w:r w:rsidR="00B80DDE">
        <w:rPr>
          <w:sz w:val="24"/>
          <w:szCs w:val="24"/>
        </w:rPr>
        <w:t xml:space="preserve"> </w:t>
      </w:r>
      <w:r w:rsidRPr="00EC2EDC">
        <w:rPr>
          <w:sz w:val="24"/>
          <w:szCs w:val="24"/>
        </w:rPr>
        <w:t xml:space="preserve">There are conflicting opinions on how repeat victimisation can be prevented. Johnson (2013) states that the most effective approach in preventing a person becoming a repeat victim is by thorough implementing crime prevention measures that are tailored to the situation. In contrast to this the Australian Institute of Criminology (2003) state that preventative action needs to be implemented quickly to be effective regardless of whether it is temporary measure, as most repeat victims will be targeted soon after the first crime. </w:t>
      </w:r>
    </w:p>
    <w:p w14:paraId="16C4D3E0" w14:textId="77777777" w:rsidR="00EC2EDC" w:rsidRPr="00EC2EDC" w:rsidRDefault="00EC2EDC" w:rsidP="00EC2EDC">
      <w:pPr>
        <w:overflowPunct/>
        <w:autoSpaceDE/>
        <w:autoSpaceDN/>
        <w:adjustRightInd/>
        <w:textAlignment w:val="auto"/>
        <w:rPr>
          <w:sz w:val="24"/>
          <w:szCs w:val="24"/>
        </w:rPr>
      </w:pPr>
    </w:p>
    <w:p w14:paraId="1800FE70" w14:textId="77777777" w:rsidR="00EC2EDC" w:rsidRPr="00EC2EDC" w:rsidRDefault="00EC2EDC" w:rsidP="00EC2EDC">
      <w:pPr>
        <w:overflowPunct/>
        <w:autoSpaceDE/>
        <w:autoSpaceDN/>
        <w:adjustRightInd/>
        <w:textAlignment w:val="auto"/>
        <w:rPr>
          <w:sz w:val="24"/>
          <w:szCs w:val="24"/>
        </w:rPr>
      </w:pPr>
      <w:r w:rsidRPr="00EC2EDC">
        <w:rPr>
          <w:sz w:val="24"/>
          <w:szCs w:val="24"/>
        </w:rPr>
        <w:t xml:space="preserve">In line with Borton’s model I will use the now what section to create an action plan for future incidents. On this occasion there is nothing that I would change regarding the police approach in supporting vulnerable victims, however there are elements of the approach that I will ensure I keep using. I will continue to check the THRIVE assessment completed by the FCR so that I am aware of any victim vulnerabilities prior to arrival. I will ensure that I continue to complete PPNs in relation to any concerns I have regarding the victim’s safety so that I can share these concerns with partner agencies, on this occasion I was able to share the PPN with adult social services who liaised with the local council which helped the victim to move home.  </w:t>
      </w:r>
    </w:p>
    <w:p w14:paraId="792DBBCB" w14:textId="77777777" w:rsidR="00EC2EDC" w:rsidRPr="00EC2EDC" w:rsidRDefault="00EC2EDC" w:rsidP="00EC2EDC">
      <w:pPr>
        <w:overflowPunct/>
        <w:autoSpaceDE/>
        <w:autoSpaceDN/>
        <w:adjustRightInd/>
        <w:textAlignment w:val="auto"/>
        <w:rPr>
          <w:sz w:val="24"/>
          <w:szCs w:val="24"/>
        </w:rPr>
      </w:pPr>
    </w:p>
    <w:p w14:paraId="550FD938" w14:textId="4B1E4773" w:rsidR="00EC2EDC" w:rsidRPr="00EC2EDC" w:rsidRDefault="00EC2EDC" w:rsidP="00EC2EDC">
      <w:pPr>
        <w:overflowPunct/>
        <w:autoSpaceDE/>
        <w:autoSpaceDN/>
        <w:adjustRightInd/>
        <w:textAlignment w:val="auto"/>
        <w:rPr>
          <w:sz w:val="24"/>
          <w:szCs w:val="24"/>
        </w:rPr>
      </w:pPr>
      <w:r w:rsidRPr="00EC2EDC">
        <w:rPr>
          <w:sz w:val="24"/>
          <w:szCs w:val="24"/>
        </w:rPr>
        <w:t>To conclude I have used Borton’s reflective model to reflect on an incident which I attended that involved a vulnerable repeat victim of a hate crime. The appropriateness of the police and other professionals’ approach in supporting and managing vulnerable people was critically evaluated. On this occasion the approach of the police and other professionals was appropriate as following the incident the victim was provided with a positive outcome by moving from the area to prevent future incidents. The police approach at this incident included: obtaining a first account using a WIB and assessing the victims needs should his case go to court, completing THRIVE and hate crime risk assessments, and sharing my concerns with partner agency adult social services. There are criticisms of the police approach in supporting and managing vulnerable people and these have been documented in this essay. There are also criticisms of partner agency approaches to supporting and managing vulnerable people, namely the barriers between them and the police.</w:t>
      </w:r>
    </w:p>
    <w:p w14:paraId="5C0D150E" w14:textId="77777777" w:rsidR="00EC2EDC" w:rsidRPr="00EC2EDC" w:rsidRDefault="00EC2EDC" w:rsidP="00EC2EDC">
      <w:pPr>
        <w:overflowPunct/>
        <w:autoSpaceDE/>
        <w:autoSpaceDN/>
        <w:adjustRightInd/>
        <w:textAlignment w:val="auto"/>
        <w:rPr>
          <w:sz w:val="24"/>
          <w:szCs w:val="24"/>
        </w:rPr>
      </w:pPr>
      <w:r w:rsidRPr="00EC2EDC">
        <w:rPr>
          <w:sz w:val="24"/>
          <w:szCs w:val="24"/>
        </w:rPr>
        <w:t>I have also considered EBP and explored what works in tackling repeat victimisation and repeat offending. It is evidenced that repeat victimisation can be tackled through quickly implementing tailored crime prevention measures and repeat offending can be reduced through offender behaviour programmes and interventions.</w:t>
      </w:r>
    </w:p>
    <w:p w14:paraId="7CEDA082" w14:textId="77777777" w:rsidR="00EC2EDC" w:rsidRPr="00EC2EDC" w:rsidRDefault="00EC2EDC" w:rsidP="00EC2EDC">
      <w:pPr>
        <w:overflowPunct/>
        <w:autoSpaceDE/>
        <w:autoSpaceDN/>
        <w:adjustRightInd/>
        <w:textAlignment w:val="auto"/>
        <w:rPr>
          <w:sz w:val="24"/>
          <w:szCs w:val="24"/>
        </w:rPr>
      </w:pPr>
    </w:p>
    <w:p w14:paraId="68317E39" w14:textId="4333A70B" w:rsidR="00E676F7" w:rsidRPr="00E676F7" w:rsidRDefault="00EC2EDC" w:rsidP="00EC2EDC">
      <w:pPr>
        <w:overflowPunct/>
        <w:autoSpaceDE/>
        <w:autoSpaceDN/>
        <w:adjustRightInd/>
        <w:textAlignment w:val="auto"/>
        <w:rPr>
          <w:b/>
          <w:bCs/>
          <w:sz w:val="24"/>
          <w:szCs w:val="24"/>
        </w:rPr>
      </w:pPr>
      <w:r w:rsidRPr="00EC2EDC">
        <w:rPr>
          <w:sz w:val="24"/>
          <w:szCs w:val="24"/>
        </w:rPr>
        <w:t>Word Count 2200</w:t>
      </w:r>
      <w:r w:rsidR="00E676F7"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Default="005C76DE" w:rsidP="005C76DE">
      <w:pPr>
        <w:ind w:right="237"/>
        <w:jc w:val="both"/>
        <w:rPr>
          <w:sz w:val="24"/>
          <w:szCs w:val="24"/>
        </w:rPr>
      </w:pPr>
    </w:p>
    <w:p w14:paraId="218DD995" w14:textId="77777777" w:rsidR="00922E61" w:rsidRPr="00922E61" w:rsidRDefault="00922E61" w:rsidP="00922E61">
      <w:pPr>
        <w:ind w:right="237"/>
        <w:jc w:val="both"/>
        <w:rPr>
          <w:sz w:val="24"/>
          <w:szCs w:val="24"/>
        </w:rPr>
      </w:pPr>
      <w:r w:rsidRPr="00922E61">
        <w:rPr>
          <w:sz w:val="24"/>
          <w:szCs w:val="24"/>
        </w:rPr>
        <w:t xml:space="preserve">In the year ending March 2023 the office for national statistics (ONS) estimated that 2.1 million people aged 16 years and over had experienced domestic abuse. 1.4 million of which was experienced by females and 751,000 experienced by males. </w:t>
      </w:r>
    </w:p>
    <w:p w14:paraId="300708D0" w14:textId="77AA1733" w:rsidR="00922E61" w:rsidRPr="00922E61" w:rsidRDefault="00922E61" w:rsidP="00922E61">
      <w:pPr>
        <w:ind w:right="237"/>
        <w:jc w:val="both"/>
        <w:rPr>
          <w:sz w:val="24"/>
          <w:szCs w:val="24"/>
        </w:rPr>
      </w:pPr>
      <w:r w:rsidRPr="00922E61">
        <w:rPr>
          <w:sz w:val="24"/>
          <w:szCs w:val="24"/>
        </w:rPr>
        <w:t>Domestic Abuse (DA) is any kind of abuse which includes physical, financial, and psychological or any behaviour that is violent, threatening, controlling or coercive that is from one person to another when both people are aged over 16 and are connected by means of a partnership which includes ex-partners and those who share parental responsibility or close biological family members, (national archives, 2021).</w:t>
      </w:r>
      <w:r w:rsidR="00B80DDE">
        <w:rPr>
          <w:sz w:val="24"/>
          <w:szCs w:val="24"/>
        </w:rPr>
        <w:t xml:space="preserve"> </w:t>
      </w:r>
      <w:r w:rsidRPr="00922E61">
        <w:rPr>
          <w:sz w:val="24"/>
          <w:szCs w:val="24"/>
        </w:rPr>
        <w:t>DA is prevalent with Gwent Police and during my first year on division this is the most common call type which I attend. Furthermore, the frequency of DA within the Gwent area is highlighted by the forces policing policies as set out by the Police and Crime Commissioner in his crime Plan in 2021. One of the five policies within the plan is to combat serious crime a crucial element of this is to enhance the overall criminal justice response to DA.</w:t>
      </w:r>
      <w:r w:rsidR="00B80DDE">
        <w:rPr>
          <w:sz w:val="24"/>
          <w:szCs w:val="24"/>
        </w:rPr>
        <w:t xml:space="preserve"> </w:t>
      </w:r>
      <w:r w:rsidRPr="00922E61">
        <w:rPr>
          <w:sz w:val="24"/>
          <w:szCs w:val="24"/>
        </w:rPr>
        <w:t>The DA incidents I have attended range from verbal arguments to assaults and criminal damage, and each has posed its own level of threat and brought its own challenges. Throughout this essay I will be using Gibbs (1988) reflective model to reflect on the challenges I faced when attending a DA incident and critically assess the strategies I have developed to police effectively when faced with these challenges.</w:t>
      </w:r>
    </w:p>
    <w:p w14:paraId="18E9EE01" w14:textId="77777777" w:rsidR="00922E61" w:rsidRPr="00922E61" w:rsidRDefault="00922E61" w:rsidP="00922E61">
      <w:pPr>
        <w:ind w:right="237"/>
        <w:jc w:val="both"/>
        <w:rPr>
          <w:sz w:val="24"/>
          <w:szCs w:val="24"/>
        </w:rPr>
      </w:pPr>
    </w:p>
    <w:p w14:paraId="615C590E" w14:textId="77777777" w:rsidR="00922E61" w:rsidRPr="00922E61" w:rsidRDefault="00922E61" w:rsidP="00922E61">
      <w:pPr>
        <w:ind w:right="237"/>
        <w:jc w:val="both"/>
        <w:rPr>
          <w:sz w:val="24"/>
          <w:szCs w:val="24"/>
        </w:rPr>
      </w:pPr>
    </w:p>
    <w:p w14:paraId="3399B525" w14:textId="54349582" w:rsidR="00C71B79" w:rsidRDefault="00922E61" w:rsidP="00922E61">
      <w:pPr>
        <w:ind w:right="237"/>
        <w:jc w:val="both"/>
        <w:rPr>
          <w:sz w:val="24"/>
          <w:szCs w:val="24"/>
        </w:rPr>
      </w:pPr>
      <w:r w:rsidRPr="00922E61">
        <w:rPr>
          <w:sz w:val="24"/>
          <w:szCs w:val="24"/>
        </w:rPr>
        <w:t>The first element of the Gibbs model is description here I will describe the incident that I attended. The incident was an emergency call placed by a male reporting that his female partner had assaulted him.</w:t>
      </w:r>
      <w:r w:rsidR="00B80DDE">
        <w:rPr>
          <w:sz w:val="24"/>
          <w:szCs w:val="24"/>
        </w:rPr>
        <w:t xml:space="preserve"> </w:t>
      </w:r>
      <w:r w:rsidRPr="00922E61">
        <w:rPr>
          <w:sz w:val="24"/>
          <w:szCs w:val="24"/>
        </w:rPr>
        <w:t>On attendance at the address there was a female stood out in the front garden she looked frightened and visibly distressed; I approached her to check if she was ok while my colleague went inside to speak with the male.So not to leave my colleague on her own inside the property with the male I suggested to the female that we go inside the house into a different room so she could explain what had happened. She stated that her partner had come home drunk they started arguing then he proceeded to damage her picture frame and assault her by grabbing her by the wrist causing a cut and bruising on her hands. She also said her partner had also kicked her behind the knee causing her to fall to the floor, after which he rung the police to say that she had assaulted him.</w:t>
      </w:r>
      <w:r w:rsidR="00B80DDE">
        <w:rPr>
          <w:sz w:val="24"/>
          <w:szCs w:val="24"/>
        </w:rPr>
        <w:t xml:space="preserve"> </w:t>
      </w:r>
      <w:r w:rsidRPr="00922E61">
        <w:rPr>
          <w:sz w:val="24"/>
          <w:szCs w:val="24"/>
        </w:rPr>
        <w:t>On hearing the females account, I went outside to speak with my colleague to collaborate on the accounts we had been provided. It became clear to me that the female was the victim rather than the male. Both accounts were conflicting, however I decided that all the evidence suggested that the male was in fact the aggressor, so I took positive action and arrested him.The male was arrested for common assault contrary to section 39 of the criminal Justice Act 1988 and criminal damage contrary to section 1(1) of the Criminal Damage Act 1971. (The national Archives, 2018, 1991)The female did not support police action, so I had to ensure that I gathered enough evidence to be able to pursue an evidence led prosecution (ELP). An ELP is a case based on the evidence gathered without the support of the victim (College of Policing, 2023).</w:t>
      </w:r>
    </w:p>
    <w:p w14:paraId="2060D751" w14:textId="6238AEE0" w:rsidR="00922E61" w:rsidRPr="00922E61" w:rsidRDefault="00922E61" w:rsidP="00922E61">
      <w:pPr>
        <w:ind w:right="237"/>
        <w:jc w:val="both"/>
        <w:rPr>
          <w:sz w:val="24"/>
          <w:szCs w:val="24"/>
        </w:rPr>
      </w:pPr>
      <w:r w:rsidRPr="00922E61">
        <w:rPr>
          <w:sz w:val="24"/>
          <w:szCs w:val="24"/>
        </w:rPr>
        <w:t xml:space="preserve"> </w:t>
      </w:r>
    </w:p>
    <w:p w14:paraId="3E310888" w14:textId="77777777" w:rsidR="00922E61" w:rsidRPr="00922E61" w:rsidRDefault="00922E61" w:rsidP="00922E61">
      <w:pPr>
        <w:ind w:right="237"/>
        <w:jc w:val="both"/>
        <w:rPr>
          <w:sz w:val="24"/>
          <w:szCs w:val="24"/>
        </w:rPr>
      </w:pPr>
      <w:r w:rsidRPr="00922E61">
        <w:rPr>
          <w:sz w:val="24"/>
          <w:szCs w:val="24"/>
        </w:rPr>
        <w:t>The next part of the Gibbs model is feelings, here I will describe how I felt before, during and after the incident I attended.</w:t>
      </w:r>
    </w:p>
    <w:p w14:paraId="7A211588" w14:textId="77777777" w:rsidR="00922E61" w:rsidRPr="00922E61" w:rsidRDefault="00922E61" w:rsidP="00922E61">
      <w:pPr>
        <w:ind w:right="237"/>
        <w:jc w:val="both"/>
        <w:rPr>
          <w:sz w:val="24"/>
          <w:szCs w:val="24"/>
        </w:rPr>
      </w:pPr>
      <w:r w:rsidRPr="00922E61">
        <w:rPr>
          <w:sz w:val="24"/>
          <w:szCs w:val="24"/>
        </w:rPr>
        <w:lastRenderedPageBreak/>
        <w:t xml:space="preserve">On route to the incident, I felt that it was unusual for a male victim to report a domestic abuse incident and wondered if he was the true victim. This is reinforced by Hines et al (2020) who identified a stereotype that males are not capable of being victims of DA because they are seen as being strong providers. </w:t>
      </w:r>
    </w:p>
    <w:p w14:paraId="6243F139" w14:textId="77777777" w:rsidR="00922E61" w:rsidRPr="00922E61" w:rsidRDefault="00922E61" w:rsidP="00922E61">
      <w:pPr>
        <w:ind w:right="237"/>
        <w:jc w:val="both"/>
        <w:rPr>
          <w:sz w:val="24"/>
          <w:szCs w:val="24"/>
        </w:rPr>
      </w:pPr>
      <w:r w:rsidRPr="00922E61">
        <w:rPr>
          <w:sz w:val="24"/>
          <w:szCs w:val="24"/>
        </w:rPr>
        <w:t>During the incident I felt under pressure to take positive action especially when both parties involved gave conflicting accounts of what had happened. I also felt frustrated by the victim when she decided that she did not support police action.</w:t>
      </w:r>
    </w:p>
    <w:p w14:paraId="638A0A6C" w14:textId="77777777" w:rsidR="00922E61" w:rsidRPr="00922E61" w:rsidRDefault="00922E61" w:rsidP="00922E61">
      <w:pPr>
        <w:ind w:right="237"/>
        <w:jc w:val="both"/>
        <w:rPr>
          <w:sz w:val="24"/>
          <w:szCs w:val="24"/>
        </w:rPr>
      </w:pPr>
      <w:r w:rsidRPr="00922E61">
        <w:rPr>
          <w:sz w:val="24"/>
          <w:szCs w:val="24"/>
        </w:rPr>
        <w:t xml:space="preserve">After the incident I had a feeling of job satisfaction because I knew the victim would feel safe for the night because of the positive action that I had taken. </w:t>
      </w:r>
    </w:p>
    <w:p w14:paraId="41BEAE98" w14:textId="77777777" w:rsidR="00922E61" w:rsidRPr="00922E61" w:rsidRDefault="00922E61" w:rsidP="00922E61">
      <w:pPr>
        <w:ind w:right="237"/>
        <w:jc w:val="both"/>
        <w:rPr>
          <w:sz w:val="24"/>
          <w:szCs w:val="24"/>
        </w:rPr>
      </w:pPr>
    </w:p>
    <w:p w14:paraId="6F3A28A0" w14:textId="6991E74F" w:rsidR="00922E61" w:rsidRPr="00922E61" w:rsidRDefault="00922E61" w:rsidP="00922E61">
      <w:pPr>
        <w:ind w:right="237"/>
        <w:jc w:val="both"/>
        <w:rPr>
          <w:sz w:val="24"/>
          <w:szCs w:val="24"/>
        </w:rPr>
      </w:pPr>
      <w:r w:rsidRPr="00922E61">
        <w:rPr>
          <w:sz w:val="24"/>
          <w:szCs w:val="24"/>
        </w:rPr>
        <w:t>The third part of the Gibbs model is the evaluation stage, here I will evaluate the incident I attended and discuss what worked well and what didn’t work during the incident.</w:t>
      </w:r>
      <w:r w:rsidR="00B80DDE">
        <w:rPr>
          <w:sz w:val="24"/>
          <w:szCs w:val="24"/>
        </w:rPr>
        <w:t xml:space="preserve"> </w:t>
      </w:r>
      <w:r w:rsidRPr="00922E61">
        <w:rPr>
          <w:sz w:val="24"/>
          <w:szCs w:val="24"/>
        </w:rPr>
        <w:t>What worked well was that I was able to police effectively when faced with the challenges the incident posed by developing various police strategies.The incident threw up various challenges firstly, on arrival both the male and female involved gave conflicting accounts, accusing the other of DA. However, I was able to police this effectively by developing the National Decision Model (NDM) to make an informed decision about who was indeed the victim. The NDM as described by the college of policing (2013) is a cyclical framework that police officers’ reference to help them make informed logical decisions at or during incidents. It is comprised of 6 elements, during this incident I was able to use all elements of the NDM to make an informed decision when identifying the victim</w:t>
      </w:r>
      <w:r w:rsidR="00B80DDE">
        <w:rPr>
          <w:sz w:val="24"/>
          <w:szCs w:val="24"/>
        </w:rPr>
        <w:t xml:space="preserve">. </w:t>
      </w:r>
      <w:r w:rsidRPr="00922E61">
        <w:rPr>
          <w:sz w:val="24"/>
          <w:szCs w:val="24"/>
        </w:rPr>
        <w:t xml:space="preserve">Another area that I found challenging was the victims lack of support of police action, I know there are many reasons why women do not support police action in these situations, on this occasion the female was worried that she would become homeless if she supported police action. However, I was able to police this effectively by taking positive action, arresting the male and gathering enough evidence so that an ELP could commence. </w:t>
      </w:r>
    </w:p>
    <w:p w14:paraId="4A233F06" w14:textId="4A7C8D2C" w:rsidR="00922E61" w:rsidRPr="00922E61" w:rsidRDefault="00922E61" w:rsidP="00922E61">
      <w:pPr>
        <w:ind w:right="237"/>
        <w:jc w:val="both"/>
        <w:rPr>
          <w:sz w:val="24"/>
          <w:szCs w:val="24"/>
        </w:rPr>
      </w:pPr>
      <w:r w:rsidRPr="00922E61">
        <w:rPr>
          <w:sz w:val="24"/>
          <w:szCs w:val="24"/>
        </w:rPr>
        <w:t>It is Gwent police policy to ensure that officers take positive action when responding to DA incidents and gather as much evidence as possible so if the victim does not support police action, then officers can complete an ELP.</w:t>
      </w:r>
      <w:r w:rsidR="00B80DDE">
        <w:rPr>
          <w:sz w:val="24"/>
          <w:szCs w:val="24"/>
        </w:rPr>
        <w:t xml:space="preserve"> </w:t>
      </w:r>
      <w:r w:rsidRPr="00922E61">
        <w:rPr>
          <w:sz w:val="24"/>
          <w:szCs w:val="24"/>
        </w:rPr>
        <w:t>Positive Action when attending DA incidents is reinforced by the college of policing (2018) who describe positive action as an officer’s duty, and state that if the necessity exists to make an arrest, then an arrest should be made.</w:t>
      </w:r>
      <w:r w:rsidR="00B80DDE">
        <w:rPr>
          <w:sz w:val="24"/>
          <w:szCs w:val="24"/>
        </w:rPr>
        <w:t xml:space="preserve"> </w:t>
      </w:r>
      <w:r w:rsidRPr="00922E61">
        <w:rPr>
          <w:sz w:val="24"/>
          <w:szCs w:val="24"/>
        </w:rPr>
        <w:t>H</w:t>
      </w:r>
      <w:r w:rsidR="00B80DDE">
        <w:rPr>
          <w:sz w:val="24"/>
          <w:szCs w:val="24"/>
        </w:rPr>
        <w:t>is</w:t>
      </w:r>
      <w:r w:rsidRPr="00922E61">
        <w:rPr>
          <w:sz w:val="24"/>
          <w:szCs w:val="24"/>
        </w:rPr>
        <w:t xml:space="preserve"> Majesty’s Inspectorate of Constabulary and Fire and Rescue Service (HMICFRS) 2020 advise that when dealing with DA police should consider whether is it possible to pursue an ELP, which they describe as a prosecution without the victim’s support which relies on other evidence that is readily available.</w:t>
      </w:r>
      <w:r w:rsidR="00B80DDE">
        <w:rPr>
          <w:sz w:val="24"/>
          <w:szCs w:val="24"/>
        </w:rPr>
        <w:t xml:space="preserve"> </w:t>
      </w:r>
      <w:r w:rsidRPr="00922E61">
        <w:rPr>
          <w:sz w:val="24"/>
          <w:szCs w:val="24"/>
        </w:rPr>
        <w:t xml:space="preserve">What did not work so well was that being outside for a short period with the victim and being in a separate room to my colleague meant that I was unable to see my colleague when she was taking an account from what turned out to be the perpetrator. There was also a short period when my colleague and I stepped outside so that we could discuss the accounts given to us by the victim and subject and the next steps to take, during this period the situation could have escalated.  </w:t>
      </w:r>
    </w:p>
    <w:p w14:paraId="453592AF" w14:textId="77777777" w:rsidR="00922E61" w:rsidRPr="00922E61" w:rsidRDefault="00922E61" w:rsidP="00922E61">
      <w:pPr>
        <w:ind w:right="237"/>
        <w:jc w:val="both"/>
        <w:rPr>
          <w:sz w:val="24"/>
          <w:szCs w:val="24"/>
        </w:rPr>
      </w:pPr>
    </w:p>
    <w:p w14:paraId="334924AF" w14:textId="77777777" w:rsidR="00922E61" w:rsidRPr="00922E61" w:rsidRDefault="00922E61" w:rsidP="00922E61">
      <w:pPr>
        <w:ind w:right="237"/>
        <w:jc w:val="both"/>
        <w:rPr>
          <w:sz w:val="24"/>
          <w:szCs w:val="24"/>
        </w:rPr>
      </w:pPr>
    </w:p>
    <w:p w14:paraId="062BB0A8" w14:textId="0A076DD4" w:rsidR="00922E61" w:rsidRPr="00922E61" w:rsidRDefault="00922E61" w:rsidP="00922E61">
      <w:pPr>
        <w:ind w:right="237"/>
        <w:jc w:val="both"/>
        <w:rPr>
          <w:sz w:val="24"/>
          <w:szCs w:val="24"/>
        </w:rPr>
      </w:pPr>
      <w:r w:rsidRPr="00922E61">
        <w:rPr>
          <w:sz w:val="24"/>
          <w:szCs w:val="24"/>
        </w:rPr>
        <w:t>Having raised the challenges that I faced during the incident and how I developed police strategies to police effectively in the challenging situation, I will now use the analysis stage of the Gibbs Model to make sense of what happened specifically targeting what went well.</w:t>
      </w:r>
      <w:r w:rsidR="00B80DDE">
        <w:rPr>
          <w:sz w:val="24"/>
          <w:szCs w:val="24"/>
        </w:rPr>
        <w:t xml:space="preserve"> </w:t>
      </w:r>
      <w:r w:rsidRPr="00922E61">
        <w:rPr>
          <w:sz w:val="24"/>
          <w:szCs w:val="24"/>
        </w:rPr>
        <w:t xml:space="preserve">To effectively police the conflicting accounts given during the Incident I was able to utilise the NDM when deciding who was the victim and </w:t>
      </w:r>
      <w:r w:rsidRPr="00922E61">
        <w:rPr>
          <w:sz w:val="24"/>
          <w:szCs w:val="24"/>
        </w:rPr>
        <w:lastRenderedPageBreak/>
        <w:t>who was the perpetrator.</w:t>
      </w:r>
      <w:r w:rsidR="00B80DDE">
        <w:rPr>
          <w:sz w:val="24"/>
          <w:szCs w:val="24"/>
        </w:rPr>
        <w:t xml:space="preserve"> </w:t>
      </w:r>
      <w:r w:rsidRPr="00922E61">
        <w:rPr>
          <w:sz w:val="24"/>
          <w:szCs w:val="24"/>
        </w:rPr>
        <w:t>The key element of the NDM in this incident was gathering information and intelligence.</w:t>
      </w:r>
      <w:r w:rsidR="00B80DDE">
        <w:rPr>
          <w:sz w:val="24"/>
          <w:szCs w:val="24"/>
        </w:rPr>
        <w:t xml:space="preserve"> </w:t>
      </w:r>
      <w:r w:rsidRPr="00922E61">
        <w:rPr>
          <w:sz w:val="24"/>
          <w:szCs w:val="24"/>
        </w:rPr>
        <w:t>I gathered the following information: the female appeared to be visibly shaken and upset, she had not been drinking alcohol, she had visible injuries and damaged property. While the male was very intoxicated and defensive, had no injuries and struggled to construct a sentence. All this information suggested that the female was the victim contrary to the initial report.</w:t>
      </w:r>
      <w:r w:rsidR="00B80DDE">
        <w:rPr>
          <w:sz w:val="24"/>
          <w:szCs w:val="24"/>
        </w:rPr>
        <w:t xml:space="preserve"> </w:t>
      </w:r>
      <w:r w:rsidRPr="00922E61">
        <w:rPr>
          <w:sz w:val="24"/>
          <w:szCs w:val="24"/>
        </w:rPr>
        <w:t>This also enabled me to assess the threat to the victim, consider the powers and policies available to me and identify what options were available for me to act and arrest the male for two offences.</w:t>
      </w:r>
      <w:r w:rsidR="00B80DDE">
        <w:rPr>
          <w:sz w:val="24"/>
          <w:szCs w:val="24"/>
        </w:rPr>
        <w:t xml:space="preserve"> </w:t>
      </w:r>
      <w:r w:rsidRPr="00922E61">
        <w:rPr>
          <w:sz w:val="24"/>
          <w:szCs w:val="24"/>
        </w:rPr>
        <w:t>During this incident once both parties had been separated and had calmed down, I was afforded the time to use the NDM, however a criticism of the NDM as identified by the college of policing (2013) is that if this had been a faster moving incident then it may not have been possible to divide my thinking according to every element of the NDM.</w:t>
      </w:r>
      <w:r w:rsidR="00B80DDE">
        <w:rPr>
          <w:sz w:val="24"/>
          <w:szCs w:val="24"/>
        </w:rPr>
        <w:t xml:space="preserve"> </w:t>
      </w:r>
      <w:r w:rsidRPr="00922E61">
        <w:rPr>
          <w:sz w:val="24"/>
          <w:szCs w:val="24"/>
        </w:rPr>
        <w:t>Although the victim did not support police action or provide a statement against her partner, to police this effectively I used positive action to arrest the male and used the golden hour principles to gather enough for an ELP. The College of Policing (2023) describe the golden hour as the period immediately after an incident where evidence should be secured and preserved, anyone involved should be identified and protected if necessary and all actions should be recorded.</w:t>
      </w:r>
      <w:r w:rsidR="00B80DDE">
        <w:rPr>
          <w:sz w:val="24"/>
          <w:szCs w:val="24"/>
        </w:rPr>
        <w:t xml:space="preserve"> </w:t>
      </w:r>
      <w:r w:rsidRPr="00922E61">
        <w:rPr>
          <w:sz w:val="24"/>
          <w:szCs w:val="24"/>
        </w:rPr>
        <w:t xml:space="preserve">Taking Positive action and arresting the male benefitted the victim, allowing her to feel as though she was being taken seriously and giving her the time to feel safe. It also gave me the opportunity to put services in place to support her and impose bail conditions on the male protecting her while the investigation is ongoing. (COP, 2018). However, criticisms of positive action as highlighted by Han (2003) are that mandatory arrest policies remove officers’ discretion and deprive the victim of power, by taking away their choice and enforcing an arrest on the perpetrator against their wishes, simply moving power from one controlling entity being the perpetrator to another being the arresting officer.  </w:t>
      </w:r>
      <w:r w:rsidR="00B80DDE">
        <w:rPr>
          <w:sz w:val="24"/>
          <w:szCs w:val="24"/>
        </w:rPr>
        <w:t>P</w:t>
      </w:r>
      <w:r w:rsidRPr="00922E61">
        <w:rPr>
          <w:sz w:val="24"/>
          <w:szCs w:val="24"/>
        </w:rPr>
        <w:t>ursuing an ELP involves using evidence other than that of the victim and seeking the advice of the crown prosecution service (CPS). The evidence that I gathered was in line with CPS (2022) guidance for ELP and included:</w:t>
      </w:r>
      <w:r w:rsidR="00B80DDE">
        <w:rPr>
          <w:sz w:val="24"/>
          <w:szCs w:val="24"/>
        </w:rPr>
        <w:t xml:space="preserve"> </w:t>
      </w:r>
      <w:r w:rsidRPr="00922E61">
        <w:rPr>
          <w:sz w:val="24"/>
          <w:szCs w:val="24"/>
        </w:rPr>
        <w:t>Activating my body worn video on arrival which captured the female’s demeanour, showing she was visibly upset and very shaken. It also captured her injuries and first account where she disclosed to me what had happened. I also provided a disclosure statement documenting this. Photographs of the victims’ injuries and damaged property. House to house enquiries identified an independent witness, during the incident the female went out into the back garden to get away from her partner while out there after hearing all the shouting the neighbour came out and the female disclosed what had happened.</w:t>
      </w:r>
      <w:r w:rsidR="00B80DDE">
        <w:rPr>
          <w:sz w:val="24"/>
          <w:szCs w:val="24"/>
        </w:rPr>
        <w:t xml:space="preserve"> </w:t>
      </w:r>
      <w:r w:rsidRPr="00922E61">
        <w:rPr>
          <w:sz w:val="24"/>
          <w:szCs w:val="24"/>
        </w:rPr>
        <w:t xml:space="preserve">Criticisms of ELPs as identified by Mills (1999) are that a blanket arrest and ELP approach to DA intervention inadvertently mirrors the controlling behaviour of the perpetrator by going against the victims wishes and removing their control over the situation. The CPS 2022 also state that when an ELP is sought it should not be at a detriment to the safety of the victim. Furthermore, it denies the victim the crucial opportunity to work with police and prosecutors to help ensure their future safety (Mills 1999).   </w:t>
      </w:r>
    </w:p>
    <w:p w14:paraId="5524C844" w14:textId="77777777" w:rsidR="00922E61" w:rsidRPr="00922E61" w:rsidRDefault="00922E61" w:rsidP="00922E61">
      <w:pPr>
        <w:ind w:right="237"/>
        <w:jc w:val="both"/>
        <w:rPr>
          <w:sz w:val="24"/>
          <w:szCs w:val="24"/>
        </w:rPr>
      </w:pPr>
    </w:p>
    <w:p w14:paraId="1668BCF9" w14:textId="34D9081B" w:rsidR="00922E61" w:rsidRPr="00922E61" w:rsidRDefault="00922E61" w:rsidP="00922E61">
      <w:pPr>
        <w:ind w:right="237"/>
        <w:jc w:val="both"/>
        <w:rPr>
          <w:sz w:val="24"/>
          <w:szCs w:val="24"/>
        </w:rPr>
      </w:pPr>
      <w:r w:rsidRPr="00922E61">
        <w:rPr>
          <w:sz w:val="24"/>
          <w:szCs w:val="24"/>
        </w:rPr>
        <w:t xml:space="preserve">On reflection I feel as though I gained a lot of knowledge and confidence from attending this incident and overcoming the challenges I faced, I was fortunate enough to attend the incident with a colleague of vast experience and I can use the response given as a marker and a template for how to deal with any future domestic abuse incidents that I attend. I learnt to not only rely on the initial information and </w:t>
      </w:r>
      <w:r w:rsidRPr="00922E61">
        <w:rPr>
          <w:sz w:val="24"/>
          <w:szCs w:val="24"/>
        </w:rPr>
        <w:lastRenderedPageBreak/>
        <w:t xml:space="preserve">make assumptions but gather information and evidence when at an incident to come to an informed decision, as well as to take my time where possible to utilise the NDM in high pressure situation. </w:t>
      </w:r>
    </w:p>
    <w:p w14:paraId="4B2667E9" w14:textId="77777777" w:rsidR="00922E61" w:rsidRPr="00922E61" w:rsidRDefault="00922E61" w:rsidP="00922E61">
      <w:pPr>
        <w:ind w:right="237"/>
        <w:jc w:val="both"/>
        <w:rPr>
          <w:sz w:val="24"/>
          <w:szCs w:val="24"/>
        </w:rPr>
      </w:pPr>
    </w:p>
    <w:p w14:paraId="71C0C427" w14:textId="3DBE7AAC" w:rsidR="00922E61" w:rsidRPr="00922E61" w:rsidRDefault="00922E61" w:rsidP="00922E61">
      <w:pPr>
        <w:ind w:right="237"/>
        <w:jc w:val="both"/>
        <w:rPr>
          <w:sz w:val="24"/>
          <w:szCs w:val="24"/>
        </w:rPr>
      </w:pPr>
      <w:r w:rsidRPr="00922E61">
        <w:rPr>
          <w:sz w:val="24"/>
          <w:szCs w:val="24"/>
        </w:rPr>
        <w:t xml:space="preserve">The last stage of the Gibbs model is the action plan, this is where I will plan for what I will do differently when attending future DA incidents. Going forward I will use this response to a DA incident as a template for how I should deal with future DA incidents that I attend. When attending future DA incidents, I will ensure that I always consider the safety of the victim and my colleague and ensure that there are no opportunities where the safety of the victim or my colleague can be compromised. </w:t>
      </w:r>
    </w:p>
    <w:p w14:paraId="0B31EFE7" w14:textId="77777777" w:rsidR="00922E61" w:rsidRPr="00922E61" w:rsidRDefault="00922E61" w:rsidP="00922E61">
      <w:pPr>
        <w:ind w:right="237"/>
        <w:jc w:val="both"/>
        <w:rPr>
          <w:sz w:val="24"/>
          <w:szCs w:val="24"/>
        </w:rPr>
      </w:pPr>
    </w:p>
    <w:p w14:paraId="571E0E4B" w14:textId="7B0AA3BE" w:rsidR="00922E61" w:rsidRPr="00922E61" w:rsidRDefault="00922E61" w:rsidP="00922E61">
      <w:pPr>
        <w:ind w:right="237"/>
        <w:jc w:val="both"/>
        <w:rPr>
          <w:sz w:val="24"/>
          <w:szCs w:val="24"/>
        </w:rPr>
      </w:pPr>
      <w:r w:rsidRPr="00922E61">
        <w:rPr>
          <w:sz w:val="24"/>
          <w:szCs w:val="24"/>
        </w:rPr>
        <w:t>In conclusion I have used the Gibbs model to reflect on a domestic incident that I attended; throughout the incident I was faced with various challenges but was able to police the incident effectively by developing various strategies.</w:t>
      </w:r>
      <w:r w:rsidR="00C71B79">
        <w:rPr>
          <w:sz w:val="24"/>
          <w:szCs w:val="24"/>
        </w:rPr>
        <w:t xml:space="preserve"> </w:t>
      </w:r>
      <w:r w:rsidRPr="00922E61">
        <w:rPr>
          <w:sz w:val="24"/>
          <w:szCs w:val="24"/>
        </w:rPr>
        <w:t>The first challenge that I faced was to decide who the victim was both parties involved gave conflicting accounts, to police effectively when faced with this challenge I used the NDM to make an informed decision on who the victim was.</w:t>
      </w:r>
      <w:r w:rsidR="00C71B79">
        <w:rPr>
          <w:sz w:val="24"/>
          <w:szCs w:val="24"/>
        </w:rPr>
        <w:t xml:space="preserve"> </w:t>
      </w:r>
      <w:r w:rsidRPr="00922E61">
        <w:rPr>
          <w:sz w:val="24"/>
          <w:szCs w:val="24"/>
        </w:rPr>
        <w:t>Another challenge that I faced was the victims lack of support of police action, to police effectively when faced with this challenge I was able to take positive action to arrest the perpetrator and while at the scene I was able to gather enough evidence for an ELP to commence. There are however criticisms of the NDM, positive action, and ELP, and these have been documented in the analysis stage of my reflections.</w:t>
      </w:r>
    </w:p>
    <w:p w14:paraId="37174151" w14:textId="77777777" w:rsidR="00922E61" w:rsidRPr="00922E61" w:rsidRDefault="00922E61" w:rsidP="00922E61">
      <w:pPr>
        <w:ind w:right="237"/>
        <w:jc w:val="both"/>
        <w:rPr>
          <w:sz w:val="24"/>
          <w:szCs w:val="24"/>
        </w:rPr>
      </w:pPr>
    </w:p>
    <w:p w14:paraId="68035D74" w14:textId="13734BF8" w:rsidR="00922E61" w:rsidRPr="00922E61" w:rsidRDefault="00922E61" w:rsidP="00922E61">
      <w:pPr>
        <w:ind w:right="237"/>
        <w:jc w:val="both"/>
        <w:rPr>
          <w:sz w:val="24"/>
          <w:szCs w:val="24"/>
        </w:rPr>
      </w:pPr>
      <w:r w:rsidRPr="00922E61">
        <w:rPr>
          <w:sz w:val="24"/>
          <w:szCs w:val="24"/>
        </w:rPr>
        <w:t>Word Count</w:t>
      </w:r>
      <w:r w:rsidR="00EC2EDC">
        <w:rPr>
          <w:sz w:val="24"/>
          <w:szCs w:val="24"/>
        </w:rPr>
        <w:t xml:space="preserve"> </w:t>
      </w:r>
      <w:r w:rsidRPr="00922E61">
        <w:rPr>
          <w:sz w:val="24"/>
          <w:szCs w:val="24"/>
        </w:rPr>
        <w:t>2196</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5D02002" w:rsidR="0FF883D4" w:rsidRDefault="5CE196A1" w:rsidP="5CE196A1">
      <w:r w:rsidRPr="5CE196A1">
        <w:rPr>
          <w:rFonts w:eastAsia="Arial"/>
          <w:b/>
          <w:bCs/>
          <w:color w:val="000000" w:themeColor="text1"/>
          <w:sz w:val="24"/>
          <w:szCs w:val="24"/>
        </w:rPr>
        <w:t xml:space="preserve">Signed: </w:t>
      </w:r>
      <w:r w:rsidR="000D1BD5">
        <w:rPr>
          <w:rFonts w:eastAsia="Arial"/>
          <w:b/>
          <w:bCs/>
          <w:color w:val="000000" w:themeColor="text1"/>
          <w:sz w:val="24"/>
          <w:szCs w:val="24"/>
        </w:rPr>
        <w:t>K. Tuck</w:t>
      </w:r>
    </w:p>
    <w:p w14:paraId="563192E7" w14:textId="7A83C86F" w:rsidR="0FF883D4" w:rsidRDefault="5CE196A1" w:rsidP="5CE196A1">
      <w:r w:rsidRPr="5CE196A1">
        <w:rPr>
          <w:rFonts w:eastAsia="Arial"/>
          <w:b/>
          <w:bCs/>
          <w:color w:val="000000" w:themeColor="text1"/>
          <w:sz w:val="24"/>
          <w:szCs w:val="24"/>
        </w:rPr>
        <w:t xml:space="preserve"> </w:t>
      </w:r>
    </w:p>
    <w:p w14:paraId="22DBB0E5" w14:textId="3FB9A1B2" w:rsidR="0FF883D4" w:rsidRDefault="5CE196A1" w:rsidP="5CE196A1">
      <w:r w:rsidRPr="5CE196A1">
        <w:rPr>
          <w:rFonts w:eastAsia="Arial"/>
          <w:b/>
          <w:bCs/>
          <w:color w:val="000000" w:themeColor="text1"/>
          <w:sz w:val="24"/>
          <w:szCs w:val="24"/>
        </w:rPr>
        <w:t>Date:</w:t>
      </w:r>
      <w:r w:rsidR="000D1BD5">
        <w:rPr>
          <w:rFonts w:eastAsia="Arial"/>
          <w:b/>
          <w:bCs/>
          <w:color w:val="000000" w:themeColor="text1"/>
          <w:sz w:val="24"/>
          <w:szCs w:val="24"/>
        </w:rPr>
        <w:t xml:space="preserve"> 29/04/2024</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55DDCDD" w14:textId="77777777" w:rsidR="00EB0C96" w:rsidRPr="00922E61" w:rsidRDefault="00EB0C96" w:rsidP="00EA28F1">
      <w:pPr>
        <w:keepNext/>
        <w:spacing w:before="240" w:after="60"/>
        <w:ind w:right="237"/>
        <w:jc w:val="both"/>
      </w:pPr>
    </w:p>
    <w:p w14:paraId="41C31EC9" w14:textId="7D03AF52" w:rsidR="00EB0C96" w:rsidRPr="00922E61" w:rsidRDefault="00EB0C96" w:rsidP="00EB0C96">
      <w:pPr>
        <w:pStyle w:val="NoSpacing"/>
        <w:rPr>
          <w:sz w:val="24"/>
          <w:szCs w:val="24"/>
        </w:rPr>
      </w:pPr>
      <w:r w:rsidRPr="00922E61">
        <w:rPr>
          <w:sz w:val="24"/>
          <w:szCs w:val="24"/>
        </w:rPr>
        <w:t xml:space="preserve">Australian Institute of Criminology (2003). Preventing Repeat Victimisation. </w:t>
      </w:r>
      <w:hyperlink r:id="rId16" w:history="1">
        <w:r w:rsidRPr="00922E61">
          <w:rPr>
            <w:rStyle w:val="Hyperlink"/>
            <w:sz w:val="24"/>
            <w:szCs w:val="24"/>
          </w:rPr>
          <w:t>https://www.aic.gov.au/sites/default/files/2020-05/crm012.pdf</w:t>
        </w:r>
      </w:hyperlink>
      <w:r w:rsidRPr="00922E61">
        <w:rPr>
          <w:sz w:val="24"/>
          <w:szCs w:val="24"/>
        </w:rPr>
        <w:t>.(Accessed: 28 April 2024).</w:t>
      </w:r>
    </w:p>
    <w:p w14:paraId="6C798983" w14:textId="199E1CFF" w:rsidR="00EB0C96" w:rsidRPr="00922E61" w:rsidRDefault="00EB0C96" w:rsidP="00EB0C96">
      <w:pPr>
        <w:keepNext/>
        <w:spacing w:before="240" w:after="60"/>
        <w:ind w:right="237"/>
        <w:jc w:val="both"/>
        <w:rPr>
          <w:sz w:val="24"/>
          <w:szCs w:val="24"/>
        </w:rPr>
      </w:pPr>
      <w:r w:rsidRPr="00922E61">
        <w:rPr>
          <w:sz w:val="24"/>
          <w:szCs w:val="24"/>
        </w:rPr>
        <w:t xml:space="preserve">Bridgeman, C., and Hobbs, L. 1997. Preventing Repeat Victimisation: The Police Officers’ Guide. </w:t>
      </w:r>
      <w:hyperlink r:id="rId17" w:history="1">
        <w:r w:rsidRPr="00922E61">
          <w:rPr>
            <w:rStyle w:val="Hyperlink"/>
            <w:sz w:val="24"/>
            <w:szCs w:val="24"/>
          </w:rPr>
          <w:t>https://popcenter.asu.edu/sites/default/files/problems/domestic_violence/PDFs/Bridgeman&amp;Hobbs_1997.pdf</w:t>
        </w:r>
      </w:hyperlink>
      <w:r w:rsidRPr="00922E61">
        <w:rPr>
          <w:sz w:val="24"/>
          <w:szCs w:val="24"/>
        </w:rPr>
        <w:t xml:space="preserve"> (Accessed: 19 April 2024).</w:t>
      </w:r>
    </w:p>
    <w:p w14:paraId="2D2CA4E4" w14:textId="77777777" w:rsidR="00EB0C96" w:rsidRPr="00922E61" w:rsidRDefault="00EB0C96" w:rsidP="00EB0C96">
      <w:pPr>
        <w:pStyle w:val="NoSpacing"/>
        <w:rPr>
          <w:sz w:val="24"/>
          <w:szCs w:val="24"/>
        </w:rPr>
      </w:pPr>
    </w:p>
    <w:p w14:paraId="6A270F5F" w14:textId="538840D9" w:rsidR="00EB0C96" w:rsidRPr="00922E61" w:rsidRDefault="00EB0C96" w:rsidP="00EB0C96">
      <w:pPr>
        <w:pStyle w:val="NoSpacing"/>
        <w:rPr>
          <w:sz w:val="24"/>
          <w:szCs w:val="24"/>
        </w:rPr>
      </w:pPr>
      <w:r w:rsidRPr="00922E61">
        <w:rPr>
          <w:sz w:val="24"/>
          <w:szCs w:val="24"/>
        </w:rPr>
        <w:t xml:space="preserve">Brown. J 2021. Police Powers: An Introduction. </w:t>
      </w:r>
      <w:hyperlink r:id="rId18" w:history="1">
        <w:r w:rsidRPr="00922E61">
          <w:rPr>
            <w:rStyle w:val="Hyperlink"/>
            <w:sz w:val="24"/>
            <w:szCs w:val="24"/>
          </w:rPr>
          <w:t>https://researchbriefings.files.parliament.uk/documents/CBP-8637/CBP-8637.pdf</w:t>
        </w:r>
      </w:hyperlink>
      <w:r w:rsidRPr="00922E61">
        <w:rPr>
          <w:sz w:val="24"/>
          <w:szCs w:val="24"/>
        </w:rPr>
        <w:t xml:space="preserve"> (Accessed: 26 April 2024).</w:t>
      </w:r>
    </w:p>
    <w:p w14:paraId="77859869" w14:textId="77777777" w:rsidR="00EB0C96" w:rsidRPr="00922E61" w:rsidRDefault="00EB0C96" w:rsidP="00EB0C96">
      <w:pPr>
        <w:pStyle w:val="NoSpacing"/>
        <w:rPr>
          <w:sz w:val="24"/>
          <w:szCs w:val="24"/>
        </w:rPr>
      </w:pPr>
    </w:p>
    <w:p w14:paraId="5B34D95F" w14:textId="77777777" w:rsidR="00EB0C96" w:rsidRPr="00922E61" w:rsidRDefault="00EB0C96" w:rsidP="00EB0C96">
      <w:pPr>
        <w:pStyle w:val="NoSpacing"/>
        <w:rPr>
          <w:sz w:val="24"/>
          <w:szCs w:val="24"/>
        </w:rPr>
      </w:pPr>
      <w:r w:rsidRPr="00922E61">
        <w:rPr>
          <w:sz w:val="24"/>
          <w:szCs w:val="24"/>
        </w:rPr>
        <w:t>Bryant, R. Bryant, S., 2019. Blackstone’s Handbook for Policing Students 2020. In: Oxford: Oxford University Press.</w:t>
      </w:r>
    </w:p>
    <w:p w14:paraId="1583FAA4" w14:textId="77777777" w:rsidR="00EB0C96" w:rsidRPr="00922E61" w:rsidRDefault="00EB0C96" w:rsidP="00EB0C96">
      <w:pPr>
        <w:pStyle w:val="NoSpacing"/>
        <w:rPr>
          <w:sz w:val="24"/>
          <w:szCs w:val="24"/>
        </w:rPr>
      </w:pPr>
    </w:p>
    <w:p w14:paraId="033312FD" w14:textId="4D7D0622" w:rsidR="00EB0C96" w:rsidRPr="00922E61" w:rsidRDefault="00EB0C96" w:rsidP="00EB0C96">
      <w:pPr>
        <w:pStyle w:val="NoSpacing"/>
        <w:rPr>
          <w:sz w:val="24"/>
          <w:szCs w:val="24"/>
        </w:rPr>
      </w:pPr>
      <w:r w:rsidRPr="00922E61">
        <w:rPr>
          <w:sz w:val="24"/>
          <w:szCs w:val="24"/>
        </w:rPr>
        <w:t xml:space="preserve">College of Policing, 2018. Arrest and Other Positive Approaches.  </w:t>
      </w:r>
      <w:hyperlink r:id="rId19" w:history="1">
        <w:r w:rsidRPr="00922E61">
          <w:rPr>
            <w:rStyle w:val="Hyperlink"/>
            <w:sz w:val="24"/>
            <w:szCs w:val="24"/>
          </w:rPr>
          <w:t>https://www.college.police.uk/app/major-investigation-and-public-protection/domestic-abuse/arrest-and-other-positive-approaches?highlight=enhanced%20evidence%20gathering</w:t>
        </w:r>
      </w:hyperlink>
      <w:r w:rsidRPr="00922E61">
        <w:rPr>
          <w:sz w:val="24"/>
          <w:szCs w:val="24"/>
        </w:rPr>
        <w:t xml:space="preserve"> (Accessed: 18 March 2024).</w:t>
      </w:r>
    </w:p>
    <w:p w14:paraId="596C2A3B" w14:textId="77777777" w:rsidR="00EB0C96" w:rsidRPr="00922E61" w:rsidRDefault="00EB0C96" w:rsidP="00EB0C96">
      <w:pPr>
        <w:pStyle w:val="NoSpacing"/>
        <w:rPr>
          <w:sz w:val="24"/>
          <w:szCs w:val="24"/>
        </w:rPr>
      </w:pPr>
    </w:p>
    <w:p w14:paraId="259D0DBA" w14:textId="40F56E56" w:rsidR="00EB0C96" w:rsidRPr="00922E61" w:rsidRDefault="00EB0C96" w:rsidP="00EB0C96">
      <w:pPr>
        <w:pStyle w:val="NoSpacing"/>
        <w:rPr>
          <w:sz w:val="24"/>
          <w:szCs w:val="24"/>
        </w:rPr>
      </w:pPr>
      <w:r w:rsidRPr="00922E61">
        <w:rPr>
          <w:sz w:val="24"/>
          <w:szCs w:val="24"/>
        </w:rPr>
        <w:t xml:space="preserve">College of Policing. 2018. Cognitive Behavioural Therapy (CBT). </w:t>
      </w:r>
      <w:hyperlink r:id="rId20" w:history="1">
        <w:r w:rsidRPr="00922E61">
          <w:rPr>
            <w:rStyle w:val="Hyperlink"/>
            <w:sz w:val="24"/>
            <w:szCs w:val="24"/>
          </w:rPr>
          <w:t>https://www.college.police.uk/research/crime-reduction-toolkit/cbt</w:t>
        </w:r>
      </w:hyperlink>
      <w:r w:rsidRPr="00922E61">
        <w:rPr>
          <w:sz w:val="24"/>
          <w:szCs w:val="24"/>
        </w:rPr>
        <w:t xml:space="preserve"> (Accessed: 28 April 2024).</w:t>
      </w:r>
    </w:p>
    <w:p w14:paraId="15245F75" w14:textId="77777777" w:rsidR="00EB0C96" w:rsidRPr="00922E61" w:rsidRDefault="00EB0C96" w:rsidP="00EB0C96">
      <w:pPr>
        <w:pStyle w:val="NoSpacing"/>
        <w:rPr>
          <w:sz w:val="24"/>
          <w:szCs w:val="24"/>
        </w:rPr>
      </w:pPr>
    </w:p>
    <w:p w14:paraId="2F6EB88A" w14:textId="5A1FF930" w:rsidR="00EB0C96" w:rsidRPr="00922E61" w:rsidRDefault="00EB0C96" w:rsidP="00EB0C96">
      <w:pPr>
        <w:pStyle w:val="NoSpacing"/>
        <w:rPr>
          <w:sz w:val="24"/>
          <w:szCs w:val="24"/>
        </w:rPr>
      </w:pPr>
      <w:r w:rsidRPr="00922E61">
        <w:rPr>
          <w:sz w:val="24"/>
          <w:szCs w:val="24"/>
        </w:rPr>
        <w:t>College of Policing, 2013. National Decision Model.</w:t>
      </w:r>
      <w:hyperlink r:id="rId21" w:history="1">
        <w:r w:rsidR="00922E61" w:rsidRPr="00922E61">
          <w:rPr>
            <w:rStyle w:val="Hyperlink"/>
            <w:sz w:val="24"/>
            <w:szCs w:val="24"/>
          </w:rPr>
          <w:t>https://www.college.police.uk/app/national-decision-model/national-decision-model</w:t>
        </w:r>
      </w:hyperlink>
      <w:r w:rsidRPr="00922E61">
        <w:rPr>
          <w:sz w:val="24"/>
          <w:szCs w:val="24"/>
        </w:rPr>
        <w:t xml:space="preserve"> (Accessed: 19 March 2024).</w:t>
      </w:r>
    </w:p>
    <w:p w14:paraId="45AA3FFA" w14:textId="77777777" w:rsidR="00EB0C96" w:rsidRPr="00922E61" w:rsidRDefault="00EB0C96" w:rsidP="00EB0C96">
      <w:pPr>
        <w:pStyle w:val="NoSpacing"/>
        <w:rPr>
          <w:sz w:val="24"/>
          <w:szCs w:val="24"/>
        </w:rPr>
      </w:pPr>
    </w:p>
    <w:p w14:paraId="2F653C5A" w14:textId="1F54B29F" w:rsidR="00EB0C96" w:rsidRPr="00922E61" w:rsidRDefault="00EB0C96" w:rsidP="00EB0C96">
      <w:pPr>
        <w:pStyle w:val="NoSpacing"/>
        <w:rPr>
          <w:sz w:val="24"/>
          <w:szCs w:val="24"/>
        </w:rPr>
      </w:pPr>
      <w:r w:rsidRPr="00922E61">
        <w:rPr>
          <w:sz w:val="24"/>
          <w:szCs w:val="24"/>
        </w:rPr>
        <w:t xml:space="preserve">College of Policing. 2021. Introduction to Vulnerability and Risk. </w:t>
      </w:r>
      <w:hyperlink r:id="rId22" w:anchor="thrive" w:history="1">
        <w:r w:rsidRPr="00922E61">
          <w:rPr>
            <w:rStyle w:val="Hyperlink"/>
            <w:sz w:val="24"/>
            <w:szCs w:val="24"/>
          </w:rPr>
          <w:t>https://www.college.police.uk/guidance/vulnerability-related-risks/introduction-vulnerability-related-risk#thrive</w:t>
        </w:r>
      </w:hyperlink>
      <w:r w:rsidRPr="00922E61">
        <w:rPr>
          <w:sz w:val="24"/>
          <w:szCs w:val="24"/>
        </w:rPr>
        <w:t xml:space="preserve"> (Accessed: 2o April 2024)</w:t>
      </w:r>
    </w:p>
    <w:p w14:paraId="59C91D10" w14:textId="77777777" w:rsidR="00EB0C96" w:rsidRPr="00922E61" w:rsidRDefault="00EB0C96" w:rsidP="00EB0C96">
      <w:pPr>
        <w:pStyle w:val="NoSpacing"/>
        <w:rPr>
          <w:sz w:val="24"/>
          <w:szCs w:val="24"/>
        </w:rPr>
      </w:pPr>
    </w:p>
    <w:p w14:paraId="136CDCE3" w14:textId="7C8AAA57" w:rsidR="00EB0C96" w:rsidRPr="00922E61" w:rsidRDefault="00EB0C96" w:rsidP="00EB0C96">
      <w:pPr>
        <w:pStyle w:val="NoSpacing"/>
        <w:rPr>
          <w:sz w:val="24"/>
          <w:szCs w:val="24"/>
        </w:rPr>
      </w:pPr>
      <w:r w:rsidRPr="00922E61">
        <w:rPr>
          <w:sz w:val="24"/>
          <w:szCs w:val="24"/>
        </w:rPr>
        <w:t xml:space="preserve">College Of Policing, 2023. Investigation Process. </w:t>
      </w:r>
      <w:hyperlink r:id="rId23" w:history="1">
        <w:r w:rsidRPr="00922E61">
          <w:rPr>
            <w:rStyle w:val="Hyperlink"/>
            <w:sz w:val="24"/>
            <w:szCs w:val="24"/>
          </w:rPr>
          <w:t>https://www.college.police.uk/app/investigation/investigation-process</w:t>
        </w:r>
      </w:hyperlink>
      <w:r w:rsidRPr="00922E61">
        <w:rPr>
          <w:sz w:val="24"/>
          <w:szCs w:val="24"/>
        </w:rPr>
        <w:t xml:space="preserve"> (Accessed: 11 April 2024).</w:t>
      </w:r>
    </w:p>
    <w:p w14:paraId="52629D6C" w14:textId="77777777" w:rsidR="00EB0C96" w:rsidRPr="00922E61" w:rsidRDefault="00EB0C96" w:rsidP="00EB0C96">
      <w:pPr>
        <w:pStyle w:val="NoSpacing"/>
        <w:rPr>
          <w:sz w:val="24"/>
          <w:szCs w:val="24"/>
        </w:rPr>
      </w:pPr>
    </w:p>
    <w:p w14:paraId="2C3E117A" w14:textId="09C15316" w:rsidR="00EB0C96" w:rsidRPr="00922E61" w:rsidRDefault="00EB0C96" w:rsidP="00EB0C96">
      <w:pPr>
        <w:pStyle w:val="NoSpacing"/>
        <w:rPr>
          <w:sz w:val="24"/>
          <w:szCs w:val="24"/>
        </w:rPr>
      </w:pPr>
      <w:r w:rsidRPr="00922E61">
        <w:rPr>
          <w:sz w:val="24"/>
          <w:szCs w:val="24"/>
        </w:rPr>
        <w:t xml:space="preserve">College of Policing, 2021. Recognising and Responding to Vulnerability-Related Risks. </w:t>
      </w:r>
      <w:hyperlink r:id="rId24" w:history="1">
        <w:r w:rsidRPr="00922E61">
          <w:rPr>
            <w:rStyle w:val="Hyperlink"/>
            <w:sz w:val="24"/>
            <w:szCs w:val="24"/>
          </w:rPr>
          <w:t>https://assets.production.copweb.aws.college.police.uk/s3fs-public/2021-</w:t>
        </w:r>
        <w:r w:rsidRPr="00922E61">
          <w:rPr>
            <w:rStyle w:val="Hyperlink"/>
            <w:sz w:val="24"/>
            <w:szCs w:val="24"/>
          </w:rPr>
          <w:lastRenderedPageBreak/>
          <w:t>11/Recognising-responding-vulnerability-related-risks-guidelines.pdf</w:t>
        </w:r>
      </w:hyperlink>
      <w:r w:rsidRPr="00922E61">
        <w:rPr>
          <w:sz w:val="24"/>
          <w:szCs w:val="24"/>
        </w:rPr>
        <w:t xml:space="preserve"> (Accessed: 19 April 2024).</w:t>
      </w:r>
    </w:p>
    <w:p w14:paraId="6431359B" w14:textId="77777777" w:rsidR="00EB0C96" w:rsidRPr="00922E61" w:rsidRDefault="00EB0C96" w:rsidP="00EB0C96">
      <w:pPr>
        <w:pStyle w:val="NoSpacing"/>
        <w:rPr>
          <w:sz w:val="24"/>
          <w:szCs w:val="24"/>
        </w:rPr>
      </w:pPr>
    </w:p>
    <w:p w14:paraId="4EE275AA" w14:textId="5F9FEE82" w:rsidR="00EB0C96" w:rsidRPr="00922E61" w:rsidRDefault="00EB0C96" w:rsidP="00EB0C96">
      <w:pPr>
        <w:pStyle w:val="NoSpacing"/>
        <w:rPr>
          <w:sz w:val="24"/>
          <w:szCs w:val="24"/>
        </w:rPr>
      </w:pPr>
      <w:r w:rsidRPr="00922E61">
        <w:rPr>
          <w:sz w:val="24"/>
          <w:szCs w:val="24"/>
        </w:rPr>
        <w:t xml:space="preserve">College of Policing. 2022. Responding to Hate Crimes. </w:t>
      </w:r>
      <w:hyperlink r:id="rId25" w:history="1">
        <w:r w:rsidRPr="00922E61">
          <w:rPr>
            <w:rStyle w:val="Hyperlink"/>
            <w:sz w:val="24"/>
            <w:szCs w:val="24"/>
          </w:rPr>
          <w:t>https://www.college.police.uk/app/major-investigation-and-public-protection/hate-crime/responding-hate-crimes</w:t>
        </w:r>
      </w:hyperlink>
      <w:r w:rsidRPr="00922E61">
        <w:rPr>
          <w:sz w:val="24"/>
          <w:szCs w:val="24"/>
        </w:rPr>
        <w:t xml:space="preserve"> (Accessed: 20 April 2024)</w:t>
      </w:r>
    </w:p>
    <w:p w14:paraId="60C8EC59" w14:textId="77777777" w:rsidR="00EB0C96" w:rsidRPr="00922E61" w:rsidRDefault="00EB0C96" w:rsidP="00EB0C96">
      <w:pPr>
        <w:pStyle w:val="NoSpacing"/>
        <w:rPr>
          <w:sz w:val="24"/>
          <w:szCs w:val="24"/>
        </w:rPr>
      </w:pPr>
    </w:p>
    <w:p w14:paraId="171FFA43" w14:textId="1B0D868F" w:rsidR="00EB0C96" w:rsidRPr="00922E61" w:rsidRDefault="00EB0C96" w:rsidP="00EB0C96">
      <w:pPr>
        <w:pStyle w:val="NoSpacing"/>
        <w:rPr>
          <w:sz w:val="24"/>
          <w:szCs w:val="24"/>
        </w:rPr>
      </w:pPr>
      <w:r w:rsidRPr="00922E61">
        <w:rPr>
          <w:sz w:val="24"/>
          <w:szCs w:val="24"/>
        </w:rPr>
        <w:t xml:space="preserve">Crown Prosecution Service, 2022. Domestic Abuse.                                     </w:t>
      </w:r>
      <w:hyperlink r:id="rId26" w:history="1">
        <w:r w:rsidRPr="00922E61">
          <w:rPr>
            <w:rStyle w:val="Hyperlink"/>
            <w:sz w:val="24"/>
            <w:szCs w:val="24"/>
          </w:rPr>
          <w:t>https://www.cps.gov.uk/legal-guidance/domestic-abuse</w:t>
        </w:r>
      </w:hyperlink>
      <w:r w:rsidRPr="00922E61">
        <w:rPr>
          <w:sz w:val="24"/>
          <w:szCs w:val="24"/>
        </w:rPr>
        <w:t xml:space="preserve"> (Accessed: 19 March 2024).</w:t>
      </w:r>
    </w:p>
    <w:p w14:paraId="40D08D58" w14:textId="77777777" w:rsidR="00EB0C96" w:rsidRPr="00922E61" w:rsidRDefault="00EB0C96" w:rsidP="00EB0C96">
      <w:pPr>
        <w:pStyle w:val="NoSpacing"/>
        <w:rPr>
          <w:sz w:val="24"/>
          <w:szCs w:val="24"/>
        </w:rPr>
      </w:pPr>
    </w:p>
    <w:p w14:paraId="1BCB3ADE" w14:textId="6FBC6A13" w:rsidR="00EB0C96" w:rsidRPr="00922E61" w:rsidRDefault="00EB0C96" w:rsidP="00EB0C96">
      <w:pPr>
        <w:pStyle w:val="NoSpacing"/>
        <w:rPr>
          <w:sz w:val="24"/>
          <w:szCs w:val="24"/>
        </w:rPr>
      </w:pPr>
      <w:r w:rsidRPr="00922E61">
        <w:rPr>
          <w:sz w:val="24"/>
          <w:szCs w:val="24"/>
        </w:rPr>
        <w:t xml:space="preserve">Crown Prosecution Service, 2022. Hate Crime </w:t>
      </w:r>
      <w:hyperlink r:id="rId27" w:history="1">
        <w:r w:rsidRPr="00922E61">
          <w:rPr>
            <w:rStyle w:val="Hyperlink"/>
            <w:sz w:val="24"/>
            <w:szCs w:val="24"/>
          </w:rPr>
          <w:t>https://www.cps.gov.uk/crime-info/hate-crime</w:t>
        </w:r>
      </w:hyperlink>
      <w:r w:rsidRPr="00922E61">
        <w:rPr>
          <w:sz w:val="24"/>
          <w:szCs w:val="24"/>
        </w:rPr>
        <w:t xml:space="preserve"> (Accessed: 17 April 2024).</w:t>
      </w:r>
    </w:p>
    <w:p w14:paraId="5E9E1E94" w14:textId="77777777" w:rsidR="00EB0C96" w:rsidRPr="00922E61" w:rsidRDefault="00EB0C96" w:rsidP="00EB0C96">
      <w:pPr>
        <w:pStyle w:val="NoSpacing"/>
        <w:rPr>
          <w:sz w:val="24"/>
          <w:szCs w:val="24"/>
        </w:rPr>
      </w:pPr>
    </w:p>
    <w:p w14:paraId="7307FBFD" w14:textId="3F1E72AB" w:rsidR="00EB0C96" w:rsidRPr="00922E61" w:rsidRDefault="00EB0C96" w:rsidP="00EB0C96">
      <w:pPr>
        <w:pStyle w:val="NoSpacing"/>
        <w:rPr>
          <w:sz w:val="24"/>
          <w:szCs w:val="24"/>
        </w:rPr>
      </w:pPr>
      <w:r w:rsidRPr="00922E61">
        <w:rPr>
          <w:sz w:val="24"/>
          <w:szCs w:val="24"/>
        </w:rPr>
        <w:t xml:space="preserve">Crown Prosecution Service, 2022. Public Statement on Prosecuting Disability Hate Crime and Other Crimes Against Disabled People. </w:t>
      </w:r>
      <w:hyperlink r:id="rId28" w:history="1">
        <w:r w:rsidRPr="00922E61">
          <w:rPr>
            <w:rStyle w:val="Hyperlink"/>
            <w:sz w:val="24"/>
            <w:szCs w:val="24"/>
          </w:rPr>
          <w:t>https://www.cps.gov.uk/publication/public-statement-prosecuting-disability-hate-crime-and-other-crimes-against-disabled</w:t>
        </w:r>
      </w:hyperlink>
      <w:r w:rsidRPr="00922E61">
        <w:rPr>
          <w:sz w:val="24"/>
          <w:szCs w:val="24"/>
        </w:rPr>
        <w:t xml:space="preserve"> (Accessed: 17 April 2024).</w:t>
      </w:r>
    </w:p>
    <w:p w14:paraId="145B0C27" w14:textId="77777777" w:rsidR="00EB0C96" w:rsidRPr="00922E61" w:rsidRDefault="00EB0C96" w:rsidP="00EB0C96">
      <w:pPr>
        <w:pStyle w:val="NoSpacing"/>
        <w:rPr>
          <w:sz w:val="24"/>
          <w:szCs w:val="24"/>
        </w:rPr>
      </w:pPr>
    </w:p>
    <w:p w14:paraId="03EDF5BC" w14:textId="2285B6B8" w:rsidR="00EB0C96" w:rsidRPr="00922E61" w:rsidRDefault="00EB0C96" w:rsidP="00EB0C96">
      <w:pPr>
        <w:pStyle w:val="NoSpacing"/>
        <w:rPr>
          <w:sz w:val="24"/>
          <w:szCs w:val="24"/>
        </w:rPr>
      </w:pPr>
      <w:r w:rsidRPr="00922E61">
        <w:rPr>
          <w:sz w:val="24"/>
          <w:szCs w:val="24"/>
        </w:rPr>
        <w:t xml:space="preserve">Cuthbert, J., 2021 Gwent Police and Crime Plan 2021-2025. pg13 </w:t>
      </w:r>
      <w:hyperlink r:id="rId29" w:history="1">
        <w:r w:rsidRPr="00922E61">
          <w:rPr>
            <w:rStyle w:val="Hyperlink"/>
            <w:sz w:val="24"/>
            <w:szCs w:val="24"/>
          </w:rPr>
          <w:t>https://www.gwent.pcc.police.uk/media/yhfd0c4m/pcp-final-english-2021.pdf</w:t>
        </w:r>
      </w:hyperlink>
      <w:r w:rsidRPr="00922E61">
        <w:rPr>
          <w:sz w:val="24"/>
          <w:szCs w:val="24"/>
        </w:rPr>
        <w:t xml:space="preserve"> (Accessed: 19 March 2024).</w:t>
      </w:r>
    </w:p>
    <w:p w14:paraId="5AF8DE4C" w14:textId="77777777" w:rsidR="00EB0C96" w:rsidRPr="00922E61" w:rsidRDefault="00EB0C96" w:rsidP="00EB0C96">
      <w:pPr>
        <w:pStyle w:val="NoSpacing"/>
        <w:rPr>
          <w:sz w:val="24"/>
          <w:szCs w:val="24"/>
        </w:rPr>
      </w:pPr>
    </w:p>
    <w:p w14:paraId="187501DF" w14:textId="300D8B0A" w:rsidR="00EB0C96" w:rsidRPr="00922E61" w:rsidRDefault="00EB0C96" w:rsidP="00EB0C96">
      <w:pPr>
        <w:pStyle w:val="NoSpacing"/>
        <w:rPr>
          <w:sz w:val="24"/>
          <w:szCs w:val="24"/>
        </w:rPr>
      </w:pPr>
      <w:r w:rsidRPr="00922E61">
        <w:rPr>
          <w:sz w:val="24"/>
          <w:szCs w:val="24"/>
        </w:rPr>
        <w:t xml:space="preserve">Ford, K., Kelly, S., Evans, J., Newbury, A., Meredith, Z. and Roderick, J., 2017. Adverse Childhood Experiences: Breaking the Generational Cycle of Crime: Turning Understanding into Action: Summary Report. Public Health Wales NHS Trust. </w:t>
      </w:r>
      <w:hyperlink r:id="rId30" w:history="1">
        <w:r w:rsidRPr="00922E61">
          <w:rPr>
            <w:rStyle w:val="Hyperlink"/>
            <w:sz w:val="24"/>
            <w:szCs w:val="24"/>
          </w:rPr>
          <w:t>https://research.bangor.ac.uk/portal/files/22590524/PHW_Police_Crime_final_summary_report.pdf</w:t>
        </w:r>
      </w:hyperlink>
      <w:r w:rsidRPr="00922E61">
        <w:rPr>
          <w:sz w:val="24"/>
          <w:szCs w:val="24"/>
        </w:rPr>
        <w:t xml:space="preserve"> (Accessed: 27 April 2024).</w:t>
      </w:r>
    </w:p>
    <w:p w14:paraId="5BD58FF1" w14:textId="77777777" w:rsidR="00EB0C96" w:rsidRPr="00922E61" w:rsidRDefault="00EB0C96" w:rsidP="00EB0C96">
      <w:pPr>
        <w:pStyle w:val="NoSpacing"/>
        <w:rPr>
          <w:sz w:val="24"/>
          <w:szCs w:val="24"/>
        </w:rPr>
      </w:pPr>
    </w:p>
    <w:p w14:paraId="2AFFF8C7" w14:textId="165A818F" w:rsidR="00EB0C96" w:rsidRPr="00922E61" w:rsidRDefault="00EB0C96" w:rsidP="00EB0C96">
      <w:pPr>
        <w:pStyle w:val="NoSpacing"/>
        <w:rPr>
          <w:sz w:val="24"/>
          <w:szCs w:val="24"/>
        </w:rPr>
      </w:pPr>
      <w:r w:rsidRPr="00922E61">
        <w:rPr>
          <w:sz w:val="24"/>
          <w:szCs w:val="24"/>
        </w:rPr>
        <w:t xml:space="preserve">Gidda, M. Walawalkar, A. and Hamilton, F. 2021. Victims ‘Being Failed’ as Police Resolve Fewer Hate Crimes in 2020 Than 2015 Despite Reports Doubling.  </w:t>
      </w:r>
      <w:hyperlink r:id="rId31" w:history="1">
        <w:r w:rsidRPr="00922E61">
          <w:rPr>
            <w:rStyle w:val="Hyperlink"/>
            <w:sz w:val="24"/>
            <w:szCs w:val="24"/>
          </w:rPr>
          <w:t>https://libertyinvestigates.org.uk/articles/victims-being-failed-as-police-resolve-fewer-hate-crimes-in-2020-than-2015-despite-reports-doubling/</w:t>
        </w:r>
      </w:hyperlink>
      <w:r w:rsidRPr="00922E61">
        <w:rPr>
          <w:sz w:val="24"/>
          <w:szCs w:val="24"/>
        </w:rPr>
        <w:t xml:space="preserve"> (Accessed 26 April 2024).</w:t>
      </w:r>
    </w:p>
    <w:p w14:paraId="38F7B72C" w14:textId="77777777" w:rsidR="00EB0C96" w:rsidRPr="00922E61" w:rsidRDefault="00EB0C96" w:rsidP="00EB0C96">
      <w:pPr>
        <w:pStyle w:val="NoSpacing"/>
        <w:rPr>
          <w:sz w:val="24"/>
          <w:szCs w:val="24"/>
        </w:rPr>
      </w:pPr>
    </w:p>
    <w:p w14:paraId="123AD466" w14:textId="77777777" w:rsidR="00EB0C96" w:rsidRPr="00922E61" w:rsidRDefault="00EB0C96" w:rsidP="00EB0C96">
      <w:pPr>
        <w:pStyle w:val="NoSpacing"/>
        <w:rPr>
          <w:sz w:val="24"/>
          <w:szCs w:val="24"/>
        </w:rPr>
      </w:pPr>
      <w:r w:rsidRPr="00922E61">
        <w:rPr>
          <w:sz w:val="24"/>
          <w:szCs w:val="24"/>
        </w:rPr>
        <w:t>Gibbs G (1988). Learning by Doing: A guide to teaching and Learning Methods. Further Education Unit. Oxford Polytechnic: Oxford.</w:t>
      </w:r>
    </w:p>
    <w:p w14:paraId="75F3167B" w14:textId="77777777" w:rsidR="00EB0C96" w:rsidRPr="00922E61" w:rsidRDefault="00EB0C96" w:rsidP="00EB0C96">
      <w:pPr>
        <w:pStyle w:val="NoSpacing"/>
        <w:rPr>
          <w:sz w:val="24"/>
          <w:szCs w:val="24"/>
        </w:rPr>
      </w:pPr>
    </w:p>
    <w:p w14:paraId="09B26D30" w14:textId="7DB8CC8B" w:rsidR="00EB0C96" w:rsidRPr="00922E61" w:rsidRDefault="00EB0C96" w:rsidP="00EB0C96">
      <w:pPr>
        <w:pStyle w:val="NoSpacing"/>
        <w:rPr>
          <w:sz w:val="24"/>
          <w:szCs w:val="24"/>
        </w:rPr>
      </w:pPr>
      <w:r w:rsidRPr="00922E61">
        <w:rPr>
          <w:sz w:val="24"/>
          <w:szCs w:val="24"/>
        </w:rPr>
        <w:t xml:space="preserve">Han, E.L., 2003. Mandatory Arrest and No-drop Policies: Victim Empowerment in Domestic Violence Cases. BC Third World LJ, 23, p.159-191.                                          </w:t>
      </w:r>
      <w:hyperlink r:id="rId32" w:history="1">
        <w:r w:rsidRPr="00922E61">
          <w:rPr>
            <w:rStyle w:val="Hyperlink"/>
            <w:sz w:val="24"/>
            <w:szCs w:val="24"/>
          </w:rPr>
          <w:t>https://lira.bc.edu/work/sc/62b1c544-c02b-4dfd-90cb-70c536c74114</w:t>
        </w:r>
      </w:hyperlink>
      <w:r w:rsidRPr="00922E61">
        <w:rPr>
          <w:sz w:val="24"/>
          <w:szCs w:val="24"/>
        </w:rPr>
        <w:t xml:space="preserve"> (Accessed: 18 March 2024).</w:t>
      </w:r>
    </w:p>
    <w:p w14:paraId="1D1391B2" w14:textId="77777777" w:rsidR="00EB0C96" w:rsidRPr="00922E61" w:rsidRDefault="00EB0C96" w:rsidP="00EB0C96">
      <w:pPr>
        <w:pStyle w:val="NoSpacing"/>
        <w:rPr>
          <w:sz w:val="24"/>
          <w:szCs w:val="24"/>
        </w:rPr>
      </w:pPr>
    </w:p>
    <w:p w14:paraId="12C9298A" w14:textId="74F475F9" w:rsidR="00EB0C96" w:rsidRPr="00922E61" w:rsidRDefault="00EB0C96" w:rsidP="00EB0C96">
      <w:pPr>
        <w:pStyle w:val="NoSpacing"/>
        <w:rPr>
          <w:sz w:val="24"/>
          <w:szCs w:val="24"/>
        </w:rPr>
      </w:pPr>
      <w:r w:rsidRPr="00922E61">
        <w:rPr>
          <w:sz w:val="24"/>
          <w:szCs w:val="24"/>
        </w:rPr>
        <w:t xml:space="preserve">Heddlu Gwent Police. 2024. Our Priorities.                                        </w:t>
      </w:r>
      <w:hyperlink r:id="rId33" w:history="1">
        <w:r w:rsidRPr="00922E61">
          <w:rPr>
            <w:rStyle w:val="Hyperlink"/>
            <w:sz w:val="24"/>
            <w:szCs w:val="24"/>
          </w:rPr>
          <w:t>https://www.gwent.police.uk/police-forces/gwent-police/areas/about-us/about-us/our-priorities/</w:t>
        </w:r>
      </w:hyperlink>
      <w:r w:rsidRPr="00922E61">
        <w:rPr>
          <w:sz w:val="24"/>
          <w:szCs w:val="24"/>
        </w:rPr>
        <w:t xml:space="preserve"> (Accessed: 2 February 2024).</w:t>
      </w:r>
    </w:p>
    <w:p w14:paraId="4A4B5EBC" w14:textId="77777777" w:rsidR="00EB0C96" w:rsidRPr="00922E61" w:rsidRDefault="00EB0C96" w:rsidP="00EB0C96">
      <w:pPr>
        <w:pStyle w:val="NoSpacing"/>
        <w:rPr>
          <w:sz w:val="24"/>
          <w:szCs w:val="24"/>
        </w:rPr>
      </w:pPr>
    </w:p>
    <w:p w14:paraId="487E36B3" w14:textId="08AE88FD" w:rsidR="00EB0C96" w:rsidRPr="00922E61" w:rsidRDefault="00EB0C96" w:rsidP="00EB0C96">
      <w:pPr>
        <w:pStyle w:val="NoSpacing"/>
        <w:rPr>
          <w:sz w:val="24"/>
          <w:szCs w:val="24"/>
        </w:rPr>
      </w:pPr>
      <w:r w:rsidRPr="00922E61">
        <w:rPr>
          <w:sz w:val="24"/>
          <w:szCs w:val="24"/>
        </w:rPr>
        <w:t xml:space="preserve">Her Majesty’s Inspectorate of Constabulary, 2015. PEEL: Police Effectiveness 2015 (Vulnerability) A National Overview. </w:t>
      </w:r>
      <w:hyperlink r:id="rId34" w:history="1">
        <w:r w:rsidRPr="00922E61">
          <w:rPr>
            <w:rStyle w:val="Hyperlink"/>
            <w:sz w:val="24"/>
            <w:szCs w:val="24"/>
          </w:rPr>
          <w:t>https://assets-hmicfrs.justiceinspectorates.gov.uk/uploads/police-effectiveness-vulnerability-2015.pdf</w:t>
        </w:r>
      </w:hyperlink>
      <w:r w:rsidRPr="00922E61">
        <w:rPr>
          <w:sz w:val="24"/>
          <w:szCs w:val="24"/>
        </w:rPr>
        <w:t xml:space="preserve"> (Accessed: 27 April 2024)</w:t>
      </w:r>
    </w:p>
    <w:p w14:paraId="2D055A27" w14:textId="77777777" w:rsidR="00EB0C96" w:rsidRPr="00922E61" w:rsidRDefault="00EB0C96" w:rsidP="00EB0C96">
      <w:pPr>
        <w:pStyle w:val="NoSpacing"/>
        <w:rPr>
          <w:sz w:val="24"/>
          <w:szCs w:val="24"/>
        </w:rPr>
      </w:pPr>
    </w:p>
    <w:p w14:paraId="040D07B6" w14:textId="639114D5" w:rsidR="00922E61" w:rsidRPr="00922E61" w:rsidRDefault="00922E61" w:rsidP="00922E61">
      <w:pPr>
        <w:rPr>
          <w:sz w:val="24"/>
          <w:szCs w:val="24"/>
        </w:rPr>
      </w:pPr>
      <w:r w:rsidRPr="00922E61">
        <w:rPr>
          <w:sz w:val="24"/>
          <w:szCs w:val="24"/>
        </w:rPr>
        <w:lastRenderedPageBreak/>
        <w:t xml:space="preserve">His Majesty’s Inspectorate of Constabulary and Fire and Rescue Service, 2020. Evidence led Domestic Abuse Prosecution. </w:t>
      </w:r>
      <w:hyperlink r:id="rId35" w:history="1">
        <w:r w:rsidRPr="00922E61">
          <w:rPr>
            <w:rStyle w:val="Hyperlink"/>
            <w:sz w:val="24"/>
            <w:szCs w:val="24"/>
          </w:rPr>
          <w:t>https://hmicfrs.justiceinspectorates.gov.uk/news/news-feed/evidence-led-domestic-abuse-prosecutions/2</w:t>
        </w:r>
      </w:hyperlink>
      <w:r w:rsidRPr="00922E61">
        <w:rPr>
          <w:sz w:val="24"/>
          <w:szCs w:val="24"/>
        </w:rPr>
        <w:t xml:space="preserve"> (Accessed: 18 March 2024).</w:t>
      </w:r>
    </w:p>
    <w:p w14:paraId="29009CE0" w14:textId="77777777" w:rsidR="00EB0C96" w:rsidRPr="00922E61" w:rsidRDefault="00EB0C96" w:rsidP="00EB0C96">
      <w:pPr>
        <w:pStyle w:val="NoSpacing"/>
        <w:rPr>
          <w:sz w:val="24"/>
          <w:szCs w:val="24"/>
        </w:rPr>
      </w:pPr>
    </w:p>
    <w:p w14:paraId="178F0B4E" w14:textId="7A664B0B" w:rsidR="00EB0C96" w:rsidRPr="00922E61" w:rsidRDefault="00EB0C96" w:rsidP="00EB0C96">
      <w:pPr>
        <w:pStyle w:val="NoSpacing"/>
        <w:rPr>
          <w:sz w:val="24"/>
          <w:szCs w:val="24"/>
        </w:rPr>
      </w:pPr>
      <w:r w:rsidRPr="00922E61">
        <w:rPr>
          <w:sz w:val="24"/>
          <w:szCs w:val="24"/>
        </w:rPr>
        <w:t xml:space="preserve">His Majesty’s Inspectorate of Constabulary Fire and Rescue Services. 2023. Public Protection Notification (PPN). </w:t>
      </w:r>
      <w:hyperlink r:id="rId36" w:history="1">
        <w:r w:rsidRPr="00922E61">
          <w:rPr>
            <w:rStyle w:val="Hyperlink"/>
            <w:sz w:val="24"/>
            <w:szCs w:val="24"/>
          </w:rPr>
          <w:t>https://hmicfrs.justiceinspectorates.gov.uk/glossary/public-protection-notice/</w:t>
        </w:r>
      </w:hyperlink>
      <w:r w:rsidRPr="00922E61">
        <w:rPr>
          <w:sz w:val="24"/>
          <w:szCs w:val="24"/>
        </w:rPr>
        <w:t xml:space="preserve"> (Accessed: 26 April 2024)</w:t>
      </w:r>
    </w:p>
    <w:p w14:paraId="65B15F37" w14:textId="77777777" w:rsidR="00EB0C96" w:rsidRPr="00922E61" w:rsidRDefault="00EB0C96" w:rsidP="00EB0C96">
      <w:pPr>
        <w:pStyle w:val="NoSpacing"/>
        <w:rPr>
          <w:sz w:val="24"/>
          <w:szCs w:val="24"/>
        </w:rPr>
      </w:pPr>
    </w:p>
    <w:p w14:paraId="609E9D71" w14:textId="0B634911" w:rsidR="00EB0C96" w:rsidRPr="00922E61" w:rsidRDefault="00EB0C96" w:rsidP="00EB0C96">
      <w:pPr>
        <w:pStyle w:val="NoSpacing"/>
        <w:rPr>
          <w:sz w:val="24"/>
          <w:szCs w:val="24"/>
        </w:rPr>
      </w:pPr>
      <w:r w:rsidRPr="00922E61">
        <w:rPr>
          <w:sz w:val="24"/>
          <w:szCs w:val="24"/>
        </w:rPr>
        <w:t xml:space="preserve">His Majesty’s Inspectorate of Constabulary and Fire and Rescue Services. 2023. Threat, Risk, Harm, Investigation, Vulnerability and Engagement (THRIVE) Model. </w:t>
      </w:r>
      <w:hyperlink r:id="rId37" w:anchor=":~:text=Threat%2C%20harm%2C%20risk%2C%20investigation%2C%20vulnerability%20and%20engagement%20%28THRIVE%29,the%20victim%20at%20the%20centre%20of%20that%20decision" w:history="1">
        <w:r w:rsidRPr="00922E61">
          <w:rPr>
            <w:rStyle w:val="Hyperlink"/>
            <w:sz w:val="24"/>
            <w:szCs w:val="24"/>
          </w:rPr>
          <w:t>https://hmicfrs.justiceinspectorates.gov.uk/glossary/threat-harm-risk-investigation/#:~:text=Threat%2C%20harm%2C%20risk%2C%20investigation%2C%20vulnerability%20and%20engagement%20%28THRIVE%29,the%20victim%20at%20the%20centre%20of%20that%20decision</w:t>
        </w:r>
      </w:hyperlink>
      <w:r w:rsidRPr="00922E61">
        <w:rPr>
          <w:sz w:val="24"/>
          <w:szCs w:val="24"/>
        </w:rPr>
        <w:t>.  (Accessed: 20 April 2024).</w:t>
      </w:r>
    </w:p>
    <w:p w14:paraId="400AD76F" w14:textId="77777777" w:rsidR="00EB0C96" w:rsidRPr="00922E61" w:rsidRDefault="00EB0C96" w:rsidP="00EB0C96">
      <w:pPr>
        <w:pStyle w:val="NoSpacing"/>
        <w:rPr>
          <w:sz w:val="24"/>
          <w:szCs w:val="24"/>
        </w:rPr>
      </w:pPr>
    </w:p>
    <w:p w14:paraId="7AF79FED" w14:textId="77777777" w:rsidR="00EB0C96" w:rsidRPr="00922E61" w:rsidRDefault="00EB0C96" w:rsidP="00EB0C96">
      <w:pPr>
        <w:pStyle w:val="NoSpacing"/>
        <w:rPr>
          <w:sz w:val="24"/>
          <w:szCs w:val="24"/>
        </w:rPr>
      </w:pPr>
      <w:r w:rsidRPr="00922E61">
        <w:rPr>
          <w:sz w:val="24"/>
          <w:szCs w:val="24"/>
        </w:rPr>
        <w:t xml:space="preserve">His majesty’s Inspectorate of Constabulary and Fire and Rescue Services. 2018. Understanding the Difference the Initial Police Response to Hate Crime. </w:t>
      </w:r>
    </w:p>
    <w:p w14:paraId="08BF48CD" w14:textId="55F4787C" w:rsidR="00EB0C96" w:rsidRPr="00922E61" w:rsidRDefault="00000000" w:rsidP="00EB0C96">
      <w:pPr>
        <w:pStyle w:val="NoSpacing"/>
        <w:rPr>
          <w:sz w:val="24"/>
          <w:szCs w:val="24"/>
        </w:rPr>
      </w:pPr>
      <w:hyperlink r:id="rId38" w:history="1">
        <w:r w:rsidR="00EB0C96" w:rsidRPr="00922E61">
          <w:rPr>
            <w:rStyle w:val="Hyperlink"/>
            <w:sz w:val="24"/>
            <w:szCs w:val="24"/>
          </w:rPr>
          <w:t>https://assets-hmicfrs.justiceinspectorates.gov.uk/uploads/understanding-the-difference-the-initial-police-response-to-hate-crime.pdf</w:t>
        </w:r>
      </w:hyperlink>
      <w:r w:rsidR="00EB0C96" w:rsidRPr="00922E61">
        <w:rPr>
          <w:sz w:val="24"/>
          <w:szCs w:val="24"/>
        </w:rPr>
        <w:t xml:space="preserve"> (Accessed:26 April 2024)</w:t>
      </w:r>
    </w:p>
    <w:p w14:paraId="2D58A422" w14:textId="77777777" w:rsidR="00EB0C96" w:rsidRPr="00922E61" w:rsidRDefault="00EB0C96" w:rsidP="00EB0C96">
      <w:pPr>
        <w:pStyle w:val="NoSpacing"/>
        <w:rPr>
          <w:sz w:val="24"/>
          <w:szCs w:val="24"/>
        </w:rPr>
      </w:pPr>
    </w:p>
    <w:p w14:paraId="3C9D8704" w14:textId="461D0AFC" w:rsidR="00EB0C96" w:rsidRPr="00922E61" w:rsidRDefault="00EB0C96" w:rsidP="00EB0C96">
      <w:pPr>
        <w:pStyle w:val="NoSpacing"/>
        <w:rPr>
          <w:sz w:val="24"/>
          <w:szCs w:val="24"/>
        </w:rPr>
      </w:pPr>
      <w:r w:rsidRPr="00922E61">
        <w:rPr>
          <w:sz w:val="24"/>
          <w:szCs w:val="24"/>
        </w:rPr>
        <w:t xml:space="preserve">Hine, B., Bates, E. A., &amp; Wallace, S. (2022). “I Have Guys Call Me and Say ‘I Can’t Be the Victim of Domestic Abuse’”: Exploring the Experiences of Telephone Support Providers for Male Victims of Domestic Violence and Abuse. Journal of Interpersonal Violence, 37(7-8), NP5594-NP5625. </w:t>
      </w:r>
      <w:hyperlink r:id="rId39" w:history="1">
        <w:r w:rsidRPr="00922E61">
          <w:rPr>
            <w:rStyle w:val="Hyperlink"/>
            <w:sz w:val="24"/>
            <w:szCs w:val="24"/>
          </w:rPr>
          <w:t>https://doi.org/10.1177/0886260520944551</w:t>
        </w:r>
      </w:hyperlink>
      <w:r w:rsidRPr="00922E61">
        <w:rPr>
          <w:sz w:val="24"/>
          <w:szCs w:val="24"/>
        </w:rPr>
        <w:t xml:space="preserve"> (Accessed: 28 March 2024).</w:t>
      </w:r>
    </w:p>
    <w:p w14:paraId="0251760E" w14:textId="77777777" w:rsidR="00EB0C96" w:rsidRPr="00922E61" w:rsidRDefault="00EB0C96" w:rsidP="00EB0C96">
      <w:pPr>
        <w:pStyle w:val="NoSpacing"/>
        <w:rPr>
          <w:sz w:val="24"/>
          <w:szCs w:val="24"/>
        </w:rPr>
      </w:pPr>
    </w:p>
    <w:p w14:paraId="0A2AA326" w14:textId="2E66FB07" w:rsidR="00EB0C96" w:rsidRPr="00922E61" w:rsidRDefault="00EB0C96" w:rsidP="00EB0C96">
      <w:pPr>
        <w:pStyle w:val="NoSpacing"/>
        <w:rPr>
          <w:sz w:val="24"/>
          <w:szCs w:val="24"/>
        </w:rPr>
      </w:pPr>
      <w:r w:rsidRPr="00922E61">
        <w:rPr>
          <w:sz w:val="24"/>
          <w:szCs w:val="24"/>
        </w:rPr>
        <w:t xml:space="preserve">Holden, L. and Conner, L. 2021. Poor Police Response Disabled Victims of hate crime. </w:t>
      </w:r>
      <w:hyperlink r:id="rId40" w:history="1">
        <w:r w:rsidRPr="00922E61">
          <w:rPr>
            <w:rStyle w:val="Hyperlink"/>
            <w:sz w:val="24"/>
            <w:szCs w:val="24"/>
          </w:rPr>
          <w:t>https://www.inclusionlondon.org.uk/wp-content/uploads/2021/11/HC-Poor-Police-Response-Report-2021.pdf</w:t>
        </w:r>
      </w:hyperlink>
      <w:r w:rsidRPr="00922E61">
        <w:rPr>
          <w:sz w:val="24"/>
          <w:szCs w:val="24"/>
        </w:rPr>
        <w:t xml:space="preserve"> (Accessed: 26 April 2024).</w:t>
      </w:r>
    </w:p>
    <w:p w14:paraId="20C194CB" w14:textId="77777777" w:rsidR="00EB0C96" w:rsidRPr="00922E61" w:rsidRDefault="00EB0C96" w:rsidP="00EB0C96">
      <w:pPr>
        <w:pStyle w:val="NoSpacing"/>
        <w:rPr>
          <w:sz w:val="24"/>
          <w:szCs w:val="24"/>
        </w:rPr>
      </w:pPr>
    </w:p>
    <w:p w14:paraId="3D75EBC1" w14:textId="77777777" w:rsidR="00EB0C96" w:rsidRPr="00922E61" w:rsidRDefault="00EB0C96" w:rsidP="00EB0C96">
      <w:pPr>
        <w:pStyle w:val="NoSpacing"/>
        <w:rPr>
          <w:sz w:val="24"/>
          <w:szCs w:val="24"/>
        </w:rPr>
      </w:pPr>
      <w:r w:rsidRPr="00922E61">
        <w:rPr>
          <w:sz w:val="24"/>
          <w:szCs w:val="24"/>
        </w:rPr>
        <w:t>Johnson D. (2013). 'The space/time behaviour of dwelling burglars: Finding near repeat patterns in serial offender data'. Applied Geography, 41, pp 139-146.</w:t>
      </w:r>
    </w:p>
    <w:p w14:paraId="6FE228A9" w14:textId="77777777" w:rsidR="00EB0C96" w:rsidRPr="00922E61" w:rsidRDefault="00EB0C96" w:rsidP="00EB0C96">
      <w:pPr>
        <w:pStyle w:val="NoSpacing"/>
        <w:rPr>
          <w:sz w:val="24"/>
          <w:szCs w:val="24"/>
        </w:rPr>
      </w:pPr>
    </w:p>
    <w:p w14:paraId="523EBFF3" w14:textId="5DC34C0E" w:rsidR="00EB0C96" w:rsidRPr="00922E61" w:rsidRDefault="00EB0C96" w:rsidP="00EB0C96">
      <w:pPr>
        <w:pStyle w:val="NoSpacing"/>
        <w:rPr>
          <w:sz w:val="24"/>
          <w:szCs w:val="24"/>
        </w:rPr>
      </w:pPr>
      <w:r w:rsidRPr="00922E61">
        <w:rPr>
          <w:sz w:val="24"/>
          <w:szCs w:val="24"/>
        </w:rPr>
        <w:t xml:space="preserve">Mills, Linda G. “Killing Her Softly: Intimate Abuse and the Violence of State Intervention.” Harvard Law Review, vol. 113, no. 2, 1999, pp. 550–613. JSTOR, </w:t>
      </w:r>
      <w:hyperlink r:id="rId41" w:history="1">
        <w:r w:rsidRPr="00922E61">
          <w:rPr>
            <w:rStyle w:val="Hyperlink"/>
            <w:sz w:val="24"/>
            <w:szCs w:val="24"/>
          </w:rPr>
          <w:t>https://doi.org/10.2307/1342332</w:t>
        </w:r>
      </w:hyperlink>
      <w:r w:rsidRPr="00922E61">
        <w:rPr>
          <w:sz w:val="24"/>
          <w:szCs w:val="24"/>
        </w:rPr>
        <w:t xml:space="preserve"> (Accessed 18 March 2024).</w:t>
      </w:r>
    </w:p>
    <w:p w14:paraId="4C569E20" w14:textId="77777777" w:rsidR="00EB0C96" w:rsidRPr="00922E61" w:rsidRDefault="00EB0C96" w:rsidP="00EB0C96">
      <w:pPr>
        <w:pStyle w:val="NoSpacing"/>
        <w:rPr>
          <w:sz w:val="24"/>
          <w:szCs w:val="24"/>
        </w:rPr>
      </w:pPr>
    </w:p>
    <w:p w14:paraId="31FD0B17" w14:textId="0740484B" w:rsidR="00EB0C96" w:rsidRPr="00922E61" w:rsidRDefault="00EB0C96" w:rsidP="00EB0C96">
      <w:pPr>
        <w:pStyle w:val="NoSpacing"/>
        <w:rPr>
          <w:sz w:val="24"/>
          <w:szCs w:val="24"/>
        </w:rPr>
      </w:pPr>
      <w:r w:rsidRPr="00922E61">
        <w:rPr>
          <w:sz w:val="24"/>
          <w:szCs w:val="24"/>
        </w:rPr>
        <w:t xml:space="preserve">Ministry of Justice. 2022.Achieving Best Evidence in Criminal Proceedings: Guidance on Interviewing Victims and Witnesses, and Guidance on Using Special Measures. </w:t>
      </w:r>
      <w:hyperlink r:id="rId42" w:history="1">
        <w:r w:rsidRPr="00922E61">
          <w:rPr>
            <w:rStyle w:val="Hyperlink"/>
            <w:sz w:val="24"/>
            <w:szCs w:val="24"/>
          </w:rPr>
          <w:t>https://assets.publishing.service.gov.uk/media/6492e26c103ca6001303a331/achieving-best-evidence-criminal-proceedings-2023.pdf</w:t>
        </w:r>
      </w:hyperlink>
      <w:r w:rsidRPr="00922E61">
        <w:rPr>
          <w:sz w:val="24"/>
          <w:szCs w:val="24"/>
        </w:rPr>
        <w:t xml:space="preserve"> (Accessed: 20 April 2024).</w:t>
      </w:r>
    </w:p>
    <w:p w14:paraId="539F468C" w14:textId="77777777" w:rsidR="00EB0C96" w:rsidRPr="00922E61" w:rsidRDefault="00EB0C96" w:rsidP="00EB0C96">
      <w:pPr>
        <w:pStyle w:val="NoSpacing"/>
        <w:rPr>
          <w:sz w:val="24"/>
          <w:szCs w:val="24"/>
        </w:rPr>
      </w:pPr>
    </w:p>
    <w:p w14:paraId="206256DB" w14:textId="65025737" w:rsidR="00EB0C96" w:rsidRPr="00922E61" w:rsidRDefault="00EB0C96" w:rsidP="00EB0C96">
      <w:pPr>
        <w:pStyle w:val="NoSpacing"/>
        <w:rPr>
          <w:sz w:val="24"/>
          <w:szCs w:val="24"/>
        </w:rPr>
      </w:pPr>
      <w:r w:rsidRPr="00922E61">
        <w:rPr>
          <w:sz w:val="24"/>
          <w:szCs w:val="24"/>
        </w:rPr>
        <w:t xml:space="preserve">Ministry of Justice. HM Prison and Probation Service. 2022. Offending Behaviour Programmes and Interventions. </w:t>
      </w:r>
      <w:hyperlink r:id="rId43" w:history="1">
        <w:r w:rsidRPr="00922E61">
          <w:rPr>
            <w:rStyle w:val="Hyperlink"/>
            <w:sz w:val="24"/>
            <w:szCs w:val="24"/>
          </w:rPr>
          <w:t>https://www.gov.uk/guidance/offending-behaviour-programmes-and-interventions</w:t>
        </w:r>
      </w:hyperlink>
      <w:r w:rsidRPr="00922E61">
        <w:rPr>
          <w:sz w:val="24"/>
          <w:szCs w:val="24"/>
        </w:rPr>
        <w:t xml:space="preserve"> (Accessed: 28 April 2024).</w:t>
      </w:r>
    </w:p>
    <w:p w14:paraId="77AADBE8" w14:textId="77777777" w:rsidR="00EB0C96" w:rsidRPr="00922E61" w:rsidRDefault="00EB0C96" w:rsidP="00EB0C96">
      <w:pPr>
        <w:pStyle w:val="NoSpacing"/>
        <w:rPr>
          <w:sz w:val="24"/>
          <w:szCs w:val="24"/>
        </w:rPr>
      </w:pPr>
    </w:p>
    <w:p w14:paraId="70C35701" w14:textId="7A7801FC" w:rsidR="00EB0C96" w:rsidRPr="00922E61" w:rsidRDefault="00EB0C96" w:rsidP="00EB0C96">
      <w:pPr>
        <w:pStyle w:val="NoSpacing"/>
        <w:rPr>
          <w:sz w:val="24"/>
          <w:szCs w:val="24"/>
        </w:rPr>
      </w:pPr>
      <w:r w:rsidRPr="00922E61">
        <w:rPr>
          <w:sz w:val="24"/>
          <w:szCs w:val="24"/>
        </w:rPr>
        <w:lastRenderedPageBreak/>
        <w:t>Office for National Statistics, 2023. Domestic Abuse in England and Wales Overview: November 2023.</w:t>
      </w:r>
      <w:hyperlink r:id="rId44" w:history="1">
        <w:r w:rsidRPr="00922E61">
          <w:rPr>
            <w:rStyle w:val="Hyperlink"/>
            <w:sz w:val="24"/>
            <w:szCs w:val="24"/>
          </w:rPr>
          <w:t>https://www.ons.gov.uk/peoplepopulationandcommunity/crimeandjustice/bulletins/domesticabuseinenglandandwalesoverview/november2023</w:t>
        </w:r>
      </w:hyperlink>
      <w:r w:rsidRPr="00922E61">
        <w:rPr>
          <w:sz w:val="24"/>
          <w:szCs w:val="24"/>
        </w:rPr>
        <w:t xml:space="preserve">  (Accessed: 2 February 2024).</w:t>
      </w:r>
    </w:p>
    <w:p w14:paraId="10EDA7CB" w14:textId="77777777" w:rsidR="00EB0C96" w:rsidRPr="00922E61" w:rsidRDefault="00EB0C96" w:rsidP="00EB0C96">
      <w:pPr>
        <w:pStyle w:val="NoSpacing"/>
        <w:rPr>
          <w:sz w:val="24"/>
          <w:szCs w:val="24"/>
        </w:rPr>
      </w:pPr>
    </w:p>
    <w:p w14:paraId="084AD5EA" w14:textId="6E386525" w:rsidR="00EB0C96" w:rsidRPr="00922E61" w:rsidRDefault="00EB0C96" w:rsidP="00EB0C96">
      <w:pPr>
        <w:pStyle w:val="NoSpacing"/>
        <w:rPr>
          <w:sz w:val="24"/>
          <w:szCs w:val="24"/>
        </w:rPr>
      </w:pPr>
      <w:r w:rsidRPr="00922E61">
        <w:rPr>
          <w:sz w:val="24"/>
          <w:szCs w:val="24"/>
        </w:rPr>
        <w:t xml:space="preserve">Sherman, L. W. (2013). The Rise of Evidence-Based Policing: Targeting, Testing, and Tracking. Crime and Justice, 42(1), 377–451. </w:t>
      </w:r>
      <w:hyperlink r:id="rId45" w:history="1">
        <w:r w:rsidRPr="00922E61">
          <w:rPr>
            <w:rStyle w:val="Hyperlink"/>
            <w:sz w:val="24"/>
            <w:szCs w:val="24"/>
          </w:rPr>
          <w:t>https://doi.org/10.1086/670819</w:t>
        </w:r>
      </w:hyperlink>
      <w:r w:rsidRPr="00922E61">
        <w:rPr>
          <w:sz w:val="24"/>
          <w:szCs w:val="24"/>
        </w:rPr>
        <w:t xml:space="preserve"> (Accessed: 28 April 2024).</w:t>
      </w:r>
    </w:p>
    <w:p w14:paraId="39FD2A34" w14:textId="77777777" w:rsidR="00EB0C96" w:rsidRPr="00922E61" w:rsidRDefault="00EB0C96" w:rsidP="00EB0C96">
      <w:pPr>
        <w:pStyle w:val="NoSpacing"/>
        <w:rPr>
          <w:sz w:val="24"/>
          <w:szCs w:val="24"/>
        </w:rPr>
      </w:pPr>
    </w:p>
    <w:p w14:paraId="4048EF92" w14:textId="6C7A4DCC" w:rsidR="00EB0C96" w:rsidRPr="00922E61" w:rsidRDefault="00EB0C96" w:rsidP="00EB0C96">
      <w:pPr>
        <w:pStyle w:val="NoSpacing"/>
        <w:rPr>
          <w:sz w:val="24"/>
          <w:szCs w:val="24"/>
        </w:rPr>
      </w:pPr>
      <w:r w:rsidRPr="00922E61">
        <w:rPr>
          <w:sz w:val="24"/>
          <w:szCs w:val="24"/>
        </w:rPr>
        <w:t xml:space="preserve">The national archives, 1991. Criminal Damage Act 1971. </w:t>
      </w:r>
      <w:hyperlink r:id="rId46" w:history="1">
        <w:r w:rsidRPr="00922E61">
          <w:rPr>
            <w:rStyle w:val="Hyperlink"/>
            <w:sz w:val="24"/>
            <w:szCs w:val="24"/>
          </w:rPr>
          <w:t>https://www.legislation.gov.uk/ukpga/1971/48/section/1</w:t>
        </w:r>
      </w:hyperlink>
      <w:r w:rsidRPr="00922E61">
        <w:rPr>
          <w:sz w:val="24"/>
          <w:szCs w:val="24"/>
        </w:rPr>
        <w:t xml:space="preserve"> (Accessed: 19 March 2024).</w:t>
      </w:r>
    </w:p>
    <w:p w14:paraId="491B9658" w14:textId="77777777" w:rsidR="00EB0C96" w:rsidRPr="00922E61" w:rsidRDefault="00EB0C96" w:rsidP="00EB0C96">
      <w:pPr>
        <w:pStyle w:val="NoSpacing"/>
        <w:rPr>
          <w:sz w:val="24"/>
          <w:szCs w:val="24"/>
        </w:rPr>
      </w:pPr>
    </w:p>
    <w:p w14:paraId="426393CC" w14:textId="27D49442" w:rsidR="00EB0C96" w:rsidRPr="00922E61" w:rsidRDefault="00EB0C96" w:rsidP="00EB0C96">
      <w:pPr>
        <w:pStyle w:val="NoSpacing"/>
        <w:rPr>
          <w:sz w:val="24"/>
          <w:szCs w:val="24"/>
        </w:rPr>
      </w:pPr>
      <w:r w:rsidRPr="00922E61">
        <w:rPr>
          <w:sz w:val="24"/>
          <w:szCs w:val="24"/>
        </w:rPr>
        <w:t xml:space="preserve">The national archives, 2018. Criminal Justice Act 1988. </w:t>
      </w:r>
      <w:hyperlink r:id="rId47" w:history="1">
        <w:r w:rsidRPr="00922E61">
          <w:rPr>
            <w:rStyle w:val="Hyperlink"/>
            <w:sz w:val="24"/>
            <w:szCs w:val="24"/>
          </w:rPr>
          <w:t>https://www.legislation.gov.uk/ukpga/1988/33/section/</w:t>
        </w:r>
      </w:hyperlink>
      <w:r w:rsidRPr="00922E61">
        <w:rPr>
          <w:sz w:val="24"/>
          <w:szCs w:val="24"/>
        </w:rPr>
        <w:t xml:space="preserve"> (Accessed 19 March 2024).</w:t>
      </w:r>
    </w:p>
    <w:p w14:paraId="0129CD2F" w14:textId="77777777" w:rsidR="00EB0C96" w:rsidRPr="00922E61" w:rsidRDefault="00EB0C96" w:rsidP="00EB0C96">
      <w:pPr>
        <w:pStyle w:val="NoSpacing"/>
        <w:rPr>
          <w:sz w:val="24"/>
          <w:szCs w:val="24"/>
        </w:rPr>
      </w:pPr>
    </w:p>
    <w:p w14:paraId="3BB12FE8" w14:textId="7597DB98" w:rsidR="00EB0C96" w:rsidRPr="00922E61" w:rsidRDefault="00EB0C96" w:rsidP="00EB0C96">
      <w:pPr>
        <w:pStyle w:val="NoSpacing"/>
        <w:rPr>
          <w:sz w:val="24"/>
          <w:szCs w:val="24"/>
        </w:rPr>
      </w:pPr>
      <w:r w:rsidRPr="00922E61">
        <w:rPr>
          <w:sz w:val="24"/>
          <w:szCs w:val="24"/>
        </w:rPr>
        <w:t xml:space="preserve">The National Archives, 2021. Domestic Abuse Act 2021. </w:t>
      </w:r>
      <w:hyperlink r:id="rId48" w:history="1">
        <w:r w:rsidRPr="00922E61">
          <w:rPr>
            <w:rStyle w:val="Hyperlink"/>
            <w:sz w:val="24"/>
            <w:szCs w:val="24"/>
          </w:rPr>
          <w:t>https://www.legislation.gov.uk/ukpga/2021/17/part/1/enacted</w:t>
        </w:r>
      </w:hyperlink>
      <w:r w:rsidRPr="00922E61">
        <w:rPr>
          <w:sz w:val="24"/>
          <w:szCs w:val="24"/>
        </w:rPr>
        <w:t xml:space="preserve"> (Accessed 19 March 2024).</w:t>
      </w:r>
    </w:p>
    <w:p w14:paraId="6B948AC7" w14:textId="77777777" w:rsidR="00922E61" w:rsidRPr="00922E61" w:rsidRDefault="00922E61" w:rsidP="00EB0C96">
      <w:pPr>
        <w:pStyle w:val="NoSpacing"/>
        <w:rPr>
          <w:sz w:val="24"/>
          <w:szCs w:val="24"/>
        </w:rPr>
      </w:pPr>
    </w:p>
    <w:p w14:paraId="4D211E32" w14:textId="74A7FCA7" w:rsidR="00EB0C96" w:rsidRPr="00922E61" w:rsidRDefault="00EB0C96" w:rsidP="00EB0C96">
      <w:pPr>
        <w:pStyle w:val="NoSpacing"/>
        <w:rPr>
          <w:sz w:val="24"/>
          <w:szCs w:val="24"/>
        </w:rPr>
      </w:pPr>
      <w:r w:rsidRPr="00922E61">
        <w:rPr>
          <w:sz w:val="24"/>
          <w:szCs w:val="24"/>
        </w:rPr>
        <w:t>The National Archives, 2006. Public Order Act 1986.</w:t>
      </w:r>
    </w:p>
    <w:p w14:paraId="33EBEEB6" w14:textId="243D0226" w:rsidR="00EB0C96" w:rsidRPr="00922E61" w:rsidRDefault="00000000" w:rsidP="00EB0C96">
      <w:pPr>
        <w:pStyle w:val="NoSpacing"/>
        <w:rPr>
          <w:sz w:val="24"/>
          <w:szCs w:val="24"/>
        </w:rPr>
      </w:pPr>
      <w:hyperlink r:id="rId49" w:history="1">
        <w:r w:rsidR="00EB0C96" w:rsidRPr="00922E61">
          <w:rPr>
            <w:rStyle w:val="Hyperlink"/>
            <w:sz w:val="24"/>
            <w:szCs w:val="24"/>
          </w:rPr>
          <w:t>https://www.legislation.gov.uk/ukpga/1986/64/section/4</w:t>
        </w:r>
      </w:hyperlink>
      <w:r w:rsidR="00EB0C96" w:rsidRPr="00922E61">
        <w:rPr>
          <w:sz w:val="24"/>
          <w:szCs w:val="24"/>
        </w:rPr>
        <w:t xml:space="preserve"> (Accessed: 17 April 2024)</w:t>
      </w:r>
    </w:p>
    <w:sectPr w:rsidR="00EB0C96" w:rsidRPr="00922E6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44318" w14:textId="77777777" w:rsidR="00A21829" w:rsidRDefault="00A21829">
      <w:r>
        <w:separator/>
      </w:r>
    </w:p>
  </w:endnote>
  <w:endnote w:type="continuationSeparator" w:id="0">
    <w:p w14:paraId="06A148D2" w14:textId="77777777" w:rsidR="00A21829" w:rsidRDefault="00A218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5C38C" w14:textId="77777777" w:rsidR="00A21829" w:rsidRDefault="00A21829">
      <w:r>
        <w:separator/>
      </w:r>
    </w:p>
  </w:footnote>
  <w:footnote w:type="continuationSeparator" w:id="0">
    <w:p w14:paraId="7251446C" w14:textId="77777777" w:rsidR="00A21829" w:rsidRDefault="00A2182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BD5"/>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37003"/>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2E61"/>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1829"/>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0DDE"/>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B79"/>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0C96"/>
    <w:rsid w:val="00EB2173"/>
    <w:rsid w:val="00EB62E6"/>
    <w:rsid w:val="00EC2EDC"/>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Spacing">
    <w:name w:val="No Spacing"/>
    <w:uiPriority w:val="1"/>
    <w:qFormat/>
    <w:rsid w:val="00EB0C96"/>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EB0C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researchbriefings.files.parliament.uk/documents/CBP-8637/CBP-8637.pdf" TargetMode="External"/><Relationship Id="rId26" Type="http://schemas.openxmlformats.org/officeDocument/2006/relationships/hyperlink" Target="https://www.cps.gov.uk/legal-guidance/domestic-abuse" TargetMode="External"/><Relationship Id="rId39" Type="http://schemas.openxmlformats.org/officeDocument/2006/relationships/hyperlink" Target="https://doi.org/10.1177/0886260520944551"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assets-hmicfrs.justiceinspectorates.gov.uk/uploads/police-effectiveness-vulnerability-2015.pdf" TargetMode="External"/><Relationship Id="rId42" Type="http://schemas.openxmlformats.org/officeDocument/2006/relationships/hyperlink" Target="https://assets.publishing.service.gov.uk/media/6492e26c103ca6001303a331/achieving-best-evidence-criminal-proceedings-2023.pdf" TargetMode="External"/><Relationship Id="rId47" Type="http://schemas.openxmlformats.org/officeDocument/2006/relationships/hyperlink" Target="https://www.legislation.gov.uk/ukpga/1988/33/section/"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opcenter.asu.edu/sites/default/files/problems/domestic_violence/PDFs/Bridgeman&amp;Hobbs_1997.pdf" TargetMode="External"/><Relationship Id="rId25" Type="http://schemas.openxmlformats.org/officeDocument/2006/relationships/hyperlink" Target="https://www.college.police.uk/app/major-investigation-and-public-protection/hate-crime/responding-hate-crimes" TargetMode="External"/><Relationship Id="rId33" Type="http://schemas.openxmlformats.org/officeDocument/2006/relationships/hyperlink" Target="https://www.gwent.police.uk/police-forces/gwent-police/areas/about-us/about-us/our-priorities/" TargetMode="External"/><Relationship Id="rId38" Type="http://schemas.openxmlformats.org/officeDocument/2006/relationships/hyperlink" Target="https://assets-hmicfrs.justiceinspectorates.gov.uk/uploads/understanding-the-difference-the-initial-police-response-to-hate-crime.pdf" TargetMode="External"/><Relationship Id="rId46" Type="http://schemas.openxmlformats.org/officeDocument/2006/relationships/hyperlink" Target="https://www.legislation.gov.uk/ukpga/1971/48/section/1" TargetMode="External"/><Relationship Id="rId2" Type="http://schemas.openxmlformats.org/officeDocument/2006/relationships/customXml" Target="../customXml/item2.xml"/><Relationship Id="rId16" Type="http://schemas.openxmlformats.org/officeDocument/2006/relationships/hyperlink" Target="https://www.aic.gov.au/sites/default/files/2020-05/crm012.pdf" TargetMode="External"/><Relationship Id="rId20" Type="http://schemas.openxmlformats.org/officeDocument/2006/relationships/hyperlink" Target="https://www.college.police.uk/research/crime-reduction-toolkit/cbt" TargetMode="External"/><Relationship Id="rId29" Type="http://schemas.openxmlformats.org/officeDocument/2006/relationships/hyperlink" Target="https://www.gwent.pcc.police.uk/media/yhfd0c4m/pcp-final-english-2021.pdf" TargetMode="External"/><Relationship Id="rId41" Type="http://schemas.openxmlformats.org/officeDocument/2006/relationships/hyperlink" Target="https://doi.org/10.2307/134233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roduction.copweb.aws.college.police.uk/s3fs-public/2021-11/Recognising-responding-vulnerability-related-risks-guidelines.pdf" TargetMode="External"/><Relationship Id="rId32" Type="http://schemas.openxmlformats.org/officeDocument/2006/relationships/hyperlink" Target="https://lira.bc.edu/work/sc/62b1c544-c02b-4dfd-90cb-70c536c74114" TargetMode="External"/><Relationship Id="rId37" Type="http://schemas.openxmlformats.org/officeDocument/2006/relationships/hyperlink" Target="https://hmicfrs.justiceinspectorates.gov.uk/glossary/threat-harm-risk-investigation/" TargetMode="External"/><Relationship Id="rId40" Type="http://schemas.openxmlformats.org/officeDocument/2006/relationships/hyperlink" Target="https://www.inclusionlondon.org.uk/wp-content/uploads/2021/11/HC-Poor-Police-Response-Report-2021.pdf" TargetMode="External"/><Relationship Id="rId45" Type="http://schemas.openxmlformats.org/officeDocument/2006/relationships/hyperlink" Target="https://doi.org/10.1086/670819"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cps.gov.uk/publication/public-statement-prosecuting-disability-hate-crime-and-other-crimes-against-disabled" TargetMode="External"/><Relationship Id="rId36" Type="http://schemas.openxmlformats.org/officeDocument/2006/relationships/hyperlink" Target="https://hmicfrs.justiceinspectorates.gov.uk/glossary/public-protection-notice/" TargetMode="External"/><Relationship Id="rId49" Type="http://schemas.openxmlformats.org/officeDocument/2006/relationships/hyperlink" Target="https://www.legislation.gov.uk/ukpga/1986/64/section/4"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arrest-and-other-positive-approaches?highlight=enhanced%20evidence%20gathering" TargetMode="External"/><Relationship Id="rId31" Type="http://schemas.openxmlformats.org/officeDocument/2006/relationships/hyperlink" Target="https://libertyinvestigates.org.uk/articles/victims-being-failed-as-police-resolve-fewer-hate-crimes-in-2020-than-2015-despite-reports-doubling/" TargetMode="External"/><Relationship Id="rId44" Type="http://schemas.openxmlformats.org/officeDocument/2006/relationships/hyperlink" Target="https://www.ons.gov.uk/peoplepopulationandcommunity/crimeandjustice/bulletins/domesticabuseinenglandandwalesoverview/november2023"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guidance/vulnerability-related-risks/introduction-vulnerability-related-risk" TargetMode="External"/><Relationship Id="rId27" Type="http://schemas.openxmlformats.org/officeDocument/2006/relationships/hyperlink" Target="https://www.cps.gov.uk/crime-info/hate-crime" TargetMode="External"/><Relationship Id="rId30" Type="http://schemas.openxmlformats.org/officeDocument/2006/relationships/hyperlink" Target="https://research.bangor.ac.uk/portal/files/22590524/PHW_Police_Crime_final_summary_report.pdf" TargetMode="External"/><Relationship Id="rId35" Type="http://schemas.openxmlformats.org/officeDocument/2006/relationships/hyperlink" Target="https://hmicfrs.justiceinspectorates.gov.uk/news/news-feed/evidence-led-domestic-abuse-prosecutions/2" TargetMode="External"/><Relationship Id="rId43" Type="http://schemas.openxmlformats.org/officeDocument/2006/relationships/hyperlink" Target="https://www.gov.uk/guidance/offending-behaviour-programmes-and-interventions" TargetMode="External"/><Relationship Id="rId48" Type="http://schemas.openxmlformats.org/officeDocument/2006/relationships/hyperlink" Target="https://www.legislation.gov.uk/ukpga/2021/17/part/1/enacted"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_activity xmlns="e20b08b0-acc6-4f95-a80d-0f14bda380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1" ma:contentTypeDescription="Create a new document." ma:contentTypeScope="" ma:versionID="a27e14b090d240b9105bb963b8335ddf">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5d4d0017fe98745bce5d15bf7837c8e2"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6f089012-3fae-42a8-bbe5-94e46e1467ea"/>
    <ds:schemaRef ds:uri="e20b08b0-acc6-4f95-a80d-0f14bda3809b"/>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1CE6DEC3-8B39-4E73-8205-F0ECE70CD4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7401</Words>
  <Characters>42187</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Tuck, Kelly</cp:lastModifiedBy>
  <cp:revision>3</cp:revision>
  <cp:lastPrinted>2014-08-26T08:55:00Z</cp:lastPrinted>
  <dcterms:created xsi:type="dcterms:W3CDTF">2024-04-29T18:25:00Z</dcterms:created>
  <dcterms:modified xsi:type="dcterms:W3CDTF">2024-04-29T18:28:00Z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2024-04-29T16:46:34Z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e27ce857-f005-44cc-ae45-b2668b8c7134</vt:lpwstr>
  </property>
  <property fmtid="{D5CDD505-2E9C-101B-9397-08002B2CF9AE}" pid="9" name="MSIP_Label_f2acd28b-79a3-4a0f-b0ff-4b75658b1549_ContentBits">
    <vt:lpwstr>0</vt:lpwstr>
  </property>
</Properties>
</file>