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80D47" w14:textId="77777777" w:rsidR="008F12D3" w:rsidRDefault="008F12D3" w:rsidP="00231FC2">
      <w:pPr>
        <w:pStyle w:val="Normal1"/>
        <w:spacing w:before="240" w:line="360" w:lineRule="auto"/>
        <w:jc w:val="center"/>
        <w:rPr>
          <w:rFonts w:ascii="Times New Roman" w:eastAsia="Times New Roman" w:hAnsi="Times New Roman" w:cs="Times New Roman"/>
          <w:b/>
          <w:color w:val="000000" w:themeColor="text1"/>
          <w:sz w:val="32"/>
          <w:szCs w:val="32"/>
          <w:highlight w:val="white"/>
          <w:lang w:val="en-GB"/>
        </w:rPr>
      </w:pPr>
    </w:p>
    <w:p w14:paraId="43A231D6" w14:textId="77777777" w:rsidR="00091FA8" w:rsidRPr="00231FC2" w:rsidRDefault="00091FA8" w:rsidP="00231FC2">
      <w:pPr>
        <w:pStyle w:val="Normal1"/>
        <w:spacing w:before="240" w:line="360" w:lineRule="auto"/>
        <w:jc w:val="center"/>
        <w:rPr>
          <w:rFonts w:ascii="Times New Roman" w:eastAsia="Times New Roman" w:hAnsi="Times New Roman" w:cs="Times New Roman"/>
          <w:b/>
          <w:color w:val="000000" w:themeColor="text1"/>
          <w:sz w:val="32"/>
          <w:szCs w:val="32"/>
          <w:highlight w:val="white"/>
          <w:lang w:val="en-GB"/>
        </w:rPr>
      </w:pPr>
    </w:p>
    <w:p w14:paraId="405EBECD" w14:textId="77777777" w:rsidR="008F12D3" w:rsidRPr="00231FC2" w:rsidRDefault="008F12D3" w:rsidP="00231FC2">
      <w:pPr>
        <w:pStyle w:val="Normal1"/>
        <w:spacing w:before="240" w:line="360" w:lineRule="auto"/>
        <w:jc w:val="center"/>
        <w:rPr>
          <w:rFonts w:ascii="Times New Roman" w:eastAsia="Times New Roman" w:hAnsi="Times New Roman" w:cs="Times New Roman"/>
          <w:b/>
          <w:color w:val="000000" w:themeColor="text1"/>
          <w:sz w:val="32"/>
          <w:szCs w:val="32"/>
          <w:highlight w:val="white"/>
          <w:lang w:val="en-GB"/>
        </w:rPr>
      </w:pPr>
    </w:p>
    <w:p w14:paraId="0DCA9312" w14:textId="77777777" w:rsidR="008F12D3" w:rsidRPr="00231FC2" w:rsidRDefault="008F12D3" w:rsidP="00231FC2">
      <w:pPr>
        <w:pStyle w:val="Normal1"/>
        <w:spacing w:before="240" w:line="360" w:lineRule="auto"/>
        <w:jc w:val="center"/>
        <w:rPr>
          <w:rFonts w:ascii="Times New Roman" w:eastAsia="Times New Roman" w:hAnsi="Times New Roman" w:cs="Times New Roman"/>
          <w:b/>
          <w:color w:val="000000" w:themeColor="text1"/>
          <w:sz w:val="32"/>
          <w:szCs w:val="32"/>
          <w:highlight w:val="white"/>
          <w:lang w:val="en-GB"/>
        </w:rPr>
      </w:pPr>
    </w:p>
    <w:p w14:paraId="2F78CFCA" w14:textId="77777777" w:rsidR="00B46AD5" w:rsidRPr="00231FC2" w:rsidRDefault="00C413C0" w:rsidP="00231FC2">
      <w:pPr>
        <w:pStyle w:val="Normal1"/>
        <w:spacing w:before="240" w:line="360" w:lineRule="auto"/>
        <w:jc w:val="center"/>
        <w:rPr>
          <w:rFonts w:ascii="Times New Roman" w:eastAsia="Times New Roman" w:hAnsi="Times New Roman" w:cs="Times New Roman"/>
          <w:b/>
          <w:color w:val="000000" w:themeColor="text1"/>
          <w:sz w:val="32"/>
          <w:szCs w:val="32"/>
          <w:highlight w:val="white"/>
          <w:lang w:val="en-GB"/>
        </w:rPr>
      </w:pPr>
      <w:r w:rsidRPr="00231FC2">
        <w:rPr>
          <w:rFonts w:ascii="Times New Roman" w:eastAsia="Times New Roman" w:hAnsi="Times New Roman" w:cs="Times New Roman"/>
          <w:b/>
          <w:color w:val="000000" w:themeColor="text1"/>
          <w:sz w:val="32"/>
          <w:szCs w:val="32"/>
          <w:highlight w:val="white"/>
          <w:lang w:val="en-GB"/>
        </w:rPr>
        <w:t xml:space="preserve">THE MERITS AND DEMERITS OF PRIVATE EQUITY INVESTMENT IN THE EUROPEAN UNION POST </w:t>
      </w:r>
      <w:r w:rsidR="00AE0A8E">
        <w:rPr>
          <w:rFonts w:ascii="Times New Roman" w:eastAsia="Times New Roman" w:hAnsi="Times New Roman" w:cs="Times New Roman"/>
          <w:b/>
          <w:color w:val="000000" w:themeColor="text1"/>
          <w:sz w:val="32"/>
          <w:szCs w:val="32"/>
          <w:highlight w:val="white"/>
          <w:lang w:val="en-GB"/>
        </w:rPr>
        <w:t>BREXIT</w:t>
      </w:r>
    </w:p>
    <w:p w14:paraId="48C83F57" w14:textId="77777777" w:rsidR="00B46AD5" w:rsidRPr="00231FC2" w:rsidRDefault="00B46AD5" w:rsidP="00231FC2">
      <w:pPr>
        <w:spacing w:before="240"/>
        <w:rPr>
          <w:rFonts w:eastAsia="Times New Roman" w:cs="Times New Roman"/>
          <w:b/>
          <w:sz w:val="32"/>
          <w:szCs w:val="32"/>
          <w:highlight w:val="white"/>
          <w:lang w:val="en-GB"/>
        </w:rPr>
      </w:pPr>
      <w:r w:rsidRPr="00231FC2">
        <w:rPr>
          <w:rFonts w:eastAsia="Times New Roman" w:cs="Times New Roman"/>
          <w:b/>
          <w:sz w:val="32"/>
          <w:szCs w:val="32"/>
          <w:highlight w:val="white"/>
          <w:lang w:val="en-GB"/>
        </w:rPr>
        <w:br w:type="page"/>
      </w:r>
    </w:p>
    <w:p w14:paraId="4532C6F8" w14:textId="77777777" w:rsidR="003577FD" w:rsidRPr="003577FD" w:rsidRDefault="003577FD" w:rsidP="003577FD">
      <w:pPr>
        <w:pStyle w:val="NormalWeb"/>
        <w:spacing w:before="240"/>
        <w:jc w:val="center"/>
        <w:rPr>
          <w:b/>
          <w:bCs/>
          <w:shd w:val="clear" w:color="auto" w:fill="FFFFFF"/>
        </w:rPr>
      </w:pPr>
    </w:p>
    <w:p w14:paraId="4807F42E"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Master’s Degrees by Examination and Dissertation</w:t>
      </w:r>
    </w:p>
    <w:p w14:paraId="742F6B9D"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Declaration Form.</w:t>
      </w:r>
    </w:p>
    <w:p w14:paraId="5A405D3F"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1. This work has not previously been accepted in substance for any degree and is not being concurrently submitted in candidature for any degree.</w:t>
      </w:r>
    </w:p>
    <w:p w14:paraId="7246136C"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Signed…………………………</w:t>
      </w:r>
    </w:p>
    <w:p w14:paraId="056418C3"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Date ………………………………………………………………………………...</w:t>
      </w:r>
    </w:p>
    <w:p w14:paraId="6C16B47F"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 xml:space="preserve">  </w:t>
      </w:r>
    </w:p>
    <w:p w14:paraId="3E176D2A"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2. This dissertation is being submitted in partial fulfilment of the requirements for the degree of Master in Business Administration.</w:t>
      </w:r>
    </w:p>
    <w:p w14:paraId="23C3B602"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Signed  …………………………………………………………………………….</w:t>
      </w:r>
    </w:p>
    <w:p w14:paraId="262A24B9"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Date  …………………………………………………………………..…………...</w:t>
      </w:r>
    </w:p>
    <w:p w14:paraId="39CF9750"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 xml:space="preserve"> 3. This dissertation is the result of my own independent work/investigation, except where otherwise stated.</w:t>
      </w:r>
    </w:p>
    <w:p w14:paraId="6BECA430"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 xml:space="preserve">Other sources are acknowledged by footnotes giving explicit references. </w:t>
      </w:r>
    </w:p>
    <w:p w14:paraId="7063B441"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A bibliography is appended.</w:t>
      </w:r>
    </w:p>
    <w:p w14:paraId="3C071454"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 xml:space="preserve">Signed candidate:  Lirta Kollcinaku </w:t>
      </w:r>
    </w:p>
    <w:p w14:paraId="76A3B7F3"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Date:  28/10/2022</w:t>
      </w:r>
    </w:p>
    <w:p w14:paraId="01D4D287"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 xml:space="preserve">  </w:t>
      </w:r>
    </w:p>
    <w:p w14:paraId="5C9D3239"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 xml:space="preserve">4. I hereby give consent for my dissertation, if accepted, to be available for photocopying,  inter- library loan, and for deposit in the University’s digital repository </w:t>
      </w:r>
    </w:p>
    <w:p w14:paraId="159CA2DB"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 xml:space="preserve">Signed (candidate) Lirta Kollcinaku </w:t>
      </w:r>
    </w:p>
    <w:p w14:paraId="3520767D"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Date 28/10/2022</w:t>
      </w:r>
    </w:p>
    <w:p w14:paraId="396E6577"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Supervisor’s Declaration.</w:t>
      </w:r>
    </w:p>
    <w:p w14:paraId="5B3747B7"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I am satisfied that this work is the result of the student’s own efforts.</w:t>
      </w:r>
    </w:p>
    <w:p w14:paraId="72C72E3D" w14:textId="77777777" w:rsidR="003577FD" w:rsidRPr="003577FD" w:rsidRDefault="003577FD" w:rsidP="003577FD">
      <w:pPr>
        <w:pStyle w:val="NormalWeb"/>
        <w:spacing w:before="240"/>
        <w:jc w:val="center"/>
        <w:rPr>
          <w:b/>
          <w:bCs/>
          <w:shd w:val="clear" w:color="auto" w:fill="FFFFFF"/>
        </w:rPr>
      </w:pPr>
      <w:r w:rsidRPr="003577FD">
        <w:rPr>
          <w:b/>
          <w:bCs/>
          <w:shd w:val="clear" w:color="auto" w:fill="FFFFFF"/>
        </w:rPr>
        <w:t>Signed:  Gladius David Kulothungan</w:t>
      </w:r>
    </w:p>
    <w:p w14:paraId="5E45D68A" w14:textId="77777777" w:rsidR="003577FD" w:rsidRDefault="003577FD" w:rsidP="003577FD">
      <w:pPr>
        <w:pStyle w:val="NormalWeb"/>
        <w:spacing w:before="240" w:beforeAutospacing="0" w:after="0" w:afterAutospacing="0" w:line="360" w:lineRule="auto"/>
        <w:jc w:val="center"/>
        <w:rPr>
          <w:b/>
          <w:bCs/>
          <w:shd w:val="clear" w:color="auto" w:fill="FFFFFF"/>
        </w:rPr>
      </w:pPr>
      <w:r w:rsidRPr="003577FD">
        <w:rPr>
          <w:b/>
          <w:bCs/>
          <w:shd w:val="clear" w:color="auto" w:fill="FFFFFF"/>
        </w:rPr>
        <w:t>Date:  28/10/2022</w:t>
      </w:r>
    </w:p>
    <w:p w14:paraId="38445A0E" w14:textId="77777777" w:rsidR="003577FD" w:rsidRPr="003577FD" w:rsidRDefault="003577FD" w:rsidP="003577FD">
      <w:pPr>
        <w:spacing w:line="276" w:lineRule="auto"/>
        <w:jc w:val="left"/>
        <w:rPr>
          <w:b/>
          <w:bCs/>
          <w:shd w:val="clear" w:color="auto" w:fill="FFFFFF"/>
        </w:rPr>
      </w:pPr>
    </w:p>
    <w:p w14:paraId="313F9079" w14:textId="77777777" w:rsidR="003577FD" w:rsidRPr="003577FD" w:rsidRDefault="003577FD" w:rsidP="003577FD">
      <w:pPr>
        <w:spacing w:line="276" w:lineRule="auto"/>
        <w:jc w:val="left"/>
        <w:rPr>
          <w:b/>
          <w:bCs/>
          <w:shd w:val="clear" w:color="auto" w:fill="FFFFFF"/>
        </w:rPr>
      </w:pPr>
      <w:r w:rsidRPr="003577FD">
        <w:rPr>
          <w:b/>
          <w:bCs/>
          <w:shd w:val="clear" w:color="auto" w:fill="FFFFFF"/>
        </w:rPr>
        <w:t>University of Wales: Trinity Saint David</w:t>
      </w:r>
    </w:p>
    <w:p w14:paraId="6E962D13" w14:textId="77777777" w:rsidR="003577FD" w:rsidRPr="003577FD" w:rsidRDefault="003577FD" w:rsidP="003577FD">
      <w:pPr>
        <w:spacing w:line="276" w:lineRule="auto"/>
        <w:jc w:val="left"/>
        <w:rPr>
          <w:b/>
          <w:bCs/>
          <w:shd w:val="clear" w:color="auto" w:fill="FFFFFF"/>
        </w:rPr>
      </w:pPr>
      <w:r w:rsidRPr="003577FD">
        <w:rPr>
          <w:b/>
          <w:bCs/>
          <w:shd w:val="clear" w:color="auto" w:fill="FFFFFF"/>
        </w:rPr>
        <w:t>E-Thesis Deposit Agreement</w:t>
      </w:r>
    </w:p>
    <w:p w14:paraId="124C17CF" w14:textId="77777777" w:rsidR="003577FD" w:rsidRPr="003577FD" w:rsidRDefault="003577FD" w:rsidP="003577FD">
      <w:pPr>
        <w:spacing w:line="276" w:lineRule="auto"/>
        <w:jc w:val="left"/>
        <w:rPr>
          <w:b/>
          <w:bCs/>
          <w:shd w:val="clear" w:color="auto" w:fill="FFFFFF"/>
        </w:rPr>
      </w:pPr>
    </w:p>
    <w:p w14:paraId="0C3A14E1" w14:textId="77777777" w:rsidR="003577FD" w:rsidRPr="003577FD" w:rsidRDefault="003577FD" w:rsidP="003577FD">
      <w:pPr>
        <w:spacing w:line="276" w:lineRule="auto"/>
        <w:jc w:val="left"/>
        <w:rPr>
          <w:b/>
          <w:bCs/>
          <w:shd w:val="clear" w:color="auto" w:fill="FFFFFF"/>
        </w:rPr>
      </w:pPr>
      <w:r w:rsidRPr="003577FD">
        <w:rPr>
          <w:b/>
          <w:bCs/>
          <w:shd w:val="clear" w:color="auto" w:fill="FFFFFF"/>
        </w:rPr>
        <w:t>Details of the Work</w:t>
      </w:r>
    </w:p>
    <w:p w14:paraId="2B3FA374" w14:textId="77777777" w:rsidR="003577FD" w:rsidRPr="003577FD" w:rsidRDefault="003577FD" w:rsidP="003577FD">
      <w:pPr>
        <w:spacing w:line="276" w:lineRule="auto"/>
        <w:jc w:val="left"/>
        <w:rPr>
          <w:b/>
          <w:bCs/>
          <w:shd w:val="clear" w:color="auto" w:fill="FFFFFF"/>
        </w:rPr>
      </w:pPr>
      <w:r w:rsidRPr="003577FD">
        <w:rPr>
          <w:b/>
          <w:bCs/>
          <w:shd w:val="clear" w:color="auto" w:fill="FFFFFF"/>
        </w:rPr>
        <w:t>I would like to deposit the following item in the digital repository maintained by the University, and/or in any other repository authorized for use by the University:</w:t>
      </w:r>
    </w:p>
    <w:p w14:paraId="436E56F5" w14:textId="77777777" w:rsidR="003577FD" w:rsidRPr="003577FD" w:rsidRDefault="003577FD" w:rsidP="003577FD">
      <w:pPr>
        <w:spacing w:line="276" w:lineRule="auto"/>
        <w:jc w:val="left"/>
        <w:rPr>
          <w:b/>
          <w:bCs/>
          <w:shd w:val="clear" w:color="auto" w:fill="FFFFFF"/>
        </w:rPr>
      </w:pPr>
    </w:p>
    <w:p w14:paraId="7B0AC938" w14:textId="77777777" w:rsidR="003577FD" w:rsidRPr="003577FD" w:rsidRDefault="003577FD" w:rsidP="003577FD">
      <w:pPr>
        <w:spacing w:line="276" w:lineRule="auto"/>
        <w:jc w:val="left"/>
        <w:rPr>
          <w:b/>
          <w:bCs/>
          <w:shd w:val="clear" w:color="auto" w:fill="FFFFFF"/>
        </w:rPr>
      </w:pPr>
      <w:r w:rsidRPr="003577FD">
        <w:rPr>
          <w:b/>
          <w:bCs/>
          <w:shd w:val="clear" w:color="auto" w:fill="FFFFFF"/>
        </w:rPr>
        <w:t xml:space="preserve">Title </w:t>
      </w:r>
    </w:p>
    <w:p w14:paraId="67D66FD7" w14:textId="77777777" w:rsidR="003577FD" w:rsidRPr="003577FD" w:rsidRDefault="003577FD" w:rsidP="003577FD">
      <w:pPr>
        <w:spacing w:line="276" w:lineRule="auto"/>
        <w:jc w:val="left"/>
        <w:rPr>
          <w:b/>
          <w:bCs/>
          <w:shd w:val="clear" w:color="auto" w:fill="FFFFFF"/>
        </w:rPr>
      </w:pPr>
    </w:p>
    <w:p w14:paraId="288D66BF" w14:textId="77777777" w:rsidR="003577FD" w:rsidRPr="003577FD" w:rsidRDefault="003577FD" w:rsidP="003577FD">
      <w:pPr>
        <w:spacing w:line="276" w:lineRule="auto"/>
        <w:jc w:val="left"/>
        <w:rPr>
          <w:b/>
          <w:bCs/>
          <w:shd w:val="clear" w:color="auto" w:fill="FFFFFF"/>
        </w:rPr>
      </w:pPr>
      <w:r w:rsidRPr="003577FD">
        <w:rPr>
          <w:b/>
          <w:bCs/>
          <w:shd w:val="clear" w:color="auto" w:fill="FFFFFF"/>
        </w:rPr>
        <w:t xml:space="preserve">THE MERITS AND DEMERITS OF PRIVATE EQUITY INVESTMENT IN THE EUROPEAN UNION POST BREXIT </w:t>
      </w:r>
    </w:p>
    <w:p w14:paraId="53AB667B" w14:textId="77777777" w:rsidR="003577FD" w:rsidRPr="003577FD" w:rsidRDefault="003577FD" w:rsidP="003577FD">
      <w:pPr>
        <w:spacing w:line="276" w:lineRule="auto"/>
        <w:jc w:val="left"/>
        <w:rPr>
          <w:b/>
          <w:bCs/>
          <w:shd w:val="clear" w:color="auto" w:fill="FFFFFF"/>
        </w:rPr>
      </w:pPr>
    </w:p>
    <w:p w14:paraId="71876641" w14:textId="77777777" w:rsidR="003577FD" w:rsidRPr="003577FD" w:rsidRDefault="003577FD" w:rsidP="003577FD">
      <w:pPr>
        <w:spacing w:line="276" w:lineRule="auto"/>
        <w:jc w:val="left"/>
        <w:rPr>
          <w:b/>
          <w:bCs/>
          <w:shd w:val="clear" w:color="auto" w:fill="FFFFFF"/>
        </w:rPr>
      </w:pPr>
      <w:r w:rsidRPr="003577FD">
        <w:rPr>
          <w:b/>
          <w:bCs/>
          <w:shd w:val="clear" w:color="auto" w:fill="FFFFFF"/>
        </w:rPr>
        <w:t>This item is a product of my own research endeavours and is covered by the agreement below in which the item is referred to as “the Work”.  It is identical in content to that deposited in the Learning Resources Centre, subject to point 4 below.</w:t>
      </w:r>
    </w:p>
    <w:p w14:paraId="726AC931" w14:textId="77777777" w:rsidR="003577FD" w:rsidRPr="003577FD" w:rsidRDefault="003577FD" w:rsidP="003577FD">
      <w:pPr>
        <w:spacing w:line="276" w:lineRule="auto"/>
        <w:jc w:val="left"/>
        <w:rPr>
          <w:b/>
          <w:bCs/>
          <w:shd w:val="clear" w:color="auto" w:fill="FFFFFF"/>
        </w:rPr>
      </w:pPr>
    </w:p>
    <w:p w14:paraId="05B54721" w14:textId="77777777" w:rsidR="003577FD" w:rsidRPr="003577FD" w:rsidRDefault="003577FD" w:rsidP="003577FD">
      <w:pPr>
        <w:spacing w:line="276" w:lineRule="auto"/>
        <w:jc w:val="left"/>
        <w:rPr>
          <w:b/>
          <w:bCs/>
          <w:shd w:val="clear" w:color="auto" w:fill="FFFFFF"/>
        </w:rPr>
      </w:pPr>
      <w:r w:rsidRPr="003577FD">
        <w:rPr>
          <w:b/>
          <w:bCs/>
          <w:shd w:val="clear" w:color="auto" w:fill="FFFFFF"/>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167666E0" w14:textId="77777777" w:rsidR="003577FD" w:rsidRPr="003577FD" w:rsidRDefault="003577FD" w:rsidP="003577FD">
      <w:pPr>
        <w:spacing w:line="276" w:lineRule="auto"/>
        <w:jc w:val="left"/>
        <w:rPr>
          <w:b/>
          <w:bCs/>
          <w:shd w:val="clear" w:color="auto" w:fill="FFFFFF"/>
        </w:rPr>
      </w:pPr>
    </w:p>
    <w:p w14:paraId="57556774" w14:textId="77777777" w:rsidR="003577FD" w:rsidRPr="003577FD" w:rsidRDefault="003577FD" w:rsidP="003577FD">
      <w:pPr>
        <w:spacing w:line="276" w:lineRule="auto"/>
        <w:jc w:val="left"/>
        <w:rPr>
          <w:b/>
          <w:bCs/>
          <w:shd w:val="clear" w:color="auto" w:fill="FFFFFF"/>
        </w:rPr>
      </w:pPr>
      <w:r w:rsidRPr="003577FD">
        <w:rPr>
          <w:b/>
          <w:bCs/>
          <w:shd w:val="clear" w:color="auto" w:fill="FFFFFF"/>
        </w:rPr>
        <w:t>UW: TSD Digital Repository</w:t>
      </w:r>
    </w:p>
    <w:p w14:paraId="026EC34E" w14:textId="77777777" w:rsidR="003577FD" w:rsidRPr="003577FD" w:rsidRDefault="003577FD" w:rsidP="003577FD">
      <w:pPr>
        <w:spacing w:line="276" w:lineRule="auto"/>
        <w:jc w:val="left"/>
        <w:rPr>
          <w:b/>
          <w:bCs/>
          <w:shd w:val="clear" w:color="auto" w:fill="FFFFFF"/>
        </w:rPr>
      </w:pPr>
      <w:r w:rsidRPr="003577FD">
        <w:rPr>
          <w:b/>
          <w:bCs/>
          <w:shd w:val="clear" w:color="auto" w:fill="FFFFFF"/>
        </w:rPr>
        <w:t>I understand that work deposited in the digital repository will be accessible to a wide variety of people and institutions, including automated agents and search engines via the World Wide Web.</w:t>
      </w:r>
    </w:p>
    <w:p w14:paraId="6E474BF8" w14:textId="77777777" w:rsidR="003577FD" w:rsidRPr="003577FD" w:rsidRDefault="003577FD" w:rsidP="003577FD">
      <w:pPr>
        <w:spacing w:line="276" w:lineRule="auto"/>
        <w:jc w:val="left"/>
        <w:rPr>
          <w:b/>
          <w:bCs/>
          <w:shd w:val="clear" w:color="auto" w:fill="FFFFFF"/>
        </w:rPr>
      </w:pPr>
    </w:p>
    <w:p w14:paraId="403A519F" w14:textId="77777777" w:rsidR="003577FD" w:rsidRPr="003577FD" w:rsidRDefault="003577FD" w:rsidP="003577FD">
      <w:pPr>
        <w:spacing w:line="276" w:lineRule="auto"/>
        <w:jc w:val="left"/>
        <w:rPr>
          <w:b/>
          <w:bCs/>
          <w:shd w:val="clear" w:color="auto" w:fill="FFFFFF"/>
        </w:rPr>
      </w:pPr>
      <w:r w:rsidRPr="003577FD">
        <w:rPr>
          <w:b/>
          <w:bCs/>
          <w:shd w:val="clear" w:color="auto" w:fill="FFFFFF"/>
        </w:rPr>
        <w:t>I understand that once the Work is deposited, the item and its metadata may be incorporated into public access catalogues or services, such as national databases of electronic theses.</w:t>
      </w:r>
    </w:p>
    <w:p w14:paraId="185A1A27" w14:textId="77777777" w:rsidR="003577FD" w:rsidRPr="003577FD" w:rsidRDefault="003577FD" w:rsidP="003577FD">
      <w:pPr>
        <w:spacing w:line="276" w:lineRule="auto"/>
        <w:jc w:val="left"/>
        <w:rPr>
          <w:b/>
          <w:bCs/>
          <w:shd w:val="clear" w:color="auto" w:fill="FFFFFF"/>
        </w:rPr>
      </w:pPr>
    </w:p>
    <w:p w14:paraId="53AA1864" w14:textId="77777777" w:rsidR="003577FD" w:rsidRPr="003577FD" w:rsidRDefault="003577FD" w:rsidP="003577FD">
      <w:pPr>
        <w:spacing w:line="276" w:lineRule="auto"/>
        <w:jc w:val="left"/>
        <w:rPr>
          <w:b/>
          <w:bCs/>
          <w:shd w:val="clear" w:color="auto" w:fill="FFFFFF"/>
        </w:rPr>
      </w:pPr>
      <w:r w:rsidRPr="003577FD">
        <w:rPr>
          <w:b/>
          <w:bCs/>
          <w:shd w:val="clear" w:color="auto" w:fill="FFFFFF"/>
        </w:rPr>
        <w:tab/>
        <w:t>I agree as follows:</w:t>
      </w:r>
    </w:p>
    <w:p w14:paraId="3F76A672" w14:textId="77777777" w:rsidR="003577FD" w:rsidRPr="003577FD" w:rsidRDefault="003577FD" w:rsidP="003577FD">
      <w:pPr>
        <w:numPr>
          <w:ilvl w:val="0"/>
          <w:numId w:val="5"/>
        </w:numPr>
        <w:spacing w:line="276" w:lineRule="auto"/>
        <w:ind w:left="720" w:hanging="360"/>
        <w:jc w:val="left"/>
        <w:rPr>
          <w:b/>
          <w:bCs/>
          <w:shd w:val="clear" w:color="auto" w:fill="FFFFFF"/>
        </w:rPr>
      </w:pPr>
      <w:r w:rsidRPr="003577FD">
        <w:rPr>
          <w:b/>
          <w:bCs/>
          <w:shd w:val="clear" w:color="auto" w:fill="FFFFFF"/>
        </w:rPr>
        <w:t>That I am the author or have the authority of the author/s to make this agreement and do hereby give the University of Wales: Trinity Saint David the right to make available the Work in the way described above.</w:t>
      </w:r>
    </w:p>
    <w:p w14:paraId="45DC2F64" w14:textId="77777777" w:rsidR="003577FD" w:rsidRPr="003577FD" w:rsidRDefault="003577FD" w:rsidP="003577FD">
      <w:pPr>
        <w:numPr>
          <w:ilvl w:val="0"/>
          <w:numId w:val="5"/>
        </w:numPr>
        <w:spacing w:line="276" w:lineRule="auto"/>
        <w:ind w:left="720" w:hanging="360"/>
        <w:jc w:val="left"/>
        <w:rPr>
          <w:b/>
          <w:bCs/>
          <w:shd w:val="clear" w:color="auto" w:fill="FFFFFF"/>
        </w:rPr>
      </w:pPr>
      <w:r w:rsidRPr="003577FD">
        <w:rPr>
          <w:b/>
          <w:bCs/>
          <w:shd w:val="clear" w:color="auto" w:fill="FFFFFF"/>
        </w:rPr>
        <w:t>That the electronic copy of the Work deposited in the digital repository and covered by this agreement, is identical in content to the paper copy of the Work.</w:t>
      </w:r>
    </w:p>
    <w:p w14:paraId="2B12F036" w14:textId="77777777" w:rsidR="003577FD" w:rsidRPr="003577FD" w:rsidRDefault="003577FD" w:rsidP="003577FD">
      <w:pPr>
        <w:numPr>
          <w:ilvl w:val="0"/>
          <w:numId w:val="5"/>
        </w:numPr>
        <w:spacing w:line="276" w:lineRule="auto"/>
        <w:ind w:left="720" w:hanging="360"/>
        <w:jc w:val="left"/>
        <w:rPr>
          <w:b/>
          <w:bCs/>
          <w:shd w:val="clear" w:color="auto" w:fill="FFFFFF"/>
        </w:rPr>
      </w:pPr>
      <w:r w:rsidRPr="003577FD">
        <w:rPr>
          <w:b/>
          <w:bCs/>
          <w:shd w:val="clear" w:color="auto" w:fill="FFFFFF"/>
        </w:rPr>
        <w:t>That I have exercised reasonable care to ensure that the Work is original, and to the best of my knowledge, does not breach any laws including those relating to defamation, libel and copyright.</w:t>
      </w:r>
    </w:p>
    <w:p w14:paraId="10961C24" w14:textId="77777777" w:rsidR="003577FD" w:rsidRPr="003577FD" w:rsidRDefault="003577FD" w:rsidP="003577FD">
      <w:pPr>
        <w:numPr>
          <w:ilvl w:val="0"/>
          <w:numId w:val="5"/>
        </w:numPr>
        <w:spacing w:line="276" w:lineRule="auto"/>
        <w:ind w:left="720" w:hanging="360"/>
        <w:jc w:val="left"/>
        <w:rPr>
          <w:b/>
          <w:bCs/>
          <w:shd w:val="clear" w:color="auto" w:fill="FFFFFF"/>
        </w:rPr>
      </w:pPr>
      <w:r w:rsidRPr="003577FD">
        <w:rPr>
          <w:b/>
          <w:bCs/>
          <w:shd w:val="clear" w:color="auto" w:fill="FFFFFF"/>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3577FD">
        <w:rPr>
          <w:b/>
          <w:bCs/>
          <w:i/>
          <w:iCs/>
          <w:shd w:val="clear" w:color="auto" w:fill="FFFFFF"/>
        </w:rPr>
        <w:t>or</w:t>
      </w:r>
      <w:r w:rsidRPr="003577FD">
        <w:rPr>
          <w:b/>
          <w:bCs/>
          <w:shd w:val="clear" w:color="auto" w:fill="FFFFFF"/>
        </w:rPr>
        <w:t xml:space="preserve"> that I have identified and removed that material for which adequate permission has not been obtained and which will be inaccessible via the digital repository</w:t>
      </w:r>
    </w:p>
    <w:p w14:paraId="69C2405B" w14:textId="77777777" w:rsidR="003577FD" w:rsidRPr="003577FD" w:rsidRDefault="003577FD" w:rsidP="003577FD">
      <w:pPr>
        <w:numPr>
          <w:ilvl w:val="0"/>
          <w:numId w:val="5"/>
        </w:numPr>
        <w:spacing w:line="276" w:lineRule="auto"/>
        <w:ind w:left="720" w:hanging="360"/>
        <w:jc w:val="left"/>
        <w:rPr>
          <w:b/>
          <w:bCs/>
          <w:shd w:val="clear" w:color="auto" w:fill="FFFFFF"/>
        </w:rPr>
      </w:pPr>
      <w:r w:rsidRPr="003577FD">
        <w:rPr>
          <w:b/>
          <w:bCs/>
          <w:shd w:val="clear" w:color="auto" w:fill="FFFFFF"/>
        </w:rPr>
        <w:t>That University of Wales: Trinity Saint David does not hold any obligation to take legal action on behalf of the Depositor, or other rights holders, in the event of a breach of intellectual property rights, or any other right, in the material deposited.</w:t>
      </w:r>
    </w:p>
    <w:p w14:paraId="5C2BD480" w14:textId="77777777" w:rsidR="003577FD" w:rsidRPr="003577FD" w:rsidRDefault="003577FD" w:rsidP="003577FD">
      <w:pPr>
        <w:numPr>
          <w:ilvl w:val="0"/>
          <w:numId w:val="5"/>
        </w:numPr>
        <w:spacing w:line="276" w:lineRule="auto"/>
        <w:ind w:left="720" w:hanging="360"/>
        <w:jc w:val="left"/>
        <w:rPr>
          <w:b/>
          <w:bCs/>
          <w:shd w:val="clear" w:color="auto" w:fill="FFFFFF"/>
        </w:rPr>
      </w:pPr>
      <w:r w:rsidRPr="003577FD">
        <w:rPr>
          <w:b/>
          <w:bCs/>
          <w:shd w:val="clear" w:color="auto" w:fill="FFFFFF"/>
        </w:rPr>
        <w:t>That I undertake to indemnify the University of Wales: Trinity Saint David against all actions, suits, proceedings, claims, demands and costs occasioned by the University in consequence of any breach of this agreement</w:t>
      </w:r>
    </w:p>
    <w:p w14:paraId="18840C7E" w14:textId="77777777" w:rsidR="003577FD" w:rsidRPr="003577FD" w:rsidRDefault="003577FD" w:rsidP="003577FD">
      <w:pPr>
        <w:spacing w:line="276" w:lineRule="auto"/>
        <w:jc w:val="left"/>
        <w:rPr>
          <w:b/>
          <w:bCs/>
          <w:shd w:val="clear" w:color="auto" w:fill="FFFFFF"/>
        </w:rPr>
      </w:pPr>
    </w:p>
    <w:p w14:paraId="1CDFF705" w14:textId="77777777" w:rsidR="003577FD" w:rsidRPr="003577FD" w:rsidRDefault="003577FD" w:rsidP="003577FD">
      <w:pPr>
        <w:spacing w:line="276" w:lineRule="auto"/>
        <w:jc w:val="left"/>
        <w:rPr>
          <w:b/>
          <w:bCs/>
          <w:shd w:val="clear" w:color="auto" w:fill="FFFFFF"/>
        </w:rPr>
      </w:pPr>
    </w:p>
    <w:p w14:paraId="57144BF6" w14:textId="77777777" w:rsidR="003577FD" w:rsidRPr="003577FD" w:rsidRDefault="003577FD" w:rsidP="003577FD">
      <w:pPr>
        <w:spacing w:line="276" w:lineRule="auto"/>
        <w:jc w:val="left"/>
        <w:rPr>
          <w:b/>
          <w:bCs/>
          <w:shd w:val="clear" w:color="auto" w:fill="FFFFFF"/>
        </w:rPr>
      </w:pPr>
    </w:p>
    <w:p w14:paraId="40B311B5" w14:textId="77777777" w:rsidR="003577FD" w:rsidRPr="003577FD" w:rsidRDefault="003577FD" w:rsidP="003577FD">
      <w:pPr>
        <w:spacing w:line="276" w:lineRule="auto"/>
        <w:jc w:val="left"/>
        <w:rPr>
          <w:b/>
          <w:bCs/>
          <w:shd w:val="clear" w:color="auto" w:fill="FFFFFF"/>
        </w:rPr>
      </w:pPr>
      <w:r w:rsidRPr="003577FD">
        <w:rPr>
          <w:b/>
          <w:bCs/>
          <w:shd w:val="clear" w:color="auto" w:fill="FFFFFF"/>
        </w:rPr>
        <w:t xml:space="preserve">Signature LIRTA KOLLCINAKU </w:t>
      </w:r>
    </w:p>
    <w:p w14:paraId="30BB1177" w14:textId="77777777" w:rsidR="003577FD" w:rsidRPr="003577FD" w:rsidRDefault="003577FD" w:rsidP="003577FD">
      <w:pPr>
        <w:spacing w:line="276" w:lineRule="auto"/>
        <w:jc w:val="left"/>
        <w:rPr>
          <w:b/>
          <w:bCs/>
          <w:shd w:val="clear" w:color="auto" w:fill="FFFFFF"/>
        </w:rPr>
      </w:pPr>
    </w:p>
    <w:p w14:paraId="1399CB5D" w14:textId="77777777" w:rsidR="003577FD" w:rsidRPr="003577FD" w:rsidRDefault="003577FD" w:rsidP="003577FD">
      <w:pPr>
        <w:spacing w:line="276" w:lineRule="auto"/>
        <w:jc w:val="left"/>
        <w:rPr>
          <w:b/>
          <w:bCs/>
          <w:shd w:val="clear" w:color="auto" w:fill="FFFFFF"/>
        </w:rPr>
      </w:pPr>
    </w:p>
    <w:p w14:paraId="0E1B6D0E" w14:textId="77777777" w:rsidR="003577FD" w:rsidRPr="003577FD" w:rsidRDefault="003577FD" w:rsidP="003577FD">
      <w:pPr>
        <w:spacing w:line="276" w:lineRule="auto"/>
        <w:jc w:val="left"/>
        <w:rPr>
          <w:b/>
          <w:bCs/>
          <w:shd w:val="clear" w:color="auto" w:fill="FFFFFF"/>
        </w:rPr>
      </w:pPr>
      <w:r w:rsidRPr="003577FD">
        <w:rPr>
          <w:b/>
          <w:bCs/>
          <w:shd w:val="clear" w:color="auto" w:fill="FFFFFF"/>
        </w:rPr>
        <w:t>Date 28/10/2022</w:t>
      </w:r>
    </w:p>
    <w:p w14:paraId="4D336363" w14:textId="77777777" w:rsidR="003577FD" w:rsidRPr="003577FD" w:rsidRDefault="003577FD" w:rsidP="003577FD">
      <w:pPr>
        <w:spacing w:line="276" w:lineRule="auto"/>
        <w:jc w:val="left"/>
        <w:rPr>
          <w:b/>
          <w:bCs/>
          <w:shd w:val="clear" w:color="auto" w:fill="FFFFFF"/>
        </w:rPr>
      </w:pPr>
    </w:p>
    <w:p w14:paraId="4778BABC" w14:textId="77777777" w:rsidR="003577FD" w:rsidRPr="003577FD" w:rsidRDefault="003577FD" w:rsidP="003577FD">
      <w:pPr>
        <w:spacing w:line="276" w:lineRule="auto"/>
        <w:jc w:val="left"/>
        <w:rPr>
          <w:b/>
          <w:bCs/>
          <w:shd w:val="clear" w:color="auto" w:fill="FFFFFF"/>
        </w:rPr>
      </w:pPr>
    </w:p>
    <w:p w14:paraId="7DA09C1B" w14:textId="77777777" w:rsidR="003577FD" w:rsidRDefault="003577FD">
      <w:pPr>
        <w:spacing w:line="276" w:lineRule="auto"/>
        <w:jc w:val="left"/>
        <w:rPr>
          <w:rFonts w:eastAsia="Times New Roman" w:cs="Times New Roman"/>
          <w:b/>
          <w:bCs/>
          <w:szCs w:val="24"/>
          <w:shd w:val="clear" w:color="auto" w:fill="FFFFFF"/>
        </w:rPr>
      </w:pPr>
    </w:p>
    <w:p w14:paraId="1591A189" w14:textId="77777777" w:rsidR="003577FD" w:rsidRPr="003577FD" w:rsidRDefault="003577FD" w:rsidP="00231FC2">
      <w:pPr>
        <w:pStyle w:val="NormalWeb"/>
        <w:spacing w:before="240" w:beforeAutospacing="0" w:after="0" w:afterAutospacing="0" w:line="360" w:lineRule="auto"/>
        <w:jc w:val="center"/>
        <w:rPr>
          <w:b/>
          <w:bCs/>
          <w:shd w:val="clear" w:color="auto" w:fill="FFFFFF"/>
        </w:rPr>
      </w:pPr>
    </w:p>
    <w:p w14:paraId="0EEEC3A3" w14:textId="77777777" w:rsidR="00B46AD5" w:rsidRPr="00231FC2" w:rsidRDefault="00B46AD5" w:rsidP="00231FC2">
      <w:pPr>
        <w:pStyle w:val="NormalWeb"/>
        <w:spacing w:before="240" w:beforeAutospacing="0" w:after="0" w:afterAutospacing="0" w:line="360" w:lineRule="auto"/>
        <w:jc w:val="center"/>
        <w:rPr>
          <w:lang w:val="en-GB"/>
        </w:rPr>
      </w:pPr>
      <w:r w:rsidRPr="00231FC2">
        <w:rPr>
          <w:b/>
          <w:bCs/>
          <w:shd w:val="clear" w:color="auto" w:fill="FFFFFF"/>
          <w:lang w:val="en-GB"/>
        </w:rPr>
        <w:t>Acknowledgements</w:t>
      </w:r>
    </w:p>
    <w:p w14:paraId="78D406E6" w14:textId="77777777" w:rsidR="00B46AD5" w:rsidRPr="00231FC2" w:rsidRDefault="00B46AD5" w:rsidP="00755B97">
      <w:pPr>
        <w:rPr>
          <w:rFonts w:eastAsia="Times New Roman" w:cs="Times New Roman"/>
          <w:szCs w:val="24"/>
          <w:shd w:val="clear" w:color="auto" w:fill="FFFFFF"/>
          <w:lang w:val="en-GB"/>
        </w:rPr>
      </w:pPr>
    </w:p>
    <w:p w14:paraId="791998B7" w14:textId="77777777" w:rsidR="00755B97" w:rsidRDefault="00755B97" w:rsidP="00755B97">
      <w:pPr>
        <w:rPr>
          <w:rFonts w:eastAsia="Times New Roman" w:cs="Times New Roman"/>
          <w:szCs w:val="24"/>
          <w:shd w:val="clear" w:color="auto" w:fill="FFFFFF"/>
          <w:lang w:val="en-GB"/>
        </w:rPr>
      </w:pPr>
      <w:r>
        <w:rPr>
          <w:shd w:val="clear" w:color="auto" w:fill="FFFFFF"/>
          <w:lang w:val="en-GB"/>
        </w:rPr>
        <w:t>I am very thankful to my professor for giving me this exciting opportunity. Suffi</w:t>
      </w:r>
      <w:r w:rsidR="00091FA8">
        <w:rPr>
          <w:shd w:val="clear" w:color="auto" w:fill="FFFFFF"/>
          <w:lang w:val="en-GB"/>
        </w:rPr>
        <w:t>cient guidance from his end has</w:t>
      </w:r>
      <w:r>
        <w:rPr>
          <w:shd w:val="clear" w:color="auto" w:fill="FFFFFF"/>
          <w:lang w:val="en-GB"/>
        </w:rPr>
        <w:t xml:space="preserve"> aided me to improve my work and assignment by considerable margins. Similarly, I also aid my gratitude towards other peers who sorted me to gain effective information. I am thankful to my parents as well for having my back at every interval of this course.</w:t>
      </w:r>
      <w:r>
        <w:rPr>
          <w:shd w:val="clear" w:color="auto" w:fill="FFFFFF"/>
          <w:lang w:val="en-GB"/>
        </w:rPr>
        <w:br w:type="page"/>
      </w:r>
    </w:p>
    <w:p w14:paraId="6604ABB9" w14:textId="77777777" w:rsidR="00B46AD5" w:rsidRPr="00231FC2" w:rsidRDefault="00B46AD5" w:rsidP="00231FC2">
      <w:pPr>
        <w:pStyle w:val="NormalWeb"/>
        <w:spacing w:before="240" w:beforeAutospacing="0" w:after="0" w:afterAutospacing="0" w:line="360" w:lineRule="auto"/>
        <w:jc w:val="center"/>
        <w:rPr>
          <w:b/>
          <w:bCs/>
          <w:shd w:val="clear" w:color="auto" w:fill="FFFFFF"/>
          <w:lang w:val="en-GB"/>
        </w:rPr>
      </w:pPr>
      <w:r w:rsidRPr="00231FC2">
        <w:rPr>
          <w:b/>
          <w:bCs/>
          <w:shd w:val="clear" w:color="auto" w:fill="FFFFFF"/>
          <w:lang w:val="en-GB"/>
        </w:rPr>
        <w:t>Abstract</w:t>
      </w:r>
    </w:p>
    <w:p w14:paraId="5C3CD32A" w14:textId="77777777" w:rsidR="00B46AD5" w:rsidRPr="00755B97" w:rsidRDefault="006C3A27" w:rsidP="00755B97">
      <w:pPr>
        <w:pStyle w:val="NormalWeb"/>
        <w:spacing w:before="240" w:beforeAutospacing="0" w:after="0" w:afterAutospacing="0" w:line="360" w:lineRule="auto"/>
        <w:rPr>
          <w:lang w:val="en-GB"/>
        </w:rPr>
      </w:pPr>
      <w:r w:rsidRPr="00231FC2">
        <w:rPr>
          <w:highlight w:val="white"/>
          <w:lang w:val="en-GB"/>
        </w:rPr>
        <w:t xml:space="preserve">Private equity investment is an aspect that provides companies with an opportunity of growth. Obtaining return on investment companies makes use of equity share creating a major impact on operation management. However, it has been identified that because of </w:t>
      </w:r>
      <w:r w:rsidR="00AE0A8E">
        <w:rPr>
          <w:highlight w:val="white"/>
          <w:lang w:val="en-GB"/>
        </w:rPr>
        <w:t>BREXIT</w:t>
      </w:r>
      <w:r w:rsidRPr="00231FC2">
        <w:rPr>
          <w:highlight w:val="white"/>
          <w:lang w:val="en-GB"/>
        </w:rPr>
        <w:t xml:space="preserve"> companies while investing in the EU market are unable to enhance success and sustainability leading towards major challenges.</w:t>
      </w:r>
      <w:r w:rsidRPr="00231FC2">
        <w:rPr>
          <w:lang w:val="en-GB"/>
        </w:rPr>
        <w:t xml:space="preserve"> </w:t>
      </w:r>
      <w:r w:rsidR="00231FC2" w:rsidRPr="00231FC2">
        <w:rPr>
          <w:lang w:val="en-GB"/>
        </w:rPr>
        <w:t xml:space="preserve">Potential strategies for recovering from poor economic conditions were totalled in this discussion. Different theories like fifty percent principle, prospect theory, and rational expectations were also aligned with the perception of investors post their </w:t>
      </w:r>
      <w:r w:rsidR="00AE0A8E">
        <w:rPr>
          <w:lang w:val="en-GB"/>
        </w:rPr>
        <w:t>BREXIT</w:t>
      </w:r>
      <w:r w:rsidR="00231FC2" w:rsidRPr="00231FC2">
        <w:rPr>
          <w:lang w:val="en-GB"/>
        </w:rPr>
        <w:t xml:space="preserve"> situation. A literature gap was effectively proposed by studying different materials. </w:t>
      </w:r>
      <w:r w:rsidR="00C413C0" w:rsidRPr="00231FC2">
        <w:rPr>
          <w:bCs/>
          <w:shd w:val="clear" w:color="auto" w:fill="FFFFFF"/>
          <w:lang w:val="en-GB"/>
        </w:rPr>
        <w:t>Methodology chapter of this research has specified different research tools and techniqu</w:t>
      </w:r>
      <w:r w:rsidR="00811E43" w:rsidRPr="00231FC2">
        <w:rPr>
          <w:bCs/>
          <w:shd w:val="clear" w:color="auto" w:fill="FFFFFF"/>
          <w:lang w:val="en-GB"/>
        </w:rPr>
        <w:t>es that have ensured sustainable</w:t>
      </w:r>
      <w:r w:rsidR="00C413C0" w:rsidRPr="00231FC2">
        <w:rPr>
          <w:bCs/>
          <w:shd w:val="clear" w:color="auto" w:fill="FFFFFF"/>
          <w:lang w:val="en-GB"/>
        </w:rPr>
        <w:t xml:space="preserve"> </w:t>
      </w:r>
      <w:r w:rsidR="00811E43" w:rsidRPr="00231FC2">
        <w:rPr>
          <w:bCs/>
          <w:shd w:val="clear" w:color="auto" w:fill="FFFFFF"/>
          <w:lang w:val="en-GB"/>
        </w:rPr>
        <w:t>development</w:t>
      </w:r>
      <w:r w:rsidR="00C413C0" w:rsidRPr="00231FC2">
        <w:rPr>
          <w:bCs/>
          <w:shd w:val="clear" w:color="auto" w:fill="FFFFFF"/>
          <w:lang w:val="en-GB"/>
        </w:rPr>
        <w:t xml:space="preserve"> of research</w:t>
      </w:r>
      <w:r w:rsidR="00811E43" w:rsidRPr="00231FC2">
        <w:rPr>
          <w:bCs/>
          <w:shd w:val="clear" w:color="auto" w:fill="FFFFFF"/>
          <w:lang w:val="en-GB"/>
        </w:rPr>
        <w:t xml:space="preserve"> information</w:t>
      </w:r>
      <w:r w:rsidR="00C413C0" w:rsidRPr="00231FC2">
        <w:rPr>
          <w:bCs/>
          <w:shd w:val="clear" w:color="auto" w:fill="FFFFFF"/>
          <w:lang w:val="en-GB"/>
        </w:rPr>
        <w:t>. Secondary thematic data analysis m</w:t>
      </w:r>
      <w:r w:rsidR="00811E43" w:rsidRPr="00231FC2">
        <w:rPr>
          <w:bCs/>
          <w:shd w:val="clear" w:color="auto" w:fill="FFFFFF"/>
          <w:lang w:val="en-GB"/>
        </w:rPr>
        <w:t>ethod is used which</w:t>
      </w:r>
      <w:r w:rsidR="00C413C0" w:rsidRPr="00231FC2">
        <w:rPr>
          <w:bCs/>
          <w:shd w:val="clear" w:color="auto" w:fill="FFFFFF"/>
          <w:lang w:val="en-GB"/>
        </w:rPr>
        <w:t xml:space="preserve"> ensued overall research development</w:t>
      </w:r>
      <w:r w:rsidR="00811E43" w:rsidRPr="00231FC2">
        <w:rPr>
          <w:bCs/>
          <w:shd w:val="clear" w:color="auto" w:fill="FFFFFF"/>
          <w:lang w:val="en-GB"/>
        </w:rPr>
        <w:t xml:space="preserve"> successfully</w:t>
      </w:r>
      <w:r w:rsidR="00C413C0" w:rsidRPr="00231FC2">
        <w:rPr>
          <w:bCs/>
          <w:shd w:val="clear" w:color="auto" w:fill="FFFFFF"/>
          <w:lang w:val="en-GB"/>
        </w:rPr>
        <w:t xml:space="preserve">. Additionally, ethical dimension is critically </w:t>
      </w:r>
      <w:r w:rsidR="00811E43" w:rsidRPr="00231FC2">
        <w:rPr>
          <w:bCs/>
          <w:shd w:val="clear" w:color="auto" w:fill="FFFFFF"/>
          <w:lang w:val="en-GB"/>
        </w:rPr>
        <w:t>followed</w:t>
      </w:r>
      <w:r w:rsidR="00C413C0" w:rsidRPr="00231FC2">
        <w:rPr>
          <w:bCs/>
          <w:shd w:val="clear" w:color="auto" w:fill="FFFFFF"/>
          <w:lang w:val="en-GB"/>
        </w:rPr>
        <w:t xml:space="preserve"> that has raised validity and reliability of overall research </w:t>
      </w:r>
      <w:r w:rsidR="00811E43" w:rsidRPr="00231FC2">
        <w:rPr>
          <w:bCs/>
          <w:shd w:val="clear" w:color="auto" w:fill="FFFFFF"/>
          <w:lang w:val="en-GB"/>
        </w:rPr>
        <w:t>information</w:t>
      </w:r>
      <w:r w:rsidR="00C413C0" w:rsidRPr="00231FC2">
        <w:rPr>
          <w:bCs/>
          <w:shd w:val="clear" w:color="auto" w:fill="FFFFFF"/>
          <w:lang w:val="en-GB"/>
        </w:rPr>
        <w:t xml:space="preserve">. </w:t>
      </w:r>
      <w:r w:rsidR="00811E43" w:rsidRPr="00231FC2">
        <w:rPr>
          <w:bCs/>
          <w:shd w:val="clear" w:color="auto" w:fill="FFFFFF"/>
          <w:lang w:val="en-GB"/>
        </w:rPr>
        <w:t xml:space="preserve">This research has maintained authenticity of secondary sources and designed this research work qualitatively which has majorly included non-numeric information. All chosen tools and techniques are chosen in this research work which has ensured a secondary data analysis process and developed this research work effectively. </w:t>
      </w:r>
      <w:r w:rsidR="00231FC2" w:rsidRPr="00231FC2">
        <w:rPr>
          <w:lang w:val="en-GB"/>
        </w:rPr>
        <w:t>Risk of return has been cited as one of the prime factors of private equity investments. Similarly, fragility of the EU was reminisced through the perception of decreasing rates of FDI.</w:t>
      </w:r>
      <w:r w:rsidR="00755B97">
        <w:rPr>
          <w:lang w:val="en-GB"/>
        </w:rPr>
        <w:t xml:space="preserve"> </w:t>
      </w:r>
      <w:r w:rsidR="00755B97">
        <w:rPr>
          <w:color w:val="000000"/>
        </w:rPr>
        <w:t>Different discussions were established to portray the impacts on private equity investment in the EU after Brexit happened. Exemption of UK based managers from pursuing business in the EU was installed. Alongside, there has been substantial highlighting of Luxembourg as a common unit of discussion. Lastly, this study also included effective details about governmental roles and commercial banks responsibilities. Facts sorted under these themes were established while scaling the findings of this research.</w:t>
      </w:r>
      <w:r w:rsidR="001C1547">
        <w:rPr>
          <w:lang w:val="en-GB"/>
        </w:rPr>
        <w:t xml:space="preserve"> A finding section is developed that has enhanced a collaborative analysis of all five themes and concluded different merits and demerits of equity investment at EU in port </w:t>
      </w:r>
      <w:r w:rsidR="00AE0A8E">
        <w:rPr>
          <w:lang w:val="en-GB"/>
        </w:rPr>
        <w:t>BREXIT</w:t>
      </w:r>
      <w:r w:rsidR="001C1547">
        <w:rPr>
          <w:lang w:val="en-GB"/>
        </w:rPr>
        <w:t xml:space="preserve"> situation. </w:t>
      </w:r>
      <w:r w:rsidR="00AA3E71">
        <w:rPr>
          <w:lang w:val="en-GB"/>
        </w:rPr>
        <w:t xml:space="preserve">A broad discussion is presented based on thematic analysis in this study as well as compared and contrasted literature content. Such development of discussion has ensured a overall discussion based on topic and fulfilled all requirements of research aim. </w:t>
      </w:r>
      <w:r w:rsidR="00306B44" w:rsidRPr="00DC11EF">
        <w:rPr>
          <w:highlight w:val="white"/>
          <w:lang w:val="en-GB"/>
        </w:rPr>
        <w:t>It has been identified that lack of strategic decisions has created major challenges towards companies in bringing in success and sustainability. Thus, with assistance from recommended strategies based on key findings, challenges faced by companies in the EU market can be reduced successfully bringing in success and sustainability.</w:t>
      </w:r>
    </w:p>
    <w:p w14:paraId="247DCEDF" w14:textId="77777777" w:rsidR="00755B97" w:rsidRDefault="00755B97">
      <w:pPr>
        <w:spacing w:line="276" w:lineRule="auto"/>
        <w:jc w:val="left"/>
        <w:rPr>
          <w:rFonts w:eastAsia="Times New Roman" w:cs="Times New Roman"/>
          <w:b/>
          <w:bCs/>
          <w:szCs w:val="24"/>
          <w:shd w:val="clear" w:color="auto" w:fill="FFFFFF"/>
          <w:lang w:val="en-GB"/>
        </w:rPr>
      </w:pPr>
      <w:r>
        <w:rPr>
          <w:b/>
          <w:bCs/>
          <w:shd w:val="clear" w:color="auto" w:fill="FFFFFF"/>
          <w:lang w:val="en-GB"/>
        </w:rPr>
        <w:br w:type="page"/>
      </w:r>
    </w:p>
    <w:p w14:paraId="097607F9" w14:textId="77777777" w:rsidR="00B46AD5" w:rsidRPr="00231FC2" w:rsidRDefault="00B46AD5" w:rsidP="00231FC2">
      <w:pPr>
        <w:pStyle w:val="NormalWeb"/>
        <w:spacing w:before="240" w:beforeAutospacing="0" w:after="0" w:afterAutospacing="0" w:line="360" w:lineRule="auto"/>
        <w:jc w:val="center"/>
        <w:rPr>
          <w:b/>
          <w:bCs/>
          <w:shd w:val="clear" w:color="auto" w:fill="FFFFFF"/>
          <w:lang w:val="en-GB"/>
        </w:rPr>
      </w:pPr>
      <w:r w:rsidRPr="00231FC2">
        <w:rPr>
          <w:b/>
          <w:bCs/>
          <w:shd w:val="clear" w:color="auto" w:fill="FFFFFF"/>
          <w:lang w:val="en-GB"/>
        </w:rPr>
        <w:t>Table of Contents</w:t>
      </w:r>
    </w:p>
    <w:p w14:paraId="101C8F76" w14:textId="77777777" w:rsidR="000D6B73" w:rsidRDefault="000D6B73">
      <w:pPr>
        <w:pStyle w:val="TableofFigures"/>
        <w:tabs>
          <w:tab w:val="right" w:leader="dot" w:pos="9019"/>
        </w:tabs>
        <w:rPr>
          <w:rFonts w:asciiTheme="minorHAnsi" w:eastAsiaTheme="minorEastAsia" w:hAnsiTheme="minorHAnsi" w:cstheme="minorBidi"/>
          <w:noProof/>
          <w:color w:val="auto"/>
          <w:sz w:val="22"/>
        </w:rPr>
      </w:pPr>
      <w:r>
        <w:rPr>
          <w:lang w:val="en-GB"/>
        </w:rPr>
        <w:fldChar w:fldCharType="begin"/>
      </w:r>
      <w:r>
        <w:rPr>
          <w:lang w:val="en-GB"/>
        </w:rPr>
        <w:instrText xml:space="preserve"> TOC \h \z \t "Heading 1" \c </w:instrText>
      </w:r>
      <w:r>
        <w:rPr>
          <w:lang w:val="en-GB"/>
        </w:rPr>
        <w:fldChar w:fldCharType="separate"/>
      </w:r>
      <w:hyperlink w:anchor="_Toc114323805" w:history="1">
        <w:r w:rsidRPr="002436F2">
          <w:rPr>
            <w:rStyle w:val="Hyperlink"/>
            <w:noProof/>
            <w:highlight w:val="white"/>
            <w:lang w:val="en-GB"/>
          </w:rPr>
          <w:t>Chapter 1: Introduction</w:t>
        </w:r>
        <w:r>
          <w:rPr>
            <w:noProof/>
            <w:webHidden/>
          </w:rPr>
          <w:tab/>
        </w:r>
        <w:r>
          <w:rPr>
            <w:noProof/>
            <w:webHidden/>
          </w:rPr>
          <w:fldChar w:fldCharType="begin"/>
        </w:r>
        <w:r>
          <w:rPr>
            <w:noProof/>
            <w:webHidden/>
          </w:rPr>
          <w:instrText xml:space="preserve"> PAGEREF _Toc114323805 \h </w:instrText>
        </w:r>
        <w:r>
          <w:rPr>
            <w:noProof/>
            <w:webHidden/>
          </w:rPr>
        </w:r>
        <w:r>
          <w:rPr>
            <w:noProof/>
            <w:webHidden/>
          </w:rPr>
          <w:fldChar w:fldCharType="separate"/>
        </w:r>
        <w:r>
          <w:rPr>
            <w:noProof/>
            <w:webHidden/>
          </w:rPr>
          <w:t>9</w:t>
        </w:r>
        <w:r>
          <w:rPr>
            <w:noProof/>
            <w:webHidden/>
          </w:rPr>
          <w:fldChar w:fldCharType="end"/>
        </w:r>
      </w:hyperlink>
    </w:p>
    <w:p w14:paraId="32B85798"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06" w:history="1">
        <w:r w:rsidR="000D6B73" w:rsidRPr="002436F2">
          <w:rPr>
            <w:rStyle w:val="Hyperlink"/>
            <w:noProof/>
            <w:highlight w:val="white"/>
            <w:lang w:val="en-GB"/>
          </w:rPr>
          <w:t>1.0 Introduction</w:t>
        </w:r>
        <w:r w:rsidR="000D6B73">
          <w:rPr>
            <w:noProof/>
            <w:webHidden/>
          </w:rPr>
          <w:tab/>
        </w:r>
        <w:r w:rsidR="000D6B73">
          <w:rPr>
            <w:noProof/>
            <w:webHidden/>
          </w:rPr>
          <w:fldChar w:fldCharType="begin"/>
        </w:r>
        <w:r w:rsidR="000D6B73">
          <w:rPr>
            <w:noProof/>
            <w:webHidden/>
          </w:rPr>
          <w:instrText xml:space="preserve"> PAGEREF _Toc114323806 \h </w:instrText>
        </w:r>
        <w:r w:rsidR="000D6B73">
          <w:rPr>
            <w:noProof/>
            <w:webHidden/>
          </w:rPr>
        </w:r>
        <w:r w:rsidR="000D6B73">
          <w:rPr>
            <w:noProof/>
            <w:webHidden/>
          </w:rPr>
          <w:fldChar w:fldCharType="separate"/>
        </w:r>
        <w:r w:rsidR="000D6B73">
          <w:rPr>
            <w:noProof/>
            <w:webHidden/>
          </w:rPr>
          <w:t>9</w:t>
        </w:r>
        <w:r w:rsidR="000D6B73">
          <w:rPr>
            <w:noProof/>
            <w:webHidden/>
          </w:rPr>
          <w:fldChar w:fldCharType="end"/>
        </w:r>
      </w:hyperlink>
    </w:p>
    <w:p w14:paraId="65051EC2"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07" w:history="1">
        <w:r w:rsidR="000D6B73" w:rsidRPr="002436F2">
          <w:rPr>
            <w:rStyle w:val="Hyperlink"/>
            <w:noProof/>
            <w:highlight w:val="white"/>
            <w:lang w:val="en-GB"/>
          </w:rPr>
          <w:t>1.1 Research Background</w:t>
        </w:r>
        <w:r w:rsidR="000D6B73">
          <w:rPr>
            <w:noProof/>
            <w:webHidden/>
          </w:rPr>
          <w:tab/>
        </w:r>
        <w:r w:rsidR="000D6B73">
          <w:rPr>
            <w:noProof/>
            <w:webHidden/>
          </w:rPr>
          <w:fldChar w:fldCharType="begin"/>
        </w:r>
        <w:r w:rsidR="000D6B73">
          <w:rPr>
            <w:noProof/>
            <w:webHidden/>
          </w:rPr>
          <w:instrText xml:space="preserve"> PAGEREF _Toc114323807 \h </w:instrText>
        </w:r>
        <w:r w:rsidR="000D6B73">
          <w:rPr>
            <w:noProof/>
            <w:webHidden/>
          </w:rPr>
        </w:r>
        <w:r w:rsidR="000D6B73">
          <w:rPr>
            <w:noProof/>
            <w:webHidden/>
          </w:rPr>
          <w:fldChar w:fldCharType="separate"/>
        </w:r>
        <w:r w:rsidR="000D6B73">
          <w:rPr>
            <w:noProof/>
            <w:webHidden/>
          </w:rPr>
          <w:t>9</w:t>
        </w:r>
        <w:r w:rsidR="000D6B73">
          <w:rPr>
            <w:noProof/>
            <w:webHidden/>
          </w:rPr>
          <w:fldChar w:fldCharType="end"/>
        </w:r>
      </w:hyperlink>
    </w:p>
    <w:p w14:paraId="1079EFB1"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08" w:history="1">
        <w:r w:rsidR="000D6B73" w:rsidRPr="002436F2">
          <w:rPr>
            <w:rStyle w:val="Hyperlink"/>
            <w:noProof/>
            <w:highlight w:val="white"/>
            <w:lang w:val="en-GB"/>
          </w:rPr>
          <w:t>1.2 Research Rationale</w:t>
        </w:r>
        <w:r w:rsidR="000D6B73">
          <w:rPr>
            <w:noProof/>
            <w:webHidden/>
          </w:rPr>
          <w:tab/>
        </w:r>
        <w:r w:rsidR="000D6B73">
          <w:rPr>
            <w:noProof/>
            <w:webHidden/>
          </w:rPr>
          <w:fldChar w:fldCharType="begin"/>
        </w:r>
        <w:r w:rsidR="000D6B73">
          <w:rPr>
            <w:noProof/>
            <w:webHidden/>
          </w:rPr>
          <w:instrText xml:space="preserve"> PAGEREF _Toc114323808 \h </w:instrText>
        </w:r>
        <w:r w:rsidR="000D6B73">
          <w:rPr>
            <w:noProof/>
            <w:webHidden/>
          </w:rPr>
        </w:r>
        <w:r w:rsidR="000D6B73">
          <w:rPr>
            <w:noProof/>
            <w:webHidden/>
          </w:rPr>
          <w:fldChar w:fldCharType="separate"/>
        </w:r>
        <w:r w:rsidR="000D6B73">
          <w:rPr>
            <w:noProof/>
            <w:webHidden/>
          </w:rPr>
          <w:t>10</w:t>
        </w:r>
        <w:r w:rsidR="000D6B73">
          <w:rPr>
            <w:noProof/>
            <w:webHidden/>
          </w:rPr>
          <w:fldChar w:fldCharType="end"/>
        </w:r>
      </w:hyperlink>
    </w:p>
    <w:p w14:paraId="30ED0C67"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09" w:history="1">
        <w:r w:rsidR="000D6B73" w:rsidRPr="002436F2">
          <w:rPr>
            <w:rStyle w:val="Hyperlink"/>
            <w:noProof/>
            <w:highlight w:val="white"/>
            <w:lang w:val="en-GB"/>
          </w:rPr>
          <w:t>1.3 Research Aim</w:t>
        </w:r>
        <w:r w:rsidR="000D6B73">
          <w:rPr>
            <w:noProof/>
            <w:webHidden/>
          </w:rPr>
          <w:tab/>
        </w:r>
        <w:r w:rsidR="000D6B73">
          <w:rPr>
            <w:noProof/>
            <w:webHidden/>
          </w:rPr>
          <w:fldChar w:fldCharType="begin"/>
        </w:r>
        <w:r w:rsidR="000D6B73">
          <w:rPr>
            <w:noProof/>
            <w:webHidden/>
          </w:rPr>
          <w:instrText xml:space="preserve"> PAGEREF _Toc114323809 \h </w:instrText>
        </w:r>
        <w:r w:rsidR="000D6B73">
          <w:rPr>
            <w:noProof/>
            <w:webHidden/>
          </w:rPr>
        </w:r>
        <w:r w:rsidR="000D6B73">
          <w:rPr>
            <w:noProof/>
            <w:webHidden/>
          </w:rPr>
          <w:fldChar w:fldCharType="separate"/>
        </w:r>
        <w:r w:rsidR="000D6B73">
          <w:rPr>
            <w:noProof/>
            <w:webHidden/>
          </w:rPr>
          <w:t>11</w:t>
        </w:r>
        <w:r w:rsidR="000D6B73">
          <w:rPr>
            <w:noProof/>
            <w:webHidden/>
          </w:rPr>
          <w:fldChar w:fldCharType="end"/>
        </w:r>
      </w:hyperlink>
    </w:p>
    <w:p w14:paraId="1101A09D"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10" w:history="1">
        <w:r w:rsidR="000D6B73" w:rsidRPr="002436F2">
          <w:rPr>
            <w:rStyle w:val="Hyperlink"/>
            <w:noProof/>
            <w:highlight w:val="white"/>
            <w:lang w:val="en-GB"/>
          </w:rPr>
          <w:t>1.4 Research Objectives</w:t>
        </w:r>
        <w:r w:rsidR="000D6B73">
          <w:rPr>
            <w:noProof/>
            <w:webHidden/>
          </w:rPr>
          <w:tab/>
        </w:r>
        <w:r w:rsidR="000D6B73">
          <w:rPr>
            <w:noProof/>
            <w:webHidden/>
          </w:rPr>
          <w:fldChar w:fldCharType="begin"/>
        </w:r>
        <w:r w:rsidR="000D6B73">
          <w:rPr>
            <w:noProof/>
            <w:webHidden/>
          </w:rPr>
          <w:instrText xml:space="preserve"> PAGEREF _Toc114323810 \h </w:instrText>
        </w:r>
        <w:r w:rsidR="000D6B73">
          <w:rPr>
            <w:noProof/>
            <w:webHidden/>
          </w:rPr>
        </w:r>
        <w:r w:rsidR="000D6B73">
          <w:rPr>
            <w:noProof/>
            <w:webHidden/>
          </w:rPr>
          <w:fldChar w:fldCharType="separate"/>
        </w:r>
        <w:r w:rsidR="000D6B73">
          <w:rPr>
            <w:noProof/>
            <w:webHidden/>
          </w:rPr>
          <w:t>11</w:t>
        </w:r>
        <w:r w:rsidR="000D6B73">
          <w:rPr>
            <w:noProof/>
            <w:webHidden/>
          </w:rPr>
          <w:fldChar w:fldCharType="end"/>
        </w:r>
      </w:hyperlink>
    </w:p>
    <w:p w14:paraId="067B6EAC"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11" w:history="1">
        <w:r w:rsidR="000D6B73" w:rsidRPr="002436F2">
          <w:rPr>
            <w:rStyle w:val="Hyperlink"/>
            <w:noProof/>
            <w:highlight w:val="white"/>
            <w:lang w:val="en-GB"/>
          </w:rPr>
          <w:t>1.5 Research Questions</w:t>
        </w:r>
        <w:r w:rsidR="000D6B73">
          <w:rPr>
            <w:noProof/>
            <w:webHidden/>
          </w:rPr>
          <w:tab/>
        </w:r>
        <w:r w:rsidR="000D6B73">
          <w:rPr>
            <w:noProof/>
            <w:webHidden/>
          </w:rPr>
          <w:fldChar w:fldCharType="begin"/>
        </w:r>
        <w:r w:rsidR="000D6B73">
          <w:rPr>
            <w:noProof/>
            <w:webHidden/>
          </w:rPr>
          <w:instrText xml:space="preserve"> PAGEREF _Toc114323811 \h </w:instrText>
        </w:r>
        <w:r w:rsidR="000D6B73">
          <w:rPr>
            <w:noProof/>
            <w:webHidden/>
          </w:rPr>
        </w:r>
        <w:r w:rsidR="000D6B73">
          <w:rPr>
            <w:noProof/>
            <w:webHidden/>
          </w:rPr>
          <w:fldChar w:fldCharType="separate"/>
        </w:r>
        <w:r w:rsidR="000D6B73">
          <w:rPr>
            <w:noProof/>
            <w:webHidden/>
          </w:rPr>
          <w:t>12</w:t>
        </w:r>
        <w:r w:rsidR="000D6B73">
          <w:rPr>
            <w:noProof/>
            <w:webHidden/>
          </w:rPr>
          <w:fldChar w:fldCharType="end"/>
        </w:r>
      </w:hyperlink>
    </w:p>
    <w:p w14:paraId="48516279"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12" w:history="1">
        <w:r w:rsidR="000D6B73" w:rsidRPr="002436F2">
          <w:rPr>
            <w:rStyle w:val="Hyperlink"/>
            <w:noProof/>
            <w:highlight w:val="white"/>
            <w:lang w:val="en-GB"/>
          </w:rPr>
          <w:t>1.6 Structure of Dissertation</w:t>
        </w:r>
        <w:r w:rsidR="000D6B73">
          <w:rPr>
            <w:noProof/>
            <w:webHidden/>
          </w:rPr>
          <w:tab/>
        </w:r>
        <w:r w:rsidR="000D6B73">
          <w:rPr>
            <w:noProof/>
            <w:webHidden/>
          </w:rPr>
          <w:fldChar w:fldCharType="begin"/>
        </w:r>
        <w:r w:rsidR="000D6B73">
          <w:rPr>
            <w:noProof/>
            <w:webHidden/>
          </w:rPr>
          <w:instrText xml:space="preserve"> PAGEREF _Toc114323812 \h </w:instrText>
        </w:r>
        <w:r w:rsidR="000D6B73">
          <w:rPr>
            <w:noProof/>
            <w:webHidden/>
          </w:rPr>
        </w:r>
        <w:r w:rsidR="000D6B73">
          <w:rPr>
            <w:noProof/>
            <w:webHidden/>
          </w:rPr>
          <w:fldChar w:fldCharType="separate"/>
        </w:r>
        <w:r w:rsidR="000D6B73">
          <w:rPr>
            <w:noProof/>
            <w:webHidden/>
          </w:rPr>
          <w:t>12</w:t>
        </w:r>
        <w:r w:rsidR="000D6B73">
          <w:rPr>
            <w:noProof/>
            <w:webHidden/>
          </w:rPr>
          <w:fldChar w:fldCharType="end"/>
        </w:r>
      </w:hyperlink>
    </w:p>
    <w:p w14:paraId="753B9951"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13" w:history="1">
        <w:r w:rsidR="000D6B73" w:rsidRPr="002436F2">
          <w:rPr>
            <w:rStyle w:val="Hyperlink"/>
            <w:noProof/>
            <w:highlight w:val="white"/>
            <w:lang w:val="en-GB"/>
          </w:rPr>
          <w:t>1.7 Theoretical Framework</w:t>
        </w:r>
        <w:r w:rsidR="000D6B73">
          <w:rPr>
            <w:noProof/>
            <w:webHidden/>
          </w:rPr>
          <w:tab/>
        </w:r>
        <w:r w:rsidR="000D6B73">
          <w:rPr>
            <w:noProof/>
            <w:webHidden/>
          </w:rPr>
          <w:fldChar w:fldCharType="begin"/>
        </w:r>
        <w:r w:rsidR="000D6B73">
          <w:rPr>
            <w:noProof/>
            <w:webHidden/>
          </w:rPr>
          <w:instrText xml:space="preserve"> PAGEREF _Toc114323813 \h </w:instrText>
        </w:r>
        <w:r w:rsidR="000D6B73">
          <w:rPr>
            <w:noProof/>
            <w:webHidden/>
          </w:rPr>
        </w:r>
        <w:r w:rsidR="000D6B73">
          <w:rPr>
            <w:noProof/>
            <w:webHidden/>
          </w:rPr>
          <w:fldChar w:fldCharType="separate"/>
        </w:r>
        <w:r w:rsidR="000D6B73">
          <w:rPr>
            <w:noProof/>
            <w:webHidden/>
          </w:rPr>
          <w:t>12</w:t>
        </w:r>
        <w:r w:rsidR="000D6B73">
          <w:rPr>
            <w:noProof/>
            <w:webHidden/>
          </w:rPr>
          <w:fldChar w:fldCharType="end"/>
        </w:r>
      </w:hyperlink>
    </w:p>
    <w:p w14:paraId="0A759EB5"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14" w:history="1">
        <w:r w:rsidR="000D6B73" w:rsidRPr="002436F2">
          <w:rPr>
            <w:rStyle w:val="Hyperlink"/>
            <w:noProof/>
            <w:highlight w:val="white"/>
            <w:lang w:val="en-GB"/>
          </w:rPr>
          <w:t>1.8 Significance of Research</w:t>
        </w:r>
        <w:r w:rsidR="000D6B73">
          <w:rPr>
            <w:noProof/>
            <w:webHidden/>
          </w:rPr>
          <w:tab/>
        </w:r>
        <w:r w:rsidR="000D6B73">
          <w:rPr>
            <w:noProof/>
            <w:webHidden/>
          </w:rPr>
          <w:fldChar w:fldCharType="begin"/>
        </w:r>
        <w:r w:rsidR="000D6B73">
          <w:rPr>
            <w:noProof/>
            <w:webHidden/>
          </w:rPr>
          <w:instrText xml:space="preserve"> PAGEREF _Toc114323814 \h </w:instrText>
        </w:r>
        <w:r w:rsidR="000D6B73">
          <w:rPr>
            <w:noProof/>
            <w:webHidden/>
          </w:rPr>
        </w:r>
        <w:r w:rsidR="000D6B73">
          <w:rPr>
            <w:noProof/>
            <w:webHidden/>
          </w:rPr>
          <w:fldChar w:fldCharType="separate"/>
        </w:r>
        <w:r w:rsidR="000D6B73">
          <w:rPr>
            <w:noProof/>
            <w:webHidden/>
          </w:rPr>
          <w:t>13</w:t>
        </w:r>
        <w:r w:rsidR="000D6B73">
          <w:rPr>
            <w:noProof/>
            <w:webHidden/>
          </w:rPr>
          <w:fldChar w:fldCharType="end"/>
        </w:r>
      </w:hyperlink>
    </w:p>
    <w:p w14:paraId="5D5636FB"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15" w:history="1">
        <w:r w:rsidR="000D6B73" w:rsidRPr="002436F2">
          <w:rPr>
            <w:rStyle w:val="Hyperlink"/>
            <w:noProof/>
            <w:highlight w:val="white"/>
            <w:lang w:val="en-GB"/>
          </w:rPr>
          <w:t>1.9 Summary</w:t>
        </w:r>
        <w:r w:rsidR="000D6B73">
          <w:rPr>
            <w:noProof/>
            <w:webHidden/>
          </w:rPr>
          <w:tab/>
        </w:r>
        <w:r w:rsidR="000D6B73">
          <w:rPr>
            <w:noProof/>
            <w:webHidden/>
          </w:rPr>
          <w:fldChar w:fldCharType="begin"/>
        </w:r>
        <w:r w:rsidR="000D6B73">
          <w:rPr>
            <w:noProof/>
            <w:webHidden/>
          </w:rPr>
          <w:instrText xml:space="preserve"> PAGEREF _Toc114323815 \h </w:instrText>
        </w:r>
        <w:r w:rsidR="000D6B73">
          <w:rPr>
            <w:noProof/>
            <w:webHidden/>
          </w:rPr>
        </w:r>
        <w:r w:rsidR="000D6B73">
          <w:rPr>
            <w:noProof/>
            <w:webHidden/>
          </w:rPr>
          <w:fldChar w:fldCharType="separate"/>
        </w:r>
        <w:r w:rsidR="000D6B73">
          <w:rPr>
            <w:noProof/>
            <w:webHidden/>
          </w:rPr>
          <w:t>13</w:t>
        </w:r>
        <w:r w:rsidR="000D6B73">
          <w:rPr>
            <w:noProof/>
            <w:webHidden/>
          </w:rPr>
          <w:fldChar w:fldCharType="end"/>
        </w:r>
      </w:hyperlink>
    </w:p>
    <w:p w14:paraId="4F8821FC"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16" w:history="1">
        <w:r w:rsidR="000D6B73" w:rsidRPr="002436F2">
          <w:rPr>
            <w:rStyle w:val="Hyperlink"/>
            <w:noProof/>
            <w:shd w:val="clear" w:color="auto" w:fill="FFFFFF"/>
            <w:lang w:val="en-GB"/>
          </w:rPr>
          <w:t>Chapter 2: Literature Review</w:t>
        </w:r>
        <w:r w:rsidR="000D6B73">
          <w:rPr>
            <w:noProof/>
            <w:webHidden/>
          </w:rPr>
          <w:tab/>
        </w:r>
        <w:r w:rsidR="000D6B73">
          <w:rPr>
            <w:noProof/>
            <w:webHidden/>
          </w:rPr>
          <w:fldChar w:fldCharType="begin"/>
        </w:r>
        <w:r w:rsidR="000D6B73">
          <w:rPr>
            <w:noProof/>
            <w:webHidden/>
          </w:rPr>
          <w:instrText xml:space="preserve"> PAGEREF _Toc114323816 \h </w:instrText>
        </w:r>
        <w:r w:rsidR="000D6B73">
          <w:rPr>
            <w:noProof/>
            <w:webHidden/>
          </w:rPr>
        </w:r>
        <w:r w:rsidR="000D6B73">
          <w:rPr>
            <w:noProof/>
            <w:webHidden/>
          </w:rPr>
          <w:fldChar w:fldCharType="separate"/>
        </w:r>
        <w:r w:rsidR="000D6B73">
          <w:rPr>
            <w:noProof/>
            <w:webHidden/>
          </w:rPr>
          <w:t>14</w:t>
        </w:r>
        <w:r w:rsidR="000D6B73">
          <w:rPr>
            <w:noProof/>
            <w:webHidden/>
          </w:rPr>
          <w:fldChar w:fldCharType="end"/>
        </w:r>
      </w:hyperlink>
    </w:p>
    <w:p w14:paraId="348CA27B"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17" w:history="1">
        <w:r w:rsidR="000D6B73" w:rsidRPr="002436F2">
          <w:rPr>
            <w:rStyle w:val="Hyperlink"/>
            <w:noProof/>
            <w:shd w:val="clear" w:color="auto" w:fill="FFFFFF"/>
            <w:lang w:val="en-GB"/>
          </w:rPr>
          <w:t>2.0 Introduction</w:t>
        </w:r>
        <w:r w:rsidR="000D6B73">
          <w:rPr>
            <w:noProof/>
            <w:webHidden/>
          </w:rPr>
          <w:tab/>
        </w:r>
        <w:r w:rsidR="000D6B73">
          <w:rPr>
            <w:noProof/>
            <w:webHidden/>
          </w:rPr>
          <w:fldChar w:fldCharType="begin"/>
        </w:r>
        <w:r w:rsidR="000D6B73">
          <w:rPr>
            <w:noProof/>
            <w:webHidden/>
          </w:rPr>
          <w:instrText xml:space="preserve"> PAGEREF _Toc114323817 \h </w:instrText>
        </w:r>
        <w:r w:rsidR="000D6B73">
          <w:rPr>
            <w:noProof/>
            <w:webHidden/>
          </w:rPr>
        </w:r>
        <w:r w:rsidR="000D6B73">
          <w:rPr>
            <w:noProof/>
            <w:webHidden/>
          </w:rPr>
          <w:fldChar w:fldCharType="separate"/>
        </w:r>
        <w:r w:rsidR="000D6B73">
          <w:rPr>
            <w:noProof/>
            <w:webHidden/>
          </w:rPr>
          <w:t>14</w:t>
        </w:r>
        <w:r w:rsidR="000D6B73">
          <w:rPr>
            <w:noProof/>
            <w:webHidden/>
          </w:rPr>
          <w:fldChar w:fldCharType="end"/>
        </w:r>
      </w:hyperlink>
    </w:p>
    <w:p w14:paraId="12420BAC"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18" w:history="1">
        <w:r w:rsidR="000D6B73" w:rsidRPr="002436F2">
          <w:rPr>
            <w:rStyle w:val="Hyperlink"/>
            <w:noProof/>
            <w:shd w:val="clear" w:color="auto" w:fill="FFFFFF"/>
            <w:lang w:val="en-GB"/>
          </w:rPr>
          <w:t>2.1 Conceptual Framework</w:t>
        </w:r>
        <w:r w:rsidR="000D6B73">
          <w:rPr>
            <w:noProof/>
            <w:webHidden/>
          </w:rPr>
          <w:tab/>
        </w:r>
        <w:r w:rsidR="000D6B73">
          <w:rPr>
            <w:noProof/>
            <w:webHidden/>
          </w:rPr>
          <w:fldChar w:fldCharType="begin"/>
        </w:r>
        <w:r w:rsidR="000D6B73">
          <w:rPr>
            <w:noProof/>
            <w:webHidden/>
          </w:rPr>
          <w:instrText xml:space="preserve"> PAGEREF _Toc114323818 \h </w:instrText>
        </w:r>
        <w:r w:rsidR="000D6B73">
          <w:rPr>
            <w:noProof/>
            <w:webHidden/>
          </w:rPr>
        </w:r>
        <w:r w:rsidR="000D6B73">
          <w:rPr>
            <w:noProof/>
            <w:webHidden/>
          </w:rPr>
          <w:fldChar w:fldCharType="separate"/>
        </w:r>
        <w:r w:rsidR="000D6B73">
          <w:rPr>
            <w:noProof/>
            <w:webHidden/>
          </w:rPr>
          <w:t>14</w:t>
        </w:r>
        <w:r w:rsidR="000D6B73">
          <w:rPr>
            <w:noProof/>
            <w:webHidden/>
          </w:rPr>
          <w:fldChar w:fldCharType="end"/>
        </w:r>
      </w:hyperlink>
    </w:p>
    <w:p w14:paraId="0AC687CD"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19" w:history="1">
        <w:r w:rsidR="000D6B73" w:rsidRPr="002436F2">
          <w:rPr>
            <w:rStyle w:val="Hyperlink"/>
            <w:noProof/>
            <w:shd w:val="clear" w:color="auto" w:fill="FFFFFF"/>
            <w:lang w:val="en-GB"/>
          </w:rPr>
          <w:t>2.2 Concept of private equity investment</w:t>
        </w:r>
        <w:r w:rsidR="000D6B73">
          <w:rPr>
            <w:noProof/>
            <w:webHidden/>
          </w:rPr>
          <w:tab/>
        </w:r>
        <w:r w:rsidR="000D6B73">
          <w:rPr>
            <w:noProof/>
            <w:webHidden/>
          </w:rPr>
          <w:fldChar w:fldCharType="begin"/>
        </w:r>
        <w:r w:rsidR="000D6B73">
          <w:rPr>
            <w:noProof/>
            <w:webHidden/>
          </w:rPr>
          <w:instrText xml:space="preserve"> PAGEREF _Toc114323819 \h </w:instrText>
        </w:r>
        <w:r w:rsidR="000D6B73">
          <w:rPr>
            <w:noProof/>
            <w:webHidden/>
          </w:rPr>
        </w:r>
        <w:r w:rsidR="000D6B73">
          <w:rPr>
            <w:noProof/>
            <w:webHidden/>
          </w:rPr>
          <w:fldChar w:fldCharType="separate"/>
        </w:r>
        <w:r w:rsidR="000D6B73">
          <w:rPr>
            <w:noProof/>
            <w:webHidden/>
          </w:rPr>
          <w:t>15</w:t>
        </w:r>
        <w:r w:rsidR="000D6B73">
          <w:rPr>
            <w:noProof/>
            <w:webHidden/>
          </w:rPr>
          <w:fldChar w:fldCharType="end"/>
        </w:r>
      </w:hyperlink>
    </w:p>
    <w:p w14:paraId="7D546D6E"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20" w:history="1">
        <w:r w:rsidR="000D6B73" w:rsidRPr="002436F2">
          <w:rPr>
            <w:rStyle w:val="Hyperlink"/>
            <w:noProof/>
            <w:shd w:val="clear" w:color="auto" w:fill="FFFFFF"/>
            <w:lang w:val="en-GB"/>
          </w:rPr>
          <w:t>2.3 Factors affecting private equity investment:</w:t>
        </w:r>
        <w:r w:rsidR="000D6B73">
          <w:rPr>
            <w:noProof/>
            <w:webHidden/>
          </w:rPr>
          <w:tab/>
        </w:r>
        <w:r w:rsidR="000D6B73">
          <w:rPr>
            <w:noProof/>
            <w:webHidden/>
          </w:rPr>
          <w:fldChar w:fldCharType="begin"/>
        </w:r>
        <w:r w:rsidR="000D6B73">
          <w:rPr>
            <w:noProof/>
            <w:webHidden/>
          </w:rPr>
          <w:instrText xml:space="preserve"> PAGEREF _Toc114323820 \h </w:instrText>
        </w:r>
        <w:r w:rsidR="000D6B73">
          <w:rPr>
            <w:noProof/>
            <w:webHidden/>
          </w:rPr>
        </w:r>
        <w:r w:rsidR="000D6B73">
          <w:rPr>
            <w:noProof/>
            <w:webHidden/>
          </w:rPr>
          <w:fldChar w:fldCharType="separate"/>
        </w:r>
        <w:r w:rsidR="000D6B73">
          <w:rPr>
            <w:noProof/>
            <w:webHidden/>
          </w:rPr>
          <w:t>15</w:t>
        </w:r>
        <w:r w:rsidR="000D6B73">
          <w:rPr>
            <w:noProof/>
            <w:webHidden/>
          </w:rPr>
          <w:fldChar w:fldCharType="end"/>
        </w:r>
      </w:hyperlink>
    </w:p>
    <w:p w14:paraId="2AF70A60"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21" w:history="1">
        <w:r w:rsidR="000D6B73" w:rsidRPr="002436F2">
          <w:rPr>
            <w:rStyle w:val="Hyperlink"/>
            <w:noProof/>
            <w:shd w:val="clear" w:color="auto" w:fill="FFFFFF"/>
            <w:lang w:val="en-GB"/>
          </w:rPr>
          <w:t>2.4 Common issues faced by private equity investors after BREXIT at EU</w:t>
        </w:r>
        <w:r w:rsidR="000D6B73">
          <w:rPr>
            <w:noProof/>
            <w:webHidden/>
          </w:rPr>
          <w:tab/>
        </w:r>
        <w:r w:rsidR="000D6B73">
          <w:rPr>
            <w:noProof/>
            <w:webHidden/>
          </w:rPr>
          <w:fldChar w:fldCharType="begin"/>
        </w:r>
        <w:r w:rsidR="000D6B73">
          <w:rPr>
            <w:noProof/>
            <w:webHidden/>
          </w:rPr>
          <w:instrText xml:space="preserve"> PAGEREF _Toc114323821 \h </w:instrText>
        </w:r>
        <w:r w:rsidR="000D6B73">
          <w:rPr>
            <w:noProof/>
            <w:webHidden/>
          </w:rPr>
        </w:r>
        <w:r w:rsidR="000D6B73">
          <w:rPr>
            <w:noProof/>
            <w:webHidden/>
          </w:rPr>
          <w:fldChar w:fldCharType="separate"/>
        </w:r>
        <w:r w:rsidR="000D6B73">
          <w:rPr>
            <w:noProof/>
            <w:webHidden/>
          </w:rPr>
          <w:t>17</w:t>
        </w:r>
        <w:r w:rsidR="000D6B73">
          <w:rPr>
            <w:noProof/>
            <w:webHidden/>
          </w:rPr>
          <w:fldChar w:fldCharType="end"/>
        </w:r>
      </w:hyperlink>
    </w:p>
    <w:p w14:paraId="6255D0A0"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22" w:history="1">
        <w:r w:rsidR="000D6B73" w:rsidRPr="002436F2">
          <w:rPr>
            <w:rStyle w:val="Hyperlink"/>
            <w:noProof/>
            <w:shd w:val="clear" w:color="auto" w:fill="FFFFFF"/>
            <w:lang w:val="en-GB"/>
          </w:rPr>
          <w:t>2.5 Impact on private equity investment at EU after BREXIT</w:t>
        </w:r>
        <w:r w:rsidR="000D6B73">
          <w:rPr>
            <w:noProof/>
            <w:webHidden/>
          </w:rPr>
          <w:tab/>
        </w:r>
        <w:r w:rsidR="000D6B73">
          <w:rPr>
            <w:noProof/>
            <w:webHidden/>
          </w:rPr>
          <w:fldChar w:fldCharType="begin"/>
        </w:r>
        <w:r w:rsidR="000D6B73">
          <w:rPr>
            <w:noProof/>
            <w:webHidden/>
          </w:rPr>
          <w:instrText xml:space="preserve"> PAGEREF _Toc114323822 \h </w:instrText>
        </w:r>
        <w:r w:rsidR="000D6B73">
          <w:rPr>
            <w:noProof/>
            <w:webHidden/>
          </w:rPr>
        </w:r>
        <w:r w:rsidR="000D6B73">
          <w:rPr>
            <w:noProof/>
            <w:webHidden/>
          </w:rPr>
          <w:fldChar w:fldCharType="separate"/>
        </w:r>
        <w:r w:rsidR="000D6B73">
          <w:rPr>
            <w:noProof/>
            <w:webHidden/>
          </w:rPr>
          <w:t>19</w:t>
        </w:r>
        <w:r w:rsidR="000D6B73">
          <w:rPr>
            <w:noProof/>
            <w:webHidden/>
          </w:rPr>
          <w:fldChar w:fldCharType="end"/>
        </w:r>
      </w:hyperlink>
    </w:p>
    <w:p w14:paraId="11317C78"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23" w:history="1">
        <w:r w:rsidR="000D6B73" w:rsidRPr="002436F2">
          <w:rPr>
            <w:rStyle w:val="Hyperlink"/>
            <w:noProof/>
            <w:lang w:val="en-GB"/>
          </w:rPr>
          <w:t>2.6 Potential strategies for recovering the gaps in private equity investment at EU</w:t>
        </w:r>
        <w:r w:rsidR="000D6B73">
          <w:rPr>
            <w:noProof/>
            <w:webHidden/>
          </w:rPr>
          <w:tab/>
        </w:r>
        <w:r w:rsidR="000D6B73">
          <w:rPr>
            <w:noProof/>
            <w:webHidden/>
          </w:rPr>
          <w:fldChar w:fldCharType="begin"/>
        </w:r>
        <w:r w:rsidR="000D6B73">
          <w:rPr>
            <w:noProof/>
            <w:webHidden/>
          </w:rPr>
          <w:instrText xml:space="preserve"> PAGEREF _Toc114323823 \h </w:instrText>
        </w:r>
        <w:r w:rsidR="000D6B73">
          <w:rPr>
            <w:noProof/>
            <w:webHidden/>
          </w:rPr>
        </w:r>
        <w:r w:rsidR="000D6B73">
          <w:rPr>
            <w:noProof/>
            <w:webHidden/>
          </w:rPr>
          <w:fldChar w:fldCharType="separate"/>
        </w:r>
        <w:r w:rsidR="000D6B73">
          <w:rPr>
            <w:noProof/>
            <w:webHidden/>
          </w:rPr>
          <w:t>22</w:t>
        </w:r>
        <w:r w:rsidR="000D6B73">
          <w:rPr>
            <w:noProof/>
            <w:webHidden/>
          </w:rPr>
          <w:fldChar w:fldCharType="end"/>
        </w:r>
      </w:hyperlink>
    </w:p>
    <w:p w14:paraId="3280C21D"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24" w:history="1">
        <w:r w:rsidR="000D6B73" w:rsidRPr="002436F2">
          <w:rPr>
            <w:rStyle w:val="Hyperlink"/>
            <w:noProof/>
            <w:lang w:val="en-GB"/>
          </w:rPr>
          <w:t>2.7 Theoretical perspectives</w:t>
        </w:r>
        <w:r w:rsidR="000D6B73">
          <w:rPr>
            <w:noProof/>
            <w:webHidden/>
          </w:rPr>
          <w:tab/>
        </w:r>
        <w:r w:rsidR="000D6B73">
          <w:rPr>
            <w:noProof/>
            <w:webHidden/>
          </w:rPr>
          <w:fldChar w:fldCharType="begin"/>
        </w:r>
        <w:r w:rsidR="000D6B73">
          <w:rPr>
            <w:noProof/>
            <w:webHidden/>
          </w:rPr>
          <w:instrText xml:space="preserve"> PAGEREF _Toc114323824 \h </w:instrText>
        </w:r>
        <w:r w:rsidR="000D6B73">
          <w:rPr>
            <w:noProof/>
            <w:webHidden/>
          </w:rPr>
        </w:r>
        <w:r w:rsidR="000D6B73">
          <w:rPr>
            <w:noProof/>
            <w:webHidden/>
          </w:rPr>
          <w:fldChar w:fldCharType="separate"/>
        </w:r>
        <w:r w:rsidR="000D6B73">
          <w:rPr>
            <w:noProof/>
            <w:webHidden/>
          </w:rPr>
          <w:t>24</w:t>
        </w:r>
        <w:r w:rsidR="000D6B73">
          <w:rPr>
            <w:noProof/>
            <w:webHidden/>
          </w:rPr>
          <w:fldChar w:fldCharType="end"/>
        </w:r>
      </w:hyperlink>
    </w:p>
    <w:p w14:paraId="10A3A70F"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25" w:history="1">
        <w:r w:rsidR="000D6B73" w:rsidRPr="002436F2">
          <w:rPr>
            <w:rStyle w:val="Hyperlink"/>
            <w:i/>
            <w:iCs/>
            <w:noProof/>
            <w:lang w:val="en-GB"/>
          </w:rPr>
          <w:t>2.7.1 Fifty-Percent Principle Theory</w:t>
        </w:r>
        <w:r w:rsidR="000D6B73">
          <w:rPr>
            <w:noProof/>
            <w:webHidden/>
          </w:rPr>
          <w:tab/>
        </w:r>
        <w:r w:rsidR="000D6B73">
          <w:rPr>
            <w:noProof/>
            <w:webHidden/>
          </w:rPr>
          <w:fldChar w:fldCharType="begin"/>
        </w:r>
        <w:r w:rsidR="000D6B73">
          <w:rPr>
            <w:noProof/>
            <w:webHidden/>
          </w:rPr>
          <w:instrText xml:space="preserve"> PAGEREF _Toc114323825 \h </w:instrText>
        </w:r>
        <w:r w:rsidR="000D6B73">
          <w:rPr>
            <w:noProof/>
            <w:webHidden/>
          </w:rPr>
        </w:r>
        <w:r w:rsidR="000D6B73">
          <w:rPr>
            <w:noProof/>
            <w:webHidden/>
          </w:rPr>
          <w:fldChar w:fldCharType="separate"/>
        </w:r>
        <w:r w:rsidR="000D6B73">
          <w:rPr>
            <w:noProof/>
            <w:webHidden/>
          </w:rPr>
          <w:t>24</w:t>
        </w:r>
        <w:r w:rsidR="000D6B73">
          <w:rPr>
            <w:noProof/>
            <w:webHidden/>
          </w:rPr>
          <w:fldChar w:fldCharType="end"/>
        </w:r>
      </w:hyperlink>
    </w:p>
    <w:p w14:paraId="714C99BA"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26" w:history="1">
        <w:r w:rsidR="000D6B73" w:rsidRPr="002436F2">
          <w:rPr>
            <w:rStyle w:val="Hyperlink"/>
            <w:i/>
            <w:iCs/>
            <w:noProof/>
            <w:lang w:val="en-GB"/>
          </w:rPr>
          <w:t>2.7.2 Prospect Theory</w:t>
        </w:r>
        <w:r w:rsidR="000D6B73">
          <w:rPr>
            <w:noProof/>
            <w:webHidden/>
          </w:rPr>
          <w:tab/>
        </w:r>
        <w:r w:rsidR="000D6B73">
          <w:rPr>
            <w:noProof/>
            <w:webHidden/>
          </w:rPr>
          <w:fldChar w:fldCharType="begin"/>
        </w:r>
        <w:r w:rsidR="000D6B73">
          <w:rPr>
            <w:noProof/>
            <w:webHidden/>
          </w:rPr>
          <w:instrText xml:space="preserve"> PAGEREF _Toc114323826 \h </w:instrText>
        </w:r>
        <w:r w:rsidR="000D6B73">
          <w:rPr>
            <w:noProof/>
            <w:webHidden/>
          </w:rPr>
        </w:r>
        <w:r w:rsidR="000D6B73">
          <w:rPr>
            <w:noProof/>
            <w:webHidden/>
          </w:rPr>
          <w:fldChar w:fldCharType="separate"/>
        </w:r>
        <w:r w:rsidR="000D6B73">
          <w:rPr>
            <w:noProof/>
            <w:webHidden/>
          </w:rPr>
          <w:t>25</w:t>
        </w:r>
        <w:r w:rsidR="000D6B73">
          <w:rPr>
            <w:noProof/>
            <w:webHidden/>
          </w:rPr>
          <w:fldChar w:fldCharType="end"/>
        </w:r>
      </w:hyperlink>
    </w:p>
    <w:p w14:paraId="22B26604"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27" w:history="1">
        <w:r w:rsidR="000D6B73" w:rsidRPr="002436F2">
          <w:rPr>
            <w:rStyle w:val="Hyperlink"/>
            <w:i/>
            <w:iCs/>
            <w:noProof/>
            <w:lang w:val="en-GB"/>
          </w:rPr>
          <w:t>2.7.3 Rational Expectations Theory</w:t>
        </w:r>
        <w:r w:rsidR="000D6B73">
          <w:rPr>
            <w:noProof/>
            <w:webHidden/>
          </w:rPr>
          <w:tab/>
        </w:r>
        <w:r w:rsidR="000D6B73">
          <w:rPr>
            <w:noProof/>
            <w:webHidden/>
          </w:rPr>
          <w:fldChar w:fldCharType="begin"/>
        </w:r>
        <w:r w:rsidR="000D6B73">
          <w:rPr>
            <w:noProof/>
            <w:webHidden/>
          </w:rPr>
          <w:instrText xml:space="preserve"> PAGEREF _Toc114323827 \h </w:instrText>
        </w:r>
        <w:r w:rsidR="000D6B73">
          <w:rPr>
            <w:noProof/>
            <w:webHidden/>
          </w:rPr>
        </w:r>
        <w:r w:rsidR="000D6B73">
          <w:rPr>
            <w:noProof/>
            <w:webHidden/>
          </w:rPr>
          <w:fldChar w:fldCharType="separate"/>
        </w:r>
        <w:r w:rsidR="000D6B73">
          <w:rPr>
            <w:noProof/>
            <w:webHidden/>
          </w:rPr>
          <w:t>25</w:t>
        </w:r>
        <w:r w:rsidR="000D6B73">
          <w:rPr>
            <w:noProof/>
            <w:webHidden/>
          </w:rPr>
          <w:fldChar w:fldCharType="end"/>
        </w:r>
      </w:hyperlink>
    </w:p>
    <w:p w14:paraId="31005B3B"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28" w:history="1">
        <w:r w:rsidR="000D6B73" w:rsidRPr="002436F2">
          <w:rPr>
            <w:rStyle w:val="Hyperlink"/>
            <w:noProof/>
            <w:lang w:val="en-GB"/>
          </w:rPr>
          <w:t>2.8 Literature gap</w:t>
        </w:r>
        <w:r w:rsidR="000D6B73">
          <w:rPr>
            <w:noProof/>
            <w:webHidden/>
          </w:rPr>
          <w:tab/>
        </w:r>
        <w:r w:rsidR="000D6B73">
          <w:rPr>
            <w:noProof/>
            <w:webHidden/>
          </w:rPr>
          <w:fldChar w:fldCharType="begin"/>
        </w:r>
        <w:r w:rsidR="000D6B73">
          <w:rPr>
            <w:noProof/>
            <w:webHidden/>
          </w:rPr>
          <w:instrText xml:space="preserve"> PAGEREF _Toc114323828 \h </w:instrText>
        </w:r>
        <w:r w:rsidR="000D6B73">
          <w:rPr>
            <w:noProof/>
            <w:webHidden/>
          </w:rPr>
        </w:r>
        <w:r w:rsidR="000D6B73">
          <w:rPr>
            <w:noProof/>
            <w:webHidden/>
          </w:rPr>
          <w:fldChar w:fldCharType="separate"/>
        </w:r>
        <w:r w:rsidR="000D6B73">
          <w:rPr>
            <w:noProof/>
            <w:webHidden/>
          </w:rPr>
          <w:t>26</w:t>
        </w:r>
        <w:r w:rsidR="000D6B73">
          <w:rPr>
            <w:noProof/>
            <w:webHidden/>
          </w:rPr>
          <w:fldChar w:fldCharType="end"/>
        </w:r>
      </w:hyperlink>
    </w:p>
    <w:p w14:paraId="75B8AD9D"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29" w:history="1">
        <w:r w:rsidR="000D6B73" w:rsidRPr="002436F2">
          <w:rPr>
            <w:rStyle w:val="Hyperlink"/>
            <w:noProof/>
            <w:lang w:val="en-GB"/>
          </w:rPr>
          <w:t>2.9 Summary</w:t>
        </w:r>
        <w:r w:rsidR="000D6B73">
          <w:rPr>
            <w:noProof/>
            <w:webHidden/>
          </w:rPr>
          <w:tab/>
        </w:r>
        <w:r w:rsidR="000D6B73">
          <w:rPr>
            <w:noProof/>
            <w:webHidden/>
          </w:rPr>
          <w:fldChar w:fldCharType="begin"/>
        </w:r>
        <w:r w:rsidR="000D6B73">
          <w:rPr>
            <w:noProof/>
            <w:webHidden/>
          </w:rPr>
          <w:instrText xml:space="preserve"> PAGEREF _Toc114323829 \h </w:instrText>
        </w:r>
        <w:r w:rsidR="000D6B73">
          <w:rPr>
            <w:noProof/>
            <w:webHidden/>
          </w:rPr>
        </w:r>
        <w:r w:rsidR="000D6B73">
          <w:rPr>
            <w:noProof/>
            <w:webHidden/>
          </w:rPr>
          <w:fldChar w:fldCharType="separate"/>
        </w:r>
        <w:r w:rsidR="000D6B73">
          <w:rPr>
            <w:noProof/>
            <w:webHidden/>
          </w:rPr>
          <w:t>27</w:t>
        </w:r>
        <w:r w:rsidR="000D6B73">
          <w:rPr>
            <w:noProof/>
            <w:webHidden/>
          </w:rPr>
          <w:fldChar w:fldCharType="end"/>
        </w:r>
      </w:hyperlink>
    </w:p>
    <w:p w14:paraId="48E94F4E"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30" w:history="1">
        <w:r w:rsidR="000D6B73" w:rsidRPr="002436F2">
          <w:rPr>
            <w:rStyle w:val="Hyperlink"/>
            <w:noProof/>
            <w:highlight w:val="white"/>
            <w:lang w:val="en-GB"/>
          </w:rPr>
          <w:t>Chapter 3: Research Methodology</w:t>
        </w:r>
        <w:r w:rsidR="000D6B73">
          <w:rPr>
            <w:noProof/>
            <w:webHidden/>
          </w:rPr>
          <w:tab/>
        </w:r>
        <w:r w:rsidR="000D6B73">
          <w:rPr>
            <w:noProof/>
            <w:webHidden/>
          </w:rPr>
          <w:fldChar w:fldCharType="begin"/>
        </w:r>
        <w:r w:rsidR="000D6B73">
          <w:rPr>
            <w:noProof/>
            <w:webHidden/>
          </w:rPr>
          <w:instrText xml:space="preserve"> PAGEREF _Toc114323830 \h </w:instrText>
        </w:r>
        <w:r w:rsidR="000D6B73">
          <w:rPr>
            <w:noProof/>
            <w:webHidden/>
          </w:rPr>
        </w:r>
        <w:r w:rsidR="000D6B73">
          <w:rPr>
            <w:noProof/>
            <w:webHidden/>
          </w:rPr>
          <w:fldChar w:fldCharType="separate"/>
        </w:r>
        <w:r w:rsidR="000D6B73">
          <w:rPr>
            <w:noProof/>
            <w:webHidden/>
          </w:rPr>
          <w:t>28</w:t>
        </w:r>
        <w:r w:rsidR="000D6B73">
          <w:rPr>
            <w:noProof/>
            <w:webHidden/>
          </w:rPr>
          <w:fldChar w:fldCharType="end"/>
        </w:r>
      </w:hyperlink>
    </w:p>
    <w:p w14:paraId="39943323"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31" w:history="1">
        <w:r w:rsidR="000D6B73" w:rsidRPr="002436F2">
          <w:rPr>
            <w:rStyle w:val="Hyperlink"/>
            <w:noProof/>
            <w:highlight w:val="white"/>
            <w:lang w:val="en-GB"/>
          </w:rPr>
          <w:t>3.0 Introduction</w:t>
        </w:r>
        <w:r w:rsidR="000D6B73">
          <w:rPr>
            <w:noProof/>
            <w:webHidden/>
          </w:rPr>
          <w:tab/>
        </w:r>
        <w:r w:rsidR="000D6B73">
          <w:rPr>
            <w:noProof/>
            <w:webHidden/>
          </w:rPr>
          <w:fldChar w:fldCharType="begin"/>
        </w:r>
        <w:r w:rsidR="000D6B73">
          <w:rPr>
            <w:noProof/>
            <w:webHidden/>
          </w:rPr>
          <w:instrText xml:space="preserve"> PAGEREF _Toc114323831 \h </w:instrText>
        </w:r>
        <w:r w:rsidR="000D6B73">
          <w:rPr>
            <w:noProof/>
            <w:webHidden/>
          </w:rPr>
        </w:r>
        <w:r w:rsidR="000D6B73">
          <w:rPr>
            <w:noProof/>
            <w:webHidden/>
          </w:rPr>
          <w:fldChar w:fldCharType="separate"/>
        </w:r>
        <w:r w:rsidR="000D6B73">
          <w:rPr>
            <w:noProof/>
            <w:webHidden/>
          </w:rPr>
          <w:t>28</w:t>
        </w:r>
        <w:r w:rsidR="000D6B73">
          <w:rPr>
            <w:noProof/>
            <w:webHidden/>
          </w:rPr>
          <w:fldChar w:fldCharType="end"/>
        </w:r>
      </w:hyperlink>
    </w:p>
    <w:p w14:paraId="057A8A5A"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32" w:history="1">
        <w:r w:rsidR="000D6B73" w:rsidRPr="002436F2">
          <w:rPr>
            <w:rStyle w:val="Hyperlink"/>
            <w:noProof/>
            <w:highlight w:val="white"/>
            <w:lang w:val="en-GB"/>
          </w:rPr>
          <w:t>3.1 Research Onion</w:t>
        </w:r>
        <w:r w:rsidR="000D6B73">
          <w:rPr>
            <w:noProof/>
            <w:webHidden/>
          </w:rPr>
          <w:tab/>
        </w:r>
        <w:r w:rsidR="000D6B73">
          <w:rPr>
            <w:noProof/>
            <w:webHidden/>
          </w:rPr>
          <w:fldChar w:fldCharType="begin"/>
        </w:r>
        <w:r w:rsidR="000D6B73">
          <w:rPr>
            <w:noProof/>
            <w:webHidden/>
          </w:rPr>
          <w:instrText xml:space="preserve"> PAGEREF _Toc114323832 \h </w:instrText>
        </w:r>
        <w:r w:rsidR="000D6B73">
          <w:rPr>
            <w:noProof/>
            <w:webHidden/>
          </w:rPr>
        </w:r>
        <w:r w:rsidR="000D6B73">
          <w:rPr>
            <w:noProof/>
            <w:webHidden/>
          </w:rPr>
          <w:fldChar w:fldCharType="separate"/>
        </w:r>
        <w:r w:rsidR="000D6B73">
          <w:rPr>
            <w:noProof/>
            <w:webHidden/>
          </w:rPr>
          <w:t>28</w:t>
        </w:r>
        <w:r w:rsidR="000D6B73">
          <w:rPr>
            <w:noProof/>
            <w:webHidden/>
          </w:rPr>
          <w:fldChar w:fldCharType="end"/>
        </w:r>
      </w:hyperlink>
    </w:p>
    <w:p w14:paraId="491A60DB"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33" w:history="1">
        <w:r w:rsidR="000D6B73" w:rsidRPr="002436F2">
          <w:rPr>
            <w:rStyle w:val="Hyperlink"/>
            <w:noProof/>
            <w:highlight w:val="white"/>
            <w:lang w:val="en-GB"/>
          </w:rPr>
          <w:t>3.2 Research Philosophy</w:t>
        </w:r>
        <w:r w:rsidR="000D6B73">
          <w:rPr>
            <w:noProof/>
            <w:webHidden/>
          </w:rPr>
          <w:tab/>
        </w:r>
        <w:r w:rsidR="000D6B73">
          <w:rPr>
            <w:noProof/>
            <w:webHidden/>
          </w:rPr>
          <w:fldChar w:fldCharType="begin"/>
        </w:r>
        <w:r w:rsidR="000D6B73">
          <w:rPr>
            <w:noProof/>
            <w:webHidden/>
          </w:rPr>
          <w:instrText xml:space="preserve"> PAGEREF _Toc114323833 \h </w:instrText>
        </w:r>
        <w:r w:rsidR="000D6B73">
          <w:rPr>
            <w:noProof/>
            <w:webHidden/>
          </w:rPr>
        </w:r>
        <w:r w:rsidR="000D6B73">
          <w:rPr>
            <w:noProof/>
            <w:webHidden/>
          </w:rPr>
          <w:fldChar w:fldCharType="separate"/>
        </w:r>
        <w:r w:rsidR="000D6B73">
          <w:rPr>
            <w:noProof/>
            <w:webHidden/>
          </w:rPr>
          <w:t>28</w:t>
        </w:r>
        <w:r w:rsidR="000D6B73">
          <w:rPr>
            <w:noProof/>
            <w:webHidden/>
          </w:rPr>
          <w:fldChar w:fldCharType="end"/>
        </w:r>
      </w:hyperlink>
    </w:p>
    <w:p w14:paraId="14029A50"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34" w:history="1">
        <w:r w:rsidR="000D6B73" w:rsidRPr="002436F2">
          <w:rPr>
            <w:rStyle w:val="Hyperlink"/>
            <w:noProof/>
            <w:highlight w:val="white"/>
            <w:lang w:val="en-GB"/>
          </w:rPr>
          <w:t>3.3 Research Approach</w:t>
        </w:r>
        <w:r w:rsidR="000D6B73">
          <w:rPr>
            <w:noProof/>
            <w:webHidden/>
          </w:rPr>
          <w:tab/>
        </w:r>
        <w:r w:rsidR="000D6B73">
          <w:rPr>
            <w:noProof/>
            <w:webHidden/>
          </w:rPr>
          <w:fldChar w:fldCharType="begin"/>
        </w:r>
        <w:r w:rsidR="000D6B73">
          <w:rPr>
            <w:noProof/>
            <w:webHidden/>
          </w:rPr>
          <w:instrText xml:space="preserve"> PAGEREF _Toc114323834 \h </w:instrText>
        </w:r>
        <w:r w:rsidR="000D6B73">
          <w:rPr>
            <w:noProof/>
            <w:webHidden/>
          </w:rPr>
        </w:r>
        <w:r w:rsidR="000D6B73">
          <w:rPr>
            <w:noProof/>
            <w:webHidden/>
          </w:rPr>
          <w:fldChar w:fldCharType="separate"/>
        </w:r>
        <w:r w:rsidR="000D6B73">
          <w:rPr>
            <w:noProof/>
            <w:webHidden/>
          </w:rPr>
          <w:t>29</w:t>
        </w:r>
        <w:r w:rsidR="000D6B73">
          <w:rPr>
            <w:noProof/>
            <w:webHidden/>
          </w:rPr>
          <w:fldChar w:fldCharType="end"/>
        </w:r>
      </w:hyperlink>
    </w:p>
    <w:p w14:paraId="42E69FFE"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35" w:history="1">
        <w:r w:rsidR="000D6B73" w:rsidRPr="002436F2">
          <w:rPr>
            <w:rStyle w:val="Hyperlink"/>
            <w:noProof/>
            <w:highlight w:val="white"/>
            <w:lang w:val="en-GB"/>
          </w:rPr>
          <w:t>3.4 Research Design</w:t>
        </w:r>
        <w:r w:rsidR="000D6B73">
          <w:rPr>
            <w:noProof/>
            <w:webHidden/>
          </w:rPr>
          <w:tab/>
        </w:r>
        <w:r w:rsidR="000D6B73">
          <w:rPr>
            <w:noProof/>
            <w:webHidden/>
          </w:rPr>
          <w:fldChar w:fldCharType="begin"/>
        </w:r>
        <w:r w:rsidR="000D6B73">
          <w:rPr>
            <w:noProof/>
            <w:webHidden/>
          </w:rPr>
          <w:instrText xml:space="preserve"> PAGEREF _Toc114323835 \h </w:instrText>
        </w:r>
        <w:r w:rsidR="000D6B73">
          <w:rPr>
            <w:noProof/>
            <w:webHidden/>
          </w:rPr>
        </w:r>
        <w:r w:rsidR="000D6B73">
          <w:rPr>
            <w:noProof/>
            <w:webHidden/>
          </w:rPr>
          <w:fldChar w:fldCharType="separate"/>
        </w:r>
        <w:r w:rsidR="000D6B73">
          <w:rPr>
            <w:noProof/>
            <w:webHidden/>
          </w:rPr>
          <w:t>29</w:t>
        </w:r>
        <w:r w:rsidR="000D6B73">
          <w:rPr>
            <w:noProof/>
            <w:webHidden/>
          </w:rPr>
          <w:fldChar w:fldCharType="end"/>
        </w:r>
      </w:hyperlink>
    </w:p>
    <w:p w14:paraId="24949E34"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36" w:history="1">
        <w:r w:rsidR="000D6B73" w:rsidRPr="002436F2">
          <w:rPr>
            <w:rStyle w:val="Hyperlink"/>
            <w:noProof/>
            <w:highlight w:val="white"/>
            <w:lang w:val="en-GB"/>
          </w:rPr>
          <w:t>3.5 Research Strategy</w:t>
        </w:r>
        <w:r w:rsidR="000D6B73">
          <w:rPr>
            <w:noProof/>
            <w:webHidden/>
          </w:rPr>
          <w:tab/>
        </w:r>
        <w:r w:rsidR="000D6B73">
          <w:rPr>
            <w:noProof/>
            <w:webHidden/>
          </w:rPr>
          <w:fldChar w:fldCharType="begin"/>
        </w:r>
        <w:r w:rsidR="000D6B73">
          <w:rPr>
            <w:noProof/>
            <w:webHidden/>
          </w:rPr>
          <w:instrText xml:space="preserve"> PAGEREF _Toc114323836 \h </w:instrText>
        </w:r>
        <w:r w:rsidR="000D6B73">
          <w:rPr>
            <w:noProof/>
            <w:webHidden/>
          </w:rPr>
        </w:r>
        <w:r w:rsidR="000D6B73">
          <w:rPr>
            <w:noProof/>
            <w:webHidden/>
          </w:rPr>
          <w:fldChar w:fldCharType="separate"/>
        </w:r>
        <w:r w:rsidR="000D6B73">
          <w:rPr>
            <w:noProof/>
            <w:webHidden/>
          </w:rPr>
          <w:t>30</w:t>
        </w:r>
        <w:r w:rsidR="000D6B73">
          <w:rPr>
            <w:noProof/>
            <w:webHidden/>
          </w:rPr>
          <w:fldChar w:fldCharType="end"/>
        </w:r>
      </w:hyperlink>
    </w:p>
    <w:p w14:paraId="7485FCF1"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37" w:history="1">
        <w:r w:rsidR="000D6B73" w:rsidRPr="002436F2">
          <w:rPr>
            <w:rStyle w:val="Hyperlink"/>
            <w:noProof/>
            <w:highlight w:val="white"/>
            <w:lang w:val="en-GB"/>
          </w:rPr>
          <w:t>3.6 Research Choice</w:t>
        </w:r>
        <w:r w:rsidR="000D6B73">
          <w:rPr>
            <w:noProof/>
            <w:webHidden/>
          </w:rPr>
          <w:tab/>
        </w:r>
        <w:r w:rsidR="000D6B73">
          <w:rPr>
            <w:noProof/>
            <w:webHidden/>
          </w:rPr>
          <w:fldChar w:fldCharType="begin"/>
        </w:r>
        <w:r w:rsidR="000D6B73">
          <w:rPr>
            <w:noProof/>
            <w:webHidden/>
          </w:rPr>
          <w:instrText xml:space="preserve"> PAGEREF _Toc114323837 \h </w:instrText>
        </w:r>
        <w:r w:rsidR="000D6B73">
          <w:rPr>
            <w:noProof/>
            <w:webHidden/>
          </w:rPr>
        </w:r>
        <w:r w:rsidR="000D6B73">
          <w:rPr>
            <w:noProof/>
            <w:webHidden/>
          </w:rPr>
          <w:fldChar w:fldCharType="separate"/>
        </w:r>
        <w:r w:rsidR="000D6B73">
          <w:rPr>
            <w:noProof/>
            <w:webHidden/>
          </w:rPr>
          <w:t>30</w:t>
        </w:r>
        <w:r w:rsidR="000D6B73">
          <w:rPr>
            <w:noProof/>
            <w:webHidden/>
          </w:rPr>
          <w:fldChar w:fldCharType="end"/>
        </w:r>
      </w:hyperlink>
    </w:p>
    <w:p w14:paraId="53459167"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38" w:history="1">
        <w:r w:rsidR="000D6B73" w:rsidRPr="002436F2">
          <w:rPr>
            <w:rStyle w:val="Hyperlink"/>
            <w:noProof/>
            <w:highlight w:val="white"/>
            <w:lang w:val="en-GB"/>
          </w:rPr>
          <w:t>3.7 Data Collection Method</w:t>
        </w:r>
        <w:r w:rsidR="000D6B73">
          <w:rPr>
            <w:noProof/>
            <w:webHidden/>
          </w:rPr>
          <w:tab/>
        </w:r>
        <w:r w:rsidR="000D6B73">
          <w:rPr>
            <w:noProof/>
            <w:webHidden/>
          </w:rPr>
          <w:fldChar w:fldCharType="begin"/>
        </w:r>
        <w:r w:rsidR="000D6B73">
          <w:rPr>
            <w:noProof/>
            <w:webHidden/>
          </w:rPr>
          <w:instrText xml:space="preserve"> PAGEREF _Toc114323838 \h </w:instrText>
        </w:r>
        <w:r w:rsidR="000D6B73">
          <w:rPr>
            <w:noProof/>
            <w:webHidden/>
          </w:rPr>
        </w:r>
        <w:r w:rsidR="000D6B73">
          <w:rPr>
            <w:noProof/>
            <w:webHidden/>
          </w:rPr>
          <w:fldChar w:fldCharType="separate"/>
        </w:r>
        <w:r w:rsidR="000D6B73">
          <w:rPr>
            <w:noProof/>
            <w:webHidden/>
          </w:rPr>
          <w:t>31</w:t>
        </w:r>
        <w:r w:rsidR="000D6B73">
          <w:rPr>
            <w:noProof/>
            <w:webHidden/>
          </w:rPr>
          <w:fldChar w:fldCharType="end"/>
        </w:r>
      </w:hyperlink>
    </w:p>
    <w:p w14:paraId="2EE7ECF8"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39" w:history="1">
        <w:r w:rsidR="000D6B73" w:rsidRPr="002436F2">
          <w:rPr>
            <w:rStyle w:val="Hyperlink"/>
            <w:noProof/>
            <w:highlight w:val="white"/>
            <w:lang w:val="en-GB"/>
          </w:rPr>
          <w:t>3.7.1 Exclusion and Inclusion Criteria</w:t>
        </w:r>
        <w:r w:rsidR="000D6B73">
          <w:rPr>
            <w:noProof/>
            <w:webHidden/>
          </w:rPr>
          <w:tab/>
        </w:r>
        <w:r w:rsidR="000D6B73">
          <w:rPr>
            <w:noProof/>
            <w:webHidden/>
          </w:rPr>
          <w:fldChar w:fldCharType="begin"/>
        </w:r>
        <w:r w:rsidR="000D6B73">
          <w:rPr>
            <w:noProof/>
            <w:webHidden/>
          </w:rPr>
          <w:instrText xml:space="preserve"> PAGEREF _Toc114323839 \h </w:instrText>
        </w:r>
        <w:r w:rsidR="000D6B73">
          <w:rPr>
            <w:noProof/>
            <w:webHidden/>
          </w:rPr>
        </w:r>
        <w:r w:rsidR="000D6B73">
          <w:rPr>
            <w:noProof/>
            <w:webHidden/>
          </w:rPr>
          <w:fldChar w:fldCharType="separate"/>
        </w:r>
        <w:r w:rsidR="000D6B73">
          <w:rPr>
            <w:noProof/>
            <w:webHidden/>
          </w:rPr>
          <w:t>32</w:t>
        </w:r>
        <w:r w:rsidR="000D6B73">
          <w:rPr>
            <w:noProof/>
            <w:webHidden/>
          </w:rPr>
          <w:fldChar w:fldCharType="end"/>
        </w:r>
      </w:hyperlink>
    </w:p>
    <w:p w14:paraId="127AA3B0"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40" w:history="1">
        <w:r w:rsidR="000D6B73" w:rsidRPr="002436F2">
          <w:rPr>
            <w:rStyle w:val="Hyperlink"/>
            <w:noProof/>
            <w:highlight w:val="white"/>
            <w:lang w:val="en-GB"/>
          </w:rPr>
          <w:t>3.7.2 Search Strategy</w:t>
        </w:r>
        <w:r w:rsidR="000D6B73">
          <w:rPr>
            <w:noProof/>
            <w:webHidden/>
          </w:rPr>
          <w:tab/>
        </w:r>
        <w:r w:rsidR="000D6B73">
          <w:rPr>
            <w:noProof/>
            <w:webHidden/>
          </w:rPr>
          <w:fldChar w:fldCharType="begin"/>
        </w:r>
        <w:r w:rsidR="000D6B73">
          <w:rPr>
            <w:noProof/>
            <w:webHidden/>
          </w:rPr>
          <w:instrText xml:space="preserve"> PAGEREF _Toc114323840 \h </w:instrText>
        </w:r>
        <w:r w:rsidR="000D6B73">
          <w:rPr>
            <w:noProof/>
            <w:webHidden/>
          </w:rPr>
        </w:r>
        <w:r w:rsidR="000D6B73">
          <w:rPr>
            <w:noProof/>
            <w:webHidden/>
          </w:rPr>
          <w:fldChar w:fldCharType="separate"/>
        </w:r>
        <w:r w:rsidR="000D6B73">
          <w:rPr>
            <w:noProof/>
            <w:webHidden/>
          </w:rPr>
          <w:t>32</w:t>
        </w:r>
        <w:r w:rsidR="000D6B73">
          <w:rPr>
            <w:noProof/>
            <w:webHidden/>
          </w:rPr>
          <w:fldChar w:fldCharType="end"/>
        </w:r>
      </w:hyperlink>
    </w:p>
    <w:p w14:paraId="05E65641"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41" w:history="1">
        <w:r w:rsidR="000D6B73" w:rsidRPr="002436F2">
          <w:rPr>
            <w:rStyle w:val="Hyperlink"/>
            <w:noProof/>
            <w:highlight w:val="white"/>
            <w:lang w:val="en-GB"/>
          </w:rPr>
          <w:t>3.8 Data analysis</w:t>
        </w:r>
        <w:r w:rsidR="000D6B73">
          <w:rPr>
            <w:noProof/>
            <w:webHidden/>
          </w:rPr>
          <w:tab/>
        </w:r>
        <w:r w:rsidR="000D6B73">
          <w:rPr>
            <w:noProof/>
            <w:webHidden/>
          </w:rPr>
          <w:fldChar w:fldCharType="begin"/>
        </w:r>
        <w:r w:rsidR="000D6B73">
          <w:rPr>
            <w:noProof/>
            <w:webHidden/>
          </w:rPr>
          <w:instrText xml:space="preserve"> PAGEREF _Toc114323841 \h </w:instrText>
        </w:r>
        <w:r w:rsidR="000D6B73">
          <w:rPr>
            <w:noProof/>
            <w:webHidden/>
          </w:rPr>
        </w:r>
        <w:r w:rsidR="000D6B73">
          <w:rPr>
            <w:noProof/>
            <w:webHidden/>
          </w:rPr>
          <w:fldChar w:fldCharType="separate"/>
        </w:r>
        <w:r w:rsidR="000D6B73">
          <w:rPr>
            <w:noProof/>
            <w:webHidden/>
          </w:rPr>
          <w:t>33</w:t>
        </w:r>
        <w:r w:rsidR="000D6B73">
          <w:rPr>
            <w:noProof/>
            <w:webHidden/>
          </w:rPr>
          <w:fldChar w:fldCharType="end"/>
        </w:r>
      </w:hyperlink>
    </w:p>
    <w:p w14:paraId="7087C1BE"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42" w:history="1">
        <w:r w:rsidR="000D6B73" w:rsidRPr="002436F2">
          <w:rPr>
            <w:rStyle w:val="Hyperlink"/>
            <w:noProof/>
            <w:highlight w:val="white"/>
            <w:lang w:val="en-GB"/>
          </w:rPr>
          <w:t>3.9 Ethical Consideration</w:t>
        </w:r>
        <w:r w:rsidR="000D6B73">
          <w:rPr>
            <w:noProof/>
            <w:webHidden/>
          </w:rPr>
          <w:tab/>
        </w:r>
        <w:r w:rsidR="000D6B73">
          <w:rPr>
            <w:noProof/>
            <w:webHidden/>
          </w:rPr>
          <w:fldChar w:fldCharType="begin"/>
        </w:r>
        <w:r w:rsidR="000D6B73">
          <w:rPr>
            <w:noProof/>
            <w:webHidden/>
          </w:rPr>
          <w:instrText xml:space="preserve"> PAGEREF _Toc114323842 \h </w:instrText>
        </w:r>
        <w:r w:rsidR="000D6B73">
          <w:rPr>
            <w:noProof/>
            <w:webHidden/>
          </w:rPr>
        </w:r>
        <w:r w:rsidR="000D6B73">
          <w:rPr>
            <w:noProof/>
            <w:webHidden/>
          </w:rPr>
          <w:fldChar w:fldCharType="separate"/>
        </w:r>
        <w:r w:rsidR="000D6B73">
          <w:rPr>
            <w:noProof/>
            <w:webHidden/>
          </w:rPr>
          <w:t>33</w:t>
        </w:r>
        <w:r w:rsidR="000D6B73">
          <w:rPr>
            <w:noProof/>
            <w:webHidden/>
          </w:rPr>
          <w:fldChar w:fldCharType="end"/>
        </w:r>
      </w:hyperlink>
    </w:p>
    <w:p w14:paraId="232096D4"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43" w:history="1">
        <w:r w:rsidR="000D6B73" w:rsidRPr="002436F2">
          <w:rPr>
            <w:rStyle w:val="Hyperlink"/>
            <w:noProof/>
            <w:highlight w:val="white"/>
            <w:lang w:val="en-GB"/>
          </w:rPr>
          <w:t>3.10 Validity and Reliability of Research</w:t>
        </w:r>
        <w:r w:rsidR="000D6B73">
          <w:rPr>
            <w:noProof/>
            <w:webHidden/>
          </w:rPr>
          <w:tab/>
        </w:r>
        <w:r w:rsidR="000D6B73">
          <w:rPr>
            <w:noProof/>
            <w:webHidden/>
          </w:rPr>
          <w:fldChar w:fldCharType="begin"/>
        </w:r>
        <w:r w:rsidR="000D6B73">
          <w:rPr>
            <w:noProof/>
            <w:webHidden/>
          </w:rPr>
          <w:instrText xml:space="preserve"> PAGEREF _Toc114323843 \h </w:instrText>
        </w:r>
        <w:r w:rsidR="000D6B73">
          <w:rPr>
            <w:noProof/>
            <w:webHidden/>
          </w:rPr>
        </w:r>
        <w:r w:rsidR="000D6B73">
          <w:rPr>
            <w:noProof/>
            <w:webHidden/>
          </w:rPr>
          <w:fldChar w:fldCharType="separate"/>
        </w:r>
        <w:r w:rsidR="000D6B73">
          <w:rPr>
            <w:noProof/>
            <w:webHidden/>
          </w:rPr>
          <w:t>33</w:t>
        </w:r>
        <w:r w:rsidR="000D6B73">
          <w:rPr>
            <w:noProof/>
            <w:webHidden/>
          </w:rPr>
          <w:fldChar w:fldCharType="end"/>
        </w:r>
      </w:hyperlink>
    </w:p>
    <w:p w14:paraId="3446FFC9"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44" w:history="1">
        <w:r w:rsidR="000D6B73" w:rsidRPr="002436F2">
          <w:rPr>
            <w:rStyle w:val="Hyperlink"/>
            <w:noProof/>
            <w:lang w:val="en-GB"/>
          </w:rPr>
          <w:t>3.11 Timeline</w:t>
        </w:r>
        <w:r w:rsidR="000D6B73">
          <w:rPr>
            <w:noProof/>
            <w:webHidden/>
          </w:rPr>
          <w:tab/>
        </w:r>
        <w:r w:rsidR="000D6B73">
          <w:rPr>
            <w:noProof/>
            <w:webHidden/>
          </w:rPr>
          <w:fldChar w:fldCharType="begin"/>
        </w:r>
        <w:r w:rsidR="000D6B73">
          <w:rPr>
            <w:noProof/>
            <w:webHidden/>
          </w:rPr>
          <w:instrText xml:space="preserve"> PAGEREF _Toc114323844 \h </w:instrText>
        </w:r>
        <w:r w:rsidR="000D6B73">
          <w:rPr>
            <w:noProof/>
            <w:webHidden/>
          </w:rPr>
        </w:r>
        <w:r w:rsidR="000D6B73">
          <w:rPr>
            <w:noProof/>
            <w:webHidden/>
          </w:rPr>
          <w:fldChar w:fldCharType="separate"/>
        </w:r>
        <w:r w:rsidR="000D6B73">
          <w:rPr>
            <w:noProof/>
            <w:webHidden/>
          </w:rPr>
          <w:t>34</w:t>
        </w:r>
        <w:r w:rsidR="000D6B73">
          <w:rPr>
            <w:noProof/>
            <w:webHidden/>
          </w:rPr>
          <w:fldChar w:fldCharType="end"/>
        </w:r>
      </w:hyperlink>
    </w:p>
    <w:p w14:paraId="22CF8169"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45" w:history="1">
        <w:r w:rsidR="000D6B73" w:rsidRPr="002436F2">
          <w:rPr>
            <w:rStyle w:val="Hyperlink"/>
            <w:noProof/>
            <w:highlight w:val="white"/>
            <w:lang w:val="en-GB"/>
          </w:rPr>
          <w:t>3.12 Summary</w:t>
        </w:r>
        <w:r w:rsidR="000D6B73">
          <w:rPr>
            <w:noProof/>
            <w:webHidden/>
          </w:rPr>
          <w:tab/>
        </w:r>
        <w:r w:rsidR="000D6B73">
          <w:rPr>
            <w:noProof/>
            <w:webHidden/>
          </w:rPr>
          <w:fldChar w:fldCharType="begin"/>
        </w:r>
        <w:r w:rsidR="000D6B73">
          <w:rPr>
            <w:noProof/>
            <w:webHidden/>
          </w:rPr>
          <w:instrText xml:space="preserve"> PAGEREF _Toc114323845 \h </w:instrText>
        </w:r>
        <w:r w:rsidR="000D6B73">
          <w:rPr>
            <w:noProof/>
            <w:webHidden/>
          </w:rPr>
        </w:r>
        <w:r w:rsidR="000D6B73">
          <w:rPr>
            <w:noProof/>
            <w:webHidden/>
          </w:rPr>
          <w:fldChar w:fldCharType="separate"/>
        </w:r>
        <w:r w:rsidR="000D6B73">
          <w:rPr>
            <w:noProof/>
            <w:webHidden/>
          </w:rPr>
          <w:t>34</w:t>
        </w:r>
        <w:r w:rsidR="000D6B73">
          <w:rPr>
            <w:noProof/>
            <w:webHidden/>
          </w:rPr>
          <w:fldChar w:fldCharType="end"/>
        </w:r>
      </w:hyperlink>
    </w:p>
    <w:p w14:paraId="0DA46640"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46" w:history="1">
        <w:r w:rsidR="000D6B73" w:rsidRPr="002436F2">
          <w:rPr>
            <w:rStyle w:val="Hyperlink"/>
            <w:noProof/>
            <w:lang w:val="en-GB"/>
          </w:rPr>
          <w:t>Chapter 4: Research Findings</w:t>
        </w:r>
        <w:r w:rsidR="000D6B73">
          <w:rPr>
            <w:noProof/>
            <w:webHidden/>
          </w:rPr>
          <w:tab/>
        </w:r>
        <w:r w:rsidR="000D6B73">
          <w:rPr>
            <w:noProof/>
            <w:webHidden/>
          </w:rPr>
          <w:fldChar w:fldCharType="begin"/>
        </w:r>
        <w:r w:rsidR="000D6B73">
          <w:rPr>
            <w:noProof/>
            <w:webHidden/>
          </w:rPr>
          <w:instrText xml:space="preserve"> PAGEREF _Toc114323846 \h </w:instrText>
        </w:r>
        <w:r w:rsidR="000D6B73">
          <w:rPr>
            <w:noProof/>
            <w:webHidden/>
          </w:rPr>
        </w:r>
        <w:r w:rsidR="000D6B73">
          <w:rPr>
            <w:noProof/>
            <w:webHidden/>
          </w:rPr>
          <w:fldChar w:fldCharType="separate"/>
        </w:r>
        <w:r w:rsidR="000D6B73">
          <w:rPr>
            <w:noProof/>
            <w:webHidden/>
          </w:rPr>
          <w:t>35</w:t>
        </w:r>
        <w:r w:rsidR="000D6B73">
          <w:rPr>
            <w:noProof/>
            <w:webHidden/>
          </w:rPr>
          <w:fldChar w:fldCharType="end"/>
        </w:r>
      </w:hyperlink>
    </w:p>
    <w:p w14:paraId="76F35533"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47" w:history="1">
        <w:r w:rsidR="000D6B73" w:rsidRPr="002436F2">
          <w:rPr>
            <w:rStyle w:val="Hyperlink"/>
            <w:noProof/>
            <w:lang w:val="en-GB"/>
          </w:rPr>
          <w:t>4.0 Introduction</w:t>
        </w:r>
        <w:r w:rsidR="000D6B73">
          <w:rPr>
            <w:noProof/>
            <w:webHidden/>
          </w:rPr>
          <w:tab/>
        </w:r>
        <w:r w:rsidR="000D6B73">
          <w:rPr>
            <w:noProof/>
            <w:webHidden/>
          </w:rPr>
          <w:fldChar w:fldCharType="begin"/>
        </w:r>
        <w:r w:rsidR="000D6B73">
          <w:rPr>
            <w:noProof/>
            <w:webHidden/>
          </w:rPr>
          <w:instrText xml:space="preserve"> PAGEREF _Toc114323847 \h </w:instrText>
        </w:r>
        <w:r w:rsidR="000D6B73">
          <w:rPr>
            <w:noProof/>
            <w:webHidden/>
          </w:rPr>
        </w:r>
        <w:r w:rsidR="000D6B73">
          <w:rPr>
            <w:noProof/>
            <w:webHidden/>
          </w:rPr>
          <w:fldChar w:fldCharType="separate"/>
        </w:r>
        <w:r w:rsidR="000D6B73">
          <w:rPr>
            <w:noProof/>
            <w:webHidden/>
          </w:rPr>
          <w:t>35</w:t>
        </w:r>
        <w:r w:rsidR="000D6B73">
          <w:rPr>
            <w:noProof/>
            <w:webHidden/>
          </w:rPr>
          <w:fldChar w:fldCharType="end"/>
        </w:r>
      </w:hyperlink>
    </w:p>
    <w:p w14:paraId="70188F51"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48" w:history="1">
        <w:r w:rsidR="000D6B73" w:rsidRPr="002436F2">
          <w:rPr>
            <w:rStyle w:val="Hyperlink"/>
            <w:noProof/>
            <w:lang w:val="en-GB"/>
          </w:rPr>
          <w:t>4.1 Data analysis</w:t>
        </w:r>
        <w:r w:rsidR="000D6B73">
          <w:rPr>
            <w:noProof/>
            <w:webHidden/>
          </w:rPr>
          <w:tab/>
        </w:r>
        <w:r w:rsidR="000D6B73">
          <w:rPr>
            <w:noProof/>
            <w:webHidden/>
          </w:rPr>
          <w:fldChar w:fldCharType="begin"/>
        </w:r>
        <w:r w:rsidR="000D6B73">
          <w:rPr>
            <w:noProof/>
            <w:webHidden/>
          </w:rPr>
          <w:instrText xml:space="preserve"> PAGEREF _Toc114323848 \h </w:instrText>
        </w:r>
        <w:r w:rsidR="000D6B73">
          <w:rPr>
            <w:noProof/>
            <w:webHidden/>
          </w:rPr>
        </w:r>
        <w:r w:rsidR="000D6B73">
          <w:rPr>
            <w:noProof/>
            <w:webHidden/>
          </w:rPr>
          <w:fldChar w:fldCharType="separate"/>
        </w:r>
        <w:r w:rsidR="000D6B73">
          <w:rPr>
            <w:noProof/>
            <w:webHidden/>
          </w:rPr>
          <w:t>35</w:t>
        </w:r>
        <w:r w:rsidR="000D6B73">
          <w:rPr>
            <w:noProof/>
            <w:webHidden/>
          </w:rPr>
          <w:fldChar w:fldCharType="end"/>
        </w:r>
      </w:hyperlink>
    </w:p>
    <w:p w14:paraId="793F1820"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49" w:history="1">
        <w:r w:rsidR="000D6B73" w:rsidRPr="002436F2">
          <w:rPr>
            <w:rStyle w:val="Hyperlink"/>
            <w:noProof/>
            <w:lang w:val="en-GB"/>
          </w:rPr>
          <w:t>Theme 1: Risk of return could effectively challenge companies from securing investment at their equity funds</w:t>
        </w:r>
        <w:r w:rsidR="000D6B73">
          <w:rPr>
            <w:noProof/>
            <w:webHidden/>
          </w:rPr>
          <w:tab/>
        </w:r>
        <w:r w:rsidR="000D6B73">
          <w:rPr>
            <w:noProof/>
            <w:webHidden/>
          </w:rPr>
          <w:fldChar w:fldCharType="begin"/>
        </w:r>
        <w:r w:rsidR="000D6B73">
          <w:rPr>
            <w:noProof/>
            <w:webHidden/>
          </w:rPr>
          <w:instrText xml:space="preserve"> PAGEREF _Toc114323849 \h </w:instrText>
        </w:r>
        <w:r w:rsidR="000D6B73">
          <w:rPr>
            <w:noProof/>
            <w:webHidden/>
          </w:rPr>
        </w:r>
        <w:r w:rsidR="000D6B73">
          <w:rPr>
            <w:noProof/>
            <w:webHidden/>
          </w:rPr>
          <w:fldChar w:fldCharType="separate"/>
        </w:r>
        <w:r w:rsidR="000D6B73">
          <w:rPr>
            <w:noProof/>
            <w:webHidden/>
          </w:rPr>
          <w:t>35</w:t>
        </w:r>
        <w:r w:rsidR="000D6B73">
          <w:rPr>
            <w:noProof/>
            <w:webHidden/>
          </w:rPr>
          <w:fldChar w:fldCharType="end"/>
        </w:r>
      </w:hyperlink>
    </w:p>
    <w:p w14:paraId="048D6DA7"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50" w:history="1">
        <w:r w:rsidR="000D6B73" w:rsidRPr="002436F2">
          <w:rPr>
            <w:rStyle w:val="Hyperlink"/>
            <w:noProof/>
            <w:lang w:val="en-GB"/>
          </w:rPr>
          <w:t>Theme 2: Fragile investment from foreign investors had massively plagued EU’s scope of revival after BREXIT happened</w:t>
        </w:r>
        <w:r w:rsidR="000D6B73">
          <w:rPr>
            <w:noProof/>
            <w:webHidden/>
          </w:rPr>
          <w:tab/>
        </w:r>
        <w:r w:rsidR="000D6B73">
          <w:rPr>
            <w:noProof/>
            <w:webHidden/>
          </w:rPr>
          <w:fldChar w:fldCharType="begin"/>
        </w:r>
        <w:r w:rsidR="000D6B73">
          <w:rPr>
            <w:noProof/>
            <w:webHidden/>
          </w:rPr>
          <w:instrText xml:space="preserve"> PAGEREF _Toc114323850 \h </w:instrText>
        </w:r>
        <w:r w:rsidR="000D6B73">
          <w:rPr>
            <w:noProof/>
            <w:webHidden/>
          </w:rPr>
        </w:r>
        <w:r w:rsidR="000D6B73">
          <w:rPr>
            <w:noProof/>
            <w:webHidden/>
          </w:rPr>
          <w:fldChar w:fldCharType="separate"/>
        </w:r>
        <w:r w:rsidR="000D6B73">
          <w:rPr>
            <w:noProof/>
            <w:webHidden/>
          </w:rPr>
          <w:t>36</w:t>
        </w:r>
        <w:r w:rsidR="000D6B73">
          <w:rPr>
            <w:noProof/>
            <w:webHidden/>
          </w:rPr>
          <w:fldChar w:fldCharType="end"/>
        </w:r>
      </w:hyperlink>
    </w:p>
    <w:p w14:paraId="40B4540B"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51" w:history="1">
        <w:r w:rsidR="000D6B73" w:rsidRPr="002436F2">
          <w:rPr>
            <w:rStyle w:val="Hyperlink"/>
            <w:noProof/>
            <w:lang w:val="en-GB"/>
          </w:rPr>
          <w:t>Theme 3: UK-based managers will no longer be able to provide portfolio management services for European private equity funds</w:t>
        </w:r>
        <w:r w:rsidR="000D6B73">
          <w:rPr>
            <w:noProof/>
            <w:webHidden/>
          </w:rPr>
          <w:tab/>
        </w:r>
        <w:r w:rsidR="000D6B73">
          <w:rPr>
            <w:noProof/>
            <w:webHidden/>
          </w:rPr>
          <w:fldChar w:fldCharType="begin"/>
        </w:r>
        <w:r w:rsidR="000D6B73">
          <w:rPr>
            <w:noProof/>
            <w:webHidden/>
          </w:rPr>
          <w:instrText xml:space="preserve"> PAGEREF _Toc114323851 \h </w:instrText>
        </w:r>
        <w:r w:rsidR="000D6B73">
          <w:rPr>
            <w:noProof/>
            <w:webHidden/>
          </w:rPr>
        </w:r>
        <w:r w:rsidR="000D6B73">
          <w:rPr>
            <w:noProof/>
            <w:webHidden/>
          </w:rPr>
          <w:fldChar w:fldCharType="separate"/>
        </w:r>
        <w:r w:rsidR="000D6B73">
          <w:rPr>
            <w:noProof/>
            <w:webHidden/>
          </w:rPr>
          <w:t>37</w:t>
        </w:r>
        <w:r w:rsidR="000D6B73">
          <w:rPr>
            <w:noProof/>
            <w:webHidden/>
          </w:rPr>
          <w:fldChar w:fldCharType="end"/>
        </w:r>
      </w:hyperlink>
    </w:p>
    <w:p w14:paraId="6109028F"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52" w:history="1">
        <w:r w:rsidR="000D6B73" w:rsidRPr="002436F2">
          <w:rPr>
            <w:rStyle w:val="Hyperlink"/>
            <w:noProof/>
            <w:lang w:val="en-GB"/>
          </w:rPr>
          <w:t>Theme 4: Luxembourg has been chosen for being the new domicile of fund management and new businesses</w:t>
        </w:r>
        <w:r w:rsidR="000D6B73">
          <w:rPr>
            <w:noProof/>
            <w:webHidden/>
          </w:rPr>
          <w:tab/>
        </w:r>
        <w:r w:rsidR="000D6B73">
          <w:rPr>
            <w:noProof/>
            <w:webHidden/>
          </w:rPr>
          <w:fldChar w:fldCharType="begin"/>
        </w:r>
        <w:r w:rsidR="000D6B73">
          <w:rPr>
            <w:noProof/>
            <w:webHidden/>
          </w:rPr>
          <w:instrText xml:space="preserve"> PAGEREF _Toc114323852 \h </w:instrText>
        </w:r>
        <w:r w:rsidR="000D6B73">
          <w:rPr>
            <w:noProof/>
            <w:webHidden/>
          </w:rPr>
        </w:r>
        <w:r w:rsidR="000D6B73">
          <w:rPr>
            <w:noProof/>
            <w:webHidden/>
          </w:rPr>
          <w:fldChar w:fldCharType="separate"/>
        </w:r>
        <w:r w:rsidR="000D6B73">
          <w:rPr>
            <w:noProof/>
            <w:webHidden/>
          </w:rPr>
          <w:t>38</w:t>
        </w:r>
        <w:r w:rsidR="000D6B73">
          <w:rPr>
            <w:noProof/>
            <w:webHidden/>
          </w:rPr>
          <w:fldChar w:fldCharType="end"/>
        </w:r>
      </w:hyperlink>
    </w:p>
    <w:p w14:paraId="31B41C9D"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53" w:history="1">
        <w:r w:rsidR="000D6B73" w:rsidRPr="002436F2">
          <w:rPr>
            <w:rStyle w:val="Hyperlink"/>
            <w:noProof/>
            <w:lang w:val="en-GB"/>
          </w:rPr>
          <w:t>Theme 5: Adequate support from government and financial units could help European companies to retain their shareholders and private equity investments</w:t>
        </w:r>
        <w:r w:rsidR="000D6B73">
          <w:rPr>
            <w:noProof/>
            <w:webHidden/>
          </w:rPr>
          <w:tab/>
        </w:r>
        <w:r w:rsidR="000D6B73">
          <w:rPr>
            <w:noProof/>
            <w:webHidden/>
          </w:rPr>
          <w:fldChar w:fldCharType="begin"/>
        </w:r>
        <w:r w:rsidR="000D6B73">
          <w:rPr>
            <w:noProof/>
            <w:webHidden/>
          </w:rPr>
          <w:instrText xml:space="preserve"> PAGEREF _Toc114323853 \h </w:instrText>
        </w:r>
        <w:r w:rsidR="000D6B73">
          <w:rPr>
            <w:noProof/>
            <w:webHidden/>
          </w:rPr>
        </w:r>
        <w:r w:rsidR="000D6B73">
          <w:rPr>
            <w:noProof/>
            <w:webHidden/>
          </w:rPr>
          <w:fldChar w:fldCharType="separate"/>
        </w:r>
        <w:r w:rsidR="000D6B73">
          <w:rPr>
            <w:noProof/>
            <w:webHidden/>
          </w:rPr>
          <w:t>38</w:t>
        </w:r>
        <w:r w:rsidR="000D6B73">
          <w:rPr>
            <w:noProof/>
            <w:webHidden/>
          </w:rPr>
          <w:fldChar w:fldCharType="end"/>
        </w:r>
      </w:hyperlink>
    </w:p>
    <w:p w14:paraId="65BA85C1"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54" w:history="1">
        <w:r w:rsidR="000D6B73" w:rsidRPr="002436F2">
          <w:rPr>
            <w:rStyle w:val="Hyperlink"/>
            <w:noProof/>
            <w:lang w:val="en-GB"/>
          </w:rPr>
          <w:t>4.2 Findings</w:t>
        </w:r>
        <w:r w:rsidR="000D6B73">
          <w:rPr>
            <w:noProof/>
            <w:webHidden/>
          </w:rPr>
          <w:tab/>
        </w:r>
        <w:r w:rsidR="000D6B73">
          <w:rPr>
            <w:noProof/>
            <w:webHidden/>
          </w:rPr>
          <w:fldChar w:fldCharType="begin"/>
        </w:r>
        <w:r w:rsidR="000D6B73">
          <w:rPr>
            <w:noProof/>
            <w:webHidden/>
          </w:rPr>
          <w:instrText xml:space="preserve"> PAGEREF _Toc114323854 \h </w:instrText>
        </w:r>
        <w:r w:rsidR="000D6B73">
          <w:rPr>
            <w:noProof/>
            <w:webHidden/>
          </w:rPr>
        </w:r>
        <w:r w:rsidR="000D6B73">
          <w:rPr>
            <w:noProof/>
            <w:webHidden/>
          </w:rPr>
          <w:fldChar w:fldCharType="separate"/>
        </w:r>
        <w:r w:rsidR="000D6B73">
          <w:rPr>
            <w:noProof/>
            <w:webHidden/>
          </w:rPr>
          <w:t>39</w:t>
        </w:r>
        <w:r w:rsidR="000D6B73">
          <w:rPr>
            <w:noProof/>
            <w:webHidden/>
          </w:rPr>
          <w:fldChar w:fldCharType="end"/>
        </w:r>
      </w:hyperlink>
    </w:p>
    <w:p w14:paraId="3FAA2B55"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55" w:history="1">
        <w:r w:rsidR="000D6B73" w:rsidRPr="002436F2">
          <w:rPr>
            <w:rStyle w:val="Hyperlink"/>
            <w:noProof/>
            <w:lang w:val="en-GB"/>
          </w:rPr>
          <w:t>4.3 Summary</w:t>
        </w:r>
        <w:r w:rsidR="000D6B73">
          <w:rPr>
            <w:noProof/>
            <w:webHidden/>
          </w:rPr>
          <w:tab/>
        </w:r>
        <w:r w:rsidR="000D6B73">
          <w:rPr>
            <w:noProof/>
            <w:webHidden/>
          </w:rPr>
          <w:fldChar w:fldCharType="begin"/>
        </w:r>
        <w:r w:rsidR="000D6B73">
          <w:rPr>
            <w:noProof/>
            <w:webHidden/>
          </w:rPr>
          <w:instrText xml:space="preserve"> PAGEREF _Toc114323855 \h </w:instrText>
        </w:r>
        <w:r w:rsidR="000D6B73">
          <w:rPr>
            <w:noProof/>
            <w:webHidden/>
          </w:rPr>
        </w:r>
        <w:r w:rsidR="000D6B73">
          <w:rPr>
            <w:noProof/>
            <w:webHidden/>
          </w:rPr>
          <w:fldChar w:fldCharType="separate"/>
        </w:r>
        <w:r w:rsidR="000D6B73">
          <w:rPr>
            <w:noProof/>
            <w:webHidden/>
          </w:rPr>
          <w:t>42</w:t>
        </w:r>
        <w:r w:rsidR="000D6B73">
          <w:rPr>
            <w:noProof/>
            <w:webHidden/>
          </w:rPr>
          <w:fldChar w:fldCharType="end"/>
        </w:r>
      </w:hyperlink>
    </w:p>
    <w:p w14:paraId="7E4D3D22"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56" w:history="1">
        <w:r w:rsidR="000D6B73" w:rsidRPr="002436F2">
          <w:rPr>
            <w:rStyle w:val="Hyperlink"/>
            <w:noProof/>
            <w:lang w:val="en-GB"/>
          </w:rPr>
          <w:t>Chapter 5: Discussion</w:t>
        </w:r>
        <w:r w:rsidR="000D6B73">
          <w:rPr>
            <w:noProof/>
            <w:webHidden/>
          </w:rPr>
          <w:tab/>
        </w:r>
        <w:r w:rsidR="000D6B73">
          <w:rPr>
            <w:noProof/>
            <w:webHidden/>
          </w:rPr>
          <w:fldChar w:fldCharType="begin"/>
        </w:r>
        <w:r w:rsidR="000D6B73">
          <w:rPr>
            <w:noProof/>
            <w:webHidden/>
          </w:rPr>
          <w:instrText xml:space="preserve"> PAGEREF _Toc114323856 \h </w:instrText>
        </w:r>
        <w:r w:rsidR="000D6B73">
          <w:rPr>
            <w:noProof/>
            <w:webHidden/>
          </w:rPr>
        </w:r>
        <w:r w:rsidR="000D6B73">
          <w:rPr>
            <w:noProof/>
            <w:webHidden/>
          </w:rPr>
          <w:fldChar w:fldCharType="separate"/>
        </w:r>
        <w:r w:rsidR="000D6B73">
          <w:rPr>
            <w:noProof/>
            <w:webHidden/>
          </w:rPr>
          <w:t>43</w:t>
        </w:r>
        <w:r w:rsidR="000D6B73">
          <w:rPr>
            <w:noProof/>
            <w:webHidden/>
          </w:rPr>
          <w:fldChar w:fldCharType="end"/>
        </w:r>
      </w:hyperlink>
    </w:p>
    <w:p w14:paraId="742F38B6"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57" w:history="1">
        <w:r w:rsidR="000D6B73" w:rsidRPr="002436F2">
          <w:rPr>
            <w:rStyle w:val="Hyperlink"/>
            <w:bCs/>
            <w:noProof/>
            <w:shd w:val="clear" w:color="auto" w:fill="FFFFFF"/>
          </w:rPr>
          <w:t>5.1 Introduction</w:t>
        </w:r>
        <w:r w:rsidR="000D6B73">
          <w:rPr>
            <w:noProof/>
            <w:webHidden/>
          </w:rPr>
          <w:tab/>
        </w:r>
        <w:r w:rsidR="000D6B73">
          <w:rPr>
            <w:noProof/>
            <w:webHidden/>
          </w:rPr>
          <w:fldChar w:fldCharType="begin"/>
        </w:r>
        <w:r w:rsidR="000D6B73">
          <w:rPr>
            <w:noProof/>
            <w:webHidden/>
          </w:rPr>
          <w:instrText xml:space="preserve"> PAGEREF _Toc114323857 \h </w:instrText>
        </w:r>
        <w:r w:rsidR="000D6B73">
          <w:rPr>
            <w:noProof/>
            <w:webHidden/>
          </w:rPr>
        </w:r>
        <w:r w:rsidR="000D6B73">
          <w:rPr>
            <w:noProof/>
            <w:webHidden/>
          </w:rPr>
          <w:fldChar w:fldCharType="separate"/>
        </w:r>
        <w:r w:rsidR="000D6B73">
          <w:rPr>
            <w:noProof/>
            <w:webHidden/>
          </w:rPr>
          <w:t>43</w:t>
        </w:r>
        <w:r w:rsidR="000D6B73">
          <w:rPr>
            <w:noProof/>
            <w:webHidden/>
          </w:rPr>
          <w:fldChar w:fldCharType="end"/>
        </w:r>
      </w:hyperlink>
    </w:p>
    <w:p w14:paraId="529F8598"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58" w:history="1">
        <w:r w:rsidR="000D6B73" w:rsidRPr="002436F2">
          <w:rPr>
            <w:rStyle w:val="Hyperlink"/>
            <w:noProof/>
            <w:lang w:val="en-GB"/>
          </w:rPr>
          <w:t>5.2 Discussion</w:t>
        </w:r>
        <w:r w:rsidR="000D6B73">
          <w:rPr>
            <w:noProof/>
            <w:webHidden/>
          </w:rPr>
          <w:tab/>
        </w:r>
        <w:r w:rsidR="000D6B73">
          <w:rPr>
            <w:noProof/>
            <w:webHidden/>
          </w:rPr>
          <w:fldChar w:fldCharType="begin"/>
        </w:r>
        <w:r w:rsidR="000D6B73">
          <w:rPr>
            <w:noProof/>
            <w:webHidden/>
          </w:rPr>
          <w:instrText xml:space="preserve"> PAGEREF _Toc114323858 \h </w:instrText>
        </w:r>
        <w:r w:rsidR="000D6B73">
          <w:rPr>
            <w:noProof/>
            <w:webHidden/>
          </w:rPr>
        </w:r>
        <w:r w:rsidR="000D6B73">
          <w:rPr>
            <w:noProof/>
            <w:webHidden/>
          </w:rPr>
          <w:fldChar w:fldCharType="separate"/>
        </w:r>
        <w:r w:rsidR="000D6B73">
          <w:rPr>
            <w:noProof/>
            <w:webHidden/>
          </w:rPr>
          <w:t>43</w:t>
        </w:r>
        <w:r w:rsidR="000D6B73">
          <w:rPr>
            <w:noProof/>
            <w:webHidden/>
          </w:rPr>
          <w:fldChar w:fldCharType="end"/>
        </w:r>
      </w:hyperlink>
    </w:p>
    <w:p w14:paraId="4CD4EC37"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59" w:history="1">
        <w:r w:rsidR="000D6B73" w:rsidRPr="002436F2">
          <w:rPr>
            <w:rStyle w:val="Hyperlink"/>
            <w:noProof/>
            <w:shd w:val="clear" w:color="auto" w:fill="FFFFFF"/>
          </w:rPr>
          <w:t>5.3 Summary</w:t>
        </w:r>
        <w:r w:rsidR="000D6B73">
          <w:rPr>
            <w:noProof/>
            <w:webHidden/>
          </w:rPr>
          <w:tab/>
        </w:r>
        <w:r w:rsidR="000D6B73">
          <w:rPr>
            <w:noProof/>
            <w:webHidden/>
          </w:rPr>
          <w:fldChar w:fldCharType="begin"/>
        </w:r>
        <w:r w:rsidR="000D6B73">
          <w:rPr>
            <w:noProof/>
            <w:webHidden/>
          </w:rPr>
          <w:instrText xml:space="preserve"> PAGEREF _Toc114323859 \h </w:instrText>
        </w:r>
        <w:r w:rsidR="000D6B73">
          <w:rPr>
            <w:noProof/>
            <w:webHidden/>
          </w:rPr>
        </w:r>
        <w:r w:rsidR="000D6B73">
          <w:rPr>
            <w:noProof/>
            <w:webHidden/>
          </w:rPr>
          <w:fldChar w:fldCharType="separate"/>
        </w:r>
        <w:r w:rsidR="000D6B73">
          <w:rPr>
            <w:noProof/>
            <w:webHidden/>
          </w:rPr>
          <w:t>46</w:t>
        </w:r>
        <w:r w:rsidR="000D6B73">
          <w:rPr>
            <w:noProof/>
            <w:webHidden/>
          </w:rPr>
          <w:fldChar w:fldCharType="end"/>
        </w:r>
      </w:hyperlink>
    </w:p>
    <w:p w14:paraId="1F76C536"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60" w:history="1">
        <w:r w:rsidR="000D6B73" w:rsidRPr="002436F2">
          <w:rPr>
            <w:rStyle w:val="Hyperlink"/>
            <w:noProof/>
            <w:highlight w:val="white"/>
            <w:lang w:val="en-GB"/>
          </w:rPr>
          <w:t>Chapter 6: Conclusion and Recommendations</w:t>
        </w:r>
        <w:r w:rsidR="000D6B73">
          <w:rPr>
            <w:noProof/>
            <w:webHidden/>
          </w:rPr>
          <w:tab/>
        </w:r>
        <w:r w:rsidR="000D6B73">
          <w:rPr>
            <w:noProof/>
            <w:webHidden/>
          </w:rPr>
          <w:fldChar w:fldCharType="begin"/>
        </w:r>
        <w:r w:rsidR="000D6B73">
          <w:rPr>
            <w:noProof/>
            <w:webHidden/>
          </w:rPr>
          <w:instrText xml:space="preserve"> PAGEREF _Toc114323860 \h </w:instrText>
        </w:r>
        <w:r w:rsidR="000D6B73">
          <w:rPr>
            <w:noProof/>
            <w:webHidden/>
          </w:rPr>
        </w:r>
        <w:r w:rsidR="000D6B73">
          <w:rPr>
            <w:noProof/>
            <w:webHidden/>
          </w:rPr>
          <w:fldChar w:fldCharType="separate"/>
        </w:r>
        <w:r w:rsidR="000D6B73">
          <w:rPr>
            <w:noProof/>
            <w:webHidden/>
          </w:rPr>
          <w:t>47</w:t>
        </w:r>
        <w:r w:rsidR="000D6B73">
          <w:rPr>
            <w:noProof/>
            <w:webHidden/>
          </w:rPr>
          <w:fldChar w:fldCharType="end"/>
        </w:r>
      </w:hyperlink>
    </w:p>
    <w:p w14:paraId="2A786A2E"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61" w:history="1">
        <w:r w:rsidR="000D6B73" w:rsidRPr="002436F2">
          <w:rPr>
            <w:rStyle w:val="Hyperlink"/>
            <w:noProof/>
            <w:highlight w:val="white"/>
            <w:lang w:val="en-GB"/>
          </w:rPr>
          <w:t>6.0 Conclusion</w:t>
        </w:r>
        <w:r w:rsidR="000D6B73">
          <w:rPr>
            <w:noProof/>
            <w:webHidden/>
          </w:rPr>
          <w:tab/>
        </w:r>
        <w:r w:rsidR="000D6B73">
          <w:rPr>
            <w:noProof/>
            <w:webHidden/>
          </w:rPr>
          <w:fldChar w:fldCharType="begin"/>
        </w:r>
        <w:r w:rsidR="000D6B73">
          <w:rPr>
            <w:noProof/>
            <w:webHidden/>
          </w:rPr>
          <w:instrText xml:space="preserve"> PAGEREF _Toc114323861 \h </w:instrText>
        </w:r>
        <w:r w:rsidR="000D6B73">
          <w:rPr>
            <w:noProof/>
            <w:webHidden/>
          </w:rPr>
        </w:r>
        <w:r w:rsidR="000D6B73">
          <w:rPr>
            <w:noProof/>
            <w:webHidden/>
          </w:rPr>
          <w:fldChar w:fldCharType="separate"/>
        </w:r>
        <w:r w:rsidR="000D6B73">
          <w:rPr>
            <w:noProof/>
            <w:webHidden/>
          </w:rPr>
          <w:t>47</w:t>
        </w:r>
        <w:r w:rsidR="000D6B73">
          <w:rPr>
            <w:noProof/>
            <w:webHidden/>
          </w:rPr>
          <w:fldChar w:fldCharType="end"/>
        </w:r>
      </w:hyperlink>
    </w:p>
    <w:p w14:paraId="688E3E13"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62" w:history="1">
        <w:r w:rsidR="000D6B73" w:rsidRPr="002436F2">
          <w:rPr>
            <w:rStyle w:val="Hyperlink"/>
            <w:noProof/>
            <w:highlight w:val="white"/>
            <w:lang w:val="en-GB"/>
          </w:rPr>
          <w:t>6.1 Linking with Objectives</w:t>
        </w:r>
        <w:r w:rsidR="000D6B73">
          <w:rPr>
            <w:noProof/>
            <w:webHidden/>
          </w:rPr>
          <w:tab/>
        </w:r>
        <w:r w:rsidR="000D6B73">
          <w:rPr>
            <w:noProof/>
            <w:webHidden/>
          </w:rPr>
          <w:fldChar w:fldCharType="begin"/>
        </w:r>
        <w:r w:rsidR="000D6B73">
          <w:rPr>
            <w:noProof/>
            <w:webHidden/>
          </w:rPr>
          <w:instrText xml:space="preserve"> PAGEREF _Toc114323862 \h </w:instrText>
        </w:r>
        <w:r w:rsidR="000D6B73">
          <w:rPr>
            <w:noProof/>
            <w:webHidden/>
          </w:rPr>
        </w:r>
        <w:r w:rsidR="000D6B73">
          <w:rPr>
            <w:noProof/>
            <w:webHidden/>
          </w:rPr>
          <w:fldChar w:fldCharType="separate"/>
        </w:r>
        <w:r w:rsidR="000D6B73">
          <w:rPr>
            <w:noProof/>
            <w:webHidden/>
          </w:rPr>
          <w:t>48</w:t>
        </w:r>
        <w:r w:rsidR="000D6B73">
          <w:rPr>
            <w:noProof/>
            <w:webHidden/>
          </w:rPr>
          <w:fldChar w:fldCharType="end"/>
        </w:r>
      </w:hyperlink>
    </w:p>
    <w:p w14:paraId="33F0572A"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63" w:history="1">
        <w:r w:rsidR="000D6B73" w:rsidRPr="002436F2">
          <w:rPr>
            <w:rStyle w:val="Hyperlink"/>
            <w:noProof/>
            <w:highlight w:val="white"/>
            <w:lang w:val="en-GB"/>
          </w:rPr>
          <w:t>6.2 Recommendations</w:t>
        </w:r>
        <w:r w:rsidR="000D6B73">
          <w:rPr>
            <w:noProof/>
            <w:webHidden/>
          </w:rPr>
          <w:tab/>
        </w:r>
        <w:r w:rsidR="000D6B73">
          <w:rPr>
            <w:noProof/>
            <w:webHidden/>
          </w:rPr>
          <w:fldChar w:fldCharType="begin"/>
        </w:r>
        <w:r w:rsidR="000D6B73">
          <w:rPr>
            <w:noProof/>
            <w:webHidden/>
          </w:rPr>
          <w:instrText xml:space="preserve"> PAGEREF _Toc114323863 \h </w:instrText>
        </w:r>
        <w:r w:rsidR="000D6B73">
          <w:rPr>
            <w:noProof/>
            <w:webHidden/>
          </w:rPr>
        </w:r>
        <w:r w:rsidR="000D6B73">
          <w:rPr>
            <w:noProof/>
            <w:webHidden/>
          </w:rPr>
          <w:fldChar w:fldCharType="separate"/>
        </w:r>
        <w:r w:rsidR="000D6B73">
          <w:rPr>
            <w:noProof/>
            <w:webHidden/>
          </w:rPr>
          <w:t>48</w:t>
        </w:r>
        <w:r w:rsidR="000D6B73">
          <w:rPr>
            <w:noProof/>
            <w:webHidden/>
          </w:rPr>
          <w:fldChar w:fldCharType="end"/>
        </w:r>
      </w:hyperlink>
    </w:p>
    <w:p w14:paraId="264CAE31"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64" w:history="1">
        <w:r w:rsidR="000D6B73" w:rsidRPr="002436F2">
          <w:rPr>
            <w:rStyle w:val="Hyperlink"/>
            <w:noProof/>
            <w:highlight w:val="white"/>
            <w:lang w:val="en-GB"/>
          </w:rPr>
          <w:t>6.3 Research Limitations</w:t>
        </w:r>
        <w:r w:rsidR="000D6B73">
          <w:rPr>
            <w:noProof/>
            <w:webHidden/>
          </w:rPr>
          <w:tab/>
        </w:r>
        <w:r w:rsidR="000D6B73">
          <w:rPr>
            <w:noProof/>
            <w:webHidden/>
          </w:rPr>
          <w:fldChar w:fldCharType="begin"/>
        </w:r>
        <w:r w:rsidR="000D6B73">
          <w:rPr>
            <w:noProof/>
            <w:webHidden/>
          </w:rPr>
          <w:instrText xml:space="preserve"> PAGEREF _Toc114323864 \h </w:instrText>
        </w:r>
        <w:r w:rsidR="000D6B73">
          <w:rPr>
            <w:noProof/>
            <w:webHidden/>
          </w:rPr>
        </w:r>
        <w:r w:rsidR="000D6B73">
          <w:rPr>
            <w:noProof/>
            <w:webHidden/>
          </w:rPr>
          <w:fldChar w:fldCharType="separate"/>
        </w:r>
        <w:r w:rsidR="000D6B73">
          <w:rPr>
            <w:noProof/>
            <w:webHidden/>
          </w:rPr>
          <w:t>49</w:t>
        </w:r>
        <w:r w:rsidR="000D6B73">
          <w:rPr>
            <w:noProof/>
            <w:webHidden/>
          </w:rPr>
          <w:fldChar w:fldCharType="end"/>
        </w:r>
      </w:hyperlink>
    </w:p>
    <w:p w14:paraId="66C34FA9"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65" w:history="1">
        <w:r w:rsidR="000D6B73" w:rsidRPr="002436F2">
          <w:rPr>
            <w:rStyle w:val="Hyperlink"/>
            <w:noProof/>
            <w:highlight w:val="white"/>
            <w:lang w:val="en-GB"/>
          </w:rPr>
          <w:t>6.4 Future Scope</w:t>
        </w:r>
        <w:r w:rsidR="000D6B73">
          <w:rPr>
            <w:noProof/>
            <w:webHidden/>
          </w:rPr>
          <w:tab/>
        </w:r>
        <w:r w:rsidR="000D6B73">
          <w:rPr>
            <w:noProof/>
            <w:webHidden/>
          </w:rPr>
          <w:fldChar w:fldCharType="begin"/>
        </w:r>
        <w:r w:rsidR="000D6B73">
          <w:rPr>
            <w:noProof/>
            <w:webHidden/>
          </w:rPr>
          <w:instrText xml:space="preserve"> PAGEREF _Toc114323865 \h </w:instrText>
        </w:r>
        <w:r w:rsidR="000D6B73">
          <w:rPr>
            <w:noProof/>
            <w:webHidden/>
          </w:rPr>
        </w:r>
        <w:r w:rsidR="000D6B73">
          <w:rPr>
            <w:noProof/>
            <w:webHidden/>
          </w:rPr>
          <w:fldChar w:fldCharType="separate"/>
        </w:r>
        <w:r w:rsidR="000D6B73">
          <w:rPr>
            <w:noProof/>
            <w:webHidden/>
          </w:rPr>
          <w:t>49</w:t>
        </w:r>
        <w:r w:rsidR="000D6B73">
          <w:rPr>
            <w:noProof/>
            <w:webHidden/>
          </w:rPr>
          <w:fldChar w:fldCharType="end"/>
        </w:r>
      </w:hyperlink>
    </w:p>
    <w:p w14:paraId="6DD3F9A2"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66" w:history="1">
        <w:r w:rsidR="000D6B73" w:rsidRPr="002436F2">
          <w:rPr>
            <w:rStyle w:val="Hyperlink"/>
            <w:noProof/>
            <w:highlight w:val="white"/>
            <w:lang w:val="en-GB"/>
          </w:rPr>
          <w:t>Reference list</w:t>
        </w:r>
        <w:r w:rsidR="000D6B73">
          <w:rPr>
            <w:noProof/>
            <w:webHidden/>
          </w:rPr>
          <w:tab/>
        </w:r>
        <w:r w:rsidR="000D6B73">
          <w:rPr>
            <w:noProof/>
            <w:webHidden/>
          </w:rPr>
          <w:fldChar w:fldCharType="begin"/>
        </w:r>
        <w:r w:rsidR="000D6B73">
          <w:rPr>
            <w:noProof/>
            <w:webHidden/>
          </w:rPr>
          <w:instrText xml:space="preserve"> PAGEREF _Toc114323866 \h </w:instrText>
        </w:r>
        <w:r w:rsidR="000D6B73">
          <w:rPr>
            <w:noProof/>
            <w:webHidden/>
          </w:rPr>
        </w:r>
        <w:r w:rsidR="000D6B73">
          <w:rPr>
            <w:noProof/>
            <w:webHidden/>
          </w:rPr>
          <w:fldChar w:fldCharType="separate"/>
        </w:r>
        <w:r w:rsidR="000D6B73">
          <w:rPr>
            <w:noProof/>
            <w:webHidden/>
          </w:rPr>
          <w:t>51</w:t>
        </w:r>
        <w:r w:rsidR="000D6B73">
          <w:rPr>
            <w:noProof/>
            <w:webHidden/>
          </w:rPr>
          <w:fldChar w:fldCharType="end"/>
        </w:r>
      </w:hyperlink>
    </w:p>
    <w:p w14:paraId="781CA3A0"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67" w:history="1">
        <w:r w:rsidR="000D6B73" w:rsidRPr="002436F2">
          <w:rPr>
            <w:rStyle w:val="Hyperlink"/>
            <w:noProof/>
            <w:shd w:val="clear" w:color="auto" w:fill="FFFFFF"/>
            <w:lang w:val="en-GB"/>
          </w:rPr>
          <w:t>Appendix: Gantt chart</w:t>
        </w:r>
        <w:r w:rsidR="000D6B73">
          <w:rPr>
            <w:noProof/>
            <w:webHidden/>
          </w:rPr>
          <w:tab/>
        </w:r>
        <w:r w:rsidR="000D6B73">
          <w:rPr>
            <w:noProof/>
            <w:webHidden/>
          </w:rPr>
          <w:fldChar w:fldCharType="begin"/>
        </w:r>
        <w:r w:rsidR="000D6B73">
          <w:rPr>
            <w:noProof/>
            <w:webHidden/>
          </w:rPr>
          <w:instrText xml:space="preserve"> PAGEREF _Toc114323867 \h </w:instrText>
        </w:r>
        <w:r w:rsidR="000D6B73">
          <w:rPr>
            <w:noProof/>
            <w:webHidden/>
          </w:rPr>
        </w:r>
        <w:r w:rsidR="000D6B73">
          <w:rPr>
            <w:noProof/>
            <w:webHidden/>
          </w:rPr>
          <w:fldChar w:fldCharType="separate"/>
        </w:r>
        <w:r w:rsidR="000D6B73">
          <w:rPr>
            <w:noProof/>
            <w:webHidden/>
          </w:rPr>
          <w:t>60</w:t>
        </w:r>
        <w:r w:rsidR="000D6B73">
          <w:rPr>
            <w:noProof/>
            <w:webHidden/>
          </w:rPr>
          <w:fldChar w:fldCharType="end"/>
        </w:r>
      </w:hyperlink>
    </w:p>
    <w:p w14:paraId="7DBE20FD" w14:textId="77777777" w:rsidR="00B46AD5" w:rsidRPr="00231FC2" w:rsidRDefault="000D6B73" w:rsidP="00231FC2">
      <w:pPr>
        <w:pStyle w:val="NormalWeb"/>
        <w:spacing w:before="240" w:beforeAutospacing="0" w:after="0" w:afterAutospacing="0" w:line="360" w:lineRule="auto"/>
        <w:jc w:val="center"/>
        <w:rPr>
          <w:lang w:val="en-GB"/>
        </w:rPr>
      </w:pPr>
      <w:r>
        <w:rPr>
          <w:rFonts w:eastAsia="Arial" w:cs="Arial"/>
          <w:szCs w:val="22"/>
          <w:lang w:val="en-GB"/>
        </w:rPr>
        <w:fldChar w:fldCharType="end"/>
      </w:r>
    </w:p>
    <w:p w14:paraId="02049176" w14:textId="77777777" w:rsidR="00B46AD5" w:rsidRPr="00231FC2" w:rsidRDefault="00B46AD5" w:rsidP="00231FC2">
      <w:pPr>
        <w:spacing w:before="240"/>
        <w:rPr>
          <w:rFonts w:eastAsia="Times New Roman" w:cs="Times New Roman"/>
          <w:b/>
          <w:bCs/>
          <w:szCs w:val="24"/>
          <w:shd w:val="clear" w:color="auto" w:fill="FFFFFF"/>
          <w:lang w:val="en-GB"/>
        </w:rPr>
      </w:pPr>
      <w:r w:rsidRPr="00231FC2">
        <w:rPr>
          <w:b/>
          <w:bCs/>
          <w:shd w:val="clear" w:color="auto" w:fill="FFFFFF"/>
          <w:lang w:val="en-GB"/>
        </w:rPr>
        <w:br w:type="page"/>
      </w:r>
    </w:p>
    <w:p w14:paraId="044CFF9D" w14:textId="77777777" w:rsidR="00B46AD5" w:rsidRPr="00231FC2" w:rsidRDefault="00B46AD5" w:rsidP="00231FC2">
      <w:pPr>
        <w:pStyle w:val="NormalWeb"/>
        <w:spacing w:before="240" w:beforeAutospacing="0" w:after="0" w:afterAutospacing="0" w:line="360" w:lineRule="auto"/>
        <w:jc w:val="center"/>
        <w:rPr>
          <w:b/>
          <w:bCs/>
          <w:shd w:val="clear" w:color="auto" w:fill="FFFFFF"/>
          <w:lang w:val="en-GB"/>
        </w:rPr>
      </w:pPr>
      <w:r w:rsidRPr="00231FC2">
        <w:rPr>
          <w:b/>
          <w:bCs/>
          <w:shd w:val="clear" w:color="auto" w:fill="FFFFFF"/>
          <w:lang w:val="en-GB"/>
        </w:rPr>
        <w:t>List of Figures</w:t>
      </w:r>
    </w:p>
    <w:p w14:paraId="18F6CFCE" w14:textId="77777777" w:rsidR="000D6B73" w:rsidRDefault="002337D4">
      <w:pPr>
        <w:pStyle w:val="TableofFigures"/>
        <w:tabs>
          <w:tab w:val="right" w:leader="dot" w:pos="9019"/>
        </w:tabs>
        <w:rPr>
          <w:rFonts w:asciiTheme="minorHAnsi" w:eastAsiaTheme="minorEastAsia" w:hAnsiTheme="minorHAnsi" w:cstheme="minorBidi"/>
          <w:noProof/>
          <w:color w:val="auto"/>
          <w:sz w:val="22"/>
        </w:rPr>
      </w:pPr>
      <w:r w:rsidRPr="00231FC2">
        <w:rPr>
          <w:b/>
          <w:bCs/>
          <w:shd w:val="clear" w:color="auto" w:fill="FFFFFF"/>
          <w:lang w:val="en-GB"/>
        </w:rPr>
        <w:fldChar w:fldCharType="begin"/>
      </w:r>
      <w:r w:rsidR="00B46AD5" w:rsidRPr="00231FC2">
        <w:rPr>
          <w:b/>
          <w:bCs/>
          <w:shd w:val="clear" w:color="auto" w:fill="FFFFFF"/>
          <w:lang w:val="en-GB"/>
        </w:rPr>
        <w:instrText xml:space="preserve"> TOC \h \z \t "Heading 2,figure" \c "Figure" </w:instrText>
      </w:r>
      <w:r w:rsidRPr="00231FC2">
        <w:rPr>
          <w:b/>
          <w:bCs/>
          <w:shd w:val="clear" w:color="auto" w:fill="FFFFFF"/>
          <w:lang w:val="en-GB"/>
        </w:rPr>
        <w:fldChar w:fldCharType="separate"/>
      </w:r>
      <w:hyperlink w:anchor="_Toc114323868" w:history="1">
        <w:r w:rsidR="000D6B73" w:rsidRPr="00CA30AD">
          <w:rPr>
            <w:rStyle w:val="Hyperlink"/>
            <w:noProof/>
            <w:highlight w:val="white"/>
            <w:lang w:val="en-GB"/>
          </w:rPr>
          <w:t>Figure 1.1: Equity Investment Value</w:t>
        </w:r>
        <w:r w:rsidR="000D6B73">
          <w:rPr>
            <w:noProof/>
            <w:webHidden/>
          </w:rPr>
          <w:tab/>
        </w:r>
        <w:r w:rsidR="000D6B73">
          <w:rPr>
            <w:noProof/>
            <w:webHidden/>
          </w:rPr>
          <w:fldChar w:fldCharType="begin"/>
        </w:r>
        <w:r w:rsidR="000D6B73">
          <w:rPr>
            <w:noProof/>
            <w:webHidden/>
          </w:rPr>
          <w:instrText xml:space="preserve"> PAGEREF _Toc114323868 \h </w:instrText>
        </w:r>
        <w:r w:rsidR="000D6B73">
          <w:rPr>
            <w:noProof/>
            <w:webHidden/>
          </w:rPr>
        </w:r>
        <w:r w:rsidR="000D6B73">
          <w:rPr>
            <w:noProof/>
            <w:webHidden/>
          </w:rPr>
          <w:fldChar w:fldCharType="separate"/>
        </w:r>
        <w:r w:rsidR="000D6B73">
          <w:rPr>
            <w:noProof/>
            <w:webHidden/>
          </w:rPr>
          <w:t>9</w:t>
        </w:r>
        <w:r w:rsidR="000D6B73">
          <w:rPr>
            <w:noProof/>
            <w:webHidden/>
          </w:rPr>
          <w:fldChar w:fldCharType="end"/>
        </w:r>
      </w:hyperlink>
    </w:p>
    <w:p w14:paraId="4F8ECAEC"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69" w:history="1">
        <w:r w:rsidR="000D6B73" w:rsidRPr="00CA30AD">
          <w:rPr>
            <w:rStyle w:val="Hyperlink"/>
            <w:noProof/>
            <w:highlight w:val="white"/>
            <w:lang w:val="en-GB"/>
          </w:rPr>
          <w:t>Figure 1.2: Structure of Dissertation</w:t>
        </w:r>
        <w:r w:rsidR="000D6B73">
          <w:rPr>
            <w:noProof/>
            <w:webHidden/>
          </w:rPr>
          <w:tab/>
        </w:r>
        <w:r w:rsidR="000D6B73">
          <w:rPr>
            <w:noProof/>
            <w:webHidden/>
          </w:rPr>
          <w:fldChar w:fldCharType="begin"/>
        </w:r>
        <w:r w:rsidR="000D6B73">
          <w:rPr>
            <w:noProof/>
            <w:webHidden/>
          </w:rPr>
          <w:instrText xml:space="preserve"> PAGEREF _Toc114323869 \h </w:instrText>
        </w:r>
        <w:r w:rsidR="000D6B73">
          <w:rPr>
            <w:noProof/>
            <w:webHidden/>
          </w:rPr>
        </w:r>
        <w:r w:rsidR="000D6B73">
          <w:rPr>
            <w:noProof/>
            <w:webHidden/>
          </w:rPr>
          <w:fldChar w:fldCharType="separate"/>
        </w:r>
        <w:r w:rsidR="000D6B73">
          <w:rPr>
            <w:noProof/>
            <w:webHidden/>
          </w:rPr>
          <w:t>12</w:t>
        </w:r>
        <w:r w:rsidR="000D6B73">
          <w:rPr>
            <w:noProof/>
            <w:webHidden/>
          </w:rPr>
          <w:fldChar w:fldCharType="end"/>
        </w:r>
      </w:hyperlink>
    </w:p>
    <w:p w14:paraId="340B9A10"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70" w:history="1">
        <w:r w:rsidR="000D6B73" w:rsidRPr="00CA30AD">
          <w:rPr>
            <w:rStyle w:val="Hyperlink"/>
            <w:noProof/>
            <w:highlight w:val="white"/>
          </w:rPr>
          <w:t>Figure 2.1: Conceptual Framework</w:t>
        </w:r>
        <w:r w:rsidR="000D6B73">
          <w:rPr>
            <w:noProof/>
            <w:webHidden/>
          </w:rPr>
          <w:tab/>
        </w:r>
        <w:r w:rsidR="000D6B73">
          <w:rPr>
            <w:noProof/>
            <w:webHidden/>
          </w:rPr>
          <w:fldChar w:fldCharType="begin"/>
        </w:r>
        <w:r w:rsidR="000D6B73">
          <w:rPr>
            <w:noProof/>
            <w:webHidden/>
          </w:rPr>
          <w:instrText xml:space="preserve"> PAGEREF _Toc114323870 \h </w:instrText>
        </w:r>
        <w:r w:rsidR="000D6B73">
          <w:rPr>
            <w:noProof/>
            <w:webHidden/>
          </w:rPr>
        </w:r>
        <w:r w:rsidR="000D6B73">
          <w:rPr>
            <w:noProof/>
            <w:webHidden/>
          </w:rPr>
          <w:fldChar w:fldCharType="separate"/>
        </w:r>
        <w:r w:rsidR="000D6B73">
          <w:rPr>
            <w:noProof/>
            <w:webHidden/>
          </w:rPr>
          <w:t>15</w:t>
        </w:r>
        <w:r w:rsidR="000D6B73">
          <w:rPr>
            <w:noProof/>
            <w:webHidden/>
          </w:rPr>
          <w:fldChar w:fldCharType="end"/>
        </w:r>
      </w:hyperlink>
    </w:p>
    <w:p w14:paraId="3C221D32" w14:textId="77777777" w:rsidR="000D6B73" w:rsidRDefault="00C64F61">
      <w:pPr>
        <w:pStyle w:val="TableofFigures"/>
        <w:tabs>
          <w:tab w:val="right" w:leader="dot" w:pos="9019"/>
        </w:tabs>
        <w:rPr>
          <w:rFonts w:asciiTheme="minorHAnsi" w:eastAsiaTheme="minorEastAsia" w:hAnsiTheme="minorHAnsi" w:cstheme="minorBidi"/>
          <w:noProof/>
          <w:color w:val="auto"/>
          <w:sz w:val="22"/>
        </w:rPr>
      </w:pPr>
      <w:hyperlink w:anchor="_Toc114323871" w:history="1">
        <w:r w:rsidR="000D6B73" w:rsidRPr="00CA30AD">
          <w:rPr>
            <w:rStyle w:val="Hyperlink"/>
            <w:noProof/>
            <w:highlight w:val="white"/>
            <w:lang w:val="en-GB"/>
          </w:rPr>
          <w:t>Figure 3.1: Research Onion</w:t>
        </w:r>
        <w:r w:rsidR="000D6B73">
          <w:rPr>
            <w:noProof/>
            <w:webHidden/>
          </w:rPr>
          <w:tab/>
        </w:r>
        <w:r w:rsidR="000D6B73">
          <w:rPr>
            <w:noProof/>
            <w:webHidden/>
          </w:rPr>
          <w:fldChar w:fldCharType="begin"/>
        </w:r>
        <w:r w:rsidR="000D6B73">
          <w:rPr>
            <w:noProof/>
            <w:webHidden/>
          </w:rPr>
          <w:instrText xml:space="preserve"> PAGEREF _Toc114323871 \h </w:instrText>
        </w:r>
        <w:r w:rsidR="000D6B73">
          <w:rPr>
            <w:noProof/>
            <w:webHidden/>
          </w:rPr>
        </w:r>
        <w:r w:rsidR="000D6B73">
          <w:rPr>
            <w:noProof/>
            <w:webHidden/>
          </w:rPr>
          <w:fldChar w:fldCharType="separate"/>
        </w:r>
        <w:r w:rsidR="000D6B73">
          <w:rPr>
            <w:noProof/>
            <w:webHidden/>
          </w:rPr>
          <w:t>28</w:t>
        </w:r>
        <w:r w:rsidR="000D6B73">
          <w:rPr>
            <w:noProof/>
            <w:webHidden/>
          </w:rPr>
          <w:fldChar w:fldCharType="end"/>
        </w:r>
      </w:hyperlink>
    </w:p>
    <w:p w14:paraId="03C6E8A6" w14:textId="77777777" w:rsidR="00B46AD5" w:rsidRPr="00231FC2" w:rsidRDefault="002337D4" w:rsidP="00231FC2">
      <w:pPr>
        <w:pStyle w:val="NormalWeb"/>
        <w:spacing w:before="240" w:beforeAutospacing="0" w:after="0" w:afterAutospacing="0" w:line="360" w:lineRule="auto"/>
        <w:jc w:val="center"/>
        <w:rPr>
          <w:b/>
          <w:bCs/>
          <w:shd w:val="clear" w:color="auto" w:fill="FFFFFF"/>
          <w:lang w:val="en-GB"/>
        </w:rPr>
      </w:pPr>
      <w:r w:rsidRPr="00231FC2">
        <w:rPr>
          <w:b/>
          <w:bCs/>
          <w:shd w:val="clear" w:color="auto" w:fill="FFFFFF"/>
          <w:lang w:val="en-GB"/>
        </w:rPr>
        <w:fldChar w:fldCharType="end"/>
      </w:r>
    </w:p>
    <w:p w14:paraId="00D7E7D9" w14:textId="77777777" w:rsidR="00B46AD5" w:rsidRPr="00231FC2" w:rsidRDefault="00B46AD5" w:rsidP="00231FC2">
      <w:pPr>
        <w:pStyle w:val="NormalWeb"/>
        <w:spacing w:before="240" w:beforeAutospacing="0" w:after="0" w:afterAutospacing="0" w:line="360" w:lineRule="auto"/>
        <w:jc w:val="center"/>
        <w:rPr>
          <w:lang w:val="en-GB"/>
        </w:rPr>
      </w:pPr>
    </w:p>
    <w:p w14:paraId="75E62481" w14:textId="77777777" w:rsidR="00B46AD5" w:rsidRPr="00231FC2" w:rsidRDefault="00B46AD5" w:rsidP="00231FC2">
      <w:pPr>
        <w:spacing w:before="240"/>
        <w:rPr>
          <w:rFonts w:eastAsia="Times New Roman" w:cs="Times New Roman"/>
          <w:b/>
          <w:bCs/>
          <w:szCs w:val="24"/>
          <w:shd w:val="clear" w:color="auto" w:fill="FFFFFF"/>
          <w:lang w:val="en-GB"/>
        </w:rPr>
      </w:pPr>
      <w:r w:rsidRPr="00231FC2">
        <w:rPr>
          <w:b/>
          <w:bCs/>
          <w:shd w:val="clear" w:color="auto" w:fill="FFFFFF"/>
          <w:lang w:val="en-GB"/>
        </w:rPr>
        <w:br w:type="page"/>
      </w:r>
    </w:p>
    <w:p w14:paraId="19135D4E" w14:textId="77777777" w:rsidR="00B46AD5" w:rsidRPr="00231FC2" w:rsidRDefault="00B46AD5" w:rsidP="00231FC2">
      <w:pPr>
        <w:pStyle w:val="NormalWeb"/>
        <w:spacing w:before="240" w:beforeAutospacing="0" w:after="0" w:afterAutospacing="0" w:line="360" w:lineRule="auto"/>
        <w:jc w:val="center"/>
        <w:rPr>
          <w:b/>
          <w:bCs/>
          <w:shd w:val="clear" w:color="auto" w:fill="FFFFFF"/>
          <w:lang w:val="en-GB"/>
        </w:rPr>
      </w:pPr>
      <w:r w:rsidRPr="00231FC2">
        <w:rPr>
          <w:b/>
          <w:bCs/>
          <w:shd w:val="clear" w:color="auto" w:fill="FFFFFF"/>
          <w:lang w:val="en-GB"/>
        </w:rPr>
        <w:t>List of Tables </w:t>
      </w:r>
    </w:p>
    <w:p w14:paraId="16EF42B2" w14:textId="77777777" w:rsidR="000D6B73" w:rsidRDefault="002337D4">
      <w:pPr>
        <w:pStyle w:val="TableofFigures"/>
        <w:tabs>
          <w:tab w:val="right" w:leader="dot" w:pos="9019"/>
        </w:tabs>
        <w:rPr>
          <w:rFonts w:asciiTheme="minorHAnsi" w:eastAsiaTheme="minorEastAsia" w:hAnsiTheme="minorHAnsi" w:cstheme="minorBidi"/>
          <w:noProof/>
          <w:color w:val="auto"/>
          <w:sz w:val="22"/>
        </w:rPr>
      </w:pPr>
      <w:r w:rsidRPr="00231FC2">
        <w:rPr>
          <w:lang w:val="en-GB"/>
        </w:rPr>
        <w:fldChar w:fldCharType="begin"/>
      </w:r>
      <w:r w:rsidR="00B46AD5" w:rsidRPr="00231FC2">
        <w:rPr>
          <w:lang w:val="en-GB"/>
        </w:rPr>
        <w:instrText xml:space="preserve"> TOC \h \z \t "Heading 3,Table" \c "Table" </w:instrText>
      </w:r>
      <w:r w:rsidRPr="00231FC2">
        <w:rPr>
          <w:lang w:val="en-GB"/>
        </w:rPr>
        <w:fldChar w:fldCharType="separate"/>
      </w:r>
      <w:hyperlink w:anchor="_Toc114323872" w:history="1">
        <w:r w:rsidR="000D6B73" w:rsidRPr="00ED0132">
          <w:rPr>
            <w:rStyle w:val="Hyperlink"/>
            <w:noProof/>
            <w:highlight w:val="white"/>
            <w:lang w:val="en-GB"/>
          </w:rPr>
          <w:t>Table 3.1: Exclusion and Inclusion criteria</w:t>
        </w:r>
        <w:r w:rsidR="000D6B73">
          <w:rPr>
            <w:noProof/>
            <w:webHidden/>
          </w:rPr>
          <w:tab/>
        </w:r>
        <w:r w:rsidR="000D6B73">
          <w:rPr>
            <w:noProof/>
            <w:webHidden/>
          </w:rPr>
          <w:fldChar w:fldCharType="begin"/>
        </w:r>
        <w:r w:rsidR="000D6B73">
          <w:rPr>
            <w:noProof/>
            <w:webHidden/>
          </w:rPr>
          <w:instrText xml:space="preserve"> PAGEREF _Toc114323872 \h </w:instrText>
        </w:r>
        <w:r w:rsidR="000D6B73">
          <w:rPr>
            <w:noProof/>
            <w:webHidden/>
          </w:rPr>
        </w:r>
        <w:r w:rsidR="000D6B73">
          <w:rPr>
            <w:noProof/>
            <w:webHidden/>
          </w:rPr>
          <w:fldChar w:fldCharType="separate"/>
        </w:r>
        <w:r w:rsidR="000D6B73">
          <w:rPr>
            <w:noProof/>
            <w:webHidden/>
          </w:rPr>
          <w:t>32</w:t>
        </w:r>
        <w:r w:rsidR="000D6B73">
          <w:rPr>
            <w:noProof/>
            <w:webHidden/>
          </w:rPr>
          <w:fldChar w:fldCharType="end"/>
        </w:r>
      </w:hyperlink>
    </w:p>
    <w:p w14:paraId="73DE5378" w14:textId="77777777" w:rsidR="00B46AD5" w:rsidRPr="00231FC2" w:rsidRDefault="002337D4" w:rsidP="00231FC2">
      <w:pPr>
        <w:pStyle w:val="NormalWeb"/>
        <w:spacing w:before="240" w:beforeAutospacing="0" w:after="0" w:afterAutospacing="0" w:line="360" w:lineRule="auto"/>
        <w:jc w:val="center"/>
        <w:rPr>
          <w:lang w:val="en-GB"/>
        </w:rPr>
      </w:pPr>
      <w:r w:rsidRPr="00231FC2">
        <w:rPr>
          <w:lang w:val="en-GB"/>
        </w:rPr>
        <w:fldChar w:fldCharType="end"/>
      </w:r>
    </w:p>
    <w:p w14:paraId="33351443" w14:textId="77777777" w:rsidR="008F12D3" w:rsidRPr="00231FC2" w:rsidRDefault="008F12D3" w:rsidP="00231FC2">
      <w:pPr>
        <w:spacing w:before="240"/>
        <w:rPr>
          <w:rFonts w:eastAsia="Times New Roman" w:cs="Times New Roman"/>
          <w:b/>
          <w:szCs w:val="24"/>
          <w:highlight w:val="white"/>
          <w:lang w:val="en-GB"/>
        </w:rPr>
      </w:pPr>
      <w:r w:rsidRPr="00231FC2">
        <w:rPr>
          <w:rFonts w:eastAsia="Times New Roman" w:cs="Times New Roman"/>
          <w:b/>
          <w:szCs w:val="24"/>
          <w:highlight w:val="white"/>
          <w:lang w:val="en-GB"/>
        </w:rPr>
        <w:br w:type="page"/>
      </w:r>
    </w:p>
    <w:p w14:paraId="165716F3" w14:textId="77777777" w:rsidR="0064030A" w:rsidRPr="00231FC2" w:rsidRDefault="0064030A" w:rsidP="00231FC2">
      <w:pPr>
        <w:pStyle w:val="Heading1"/>
        <w:spacing w:before="240"/>
        <w:rPr>
          <w:color w:val="000000" w:themeColor="text1"/>
          <w:highlight w:val="white"/>
          <w:lang w:val="en-GB"/>
        </w:rPr>
      </w:pPr>
      <w:bookmarkStart w:id="0" w:name="_Toc114242942"/>
      <w:bookmarkStart w:id="1" w:name="_Toc114323805"/>
      <w:bookmarkStart w:id="2" w:name="_Toc114240362"/>
      <w:bookmarkStart w:id="3" w:name="_Toc114240405"/>
      <w:r w:rsidRPr="00231FC2">
        <w:rPr>
          <w:color w:val="000000" w:themeColor="text1"/>
          <w:highlight w:val="white"/>
          <w:lang w:val="en-GB"/>
        </w:rPr>
        <w:t>Chapter 1: Introduction</w:t>
      </w:r>
      <w:bookmarkEnd w:id="0"/>
      <w:bookmarkEnd w:id="1"/>
    </w:p>
    <w:p w14:paraId="26181C21" w14:textId="77777777" w:rsidR="0064030A" w:rsidRPr="00231FC2" w:rsidRDefault="0064030A" w:rsidP="00231FC2">
      <w:pPr>
        <w:pStyle w:val="Heading1"/>
        <w:spacing w:before="240"/>
        <w:rPr>
          <w:color w:val="000000" w:themeColor="text1"/>
          <w:highlight w:val="white"/>
          <w:lang w:val="en-GB"/>
        </w:rPr>
      </w:pPr>
      <w:bookmarkStart w:id="4" w:name="_Toc114242943"/>
      <w:bookmarkStart w:id="5" w:name="_Toc114323806"/>
      <w:r w:rsidRPr="00231FC2">
        <w:rPr>
          <w:color w:val="000000" w:themeColor="text1"/>
          <w:highlight w:val="white"/>
          <w:lang w:val="en-GB"/>
        </w:rPr>
        <w:t>1.0 Introduction</w:t>
      </w:r>
      <w:bookmarkEnd w:id="4"/>
      <w:bookmarkEnd w:id="5"/>
    </w:p>
    <w:p w14:paraId="05FBEC24" w14:textId="77777777" w:rsidR="0064030A" w:rsidRPr="00231FC2" w:rsidRDefault="0064030A" w:rsidP="00231FC2">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i/>
          <w:color w:val="000000" w:themeColor="text1"/>
          <w:sz w:val="24"/>
          <w:szCs w:val="24"/>
          <w:highlight w:val="white"/>
          <w:lang w:val="en-GB"/>
        </w:rPr>
        <w:t>“Private Equity Investment”</w:t>
      </w:r>
      <w:r w:rsidRPr="00231FC2">
        <w:rPr>
          <w:rFonts w:ascii="Times New Roman" w:eastAsia="Times New Roman" w:hAnsi="Times New Roman" w:cs="Times New Roman"/>
          <w:color w:val="000000" w:themeColor="text1"/>
          <w:sz w:val="24"/>
          <w:szCs w:val="24"/>
          <w:highlight w:val="white"/>
          <w:lang w:val="en-GB"/>
        </w:rPr>
        <w:t xml:space="preserve"> is a process that assists investors in gaining greater return on their invested funds. Owing to this aspect companies are able to </w:t>
      </w:r>
      <w:r w:rsidRPr="00231FC2">
        <w:rPr>
          <w:rFonts w:ascii="Times New Roman" w:eastAsia="Times New Roman" w:hAnsi="Times New Roman" w:cs="Times New Roman"/>
          <w:i/>
          <w:color w:val="000000" w:themeColor="text1"/>
          <w:sz w:val="24"/>
          <w:szCs w:val="24"/>
          <w:highlight w:val="white"/>
          <w:lang w:val="en-GB"/>
        </w:rPr>
        <w:t>“Improve operation”</w:t>
      </w:r>
      <w:r w:rsidRPr="00231FC2">
        <w:rPr>
          <w:rFonts w:ascii="Times New Roman" w:eastAsia="Times New Roman" w:hAnsi="Times New Roman" w:cs="Times New Roman"/>
          <w:color w:val="000000" w:themeColor="text1"/>
          <w:sz w:val="24"/>
          <w:szCs w:val="24"/>
          <w:highlight w:val="white"/>
          <w:lang w:val="en-GB"/>
        </w:rPr>
        <w:t xml:space="preserve"> quality by reducing </w:t>
      </w:r>
      <w:r w:rsidRPr="00231FC2">
        <w:rPr>
          <w:rFonts w:ascii="Times New Roman" w:eastAsia="Times New Roman" w:hAnsi="Times New Roman" w:cs="Times New Roman"/>
          <w:i/>
          <w:color w:val="000000" w:themeColor="text1"/>
          <w:sz w:val="24"/>
          <w:szCs w:val="24"/>
          <w:highlight w:val="white"/>
          <w:lang w:val="en-GB"/>
        </w:rPr>
        <w:t>“costs”</w:t>
      </w:r>
      <w:r w:rsidRPr="00231FC2">
        <w:rPr>
          <w:rFonts w:ascii="Times New Roman" w:eastAsia="Times New Roman" w:hAnsi="Times New Roman" w:cs="Times New Roman"/>
          <w:color w:val="000000" w:themeColor="text1"/>
          <w:sz w:val="24"/>
          <w:szCs w:val="24"/>
          <w:highlight w:val="white"/>
          <w:lang w:val="en-GB"/>
        </w:rPr>
        <w:t xml:space="preserve"> strategically. Emphasising on these aspects, this chapter has focused on merits of equity investment towards private organisation highlighting its problems.</w:t>
      </w:r>
    </w:p>
    <w:p w14:paraId="2C9EE5DD" w14:textId="77777777" w:rsidR="0064030A" w:rsidRPr="00231FC2" w:rsidRDefault="0064030A" w:rsidP="00231FC2">
      <w:pPr>
        <w:pStyle w:val="Heading1"/>
        <w:spacing w:before="240"/>
        <w:rPr>
          <w:color w:val="000000" w:themeColor="text1"/>
          <w:highlight w:val="white"/>
          <w:lang w:val="en-GB"/>
        </w:rPr>
      </w:pPr>
      <w:bookmarkStart w:id="6" w:name="_Toc114242944"/>
      <w:bookmarkStart w:id="7" w:name="_Toc114323807"/>
      <w:r w:rsidRPr="00231FC2">
        <w:rPr>
          <w:color w:val="000000" w:themeColor="text1"/>
          <w:highlight w:val="white"/>
          <w:lang w:val="en-GB"/>
        </w:rPr>
        <w:t>1.1 Research Background</w:t>
      </w:r>
      <w:bookmarkEnd w:id="6"/>
      <w:bookmarkEnd w:id="7"/>
    </w:p>
    <w:p w14:paraId="66E51F62" w14:textId="77777777" w:rsidR="0064030A" w:rsidRPr="00231FC2" w:rsidRDefault="0064030A" w:rsidP="00231FC2">
      <w:pPr>
        <w:pStyle w:val="Normal1"/>
        <w:spacing w:before="240" w:line="360" w:lineRule="auto"/>
        <w:jc w:val="center"/>
        <w:rPr>
          <w:rFonts w:ascii="Times New Roman" w:eastAsia="Times New Roman" w:hAnsi="Times New Roman" w:cs="Times New Roman"/>
          <w:b/>
          <w:color w:val="000000" w:themeColor="text1"/>
          <w:sz w:val="24"/>
          <w:szCs w:val="24"/>
          <w:highlight w:val="white"/>
          <w:lang w:val="en-GB"/>
        </w:rPr>
      </w:pPr>
      <w:r w:rsidRPr="00231FC2">
        <w:rPr>
          <w:rFonts w:ascii="Times New Roman" w:eastAsia="Times New Roman" w:hAnsi="Times New Roman" w:cs="Times New Roman"/>
          <w:b/>
          <w:noProof/>
          <w:color w:val="000000" w:themeColor="text1"/>
          <w:sz w:val="24"/>
          <w:szCs w:val="24"/>
          <w:highlight w:val="white"/>
        </w:rPr>
        <w:drawing>
          <wp:inline distT="114300" distB="114300" distL="114300" distR="114300" wp14:anchorId="03959338" wp14:editId="1C3D7F32">
            <wp:extent cx="5731200" cy="38481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848100"/>
                    </a:xfrm>
                    <a:prstGeom prst="rect">
                      <a:avLst/>
                    </a:prstGeom>
                    <a:ln w="12700">
                      <a:solidFill>
                        <a:srgbClr val="000000"/>
                      </a:solidFill>
                      <a:prstDash val="solid"/>
                    </a:ln>
                  </pic:spPr>
                </pic:pic>
              </a:graphicData>
            </a:graphic>
          </wp:inline>
        </w:drawing>
      </w:r>
    </w:p>
    <w:p w14:paraId="7EF1D31B" w14:textId="77777777" w:rsidR="0064030A" w:rsidRPr="00231FC2" w:rsidRDefault="0064030A" w:rsidP="00231FC2">
      <w:pPr>
        <w:pStyle w:val="Heading2"/>
        <w:spacing w:before="240"/>
        <w:rPr>
          <w:color w:val="000000" w:themeColor="text1"/>
          <w:highlight w:val="white"/>
          <w:lang w:val="en-GB"/>
        </w:rPr>
      </w:pPr>
      <w:bookmarkStart w:id="8" w:name="_Toc114242961"/>
      <w:bookmarkStart w:id="9" w:name="_Toc114323868"/>
      <w:r w:rsidRPr="00231FC2">
        <w:rPr>
          <w:color w:val="000000" w:themeColor="text1"/>
          <w:highlight w:val="white"/>
          <w:lang w:val="en-GB"/>
        </w:rPr>
        <w:t>Figure 1.1: Equity Investment Value</w:t>
      </w:r>
      <w:bookmarkEnd w:id="8"/>
      <w:bookmarkEnd w:id="9"/>
    </w:p>
    <w:p w14:paraId="1E3CB137" w14:textId="77777777" w:rsidR="0064030A" w:rsidRPr="00231FC2" w:rsidRDefault="0064030A" w:rsidP="00231FC2">
      <w:pPr>
        <w:pStyle w:val="Normal1"/>
        <w:spacing w:before="240" w:line="360" w:lineRule="auto"/>
        <w:jc w:val="center"/>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(Source: STATISTA, 2022)</w:t>
      </w:r>
    </w:p>
    <w:p w14:paraId="19674EF1" w14:textId="77777777" w:rsidR="0064030A" w:rsidRPr="00231FC2" w:rsidRDefault="0064030A" w:rsidP="00231FC2">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i/>
          <w:color w:val="000000" w:themeColor="text1"/>
          <w:sz w:val="24"/>
          <w:szCs w:val="24"/>
          <w:highlight w:val="white"/>
          <w:lang w:val="en-GB"/>
        </w:rPr>
        <w:t>“Private Equity Investment”</w:t>
      </w:r>
      <w:r w:rsidRPr="00231FC2">
        <w:rPr>
          <w:rFonts w:ascii="Times New Roman" w:eastAsia="Times New Roman" w:hAnsi="Times New Roman" w:cs="Times New Roman"/>
          <w:color w:val="000000" w:themeColor="text1"/>
          <w:sz w:val="24"/>
          <w:szCs w:val="24"/>
          <w:highlight w:val="white"/>
          <w:lang w:val="en-GB"/>
        </w:rPr>
        <w:t xml:space="preserve"> highlights a strategy that provides companies with potential growth in the extended market. Companies for obtaining greater return on investment often make use of this process to enhance organisational growth in extended market. As per the observation of Sadeghloo</w:t>
      </w:r>
      <w:r w:rsidRPr="00231FC2">
        <w:rPr>
          <w:rFonts w:ascii="Times New Roman" w:eastAsia="Times New Roman" w:hAnsi="Times New Roman" w:cs="Times New Roman"/>
          <w:i/>
          <w:color w:val="000000" w:themeColor="text1"/>
          <w:sz w:val="24"/>
          <w:szCs w:val="24"/>
          <w:highlight w:val="white"/>
          <w:lang w:val="en-GB"/>
        </w:rPr>
        <w:t xml:space="preserve"> et al.</w:t>
      </w:r>
      <w:r w:rsidRPr="00231FC2">
        <w:rPr>
          <w:rFonts w:ascii="Times New Roman" w:eastAsia="Times New Roman" w:hAnsi="Times New Roman" w:cs="Times New Roman"/>
          <w:color w:val="000000" w:themeColor="text1"/>
          <w:sz w:val="24"/>
          <w:szCs w:val="24"/>
          <w:highlight w:val="white"/>
          <w:lang w:val="en-GB"/>
        </w:rPr>
        <w:t xml:space="preserve"> (2018), increased return on investment assists companies in reducing operating risks and improving operation management successfully. UK capital market has witnessed an investment valued 1.68% in market during 2020 (STATISTA, 2022). However, buy out rate was about 18.77% which has been considered as high affecting growth and success rate. It can be stated that owing to this attribute of </w:t>
      </w:r>
      <w:r w:rsidRPr="00231FC2">
        <w:rPr>
          <w:rFonts w:ascii="Times New Roman" w:eastAsia="Times New Roman" w:hAnsi="Times New Roman" w:cs="Times New Roman"/>
          <w:i/>
          <w:color w:val="000000" w:themeColor="text1"/>
          <w:sz w:val="24"/>
          <w:szCs w:val="24"/>
          <w:highlight w:val="white"/>
          <w:lang w:val="en-GB"/>
        </w:rPr>
        <w:t xml:space="preserve">“private equity investment” </w:t>
      </w:r>
      <w:r w:rsidRPr="00231FC2">
        <w:rPr>
          <w:rFonts w:ascii="Times New Roman" w:eastAsia="Times New Roman" w:hAnsi="Times New Roman" w:cs="Times New Roman"/>
          <w:color w:val="000000" w:themeColor="text1"/>
          <w:sz w:val="24"/>
          <w:szCs w:val="24"/>
          <w:highlight w:val="white"/>
          <w:lang w:val="en-GB"/>
        </w:rPr>
        <w:t xml:space="preserve">can gain a greater return in a short period of time. Hence, bringing in innovation and strategic operation management most of the time companies make use of this process with eminent effectiveness. </w:t>
      </w:r>
    </w:p>
    <w:p w14:paraId="2B4C43BA" w14:textId="77777777" w:rsidR="0064030A" w:rsidRPr="00231FC2" w:rsidRDefault="0064030A" w:rsidP="00231FC2">
      <w:pPr>
        <w:pStyle w:val="Normal1"/>
        <w:spacing w:before="240" w:line="360" w:lineRule="auto"/>
        <w:jc w:val="both"/>
        <w:rPr>
          <w:color w:val="000000" w:themeColor="text1"/>
          <w:lang w:val="en-GB"/>
        </w:rPr>
      </w:pPr>
      <w:r w:rsidRPr="00231FC2">
        <w:rPr>
          <w:rFonts w:ascii="Times New Roman" w:eastAsia="Times New Roman" w:hAnsi="Times New Roman" w:cs="Times New Roman"/>
          <w:color w:val="000000" w:themeColor="text1"/>
          <w:sz w:val="24"/>
          <w:szCs w:val="24"/>
          <w:highlight w:val="white"/>
          <w:lang w:val="en-GB"/>
        </w:rPr>
        <w:t xml:space="preserve">Despite having positive aspects, there are certain drawbacks within </w:t>
      </w:r>
      <w:r w:rsidRPr="00231FC2">
        <w:rPr>
          <w:rFonts w:ascii="Times New Roman" w:eastAsia="Times New Roman" w:hAnsi="Times New Roman" w:cs="Times New Roman"/>
          <w:i/>
          <w:color w:val="000000" w:themeColor="text1"/>
          <w:sz w:val="24"/>
          <w:szCs w:val="24"/>
          <w:highlight w:val="white"/>
          <w:lang w:val="en-GB"/>
        </w:rPr>
        <w:t>“private equity investment”</w:t>
      </w:r>
      <w:r w:rsidRPr="00231FC2">
        <w:rPr>
          <w:rFonts w:ascii="Times New Roman" w:eastAsia="Times New Roman" w:hAnsi="Times New Roman" w:cs="Times New Roman"/>
          <w:color w:val="000000" w:themeColor="text1"/>
          <w:sz w:val="24"/>
          <w:szCs w:val="24"/>
          <w:highlight w:val="white"/>
          <w:lang w:val="en-GB"/>
        </w:rPr>
        <w:t xml:space="preserve"> affecting growth of investors. </w:t>
      </w:r>
      <w:r w:rsidRPr="00231FC2">
        <w:rPr>
          <w:rFonts w:ascii="Times New Roman" w:eastAsia="Times New Roman" w:hAnsi="Times New Roman" w:cs="Times New Roman"/>
          <w:i/>
          <w:color w:val="000000" w:themeColor="text1"/>
          <w:sz w:val="24"/>
          <w:szCs w:val="24"/>
          <w:highlight w:val="white"/>
          <w:lang w:val="en-GB"/>
        </w:rPr>
        <w:t>“Lack of upfront funding</w:t>
      </w:r>
      <w:r w:rsidRPr="00231FC2">
        <w:rPr>
          <w:rFonts w:ascii="Times New Roman" w:eastAsia="Times New Roman" w:hAnsi="Times New Roman" w:cs="Times New Roman"/>
          <w:color w:val="000000" w:themeColor="text1"/>
          <w:sz w:val="24"/>
          <w:szCs w:val="24"/>
          <w:highlight w:val="white"/>
          <w:lang w:val="en-GB"/>
        </w:rPr>
        <w:t xml:space="preserve"> and </w:t>
      </w:r>
      <w:r w:rsidRPr="00231FC2">
        <w:rPr>
          <w:rFonts w:ascii="Times New Roman" w:eastAsia="Times New Roman" w:hAnsi="Times New Roman" w:cs="Times New Roman"/>
          <w:i/>
          <w:color w:val="000000" w:themeColor="text1"/>
          <w:sz w:val="24"/>
          <w:szCs w:val="24"/>
          <w:highlight w:val="white"/>
          <w:lang w:val="en-GB"/>
        </w:rPr>
        <w:t>length of the process”</w:t>
      </w:r>
      <w:r w:rsidRPr="00231FC2">
        <w:rPr>
          <w:rFonts w:ascii="Times New Roman" w:eastAsia="Times New Roman" w:hAnsi="Times New Roman" w:cs="Times New Roman"/>
          <w:color w:val="000000" w:themeColor="text1"/>
          <w:sz w:val="24"/>
          <w:szCs w:val="24"/>
          <w:highlight w:val="white"/>
          <w:lang w:val="en-GB"/>
        </w:rPr>
        <w:t xml:space="preserve"> has been creating major challenges towards investors. It has been identified that for commencing an investment substantial capital plays a significant role. As per the observation of Lerner and Nanda (2020), substantial capital improves fund management by reducing service cost in a significant way. Hence, it can be stated that unable to manage them due to this complexity investors fail in obtaining return in a successful way. For instance, </w:t>
      </w:r>
      <w:r w:rsidRPr="00231FC2">
        <w:rPr>
          <w:rFonts w:ascii="Times New Roman" w:eastAsia="Times New Roman" w:hAnsi="Times New Roman" w:cs="Times New Roman"/>
          <w:i/>
          <w:color w:val="000000" w:themeColor="text1"/>
          <w:sz w:val="24"/>
          <w:szCs w:val="24"/>
          <w:highlight w:val="white"/>
          <w:lang w:val="en-GB"/>
        </w:rPr>
        <w:t xml:space="preserve">“private equity investment” </w:t>
      </w:r>
      <w:r w:rsidRPr="00231FC2">
        <w:rPr>
          <w:rFonts w:ascii="Times New Roman" w:eastAsia="Times New Roman" w:hAnsi="Times New Roman" w:cs="Times New Roman"/>
          <w:color w:val="000000" w:themeColor="text1"/>
          <w:sz w:val="24"/>
          <w:szCs w:val="24"/>
          <w:highlight w:val="white"/>
          <w:lang w:val="en-GB"/>
        </w:rPr>
        <w:t xml:space="preserve">in the </w:t>
      </w:r>
      <w:r w:rsidRPr="00231FC2">
        <w:rPr>
          <w:rFonts w:ascii="Times New Roman" w:eastAsia="Times New Roman" w:hAnsi="Times New Roman" w:cs="Times New Roman"/>
          <w:i/>
          <w:color w:val="000000" w:themeColor="text1"/>
          <w:sz w:val="24"/>
          <w:szCs w:val="24"/>
          <w:highlight w:val="white"/>
          <w:lang w:val="en-GB"/>
        </w:rPr>
        <w:t>“European Union”</w:t>
      </w:r>
      <w:r w:rsidRPr="00231FC2">
        <w:rPr>
          <w:rFonts w:ascii="Times New Roman" w:eastAsia="Times New Roman" w:hAnsi="Times New Roman" w:cs="Times New Roman"/>
          <w:color w:val="000000" w:themeColor="text1"/>
          <w:sz w:val="24"/>
          <w:szCs w:val="24"/>
          <w:highlight w:val="white"/>
          <w:lang w:val="en-GB"/>
        </w:rPr>
        <w:t xml:space="preserve"> highlights these challenges due to which ineffective operation management in business gets witnessed. </w:t>
      </w:r>
    </w:p>
    <w:p w14:paraId="27CEF7AF" w14:textId="77777777" w:rsidR="0064030A" w:rsidRPr="00231FC2" w:rsidRDefault="0064030A" w:rsidP="00231FC2">
      <w:pPr>
        <w:pStyle w:val="Heading1"/>
        <w:spacing w:before="240"/>
        <w:rPr>
          <w:color w:val="000000" w:themeColor="text1"/>
          <w:highlight w:val="white"/>
          <w:lang w:val="en-GB"/>
        </w:rPr>
      </w:pPr>
      <w:bookmarkStart w:id="10" w:name="_Toc114242945"/>
      <w:bookmarkStart w:id="11" w:name="_Toc114323808"/>
      <w:r w:rsidRPr="00231FC2">
        <w:rPr>
          <w:color w:val="000000" w:themeColor="text1"/>
          <w:highlight w:val="white"/>
          <w:lang w:val="en-GB"/>
        </w:rPr>
        <w:t>1.2 Research Rationale</w:t>
      </w:r>
      <w:bookmarkEnd w:id="10"/>
      <w:bookmarkEnd w:id="11"/>
    </w:p>
    <w:p w14:paraId="4A00C87E" w14:textId="77777777" w:rsidR="0064030A" w:rsidRPr="00231FC2" w:rsidRDefault="0064030A" w:rsidP="00231FC2">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i/>
          <w:color w:val="000000" w:themeColor="text1"/>
          <w:sz w:val="24"/>
          <w:szCs w:val="24"/>
          <w:highlight w:val="white"/>
          <w:lang w:val="en-GB"/>
        </w:rPr>
        <w:t>“Private Equity Investment”</w:t>
      </w:r>
      <w:r w:rsidRPr="00231FC2">
        <w:rPr>
          <w:rFonts w:ascii="Times New Roman" w:eastAsia="Times New Roman" w:hAnsi="Times New Roman" w:cs="Times New Roman"/>
          <w:color w:val="000000" w:themeColor="text1"/>
          <w:sz w:val="24"/>
          <w:szCs w:val="24"/>
          <w:highlight w:val="white"/>
          <w:lang w:val="en-GB"/>
        </w:rPr>
        <w:t xml:space="preserve"> provides investors as well as companies with greater return on investment. Developing a correlation between stakeholders and firms helps enterprises to enhance their market value in a significant manner. Private investors for obtaining a greater return and a share of ownership often purchases stakes in an organisation. Amidst this aspect, by becoming a partner of a company, investors can also obtain a share of organisational profitability. Terlaak</w:t>
      </w:r>
      <w:r w:rsidRPr="00231FC2">
        <w:rPr>
          <w:rFonts w:ascii="Times New Roman" w:eastAsia="Times New Roman" w:hAnsi="Times New Roman" w:cs="Times New Roman"/>
          <w:i/>
          <w:color w:val="000000" w:themeColor="text1"/>
          <w:sz w:val="24"/>
          <w:szCs w:val="24"/>
          <w:highlight w:val="white"/>
          <w:lang w:val="en-GB"/>
        </w:rPr>
        <w:t xml:space="preserve"> et al.</w:t>
      </w:r>
      <w:r w:rsidRPr="00231FC2">
        <w:rPr>
          <w:rFonts w:ascii="Times New Roman" w:eastAsia="Times New Roman" w:hAnsi="Times New Roman" w:cs="Times New Roman"/>
          <w:color w:val="000000" w:themeColor="text1"/>
          <w:sz w:val="24"/>
          <w:szCs w:val="24"/>
          <w:highlight w:val="white"/>
          <w:lang w:val="en-GB"/>
        </w:rPr>
        <w:t xml:space="preserve"> (2018) opined through an analysis that investors by purchasing a stake of an organisation can engage with organisational regulatory activities. Thus, it can be stated that investors holding the major stake of an organisation have more control over organisational decision making attributes. </w:t>
      </w:r>
    </w:p>
    <w:p w14:paraId="1B187466" w14:textId="77777777" w:rsidR="0064030A" w:rsidRPr="00231FC2" w:rsidRDefault="0064030A" w:rsidP="00231FC2">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Hence, improving the success rate of a project, companies successfully develops innovation creating a major progress with a focus towards organisational goals. Most importantly, owing to this aspect of stake based ownership investors bring in success within a project in an effective manner. It can be stated that owing to these attributes, companies with assistance from this aspect obtain more profit for a long amount of time. However, due to the counter effect of </w:t>
      </w:r>
      <w:r w:rsidRPr="00231FC2">
        <w:rPr>
          <w:rFonts w:ascii="Times New Roman" w:eastAsia="Times New Roman" w:hAnsi="Times New Roman" w:cs="Times New Roman"/>
          <w:i/>
          <w:color w:val="000000" w:themeColor="text1"/>
          <w:sz w:val="24"/>
          <w:szCs w:val="24"/>
          <w:highlight w:val="white"/>
          <w:lang w:val="en-GB"/>
        </w:rPr>
        <w:t>“</w:t>
      </w:r>
      <w:r w:rsidR="00AE0A8E">
        <w:rPr>
          <w:rFonts w:ascii="Times New Roman" w:eastAsia="Times New Roman" w:hAnsi="Times New Roman" w:cs="Times New Roman"/>
          <w:i/>
          <w:color w:val="000000" w:themeColor="text1"/>
          <w:sz w:val="24"/>
          <w:szCs w:val="24"/>
          <w:highlight w:val="white"/>
          <w:lang w:val="en-GB"/>
        </w:rPr>
        <w:t>BREXIT</w:t>
      </w:r>
      <w:r w:rsidRPr="00231FC2">
        <w:rPr>
          <w:rFonts w:ascii="Times New Roman" w:eastAsia="Times New Roman" w:hAnsi="Times New Roman" w:cs="Times New Roman"/>
          <w:i/>
          <w:color w:val="000000" w:themeColor="text1"/>
          <w:sz w:val="24"/>
          <w:szCs w:val="24"/>
          <w:highlight w:val="white"/>
          <w:lang w:val="en-GB"/>
        </w:rPr>
        <w:t>”</w:t>
      </w:r>
      <w:r w:rsidRPr="00231FC2">
        <w:rPr>
          <w:rFonts w:ascii="Times New Roman" w:eastAsia="Times New Roman" w:hAnsi="Times New Roman" w:cs="Times New Roman"/>
          <w:color w:val="000000" w:themeColor="text1"/>
          <w:sz w:val="24"/>
          <w:szCs w:val="24"/>
          <w:highlight w:val="white"/>
          <w:lang w:val="en-GB"/>
        </w:rPr>
        <w:t xml:space="preserve"> companies seeking investment from the EU have been facing major challenges. As investors are unable to obtain surety about return on investments after investing in the EU market post </w:t>
      </w:r>
      <w:r w:rsidRPr="00231FC2">
        <w:rPr>
          <w:rFonts w:ascii="Times New Roman" w:eastAsia="Times New Roman" w:hAnsi="Times New Roman" w:cs="Times New Roman"/>
          <w:i/>
          <w:color w:val="000000" w:themeColor="text1"/>
          <w:sz w:val="24"/>
          <w:szCs w:val="24"/>
          <w:highlight w:val="white"/>
          <w:lang w:val="en-GB"/>
        </w:rPr>
        <w:t>“</w:t>
      </w:r>
      <w:r w:rsidR="00AE0A8E">
        <w:rPr>
          <w:rFonts w:ascii="Times New Roman" w:eastAsia="Times New Roman" w:hAnsi="Times New Roman" w:cs="Times New Roman"/>
          <w:i/>
          <w:color w:val="000000" w:themeColor="text1"/>
          <w:sz w:val="24"/>
          <w:szCs w:val="24"/>
          <w:highlight w:val="white"/>
          <w:lang w:val="en-GB"/>
        </w:rPr>
        <w:t>BREXIT</w:t>
      </w:r>
      <w:r w:rsidRPr="00231FC2">
        <w:rPr>
          <w:rFonts w:ascii="Times New Roman" w:eastAsia="Times New Roman" w:hAnsi="Times New Roman" w:cs="Times New Roman"/>
          <w:i/>
          <w:color w:val="000000" w:themeColor="text1"/>
          <w:sz w:val="24"/>
          <w:szCs w:val="24"/>
          <w:highlight w:val="white"/>
          <w:lang w:val="en-GB"/>
        </w:rPr>
        <w:t>”</w:t>
      </w:r>
      <w:r w:rsidRPr="00231FC2">
        <w:rPr>
          <w:rFonts w:ascii="Times New Roman" w:eastAsia="Times New Roman" w:hAnsi="Times New Roman" w:cs="Times New Roman"/>
          <w:color w:val="000000" w:themeColor="text1"/>
          <w:sz w:val="24"/>
          <w:szCs w:val="24"/>
          <w:highlight w:val="white"/>
          <w:lang w:val="en-GB"/>
        </w:rPr>
        <w:t xml:space="preserve"> situation, decision making structures of companies are getting affected drastically. As per Yu</w:t>
      </w:r>
      <w:r w:rsidRPr="00231FC2">
        <w:rPr>
          <w:rFonts w:ascii="Times New Roman" w:eastAsia="Times New Roman" w:hAnsi="Times New Roman" w:cs="Times New Roman"/>
          <w:i/>
          <w:color w:val="000000" w:themeColor="text1"/>
          <w:sz w:val="24"/>
          <w:szCs w:val="24"/>
          <w:highlight w:val="white"/>
          <w:lang w:val="en-GB"/>
        </w:rPr>
        <w:t xml:space="preserve"> et al.</w:t>
      </w:r>
      <w:r w:rsidRPr="00231FC2">
        <w:rPr>
          <w:rFonts w:ascii="Times New Roman" w:eastAsia="Times New Roman" w:hAnsi="Times New Roman" w:cs="Times New Roman"/>
          <w:color w:val="000000" w:themeColor="text1"/>
          <w:sz w:val="24"/>
          <w:szCs w:val="24"/>
          <w:highlight w:val="white"/>
          <w:lang w:val="en-GB"/>
        </w:rPr>
        <w:t xml:space="preserve"> (2019), organisational decision making plays a significant role owing to which companies are able to reduce challenges creating a greater impact towards sustainability management. However, amidst this international financial situation, investors in order to obtain return on their investments often creates major pressure on existing companies. </w:t>
      </w:r>
    </w:p>
    <w:p w14:paraId="143632BE" w14:textId="77777777" w:rsidR="0064030A" w:rsidRPr="00231FC2" w:rsidRDefault="0064030A" w:rsidP="00231FC2">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It can be stated that affecting organisational success and effective decision making attribute major losses. It has been identified that because of this aspect of ineffective equity management taxation rate in EU based countries has reduced significantly. For instance, in comparison to UK, </w:t>
      </w:r>
      <w:r w:rsidRPr="00231FC2">
        <w:rPr>
          <w:rFonts w:ascii="Times New Roman" w:eastAsia="Times New Roman" w:hAnsi="Times New Roman" w:cs="Times New Roman"/>
          <w:i/>
          <w:color w:val="000000" w:themeColor="text1"/>
          <w:sz w:val="24"/>
          <w:szCs w:val="24"/>
          <w:highlight w:val="white"/>
          <w:lang w:val="en-GB"/>
        </w:rPr>
        <w:t>“Portugal</w:t>
      </w:r>
      <w:r w:rsidRPr="00231FC2">
        <w:rPr>
          <w:rFonts w:ascii="Times New Roman" w:eastAsia="Times New Roman" w:hAnsi="Times New Roman" w:cs="Times New Roman"/>
          <w:color w:val="000000" w:themeColor="text1"/>
          <w:sz w:val="24"/>
          <w:szCs w:val="24"/>
          <w:highlight w:val="white"/>
          <w:lang w:val="en-GB"/>
        </w:rPr>
        <w:t xml:space="preserve"> and </w:t>
      </w:r>
      <w:r w:rsidRPr="00231FC2">
        <w:rPr>
          <w:rFonts w:ascii="Times New Roman" w:eastAsia="Times New Roman" w:hAnsi="Times New Roman" w:cs="Times New Roman"/>
          <w:i/>
          <w:color w:val="000000" w:themeColor="text1"/>
          <w:sz w:val="24"/>
          <w:szCs w:val="24"/>
          <w:highlight w:val="white"/>
          <w:lang w:val="en-GB"/>
        </w:rPr>
        <w:t>Italy”</w:t>
      </w:r>
      <w:r w:rsidRPr="00231FC2">
        <w:rPr>
          <w:rFonts w:ascii="Times New Roman" w:eastAsia="Times New Roman" w:hAnsi="Times New Roman" w:cs="Times New Roman"/>
          <w:color w:val="000000" w:themeColor="text1"/>
          <w:sz w:val="24"/>
          <w:szCs w:val="24"/>
          <w:highlight w:val="white"/>
          <w:lang w:val="en-GB"/>
        </w:rPr>
        <w:t xml:space="preserve"> pay less taxes substantially. In addition to this, it has been identified that deal making rate has increased by 13% in Europe with a rise of €63.9 billion in international market (FT, 2019). Hence, it can be stated that affecting share market of the UK a shift in power has been witnessed in the markets of EU based countries. As share structure has got affected in a significant way, companies facing major challenges have been unable to enhance progress and sustainability. Owing to this aspect major challenges of sustainability in the equity based market have been witnessed affecting its success and sustainability in a massive manner. Thus, developing strategies and initiating effective plans, these challenges can be reduced in a successful way. </w:t>
      </w:r>
    </w:p>
    <w:p w14:paraId="7E4553A6" w14:textId="77777777" w:rsidR="0064030A" w:rsidRPr="00231FC2" w:rsidRDefault="0064030A" w:rsidP="00231FC2">
      <w:pPr>
        <w:pStyle w:val="Heading1"/>
        <w:spacing w:before="240"/>
        <w:rPr>
          <w:color w:val="000000" w:themeColor="text1"/>
          <w:highlight w:val="white"/>
          <w:lang w:val="en-GB"/>
        </w:rPr>
      </w:pPr>
      <w:bookmarkStart w:id="12" w:name="_Toc114242946"/>
      <w:bookmarkStart w:id="13" w:name="_Toc114323809"/>
      <w:r w:rsidRPr="00231FC2">
        <w:rPr>
          <w:color w:val="000000" w:themeColor="text1"/>
          <w:highlight w:val="white"/>
          <w:lang w:val="en-GB"/>
        </w:rPr>
        <w:t>1.3 Research Aim</w:t>
      </w:r>
      <w:bookmarkEnd w:id="12"/>
      <w:bookmarkEnd w:id="13"/>
    </w:p>
    <w:p w14:paraId="44A70316" w14:textId="77777777" w:rsidR="0064030A" w:rsidRPr="00231FC2" w:rsidRDefault="0064030A" w:rsidP="00231FC2">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This research aims at identifying and accessing both advantages and challenges regarding investment in </w:t>
      </w:r>
      <w:r w:rsidRPr="00231FC2">
        <w:rPr>
          <w:rFonts w:ascii="Times New Roman" w:eastAsia="Times New Roman" w:hAnsi="Times New Roman" w:cs="Times New Roman"/>
          <w:i/>
          <w:color w:val="000000" w:themeColor="text1"/>
          <w:sz w:val="24"/>
          <w:szCs w:val="24"/>
          <w:highlight w:val="white"/>
          <w:lang w:val="en-GB"/>
        </w:rPr>
        <w:t>“European-Union”</w:t>
      </w:r>
      <w:r w:rsidRPr="00231FC2">
        <w:rPr>
          <w:rFonts w:ascii="Times New Roman" w:eastAsia="Times New Roman" w:hAnsi="Times New Roman" w:cs="Times New Roman"/>
          <w:color w:val="000000" w:themeColor="text1"/>
          <w:sz w:val="24"/>
          <w:szCs w:val="24"/>
          <w:highlight w:val="white"/>
          <w:lang w:val="en-GB"/>
        </w:rPr>
        <w:t xml:space="preserve"> post </w:t>
      </w:r>
      <w:r w:rsidRPr="00231FC2">
        <w:rPr>
          <w:rFonts w:ascii="Times New Roman" w:eastAsia="Times New Roman" w:hAnsi="Times New Roman" w:cs="Times New Roman"/>
          <w:i/>
          <w:color w:val="000000" w:themeColor="text1"/>
          <w:sz w:val="24"/>
          <w:szCs w:val="24"/>
          <w:highlight w:val="white"/>
          <w:lang w:val="en-GB"/>
        </w:rPr>
        <w:t>“</w:t>
      </w:r>
      <w:r w:rsidR="00AE0A8E">
        <w:rPr>
          <w:rFonts w:ascii="Times New Roman" w:eastAsia="Times New Roman" w:hAnsi="Times New Roman" w:cs="Times New Roman"/>
          <w:i/>
          <w:color w:val="000000" w:themeColor="text1"/>
          <w:sz w:val="24"/>
          <w:szCs w:val="24"/>
          <w:highlight w:val="white"/>
          <w:lang w:val="en-GB"/>
        </w:rPr>
        <w:t>BREXIT</w:t>
      </w:r>
      <w:r w:rsidRPr="00231FC2">
        <w:rPr>
          <w:rFonts w:ascii="Times New Roman" w:eastAsia="Times New Roman" w:hAnsi="Times New Roman" w:cs="Times New Roman"/>
          <w:i/>
          <w:color w:val="000000" w:themeColor="text1"/>
          <w:sz w:val="24"/>
          <w:szCs w:val="24"/>
          <w:highlight w:val="white"/>
          <w:lang w:val="en-GB"/>
        </w:rPr>
        <w:t>”</w:t>
      </w:r>
      <w:r w:rsidRPr="00231FC2">
        <w:rPr>
          <w:rFonts w:ascii="Times New Roman" w:eastAsia="Times New Roman" w:hAnsi="Times New Roman" w:cs="Times New Roman"/>
          <w:color w:val="000000" w:themeColor="text1"/>
          <w:sz w:val="24"/>
          <w:szCs w:val="24"/>
          <w:highlight w:val="white"/>
          <w:lang w:val="en-GB"/>
        </w:rPr>
        <w:t xml:space="preserve"> situations.</w:t>
      </w:r>
    </w:p>
    <w:p w14:paraId="562E3F87" w14:textId="77777777" w:rsidR="0064030A" w:rsidRPr="00231FC2" w:rsidRDefault="0064030A" w:rsidP="00231FC2">
      <w:pPr>
        <w:pStyle w:val="Heading1"/>
        <w:spacing w:before="240"/>
        <w:rPr>
          <w:color w:val="000000" w:themeColor="text1"/>
          <w:highlight w:val="white"/>
          <w:lang w:val="en-GB"/>
        </w:rPr>
      </w:pPr>
      <w:bookmarkStart w:id="14" w:name="_Toc114242947"/>
      <w:bookmarkStart w:id="15" w:name="_Toc114323810"/>
      <w:r w:rsidRPr="00231FC2">
        <w:rPr>
          <w:color w:val="000000" w:themeColor="text1"/>
          <w:highlight w:val="white"/>
          <w:lang w:val="en-GB"/>
        </w:rPr>
        <w:t>1.4 Research Objectives</w:t>
      </w:r>
      <w:bookmarkEnd w:id="14"/>
      <w:bookmarkEnd w:id="15"/>
    </w:p>
    <w:p w14:paraId="47480465" w14:textId="77777777" w:rsidR="0064030A" w:rsidRPr="00231FC2" w:rsidRDefault="0064030A" w:rsidP="00231FC2">
      <w:pPr>
        <w:pStyle w:val="Normal1"/>
        <w:numPr>
          <w:ilvl w:val="0"/>
          <w:numId w:val="2"/>
        </w:numPr>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To find out the perception of</w:t>
      </w:r>
      <w:r w:rsidRPr="00231FC2">
        <w:rPr>
          <w:rFonts w:ascii="Times New Roman" w:eastAsia="Times New Roman" w:hAnsi="Times New Roman" w:cs="Times New Roman"/>
          <w:i/>
          <w:color w:val="000000" w:themeColor="text1"/>
          <w:sz w:val="24"/>
          <w:szCs w:val="24"/>
          <w:highlight w:val="white"/>
          <w:lang w:val="en-GB"/>
        </w:rPr>
        <w:t xml:space="preserve"> private equity investment</w:t>
      </w:r>
      <w:r w:rsidRPr="00231FC2">
        <w:rPr>
          <w:rFonts w:ascii="Times New Roman" w:eastAsia="Times New Roman" w:hAnsi="Times New Roman" w:cs="Times New Roman"/>
          <w:color w:val="000000" w:themeColor="text1"/>
          <w:sz w:val="24"/>
          <w:szCs w:val="24"/>
          <w:highlight w:val="white"/>
          <w:lang w:val="en-GB"/>
        </w:rPr>
        <w:t>.</w:t>
      </w:r>
    </w:p>
    <w:p w14:paraId="30DD752D" w14:textId="77777777" w:rsidR="0064030A" w:rsidRPr="00231FC2" w:rsidRDefault="0064030A" w:rsidP="00231FC2">
      <w:pPr>
        <w:pStyle w:val="Normal1"/>
        <w:numPr>
          <w:ilvl w:val="0"/>
          <w:numId w:val="2"/>
        </w:numPr>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To figure out both advantages and disadvantages of </w:t>
      </w:r>
      <w:r w:rsidRPr="00231FC2">
        <w:rPr>
          <w:rFonts w:ascii="Times New Roman" w:eastAsia="Times New Roman" w:hAnsi="Times New Roman" w:cs="Times New Roman"/>
          <w:i/>
          <w:color w:val="000000" w:themeColor="text1"/>
          <w:sz w:val="24"/>
          <w:szCs w:val="24"/>
          <w:highlight w:val="white"/>
          <w:lang w:val="en-GB"/>
        </w:rPr>
        <w:t>private equity investment.</w:t>
      </w:r>
    </w:p>
    <w:p w14:paraId="3AE51B0F" w14:textId="77777777" w:rsidR="0064030A" w:rsidRPr="00231FC2" w:rsidRDefault="0064030A" w:rsidP="00231FC2">
      <w:pPr>
        <w:pStyle w:val="Normal1"/>
        <w:numPr>
          <w:ilvl w:val="0"/>
          <w:numId w:val="2"/>
        </w:numPr>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To interpret the effect of equity investment in the </w:t>
      </w:r>
      <w:r w:rsidRPr="00231FC2">
        <w:rPr>
          <w:rFonts w:ascii="Times New Roman" w:eastAsia="Times New Roman" w:hAnsi="Times New Roman" w:cs="Times New Roman"/>
          <w:i/>
          <w:color w:val="000000" w:themeColor="text1"/>
          <w:sz w:val="24"/>
          <w:szCs w:val="24"/>
          <w:highlight w:val="white"/>
          <w:lang w:val="en-GB"/>
        </w:rPr>
        <w:t>EU</w:t>
      </w:r>
      <w:r w:rsidRPr="00231FC2">
        <w:rPr>
          <w:rFonts w:ascii="Times New Roman" w:eastAsia="Times New Roman" w:hAnsi="Times New Roman" w:cs="Times New Roman"/>
          <w:color w:val="000000" w:themeColor="text1"/>
          <w:sz w:val="24"/>
          <w:szCs w:val="24"/>
          <w:highlight w:val="white"/>
          <w:lang w:val="en-GB"/>
        </w:rPr>
        <w:t xml:space="preserve"> post </w:t>
      </w:r>
      <w:r w:rsidR="00AE0A8E">
        <w:rPr>
          <w:rFonts w:ascii="Times New Roman" w:eastAsia="Times New Roman" w:hAnsi="Times New Roman" w:cs="Times New Roman"/>
          <w:color w:val="000000" w:themeColor="text1"/>
          <w:sz w:val="24"/>
          <w:szCs w:val="24"/>
          <w:highlight w:val="white"/>
          <w:lang w:val="en-GB"/>
        </w:rPr>
        <w:t>BREXIT</w:t>
      </w:r>
      <w:r w:rsidRPr="00231FC2">
        <w:rPr>
          <w:rFonts w:ascii="Times New Roman" w:eastAsia="Times New Roman" w:hAnsi="Times New Roman" w:cs="Times New Roman"/>
          <w:color w:val="000000" w:themeColor="text1"/>
          <w:sz w:val="24"/>
          <w:szCs w:val="24"/>
          <w:highlight w:val="white"/>
          <w:lang w:val="en-GB"/>
        </w:rPr>
        <w:t xml:space="preserve"> condition.</w:t>
      </w:r>
    </w:p>
    <w:p w14:paraId="024BF4E1" w14:textId="77777777" w:rsidR="0064030A" w:rsidRPr="00231FC2" w:rsidRDefault="0064030A" w:rsidP="00231FC2">
      <w:pPr>
        <w:pStyle w:val="Normal1"/>
        <w:numPr>
          <w:ilvl w:val="0"/>
          <w:numId w:val="2"/>
        </w:numPr>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To develop and recommend effective strategies for reducing challenges faced by private equity investors in the EU post </w:t>
      </w:r>
      <w:r w:rsidR="00AE0A8E">
        <w:rPr>
          <w:rFonts w:ascii="Times New Roman" w:eastAsia="Times New Roman" w:hAnsi="Times New Roman" w:cs="Times New Roman"/>
          <w:color w:val="000000" w:themeColor="text1"/>
          <w:sz w:val="24"/>
          <w:szCs w:val="24"/>
          <w:highlight w:val="white"/>
          <w:lang w:val="en-GB"/>
        </w:rPr>
        <w:t>BREXIT</w:t>
      </w:r>
      <w:r w:rsidRPr="00231FC2">
        <w:rPr>
          <w:rFonts w:ascii="Times New Roman" w:eastAsia="Times New Roman" w:hAnsi="Times New Roman" w:cs="Times New Roman"/>
          <w:color w:val="000000" w:themeColor="text1"/>
          <w:sz w:val="24"/>
          <w:szCs w:val="24"/>
          <w:highlight w:val="white"/>
          <w:lang w:val="en-GB"/>
        </w:rPr>
        <w:t xml:space="preserve"> situation.</w:t>
      </w:r>
    </w:p>
    <w:p w14:paraId="36FE1AD4" w14:textId="77777777" w:rsidR="0064030A" w:rsidRPr="00231FC2" w:rsidRDefault="0064030A" w:rsidP="00231FC2">
      <w:pPr>
        <w:pStyle w:val="Heading1"/>
        <w:spacing w:before="240"/>
        <w:rPr>
          <w:color w:val="000000" w:themeColor="text1"/>
          <w:highlight w:val="white"/>
          <w:lang w:val="en-GB"/>
        </w:rPr>
      </w:pPr>
      <w:bookmarkStart w:id="16" w:name="_Toc114242948"/>
      <w:bookmarkStart w:id="17" w:name="_Toc114323811"/>
      <w:r w:rsidRPr="00231FC2">
        <w:rPr>
          <w:color w:val="000000" w:themeColor="text1"/>
          <w:highlight w:val="white"/>
          <w:lang w:val="en-GB"/>
        </w:rPr>
        <w:t>1.5 Research Questions</w:t>
      </w:r>
      <w:bookmarkEnd w:id="16"/>
      <w:bookmarkEnd w:id="17"/>
    </w:p>
    <w:p w14:paraId="4D580E9C" w14:textId="77777777" w:rsidR="0064030A" w:rsidRPr="00231FC2" w:rsidRDefault="0064030A" w:rsidP="00231FC2">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What are the perceptions laid by </w:t>
      </w:r>
      <w:r w:rsidRPr="00231FC2">
        <w:rPr>
          <w:rFonts w:ascii="Times New Roman" w:eastAsia="Times New Roman" w:hAnsi="Times New Roman" w:cs="Times New Roman"/>
          <w:i/>
          <w:color w:val="000000" w:themeColor="text1"/>
          <w:sz w:val="24"/>
          <w:szCs w:val="24"/>
          <w:highlight w:val="white"/>
          <w:lang w:val="en-GB"/>
        </w:rPr>
        <w:t>private equity investment</w:t>
      </w:r>
      <w:r w:rsidRPr="00231FC2">
        <w:rPr>
          <w:rFonts w:ascii="Times New Roman" w:eastAsia="Times New Roman" w:hAnsi="Times New Roman" w:cs="Times New Roman"/>
          <w:color w:val="000000" w:themeColor="text1"/>
          <w:sz w:val="24"/>
          <w:szCs w:val="24"/>
          <w:highlight w:val="white"/>
          <w:lang w:val="en-GB"/>
        </w:rPr>
        <w:t>?</w:t>
      </w:r>
    </w:p>
    <w:p w14:paraId="46354E1D" w14:textId="77777777" w:rsidR="0064030A" w:rsidRPr="00231FC2" w:rsidRDefault="0064030A" w:rsidP="00231FC2">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What are the advantages and disadvantages witnessed through the process of </w:t>
      </w:r>
      <w:r w:rsidRPr="00231FC2">
        <w:rPr>
          <w:rFonts w:ascii="Times New Roman" w:eastAsia="Times New Roman" w:hAnsi="Times New Roman" w:cs="Times New Roman"/>
          <w:i/>
          <w:color w:val="000000" w:themeColor="text1"/>
          <w:sz w:val="24"/>
          <w:szCs w:val="24"/>
          <w:highlight w:val="white"/>
          <w:lang w:val="en-GB"/>
        </w:rPr>
        <w:t>private equity investment</w:t>
      </w:r>
      <w:r w:rsidRPr="00231FC2">
        <w:rPr>
          <w:rFonts w:ascii="Times New Roman" w:eastAsia="Times New Roman" w:hAnsi="Times New Roman" w:cs="Times New Roman"/>
          <w:color w:val="000000" w:themeColor="text1"/>
          <w:sz w:val="24"/>
          <w:szCs w:val="24"/>
          <w:highlight w:val="white"/>
          <w:lang w:val="en-GB"/>
        </w:rPr>
        <w:t>?</w:t>
      </w:r>
    </w:p>
    <w:p w14:paraId="06028767" w14:textId="77777777" w:rsidR="0064030A" w:rsidRPr="00231FC2" w:rsidRDefault="0064030A" w:rsidP="00231FC2">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How did the post </w:t>
      </w:r>
      <w:r w:rsidR="00AE0A8E">
        <w:rPr>
          <w:rFonts w:ascii="Times New Roman" w:eastAsia="Times New Roman" w:hAnsi="Times New Roman" w:cs="Times New Roman"/>
          <w:color w:val="000000" w:themeColor="text1"/>
          <w:sz w:val="24"/>
          <w:szCs w:val="24"/>
          <w:highlight w:val="white"/>
          <w:lang w:val="en-GB"/>
        </w:rPr>
        <w:t>BREXIT</w:t>
      </w:r>
      <w:r w:rsidRPr="00231FC2">
        <w:rPr>
          <w:rFonts w:ascii="Times New Roman" w:eastAsia="Times New Roman" w:hAnsi="Times New Roman" w:cs="Times New Roman"/>
          <w:color w:val="000000" w:themeColor="text1"/>
          <w:sz w:val="24"/>
          <w:szCs w:val="24"/>
          <w:highlight w:val="white"/>
          <w:lang w:val="en-GB"/>
        </w:rPr>
        <w:t xml:space="preserve"> situation affect the equity investment rate in the market of EU?</w:t>
      </w:r>
    </w:p>
    <w:p w14:paraId="2A113E3B" w14:textId="77777777" w:rsidR="0064030A" w:rsidRPr="00231FC2" w:rsidRDefault="0064030A" w:rsidP="00231FC2">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What are some developed recommended strategies that can reduce challenges faced by private investors during the post </w:t>
      </w:r>
      <w:r w:rsidR="00AE0A8E">
        <w:rPr>
          <w:rFonts w:ascii="Times New Roman" w:eastAsia="Times New Roman" w:hAnsi="Times New Roman" w:cs="Times New Roman"/>
          <w:color w:val="000000" w:themeColor="text1"/>
          <w:sz w:val="24"/>
          <w:szCs w:val="24"/>
          <w:highlight w:val="white"/>
          <w:lang w:val="en-GB"/>
        </w:rPr>
        <w:t>BREXIT</w:t>
      </w:r>
      <w:r w:rsidRPr="00231FC2">
        <w:rPr>
          <w:rFonts w:ascii="Times New Roman" w:eastAsia="Times New Roman" w:hAnsi="Times New Roman" w:cs="Times New Roman"/>
          <w:color w:val="000000" w:themeColor="text1"/>
          <w:sz w:val="24"/>
          <w:szCs w:val="24"/>
          <w:highlight w:val="white"/>
          <w:lang w:val="en-GB"/>
        </w:rPr>
        <w:t xml:space="preserve"> situation in the EU?</w:t>
      </w:r>
    </w:p>
    <w:p w14:paraId="728D1FAB" w14:textId="77777777" w:rsidR="0064030A" w:rsidRPr="00231FC2" w:rsidRDefault="0064030A" w:rsidP="00231FC2">
      <w:pPr>
        <w:pStyle w:val="Heading1"/>
        <w:spacing w:before="240"/>
        <w:rPr>
          <w:color w:val="000000" w:themeColor="text1"/>
          <w:highlight w:val="white"/>
          <w:lang w:val="en-GB"/>
        </w:rPr>
      </w:pPr>
      <w:bookmarkStart w:id="18" w:name="_Toc114242949"/>
      <w:bookmarkStart w:id="19" w:name="_Toc114323812"/>
      <w:r w:rsidRPr="00231FC2">
        <w:rPr>
          <w:color w:val="000000" w:themeColor="text1"/>
          <w:highlight w:val="white"/>
          <w:lang w:val="en-GB"/>
        </w:rPr>
        <w:t>1.6 Structure of Dissertation</w:t>
      </w:r>
      <w:bookmarkEnd w:id="18"/>
      <w:bookmarkEnd w:id="19"/>
    </w:p>
    <w:p w14:paraId="2B04D2D7" w14:textId="77777777" w:rsidR="0064030A" w:rsidRPr="00231FC2" w:rsidRDefault="0064030A" w:rsidP="00231FC2">
      <w:pPr>
        <w:pStyle w:val="Normal1"/>
        <w:spacing w:before="240" w:line="360" w:lineRule="auto"/>
        <w:jc w:val="center"/>
        <w:outlineLvl w:val="0"/>
        <w:rPr>
          <w:rFonts w:ascii="Times New Roman" w:eastAsia="Times New Roman" w:hAnsi="Times New Roman" w:cs="Times New Roman"/>
          <w:b/>
          <w:color w:val="000000" w:themeColor="text1"/>
          <w:sz w:val="24"/>
          <w:szCs w:val="24"/>
          <w:highlight w:val="white"/>
          <w:lang w:val="en-GB"/>
        </w:rPr>
      </w:pPr>
      <w:r w:rsidRPr="00231FC2">
        <w:rPr>
          <w:rFonts w:ascii="Times New Roman" w:eastAsia="Times New Roman" w:hAnsi="Times New Roman" w:cs="Times New Roman"/>
          <w:b/>
          <w:noProof/>
          <w:color w:val="000000" w:themeColor="text1"/>
          <w:sz w:val="24"/>
          <w:szCs w:val="24"/>
        </w:rPr>
        <w:drawing>
          <wp:inline distT="0" distB="0" distL="0" distR="0" wp14:anchorId="7E456F50" wp14:editId="48CC3B36">
            <wp:extent cx="5486400" cy="3200400"/>
            <wp:effectExtent l="0" t="19050" r="0" b="0"/>
            <wp:docPr id="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3195559" w14:textId="77777777" w:rsidR="0064030A" w:rsidRPr="00231FC2" w:rsidRDefault="0064030A" w:rsidP="00231FC2">
      <w:pPr>
        <w:pStyle w:val="Heading2"/>
        <w:spacing w:before="240"/>
        <w:rPr>
          <w:color w:val="000000" w:themeColor="text1"/>
          <w:highlight w:val="white"/>
          <w:lang w:val="en-GB"/>
        </w:rPr>
      </w:pPr>
      <w:bookmarkStart w:id="20" w:name="_Toc114242962"/>
      <w:bookmarkStart w:id="21" w:name="_Toc114323869"/>
      <w:r w:rsidRPr="00231FC2">
        <w:rPr>
          <w:color w:val="000000" w:themeColor="text1"/>
          <w:highlight w:val="white"/>
          <w:lang w:val="en-GB"/>
        </w:rPr>
        <w:t>Figure 1.2: Structure of Dissertation</w:t>
      </w:r>
      <w:bookmarkEnd w:id="20"/>
      <w:bookmarkEnd w:id="21"/>
    </w:p>
    <w:p w14:paraId="2DEC2FF8" w14:textId="77777777" w:rsidR="0064030A" w:rsidRPr="00231FC2" w:rsidRDefault="0064030A" w:rsidP="00231FC2">
      <w:pPr>
        <w:pStyle w:val="Normal1"/>
        <w:spacing w:before="240" w:line="360" w:lineRule="auto"/>
        <w:jc w:val="center"/>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(Source: Created by Author)</w:t>
      </w:r>
    </w:p>
    <w:p w14:paraId="58F901A7" w14:textId="77777777" w:rsidR="0064030A" w:rsidRPr="00231FC2" w:rsidRDefault="0064030A" w:rsidP="00231FC2">
      <w:pPr>
        <w:pStyle w:val="Heading1"/>
        <w:spacing w:before="240"/>
        <w:rPr>
          <w:color w:val="000000" w:themeColor="text1"/>
          <w:highlight w:val="white"/>
          <w:lang w:val="en-GB"/>
        </w:rPr>
      </w:pPr>
      <w:bookmarkStart w:id="22" w:name="_Toc114242950"/>
      <w:bookmarkStart w:id="23" w:name="_Toc114323813"/>
      <w:r w:rsidRPr="00231FC2">
        <w:rPr>
          <w:color w:val="000000" w:themeColor="text1"/>
          <w:highlight w:val="white"/>
          <w:lang w:val="en-GB"/>
        </w:rPr>
        <w:t>1.7 Theoretical Framework</w:t>
      </w:r>
      <w:bookmarkEnd w:id="22"/>
      <w:bookmarkEnd w:id="23"/>
    </w:p>
    <w:p w14:paraId="63C14539" w14:textId="77777777" w:rsidR="0064030A" w:rsidRPr="00231FC2" w:rsidRDefault="0064030A" w:rsidP="00231FC2">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This study has highlighted a theoretical aspect to highlight both impact and perceptions post the </w:t>
      </w:r>
      <w:r w:rsidRPr="00231FC2">
        <w:rPr>
          <w:rFonts w:ascii="Times New Roman" w:eastAsia="Times New Roman" w:hAnsi="Times New Roman" w:cs="Times New Roman"/>
          <w:i/>
          <w:color w:val="000000" w:themeColor="text1"/>
          <w:sz w:val="24"/>
          <w:szCs w:val="24"/>
          <w:highlight w:val="white"/>
          <w:lang w:val="en-GB"/>
        </w:rPr>
        <w:t>“</w:t>
      </w:r>
      <w:r w:rsidR="00AE0A8E">
        <w:rPr>
          <w:rFonts w:ascii="Times New Roman" w:eastAsia="Times New Roman" w:hAnsi="Times New Roman" w:cs="Times New Roman"/>
          <w:i/>
          <w:color w:val="000000" w:themeColor="text1"/>
          <w:sz w:val="24"/>
          <w:szCs w:val="24"/>
          <w:highlight w:val="white"/>
          <w:lang w:val="en-GB"/>
        </w:rPr>
        <w:t>BREXIT</w:t>
      </w:r>
      <w:r w:rsidRPr="00231FC2">
        <w:rPr>
          <w:rFonts w:ascii="Times New Roman" w:eastAsia="Times New Roman" w:hAnsi="Times New Roman" w:cs="Times New Roman"/>
          <w:i/>
          <w:color w:val="000000" w:themeColor="text1"/>
          <w:sz w:val="24"/>
          <w:szCs w:val="24"/>
          <w:highlight w:val="white"/>
          <w:lang w:val="en-GB"/>
        </w:rPr>
        <w:t>”</w:t>
      </w:r>
      <w:r w:rsidRPr="00231FC2">
        <w:rPr>
          <w:rFonts w:ascii="Times New Roman" w:eastAsia="Times New Roman" w:hAnsi="Times New Roman" w:cs="Times New Roman"/>
          <w:color w:val="000000" w:themeColor="text1"/>
          <w:sz w:val="24"/>
          <w:szCs w:val="24"/>
          <w:highlight w:val="white"/>
          <w:lang w:val="en-GB"/>
        </w:rPr>
        <w:t xml:space="preserve"> situation in the EU. As per the observation of Kaluva and Degala (2019), theoretical framework highlights strategies that can assist companies in reducing challenges by understanding situations accordingly.  Thus, theories like, </w:t>
      </w:r>
      <w:r w:rsidRPr="00231FC2">
        <w:rPr>
          <w:rFonts w:ascii="Times New Roman" w:eastAsia="Times New Roman" w:hAnsi="Times New Roman" w:cs="Times New Roman"/>
          <w:i/>
          <w:color w:val="000000" w:themeColor="text1"/>
          <w:sz w:val="24"/>
          <w:szCs w:val="24"/>
          <w:highlight w:val="white"/>
          <w:lang w:val="en-GB"/>
        </w:rPr>
        <w:t>“Fifty-Percent Principle, Prospect Theory</w:t>
      </w:r>
      <w:r w:rsidRPr="00231FC2">
        <w:rPr>
          <w:rFonts w:ascii="Times New Roman" w:eastAsia="Times New Roman" w:hAnsi="Times New Roman" w:cs="Times New Roman"/>
          <w:color w:val="000000" w:themeColor="text1"/>
          <w:sz w:val="24"/>
          <w:szCs w:val="24"/>
          <w:highlight w:val="white"/>
          <w:lang w:val="en-GB"/>
        </w:rPr>
        <w:t xml:space="preserve"> and </w:t>
      </w:r>
      <w:r w:rsidRPr="00231FC2">
        <w:rPr>
          <w:rFonts w:ascii="Times New Roman" w:eastAsia="Times New Roman" w:hAnsi="Times New Roman" w:cs="Times New Roman"/>
          <w:i/>
          <w:color w:val="000000" w:themeColor="text1"/>
          <w:sz w:val="24"/>
          <w:szCs w:val="24"/>
          <w:highlight w:val="white"/>
          <w:lang w:val="en-GB"/>
        </w:rPr>
        <w:t>Rational Expectation Theory”</w:t>
      </w:r>
      <w:r w:rsidRPr="00231FC2">
        <w:rPr>
          <w:rFonts w:ascii="Times New Roman" w:eastAsia="Times New Roman" w:hAnsi="Times New Roman" w:cs="Times New Roman"/>
          <w:color w:val="000000" w:themeColor="text1"/>
          <w:sz w:val="24"/>
          <w:szCs w:val="24"/>
          <w:highlight w:val="white"/>
          <w:lang w:val="en-GB"/>
        </w:rPr>
        <w:t xml:space="preserve"> have been used while commencing this study. It has been identified that the post </w:t>
      </w:r>
      <w:r w:rsidRPr="00231FC2">
        <w:rPr>
          <w:rFonts w:ascii="Times New Roman" w:eastAsia="Times New Roman" w:hAnsi="Times New Roman" w:cs="Times New Roman"/>
          <w:i/>
          <w:color w:val="000000" w:themeColor="text1"/>
          <w:sz w:val="24"/>
          <w:szCs w:val="24"/>
          <w:highlight w:val="white"/>
          <w:lang w:val="en-GB"/>
        </w:rPr>
        <w:t>“</w:t>
      </w:r>
      <w:r w:rsidR="00AE0A8E">
        <w:rPr>
          <w:rFonts w:ascii="Times New Roman" w:eastAsia="Times New Roman" w:hAnsi="Times New Roman" w:cs="Times New Roman"/>
          <w:i/>
          <w:color w:val="000000" w:themeColor="text1"/>
          <w:sz w:val="24"/>
          <w:szCs w:val="24"/>
          <w:highlight w:val="white"/>
          <w:lang w:val="en-GB"/>
        </w:rPr>
        <w:t>BREXIT</w:t>
      </w:r>
      <w:r w:rsidRPr="00231FC2">
        <w:rPr>
          <w:rFonts w:ascii="Times New Roman" w:eastAsia="Times New Roman" w:hAnsi="Times New Roman" w:cs="Times New Roman"/>
          <w:i/>
          <w:color w:val="000000" w:themeColor="text1"/>
          <w:sz w:val="24"/>
          <w:szCs w:val="24"/>
          <w:highlight w:val="white"/>
          <w:lang w:val="en-GB"/>
        </w:rPr>
        <w:t>”</w:t>
      </w:r>
      <w:r w:rsidRPr="00231FC2">
        <w:rPr>
          <w:rFonts w:ascii="Times New Roman" w:eastAsia="Times New Roman" w:hAnsi="Times New Roman" w:cs="Times New Roman"/>
          <w:color w:val="000000" w:themeColor="text1"/>
          <w:sz w:val="24"/>
          <w:szCs w:val="24"/>
          <w:highlight w:val="white"/>
          <w:lang w:val="en-GB"/>
        </w:rPr>
        <w:t xml:space="preserve"> situation has created major challenges to investors while investing in the EU trade market. Hence, highlighting and discussing perceptions of investors regarding this situation, this study has been developed. </w:t>
      </w:r>
    </w:p>
    <w:p w14:paraId="08898895" w14:textId="77777777" w:rsidR="0064030A" w:rsidRPr="00231FC2" w:rsidRDefault="0064030A" w:rsidP="00231FC2">
      <w:pPr>
        <w:pStyle w:val="Heading1"/>
        <w:spacing w:before="240"/>
        <w:rPr>
          <w:color w:val="000000" w:themeColor="text1"/>
          <w:highlight w:val="white"/>
          <w:lang w:val="en-GB"/>
        </w:rPr>
      </w:pPr>
      <w:bookmarkStart w:id="24" w:name="_Toc114242951"/>
      <w:bookmarkStart w:id="25" w:name="_Toc114323814"/>
      <w:r w:rsidRPr="00231FC2">
        <w:rPr>
          <w:color w:val="000000" w:themeColor="text1"/>
          <w:highlight w:val="white"/>
          <w:lang w:val="en-GB"/>
        </w:rPr>
        <w:t>1.8 Significance of Research</w:t>
      </w:r>
      <w:bookmarkEnd w:id="24"/>
      <w:bookmarkEnd w:id="25"/>
    </w:p>
    <w:p w14:paraId="1F496CAF" w14:textId="77777777" w:rsidR="0064030A" w:rsidRPr="00231FC2" w:rsidRDefault="00AE0A8E" w:rsidP="00231FC2">
      <w:pPr>
        <w:pStyle w:val="Normal1"/>
        <w:spacing w:before="240" w:line="360" w:lineRule="auto"/>
        <w:jc w:val="both"/>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BREXIT</w:t>
      </w:r>
      <w:r w:rsidR="0064030A" w:rsidRPr="00231FC2">
        <w:rPr>
          <w:rFonts w:ascii="Times New Roman" w:eastAsia="Times New Roman" w:hAnsi="Times New Roman" w:cs="Times New Roman"/>
          <w:color w:val="000000" w:themeColor="text1"/>
          <w:sz w:val="24"/>
          <w:szCs w:val="24"/>
          <w:highlight w:val="white"/>
          <w:lang w:val="en-GB"/>
        </w:rPr>
        <w:t xml:space="preserve"> has created a major impact on the aspect of </w:t>
      </w:r>
      <w:r w:rsidR="0064030A" w:rsidRPr="00231FC2">
        <w:rPr>
          <w:rFonts w:ascii="Times New Roman" w:eastAsia="Times New Roman" w:hAnsi="Times New Roman" w:cs="Times New Roman"/>
          <w:i/>
          <w:color w:val="000000" w:themeColor="text1"/>
          <w:sz w:val="24"/>
          <w:szCs w:val="24"/>
          <w:highlight w:val="white"/>
          <w:lang w:val="en-GB"/>
        </w:rPr>
        <w:t>private equity investment</w:t>
      </w:r>
      <w:r w:rsidR="0064030A" w:rsidRPr="00231FC2">
        <w:rPr>
          <w:rFonts w:ascii="Times New Roman" w:eastAsia="Times New Roman" w:hAnsi="Times New Roman" w:cs="Times New Roman"/>
          <w:color w:val="000000" w:themeColor="text1"/>
          <w:sz w:val="24"/>
          <w:szCs w:val="24"/>
          <w:highlight w:val="white"/>
          <w:lang w:val="en-GB"/>
        </w:rPr>
        <w:t xml:space="preserve"> owing to which rate of investment has got affected creating a major impact towards investors perception. Undergoing the background and the importance of this research, it has been identified that conducting this research can shed light on the challenges that are being faced by investors while acquiring equity share from the market. In addition, it is also going to emphasise the perception that investors have developed to admit this situation. Thus, developing innovative strategies this study is going to reduce challenges in an effective manner creating major success in market. </w:t>
      </w:r>
      <w:r w:rsidR="0064030A" w:rsidRPr="00231FC2">
        <w:rPr>
          <w:rFonts w:ascii="Times New Roman" w:eastAsia="Times New Roman" w:hAnsi="Times New Roman" w:cs="Times New Roman"/>
          <w:b/>
          <w:color w:val="000000" w:themeColor="text1"/>
          <w:sz w:val="24"/>
          <w:szCs w:val="24"/>
          <w:highlight w:val="white"/>
          <w:lang w:val="en-GB"/>
        </w:rPr>
        <w:tab/>
      </w:r>
    </w:p>
    <w:p w14:paraId="5EDB4406" w14:textId="77777777" w:rsidR="0064030A" w:rsidRPr="00231FC2" w:rsidRDefault="0064030A" w:rsidP="00231FC2">
      <w:pPr>
        <w:pStyle w:val="Heading1"/>
        <w:spacing w:before="240"/>
        <w:rPr>
          <w:color w:val="000000" w:themeColor="text1"/>
          <w:highlight w:val="white"/>
          <w:lang w:val="en-GB"/>
        </w:rPr>
      </w:pPr>
      <w:bookmarkStart w:id="26" w:name="_Toc114242952"/>
      <w:bookmarkStart w:id="27" w:name="_Toc114323815"/>
      <w:r w:rsidRPr="00231FC2">
        <w:rPr>
          <w:color w:val="000000" w:themeColor="text1"/>
          <w:highlight w:val="white"/>
          <w:lang w:val="en-GB"/>
        </w:rPr>
        <w:t>1.9 Summary</w:t>
      </w:r>
      <w:bookmarkEnd w:id="26"/>
      <w:bookmarkEnd w:id="27"/>
    </w:p>
    <w:p w14:paraId="1CCD7AD7" w14:textId="77777777" w:rsidR="0064030A" w:rsidRPr="00231FC2" w:rsidRDefault="0064030A" w:rsidP="00231FC2">
      <w:pPr>
        <w:spacing w:before="240"/>
        <w:rPr>
          <w:rFonts w:eastAsia="Times New Roman" w:cs="Times New Roman"/>
          <w:b/>
          <w:szCs w:val="24"/>
          <w:shd w:val="clear" w:color="auto" w:fill="FFFFFF"/>
          <w:lang w:val="en-GB"/>
        </w:rPr>
      </w:pPr>
      <w:r w:rsidRPr="00231FC2">
        <w:rPr>
          <w:rFonts w:eastAsia="Times New Roman" w:cs="Times New Roman"/>
          <w:szCs w:val="24"/>
          <w:highlight w:val="white"/>
          <w:lang w:val="en-GB"/>
        </w:rPr>
        <w:t xml:space="preserve">It can be summarised that private equity investment provides companies with an opportunity of growth and development. However, the post </w:t>
      </w:r>
      <w:r w:rsidR="00AE0A8E">
        <w:rPr>
          <w:rFonts w:eastAsia="Times New Roman" w:cs="Times New Roman"/>
          <w:szCs w:val="24"/>
          <w:highlight w:val="white"/>
          <w:lang w:val="en-GB"/>
        </w:rPr>
        <w:t>BREXIT</w:t>
      </w:r>
      <w:r w:rsidRPr="00231FC2">
        <w:rPr>
          <w:rFonts w:eastAsia="Times New Roman" w:cs="Times New Roman"/>
          <w:szCs w:val="24"/>
          <w:highlight w:val="white"/>
          <w:lang w:val="en-GB"/>
        </w:rPr>
        <w:t xml:space="preserve"> situation has created a major impact towards sustainable growth and development. Affecting market sustainability return on investment has got affected. Thus, it can be stated that by developing a shift of power, investors are creating problems towards companies affecting its growth and development. It can be stated that due to this aspect companies are facing major challenges. Thus, developing strategies can reduce major challenges enhancing success and progress leading towards sustainability of companies.</w:t>
      </w:r>
      <w:r w:rsidRPr="00231FC2">
        <w:rPr>
          <w:shd w:val="clear" w:color="auto" w:fill="FFFFFF"/>
          <w:lang w:val="en-GB"/>
        </w:rPr>
        <w:br w:type="page"/>
      </w:r>
    </w:p>
    <w:p w14:paraId="11EE49B9" w14:textId="77777777" w:rsidR="00E04FE2" w:rsidRPr="00231FC2" w:rsidRDefault="00E04FE2" w:rsidP="00231FC2">
      <w:pPr>
        <w:pStyle w:val="Heading1"/>
        <w:spacing w:before="240"/>
        <w:rPr>
          <w:color w:val="000000" w:themeColor="text1"/>
          <w:lang w:val="en-GB"/>
        </w:rPr>
      </w:pPr>
      <w:bookmarkStart w:id="28" w:name="_Toc114323816"/>
      <w:r w:rsidRPr="00231FC2">
        <w:rPr>
          <w:color w:val="000000" w:themeColor="text1"/>
          <w:shd w:val="clear" w:color="auto" w:fill="FFFFFF"/>
          <w:lang w:val="en-GB"/>
        </w:rPr>
        <w:t>Chapter 2: Literature Review</w:t>
      </w:r>
      <w:bookmarkEnd w:id="2"/>
      <w:bookmarkEnd w:id="3"/>
      <w:bookmarkEnd w:id="28"/>
      <w:r w:rsidRPr="00231FC2">
        <w:rPr>
          <w:color w:val="000000" w:themeColor="text1"/>
          <w:shd w:val="clear" w:color="auto" w:fill="FFFFFF"/>
          <w:lang w:val="en-GB"/>
        </w:rPr>
        <w:t xml:space="preserve"> </w:t>
      </w:r>
    </w:p>
    <w:p w14:paraId="7D8EF9D9" w14:textId="77777777" w:rsidR="00091FA8" w:rsidRPr="00975F23" w:rsidRDefault="00091FA8" w:rsidP="00091FA8">
      <w:pPr>
        <w:pStyle w:val="Heading1"/>
        <w:rPr>
          <w:lang w:val="en-GB"/>
        </w:rPr>
      </w:pPr>
      <w:bookmarkStart w:id="29" w:name="_Toc114240406"/>
      <w:bookmarkStart w:id="30" w:name="_Toc114320846"/>
      <w:bookmarkStart w:id="31" w:name="_Toc114320975"/>
      <w:bookmarkStart w:id="32" w:name="_Toc114323817"/>
      <w:r w:rsidRPr="00975F23">
        <w:rPr>
          <w:shd w:val="clear" w:color="auto" w:fill="FFFFFF"/>
          <w:lang w:val="en-GB"/>
        </w:rPr>
        <w:t>2.0 Introduction</w:t>
      </w:r>
      <w:bookmarkEnd w:id="29"/>
      <w:bookmarkEnd w:id="30"/>
      <w:bookmarkEnd w:id="31"/>
      <w:bookmarkEnd w:id="32"/>
      <w:r w:rsidRPr="00975F23">
        <w:rPr>
          <w:shd w:val="clear" w:color="auto" w:fill="FFFFFF"/>
          <w:lang w:val="en-GB"/>
        </w:rPr>
        <w:t xml:space="preserve"> </w:t>
      </w:r>
    </w:p>
    <w:p w14:paraId="7113EA26" w14:textId="77777777" w:rsidR="00091FA8" w:rsidRDefault="00091FA8" w:rsidP="00091FA8">
      <w:pPr>
        <w:rPr>
          <w:rFonts w:eastAsia="Times New Roman" w:cs="Times New Roman"/>
          <w:i/>
          <w:iCs/>
          <w:szCs w:val="24"/>
          <w:shd w:val="clear" w:color="auto" w:fill="FFFFFF"/>
          <w:lang w:val="en-GB"/>
        </w:rPr>
      </w:pPr>
      <w:r w:rsidRPr="00975F23">
        <w:rPr>
          <w:rFonts w:eastAsia="Times New Roman" w:cs="Times New Roman"/>
          <w:szCs w:val="24"/>
          <w:shd w:val="clear" w:color="auto" w:fill="FFFFFF"/>
          <w:lang w:val="en-GB"/>
        </w:rPr>
        <w:t xml:space="preserve">The private equity firms specifically provide profit to the firm that wants to increase their growth and maintain a sustainable business in the global context. It mainly includes the investment managers along with the companies that include the investment of the capital to invest in the startup organisations or the organisations which are already existing. Brexit has been creating both positive and negative impacts in the private equity firms as per the authors Kellard </w:t>
      </w:r>
      <w:r w:rsidRPr="00975F23">
        <w:rPr>
          <w:rFonts w:eastAsia="Times New Roman" w:cs="Times New Roman"/>
          <w:i/>
          <w:iCs/>
          <w:szCs w:val="24"/>
          <w:shd w:val="clear" w:color="auto" w:fill="FFFFFF"/>
          <w:lang w:val="en-GB"/>
        </w:rPr>
        <w:t xml:space="preserve">et al. </w:t>
      </w:r>
      <w:r w:rsidRPr="00975F23">
        <w:rPr>
          <w:rFonts w:eastAsia="Times New Roman" w:cs="Times New Roman"/>
          <w:szCs w:val="24"/>
          <w:shd w:val="clear" w:color="auto" w:fill="FFFFFF"/>
          <w:lang w:val="en-GB"/>
        </w:rPr>
        <w:t xml:space="preserve">(2022).  In the context of the UK the firm has been facing challenges in raising the funds due to the threatening position of the UK as one of the leading nations in the PE. The current literature review includes the analysis of the private equity investment along with the tissues that have been arised due to the investment in the Brexit at EU. Further it also includes the analysis of private equity investment with the theories of </w:t>
      </w:r>
      <w:r w:rsidRPr="00975F23">
        <w:rPr>
          <w:rFonts w:eastAsia="Times New Roman" w:cs="Times New Roman"/>
          <w:i/>
          <w:iCs/>
          <w:szCs w:val="24"/>
          <w:shd w:val="clear" w:color="auto" w:fill="FFFFFF"/>
          <w:lang w:val="en-GB"/>
        </w:rPr>
        <w:t>Fifty-Percent Principle Theory, Prospect Theory and the Rational Expectations Theory.</w:t>
      </w:r>
    </w:p>
    <w:p w14:paraId="240A986F" w14:textId="77777777" w:rsidR="00091FA8" w:rsidRPr="00975F23" w:rsidRDefault="00091FA8" w:rsidP="00091FA8">
      <w:pPr>
        <w:pStyle w:val="Heading1"/>
        <w:rPr>
          <w:shd w:val="clear" w:color="auto" w:fill="FFFFFF"/>
          <w:lang w:val="en-GB"/>
        </w:rPr>
      </w:pPr>
      <w:bookmarkStart w:id="33" w:name="_Toc114320976"/>
      <w:bookmarkStart w:id="34" w:name="_Toc114323818"/>
      <w:r>
        <w:rPr>
          <w:shd w:val="clear" w:color="auto" w:fill="FFFFFF"/>
          <w:lang w:val="en-GB"/>
        </w:rPr>
        <w:t>2.1 Conceptual Framework</w:t>
      </w:r>
      <w:bookmarkEnd w:id="33"/>
      <w:bookmarkEnd w:id="34"/>
      <w:r>
        <w:rPr>
          <w:shd w:val="clear" w:color="auto" w:fill="FFFFFF"/>
          <w:lang w:val="en-GB"/>
        </w:rPr>
        <w:t xml:space="preserve"> </w:t>
      </w:r>
    </w:p>
    <w:p w14:paraId="4586B211" w14:textId="6FA78850" w:rsidR="00091FA8" w:rsidRPr="00975F23" w:rsidRDefault="003577FD" w:rsidP="00091FA8">
      <w:pPr>
        <w:pStyle w:val="Heading1"/>
        <w:rPr>
          <w:lang w:val="en-GB"/>
        </w:rPr>
      </w:pPr>
      <w:bookmarkStart w:id="35" w:name="_Toc114240407"/>
      <w:r>
        <w:rPr>
          <w:noProof/>
        </w:rPr>
        <mc:AlternateContent>
          <mc:Choice Requires="wpg">
            <w:drawing>
              <wp:anchor distT="0" distB="0" distL="114300" distR="114300" simplePos="0" relativeHeight="251660288" behindDoc="0" locked="0" layoutInCell="1" allowOverlap="1" wp14:anchorId="5E0856DD" wp14:editId="52E9D545">
                <wp:simplePos x="0" y="0"/>
                <wp:positionH relativeFrom="column">
                  <wp:posOffset>-8890</wp:posOffset>
                </wp:positionH>
                <wp:positionV relativeFrom="paragraph">
                  <wp:posOffset>50165</wp:posOffset>
                </wp:positionV>
                <wp:extent cx="5876925" cy="4162425"/>
                <wp:effectExtent l="19685" t="15875" r="8890" b="22225"/>
                <wp:wrapNone/>
                <wp:docPr id="7"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76925" cy="4162425"/>
                          <a:chOff x="1710" y="8070"/>
                          <a:chExt cx="9255" cy="6555"/>
                        </a:xfrm>
                      </wpg:grpSpPr>
                      <wps:wsp>
                        <wps:cNvPr id="8" name="Rectangle 27"/>
                        <wps:cNvSpPr>
                          <a:spLocks noChangeArrowheads="1"/>
                        </wps:cNvSpPr>
                        <wps:spPr bwMode="auto">
                          <a:xfrm>
                            <a:off x="2565" y="8070"/>
                            <a:ext cx="6945" cy="1196"/>
                          </a:xfrm>
                          <a:prstGeom prst="rect">
                            <a:avLst/>
                          </a:prstGeom>
                          <a:solidFill>
                            <a:schemeClr val="accent5">
                              <a:lumMod val="100000"/>
                              <a:lumOff val="0"/>
                            </a:schemeClr>
                          </a:solidFill>
                          <a:ln w="38100">
                            <a:solidFill>
                              <a:schemeClr val="lt1">
                                <a:lumMod val="95000"/>
                                <a:lumOff val="0"/>
                              </a:schemeClr>
                            </a:solidFill>
                            <a:miter lim="800000"/>
                            <a:headEnd/>
                            <a:tailEnd/>
                          </a:ln>
                          <a:effectLst>
                            <a:outerShdw dist="28398" dir="3806097" algn="ctr" rotWithShape="0">
                              <a:schemeClr val="accent5">
                                <a:lumMod val="50000"/>
                                <a:lumOff val="0"/>
                                <a:alpha val="50000"/>
                              </a:schemeClr>
                            </a:outerShdw>
                          </a:effectLst>
                        </wps:spPr>
                        <wps:txbx>
                          <w:txbxContent>
                            <w:p w14:paraId="0F2E6528" w14:textId="77777777" w:rsidR="00091FA8" w:rsidRPr="006F54E4" w:rsidRDefault="00091FA8" w:rsidP="00091FA8">
                              <w:pPr>
                                <w:jc w:val="center"/>
                                <w:rPr>
                                  <w:b/>
                                </w:rPr>
                              </w:pPr>
                              <w:r w:rsidRPr="006F54E4">
                                <w:rPr>
                                  <w:b/>
                                </w:rPr>
                                <w:t>MERITS AND DEMERITS OF PRIVATE EQUITY INVESTMENT IN THE EUROPEAN UNION POST BREXIT</w:t>
                              </w:r>
                            </w:p>
                            <w:p w14:paraId="01EB6542" w14:textId="77777777" w:rsidR="00091FA8" w:rsidRPr="006F54E4" w:rsidRDefault="00091FA8" w:rsidP="00091FA8">
                              <w:pPr>
                                <w:jc w:val="center"/>
                                <w:rPr>
                                  <w:b/>
                                </w:rPr>
                              </w:pPr>
                            </w:p>
                          </w:txbxContent>
                        </wps:txbx>
                        <wps:bodyPr rot="0" vert="horz" wrap="square" lIns="91440" tIns="45720" rIns="91440" bIns="45720" anchor="t" anchorCtr="0" upright="1">
                          <a:noAutofit/>
                        </wps:bodyPr>
                      </wps:wsp>
                      <wps:wsp>
                        <wps:cNvPr id="9" name="Rectangle 28"/>
                        <wps:cNvSpPr>
                          <a:spLocks noChangeArrowheads="1"/>
                        </wps:cNvSpPr>
                        <wps:spPr bwMode="auto">
                          <a:xfrm>
                            <a:off x="1710" y="9885"/>
                            <a:ext cx="2067" cy="1305"/>
                          </a:xfrm>
                          <a:prstGeom prst="rect">
                            <a:avLst/>
                          </a:prstGeom>
                          <a:solidFill>
                            <a:schemeClr val="accent4">
                              <a:lumMod val="100000"/>
                              <a:lumOff val="0"/>
                            </a:schemeClr>
                          </a:solidFill>
                          <a:ln w="38100">
                            <a:solidFill>
                              <a:schemeClr val="lt1">
                                <a:lumMod val="95000"/>
                                <a:lumOff val="0"/>
                              </a:schemeClr>
                            </a:solidFill>
                            <a:miter lim="800000"/>
                            <a:headEnd/>
                            <a:tailEnd/>
                          </a:ln>
                          <a:effectLst>
                            <a:outerShdw dist="28398" dir="3806097" algn="ctr" rotWithShape="0">
                              <a:schemeClr val="accent4">
                                <a:lumMod val="50000"/>
                                <a:lumOff val="0"/>
                                <a:alpha val="50000"/>
                              </a:schemeClr>
                            </a:outerShdw>
                          </a:effectLst>
                        </wps:spPr>
                        <wps:txbx>
                          <w:txbxContent>
                            <w:p w14:paraId="747C2C2A" w14:textId="77777777" w:rsidR="00091FA8" w:rsidRPr="00E5079A" w:rsidRDefault="00091FA8" w:rsidP="00091FA8">
                              <w:pPr>
                                <w:rPr>
                                  <w:rFonts w:cs="Times New Roman"/>
                                  <w:b/>
                                </w:rPr>
                              </w:pPr>
                              <w:r w:rsidRPr="00E5079A">
                                <w:rPr>
                                  <w:rFonts w:cs="Times New Roman"/>
                                  <w:b/>
                                </w:rPr>
                                <w:t>Concept of private equity investment</w:t>
                              </w:r>
                            </w:p>
                          </w:txbxContent>
                        </wps:txbx>
                        <wps:bodyPr rot="0" vert="horz" wrap="square" lIns="91440" tIns="45720" rIns="91440" bIns="45720" anchor="t" anchorCtr="0" upright="1">
                          <a:noAutofit/>
                        </wps:bodyPr>
                      </wps:wsp>
                      <wps:wsp>
                        <wps:cNvPr id="10" name="Rectangle 29"/>
                        <wps:cNvSpPr>
                          <a:spLocks noChangeArrowheads="1"/>
                        </wps:cNvSpPr>
                        <wps:spPr bwMode="auto">
                          <a:xfrm>
                            <a:off x="4341" y="10013"/>
                            <a:ext cx="2391" cy="1652"/>
                          </a:xfrm>
                          <a:prstGeom prst="rect">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14:paraId="41E1A6C6" w14:textId="77777777" w:rsidR="00091FA8" w:rsidRPr="006F54E4" w:rsidRDefault="00091FA8" w:rsidP="00091FA8">
                              <w:pPr>
                                <w:jc w:val="center"/>
                                <w:rPr>
                                  <w:b/>
                                </w:rPr>
                              </w:pPr>
                              <w:r w:rsidRPr="006F54E4">
                                <w:rPr>
                                  <w:b/>
                                </w:rPr>
                                <w:t>Factors affecting private equity investment</w:t>
                              </w:r>
                            </w:p>
                          </w:txbxContent>
                        </wps:txbx>
                        <wps:bodyPr rot="0" vert="horz" wrap="square" lIns="91440" tIns="45720" rIns="91440" bIns="45720" anchor="t" anchorCtr="0" upright="1">
                          <a:noAutofit/>
                        </wps:bodyPr>
                      </wps:wsp>
                      <wps:wsp>
                        <wps:cNvPr id="11" name="Rectangle 30"/>
                        <wps:cNvSpPr>
                          <a:spLocks noChangeArrowheads="1"/>
                        </wps:cNvSpPr>
                        <wps:spPr bwMode="auto">
                          <a:xfrm>
                            <a:off x="7186" y="10013"/>
                            <a:ext cx="2894" cy="1543"/>
                          </a:xfrm>
                          <a:prstGeom prst="rect">
                            <a:avLst/>
                          </a:prstGeom>
                          <a:solidFill>
                            <a:schemeClr val="accent3">
                              <a:lumMod val="100000"/>
                              <a:lumOff val="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txbx>
                          <w:txbxContent>
                            <w:p w14:paraId="73847036" w14:textId="77777777" w:rsidR="00091FA8" w:rsidRPr="00547594" w:rsidRDefault="00091FA8" w:rsidP="00091FA8">
                              <w:pPr>
                                <w:jc w:val="center"/>
                                <w:rPr>
                                  <w:b/>
                                </w:rPr>
                              </w:pPr>
                              <w:r w:rsidRPr="00547594">
                                <w:rPr>
                                  <w:b/>
                                </w:rPr>
                                <w:t>Common issues faced by private equity investors after BREXIT at EU</w:t>
                              </w:r>
                            </w:p>
                          </w:txbxContent>
                        </wps:txbx>
                        <wps:bodyPr rot="0" vert="horz" wrap="square" lIns="91440" tIns="45720" rIns="91440" bIns="45720" anchor="t" anchorCtr="0" upright="1">
                          <a:noAutofit/>
                        </wps:bodyPr>
                      </wps:wsp>
                      <wps:wsp>
                        <wps:cNvPr id="12" name="Rectangle 31"/>
                        <wps:cNvSpPr>
                          <a:spLocks noChangeArrowheads="1"/>
                        </wps:cNvSpPr>
                        <wps:spPr bwMode="auto">
                          <a:xfrm>
                            <a:off x="7485" y="12033"/>
                            <a:ext cx="2880" cy="628"/>
                          </a:xfrm>
                          <a:prstGeom prst="rect">
                            <a:avLst/>
                          </a:prstGeom>
                          <a:solidFill>
                            <a:schemeClr val="accent2">
                              <a:lumMod val="100000"/>
                              <a:lumOff val="0"/>
                            </a:schemeClr>
                          </a:solidFill>
                          <a:ln w="127000" cmpd="dbl">
                            <a:solidFill>
                              <a:schemeClr val="accent2">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C75BA6A" w14:textId="77777777" w:rsidR="00091FA8" w:rsidRPr="001F12C1" w:rsidRDefault="00091FA8" w:rsidP="00091FA8">
                              <w:pPr>
                                <w:jc w:val="center"/>
                                <w:rPr>
                                  <w:b/>
                                  <w:sz w:val="22"/>
                                </w:rPr>
                              </w:pPr>
                              <w:r w:rsidRPr="001F12C1">
                                <w:rPr>
                                  <w:b/>
                                  <w:sz w:val="22"/>
                                </w:rPr>
                                <w:t>Theoretical perspectives</w:t>
                              </w:r>
                            </w:p>
                          </w:txbxContent>
                        </wps:txbx>
                        <wps:bodyPr rot="0" vert="horz" wrap="square" lIns="91440" tIns="45720" rIns="91440" bIns="45720" anchor="t" anchorCtr="0" upright="1">
                          <a:noAutofit/>
                        </wps:bodyPr>
                      </wps:wsp>
                      <wps:wsp>
                        <wps:cNvPr id="13" name="Rectangle 32"/>
                        <wps:cNvSpPr>
                          <a:spLocks noChangeArrowheads="1"/>
                        </wps:cNvSpPr>
                        <wps:spPr bwMode="auto">
                          <a:xfrm>
                            <a:off x="6732" y="13210"/>
                            <a:ext cx="4233" cy="1415"/>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3FCC2E2C" w14:textId="77777777" w:rsidR="00091FA8" w:rsidRDefault="00091FA8" w:rsidP="00091FA8">
                              <w:pPr>
                                <w:pStyle w:val="ListParagraph"/>
                                <w:numPr>
                                  <w:ilvl w:val="0"/>
                                  <w:numId w:val="3"/>
                                </w:numPr>
                                <w:rPr>
                                  <w:shd w:val="clear" w:color="auto" w:fill="FFFFFF"/>
                                </w:rPr>
                              </w:pPr>
                              <w:r w:rsidRPr="00AA00DD">
                                <w:rPr>
                                  <w:shd w:val="clear" w:color="auto" w:fill="FFFFFF"/>
                                </w:rPr>
                                <w:t xml:space="preserve">Fifty-Percent Principle Theory </w:t>
                              </w:r>
                            </w:p>
                            <w:p w14:paraId="1714117F" w14:textId="77777777" w:rsidR="00091FA8" w:rsidRPr="00AA00DD" w:rsidRDefault="00091FA8" w:rsidP="00091FA8">
                              <w:pPr>
                                <w:pStyle w:val="ListParagraph"/>
                                <w:numPr>
                                  <w:ilvl w:val="0"/>
                                  <w:numId w:val="3"/>
                                </w:numPr>
                                <w:rPr>
                                  <w:shd w:val="clear" w:color="auto" w:fill="FFFFFF"/>
                                </w:rPr>
                              </w:pPr>
                              <w:r w:rsidRPr="00AA00DD">
                                <w:rPr>
                                  <w:shd w:val="clear" w:color="auto" w:fill="FFFFFF"/>
                                </w:rPr>
                                <w:t>Prospect Theory</w:t>
                              </w:r>
                            </w:p>
                            <w:p w14:paraId="77F001DC" w14:textId="77777777" w:rsidR="00091FA8" w:rsidRPr="00AA00DD" w:rsidRDefault="00091FA8" w:rsidP="00091FA8">
                              <w:pPr>
                                <w:pStyle w:val="ListParagraph"/>
                                <w:numPr>
                                  <w:ilvl w:val="0"/>
                                  <w:numId w:val="3"/>
                                </w:numPr>
                              </w:pPr>
                              <w:r w:rsidRPr="00AA00DD">
                                <w:rPr>
                                  <w:shd w:val="clear" w:color="auto" w:fill="FFFFFF"/>
                                </w:rPr>
                                <w:t xml:space="preserve">Rational Expectations Theory  </w:t>
                              </w:r>
                            </w:p>
                          </w:txbxContent>
                        </wps:txbx>
                        <wps:bodyPr rot="0" vert="horz" wrap="square" lIns="91440" tIns="45720" rIns="91440" bIns="45720" anchor="t" anchorCtr="0" upright="1">
                          <a:noAutofit/>
                        </wps:bodyPr>
                      </wps:wsp>
                      <wps:wsp>
                        <wps:cNvPr id="14" name="AutoShape 33"/>
                        <wps:cNvCnPr>
                          <a:cxnSpLocks noChangeShapeType="1"/>
                        </wps:cNvCnPr>
                        <wps:spPr bwMode="auto">
                          <a:xfrm>
                            <a:off x="4103" y="9266"/>
                            <a:ext cx="1" cy="2767"/>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5" name="AutoShape 34"/>
                        <wps:cNvCnPr>
                          <a:cxnSpLocks noChangeShapeType="1"/>
                        </wps:cNvCnPr>
                        <wps:spPr bwMode="auto">
                          <a:xfrm flipH="1">
                            <a:off x="2880" y="9266"/>
                            <a:ext cx="897" cy="619"/>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6" name="AutoShape 35"/>
                        <wps:cNvCnPr>
                          <a:cxnSpLocks noChangeShapeType="1"/>
                        </wps:cNvCnPr>
                        <wps:spPr bwMode="auto">
                          <a:xfrm>
                            <a:off x="5297" y="9266"/>
                            <a:ext cx="512" cy="747"/>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7" name="AutoShape 36"/>
                        <wps:cNvCnPr>
                          <a:cxnSpLocks noChangeShapeType="1"/>
                        </wps:cNvCnPr>
                        <wps:spPr bwMode="auto">
                          <a:xfrm>
                            <a:off x="7640" y="9266"/>
                            <a:ext cx="730" cy="619"/>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8" name="AutoShape 37"/>
                        <wps:cNvCnPr>
                          <a:cxnSpLocks noChangeShapeType="1"/>
                        </wps:cNvCnPr>
                        <wps:spPr bwMode="auto">
                          <a:xfrm>
                            <a:off x="8819" y="12795"/>
                            <a:ext cx="1" cy="41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9" name="Rectangle 38"/>
                        <wps:cNvSpPr>
                          <a:spLocks noChangeArrowheads="1"/>
                        </wps:cNvSpPr>
                        <wps:spPr bwMode="auto">
                          <a:xfrm>
                            <a:off x="2880" y="12033"/>
                            <a:ext cx="2201" cy="1077"/>
                          </a:xfrm>
                          <a:prstGeom prst="rect">
                            <a:avLst/>
                          </a:prstGeom>
                          <a:solidFill>
                            <a:schemeClr val="accent1">
                              <a:lumMod val="100000"/>
                              <a:lumOff val="0"/>
                            </a:schemeClr>
                          </a:solidFill>
                          <a:ln w="38100">
                            <a:solidFill>
                              <a:schemeClr val="lt1">
                                <a:lumMod val="95000"/>
                                <a:lumOff val="0"/>
                              </a:schemeClr>
                            </a:solidFill>
                            <a:miter lim="800000"/>
                            <a:headEnd/>
                            <a:tailEnd/>
                          </a:ln>
                          <a:effectLst>
                            <a:outerShdw dist="28398" dir="3806097" algn="ctr" rotWithShape="0">
                              <a:schemeClr val="accent1">
                                <a:lumMod val="50000"/>
                                <a:lumOff val="0"/>
                                <a:alpha val="50000"/>
                              </a:schemeClr>
                            </a:outerShdw>
                          </a:effectLst>
                        </wps:spPr>
                        <wps:txbx>
                          <w:txbxContent>
                            <w:p w14:paraId="68C27E5F" w14:textId="77777777" w:rsidR="00091FA8" w:rsidRPr="007C0787" w:rsidRDefault="00091FA8" w:rsidP="00091FA8">
                              <w:pPr>
                                <w:jc w:val="center"/>
                                <w:rPr>
                                  <w:rFonts w:cs="Times New Roman"/>
                                  <w:b/>
                                </w:rPr>
                              </w:pPr>
                              <w:r w:rsidRPr="007C0787">
                                <w:rPr>
                                  <w:rFonts w:cs="Times New Roman"/>
                                  <w:b/>
                                </w:rPr>
                                <w:t>Impact of Private equity investment</w:t>
                              </w:r>
                            </w:p>
                          </w:txbxContent>
                        </wps:txbx>
                        <wps:bodyPr rot="0" vert="horz" wrap="square" lIns="91440" tIns="45720" rIns="91440" bIns="45720" anchor="t" anchorCtr="0" upright="1">
                          <a:noAutofit/>
                        </wps:bodyPr>
                      </wps:wsp>
                      <wps:wsp>
                        <wps:cNvPr id="20" name="AutoShape 39"/>
                        <wps:cNvCnPr>
                          <a:cxnSpLocks noChangeShapeType="1"/>
                        </wps:cNvCnPr>
                        <wps:spPr bwMode="auto">
                          <a:xfrm>
                            <a:off x="8531" y="11556"/>
                            <a:ext cx="54" cy="37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5E0856DD" id="Group 26" o:spid="_x0000_s1026" style="position:absolute;left:0;text-align:left;margin-left:-.7pt;margin-top:3.95pt;width:462.75pt;height:327.75pt;z-index:251660288" coordorigin="1710,8070" coordsize="9255,65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">
                <v:rect id="Rectangle 27" o:spid="_x0000_s1027" style="position:absolute;left:2565;top:8070;width:6945;height:11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" fillcolor="#4bacc6 [3208]" strokecolor="#f2f2f2 [3041]" strokeweight="3pt">
                  <v:shadow on="t" color="#205867 [1608]" opacity=".5" offset="1pt"/>
                  <v:textbox>
                    <w:txbxContent>
                      <w:p w14:paraId="0F2E6528" w14:textId="77777777" w:rsidR="00091FA8" w:rsidRPr="006F54E4" w:rsidRDefault="00091FA8" w:rsidP="00091FA8">
                        <w:pPr>
                          <w:jc w:val="center"/>
                          <w:rPr>
                            <w:b/>
                          </w:rPr>
                        </w:pPr>
                        <w:r w:rsidRPr="006F54E4">
                          <w:rPr>
                            <w:b/>
                          </w:rPr>
                          <w:t>MERITS AND DEMERITS OF PRIVATE EQUITY INVESTMENT IN THE EUROPEAN UNION POST BREXIT</w:t>
                        </w:r>
                      </w:p>
                      <w:p w14:paraId="01EB6542" w14:textId="77777777" w:rsidR="00091FA8" w:rsidRPr="006F54E4" w:rsidRDefault="00091FA8" w:rsidP="00091FA8">
                        <w:pPr>
                          <w:jc w:val="center"/>
                          <w:rPr>
                            <w:b/>
                          </w:rPr>
                        </w:pPr>
                      </w:p>
                    </w:txbxContent>
                  </v:textbox>
                </v:rect>
                <v:rect id="Rectangle 28" o:spid="_x0000_s1028" style="position:absolute;left:1710;top:9885;width:2067;height:13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" fillcolor="#8064a2 [3207]" strokecolor="#f2f2f2 [3041]" strokeweight="3pt">
                  <v:shadow on="t" color="#3f3151 [1607]" opacity=".5" offset="1pt"/>
                  <v:textbox>
                    <w:txbxContent>
                      <w:p w14:paraId="747C2C2A" w14:textId="77777777" w:rsidR="00091FA8" w:rsidRPr="00E5079A" w:rsidRDefault="00091FA8" w:rsidP="00091FA8">
                        <w:pPr>
                          <w:rPr>
                            <w:rFonts w:cs="Times New Roman"/>
                            <w:b/>
                          </w:rPr>
                        </w:pPr>
                        <w:r w:rsidRPr="00E5079A">
                          <w:rPr>
                            <w:rFonts w:cs="Times New Roman"/>
                            <w:b/>
                          </w:rPr>
                          <w:t>Concept of private equity investment</w:t>
                        </w:r>
                      </w:p>
                    </w:txbxContent>
                  </v:textbox>
                </v:rect>
                <v:rect id="Rectangle 29" o:spid="_x0000_s1029" style="position:absolute;left:4341;top:10013;width:2391;height:16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" fillcolor="#f79646 [3209]" strokecolor="#f2f2f2 [3041]" strokeweight="3pt">
                  <v:shadow on="t" color="#974706 [1609]" opacity=".5" offset="1pt"/>
                  <v:textbox>
                    <w:txbxContent>
                      <w:p w14:paraId="41E1A6C6" w14:textId="77777777" w:rsidR="00091FA8" w:rsidRPr="006F54E4" w:rsidRDefault="00091FA8" w:rsidP="00091FA8">
                        <w:pPr>
                          <w:jc w:val="center"/>
                          <w:rPr>
                            <w:b/>
                          </w:rPr>
                        </w:pPr>
                        <w:r w:rsidRPr="006F54E4">
                          <w:rPr>
                            <w:b/>
                          </w:rPr>
                          <w:t>Factors affecting private equity investment</w:t>
                        </w:r>
                      </w:p>
                    </w:txbxContent>
                  </v:textbox>
                </v:rect>
                <v:rect id="Rectangle 30" o:spid="_x0000_s1030" style="position:absolute;left:7186;top:10013;width:2894;height:1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" fillcolor="#9bbb59 [3206]" strokecolor="#f2f2f2 [3041]" strokeweight="3pt">
                  <v:shadow on="t" color="#4e6128 [1606]" opacity=".5" offset="1pt"/>
                  <v:textbox>
                    <w:txbxContent>
                      <w:p w14:paraId="73847036" w14:textId="77777777" w:rsidR="00091FA8" w:rsidRPr="00547594" w:rsidRDefault="00091FA8" w:rsidP="00091FA8">
                        <w:pPr>
                          <w:jc w:val="center"/>
                          <w:rPr>
                            <w:b/>
                          </w:rPr>
                        </w:pPr>
                        <w:r w:rsidRPr="00547594">
                          <w:rPr>
                            <w:b/>
                          </w:rPr>
                          <w:t>Common issues faced by private equity investors after BREXIT at EU</w:t>
                        </w:r>
                      </w:p>
                    </w:txbxContent>
                  </v:textbox>
                </v:rect>
                <v:rect id="Rectangle 31" o:spid="_x0000_s1031" style="position:absolute;left:7485;top:12033;width:2880;height:6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" fillcolor="#c0504d [3205]" strokecolor="#c0504d [3205]" strokeweight="10pt">
                  <v:stroke linestyle="thinThin"/>
                  <v:shadow color="#868686"/>
                  <v:textbox>
                    <w:txbxContent>
                      <w:p w14:paraId="1C75BA6A" w14:textId="77777777" w:rsidR="00091FA8" w:rsidRPr="001F12C1" w:rsidRDefault="00091FA8" w:rsidP="00091FA8">
                        <w:pPr>
                          <w:jc w:val="center"/>
                          <w:rPr>
                            <w:b/>
                            <w:sz w:val="22"/>
                          </w:rPr>
                        </w:pPr>
                        <w:r w:rsidRPr="001F12C1">
                          <w:rPr>
                            <w:b/>
                            <w:sz w:val="22"/>
                          </w:rPr>
                          <w:t>Theoretical perspectives</w:t>
                        </w:r>
                      </w:p>
                    </w:txbxContent>
                  </v:textbox>
                </v:rect>
                <v:rect id="Rectangle 32" o:spid="_x0000_s1032" style="position:absolute;left:6732;top:13210;width:4233;height:1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" fillcolor="white [3201]" strokecolor="#c2d69b [1942]" strokeweight="1pt">
                  <v:fill color2="#d6e3bc [1302]" focus="100%" type="gradient"/>
                  <v:shadow on="t" color="#4e6128 [1606]" opacity=".5" offset="1pt"/>
                  <v:textbox>
                    <w:txbxContent>
                      <w:p w14:paraId="3FCC2E2C" w14:textId="77777777" w:rsidR="00091FA8" w:rsidRDefault="00091FA8" w:rsidP="00091FA8">
                        <w:pPr>
                          <w:pStyle w:val="ListParagraph"/>
                          <w:numPr>
                            <w:ilvl w:val="0"/>
                            <w:numId w:val="3"/>
                          </w:numPr>
                          <w:rPr>
                            <w:shd w:val="clear" w:color="auto" w:fill="FFFFFF"/>
                          </w:rPr>
                        </w:pPr>
                        <w:r w:rsidRPr="00AA00DD">
                          <w:rPr>
                            <w:shd w:val="clear" w:color="auto" w:fill="FFFFFF"/>
                          </w:rPr>
                          <w:t xml:space="preserve">Fifty-Percent Principle Theory </w:t>
                        </w:r>
                      </w:p>
                      <w:p w14:paraId="1714117F" w14:textId="77777777" w:rsidR="00091FA8" w:rsidRPr="00AA00DD" w:rsidRDefault="00091FA8" w:rsidP="00091FA8">
                        <w:pPr>
                          <w:pStyle w:val="ListParagraph"/>
                          <w:numPr>
                            <w:ilvl w:val="0"/>
                            <w:numId w:val="3"/>
                          </w:numPr>
                          <w:rPr>
                            <w:shd w:val="clear" w:color="auto" w:fill="FFFFFF"/>
                          </w:rPr>
                        </w:pPr>
                        <w:r w:rsidRPr="00AA00DD">
                          <w:rPr>
                            <w:shd w:val="clear" w:color="auto" w:fill="FFFFFF"/>
                          </w:rPr>
                          <w:t>Prospect Theory</w:t>
                        </w:r>
                      </w:p>
                      <w:p w14:paraId="77F001DC" w14:textId="77777777" w:rsidR="00091FA8" w:rsidRPr="00AA00DD" w:rsidRDefault="00091FA8" w:rsidP="00091FA8">
                        <w:pPr>
                          <w:pStyle w:val="ListParagraph"/>
                          <w:numPr>
                            <w:ilvl w:val="0"/>
                            <w:numId w:val="3"/>
                          </w:numPr>
                        </w:pPr>
                        <w:r w:rsidRPr="00AA00DD">
                          <w:rPr>
                            <w:shd w:val="clear" w:color="auto" w:fill="FFFFFF"/>
                          </w:rPr>
                          <w:t xml:space="preserve">Rational Expectations Theory  </w:t>
                        </w:r>
                      </w:p>
                    </w:txbxContent>
                  </v:textbox>
                </v:rect>
                <v:shapetype id="_x0000_t32" coordsize="21600,21600" o:spt="32" o:oned="t" path="m,l21600,21600e" filled="f">
                  <v:path arrowok="t" fillok="f" o:connecttype="none"/>
                  <o:lock v:ext="edit" shapetype="t"/>
                </v:shapetype>
                <v:shape id="AutoShape 33" o:spid="_x0000_s1033" type="#_x0000_t32" style="position:absolute;left:4103;top:9266;width:1;height:276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">
                  <v:stroke endarrow="block"/>
                </v:shape>
                <v:shape id="AutoShape 34" o:spid="_x0000_s1034" type="#_x0000_t32" style="position:absolute;left:2880;top:9266;width:897;height:61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">
                  <v:stroke endarrow="block"/>
                </v:shape>
                <v:shape id="AutoShape 35" o:spid="_x0000_s1035" type="#_x0000_t32" style="position:absolute;left:5297;top:9266;width:512;height:74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">
                  <v:stroke endarrow="block"/>
                </v:shape>
                <v:shape id="AutoShape 36" o:spid="_x0000_s1036" type="#_x0000_t32" style="position:absolute;left:7640;top:9266;width:730;height:61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">
                  <v:stroke endarrow="block"/>
                </v:shape>
                <v:shape id="AutoShape 37" o:spid="_x0000_s1037" type="#_x0000_t32" style="position:absolute;left:8819;top:12795;width:1;height:4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">
                  <v:stroke endarrow="block"/>
                </v:shape>
                <v:rect id="Rectangle 38" o:spid="_x0000_s1038" style="position:absolute;left:2880;top:12033;width:2201;height:10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" fillcolor="#4f81bd [3204]" strokecolor="#f2f2f2 [3041]" strokeweight="3pt">
                  <v:shadow on="t" color="#243f60 [1604]" opacity=".5" offset="1pt"/>
                  <v:textbox>
                    <w:txbxContent>
                      <w:p w14:paraId="68C27E5F" w14:textId="77777777" w:rsidR="00091FA8" w:rsidRPr="007C0787" w:rsidRDefault="00091FA8" w:rsidP="00091FA8">
                        <w:pPr>
                          <w:jc w:val="center"/>
                          <w:rPr>
                            <w:rFonts w:cs="Times New Roman"/>
                            <w:b/>
                          </w:rPr>
                        </w:pPr>
                        <w:r w:rsidRPr="007C0787">
                          <w:rPr>
                            <w:rFonts w:cs="Times New Roman"/>
                            <w:b/>
                          </w:rPr>
                          <w:t>Impact of Private equity investment</w:t>
                        </w:r>
                      </w:p>
                    </w:txbxContent>
                  </v:textbox>
                </v:rect>
                <v:shape id="AutoShape 39" o:spid="_x0000_s1039" type="#_x0000_t32" style="position:absolute;left:8531;top:11556;width:54;height:37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">
                  <v:stroke endarrow="block"/>
                </v:shape>
              </v:group>
            </w:pict>
          </mc:Fallback>
        </mc:AlternateContent>
      </w:r>
      <w:bookmarkEnd w:id="35"/>
    </w:p>
    <w:p w14:paraId="5B6A048D" w14:textId="77777777" w:rsidR="00091FA8" w:rsidRPr="00975F23" w:rsidRDefault="00091FA8" w:rsidP="00091FA8">
      <w:pPr>
        <w:rPr>
          <w:rFonts w:cs="Times New Roman"/>
          <w:noProof/>
          <w:szCs w:val="24"/>
          <w:lang w:val="en-GB"/>
        </w:rPr>
      </w:pPr>
    </w:p>
    <w:p w14:paraId="0D3D6EEA" w14:textId="77777777" w:rsidR="00091FA8" w:rsidRPr="00975F23" w:rsidRDefault="00091FA8" w:rsidP="00091FA8">
      <w:pPr>
        <w:rPr>
          <w:rFonts w:cs="Times New Roman"/>
          <w:noProof/>
          <w:szCs w:val="24"/>
          <w:lang w:val="en-GB"/>
        </w:rPr>
      </w:pPr>
      <w:r w:rsidRPr="00975F23">
        <w:rPr>
          <w:rFonts w:cs="Times New Roman"/>
          <w:noProof/>
          <w:szCs w:val="24"/>
          <w:lang w:val="en-GB"/>
        </w:rPr>
        <w:t xml:space="preserve"> </w:t>
      </w:r>
    </w:p>
    <w:p w14:paraId="08D4CABF" w14:textId="77777777" w:rsidR="00091FA8" w:rsidRPr="00975F23" w:rsidRDefault="00091FA8" w:rsidP="00091FA8">
      <w:pPr>
        <w:rPr>
          <w:rFonts w:cs="Times New Roman"/>
          <w:noProof/>
          <w:szCs w:val="24"/>
          <w:lang w:val="en-GB"/>
        </w:rPr>
      </w:pPr>
      <w:r w:rsidRPr="00975F23">
        <w:rPr>
          <w:rFonts w:cs="Times New Roman"/>
          <w:noProof/>
          <w:szCs w:val="24"/>
          <w:lang w:val="en-GB"/>
        </w:rPr>
        <w:br w:type="page"/>
      </w:r>
    </w:p>
    <w:p w14:paraId="6672BCA7" w14:textId="77777777" w:rsidR="00091FA8" w:rsidRDefault="00091FA8" w:rsidP="00091FA8">
      <w:pPr>
        <w:pStyle w:val="Heading2"/>
        <w:rPr>
          <w:b w:val="0"/>
          <w:highlight w:val="white"/>
        </w:rPr>
      </w:pPr>
      <w:bookmarkStart w:id="36" w:name="_Toc114320847"/>
      <w:bookmarkStart w:id="37" w:name="_Toc114321015"/>
      <w:bookmarkStart w:id="38" w:name="_Toc114323870"/>
      <w:r>
        <w:rPr>
          <w:highlight w:val="white"/>
        </w:rPr>
        <w:t xml:space="preserve">Figure 2.1: Conceptual </w:t>
      </w:r>
      <w:r w:rsidRPr="00AC5F70">
        <w:rPr>
          <w:highlight w:val="white"/>
        </w:rPr>
        <w:t>Framework</w:t>
      </w:r>
      <w:bookmarkEnd w:id="36"/>
      <w:bookmarkEnd w:id="37"/>
      <w:bookmarkEnd w:id="38"/>
    </w:p>
    <w:p w14:paraId="5ABC4681" w14:textId="77777777" w:rsidR="00091FA8" w:rsidRPr="008F0382" w:rsidRDefault="00091FA8" w:rsidP="00091FA8">
      <w:pPr>
        <w:jc w:val="center"/>
        <w:rPr>
          <w:rFonts w:eastAsia="Times New Roman" w:cs="Times New Roman"/>
          <w:b/>
          <w:color w:val="000000"/>
          <w:szCs w:val="24"/>
          <w:highlight w:val="white"/>
        </w:rPr>
      </w:pPr>
      <w:r>
        <w:rPr>
          <w:rFonts w:eastAsia="Times New Roman" w:cs="Times New Roman"/>
          <w:szCs w:val="24"/>
          <w:highlight w:val="white"/>
        </w:rPr>
        <w:t>(</w:t>
      </w:r>
      <w:r>
        <w:rPr>
          <w:rFonts w:eastAsia="Times New Roman" w:cs="Times New Roman"/>
          <w:color w:val="000000"/>
          <w:szCs w:val="24"/>
          <w:highlight w:val="white"/>
        </w:rPr>
        <w:t xml:space="preserve">Source: </w:t>
      </w:r>
      <w:r>
        <w:rPr>
          <w:rFonts w:eastAsia="Times New Roman" w:cs="Times New Roman"/>
          <w:szCs w:val="24"/>
          <w:highlight w:val="white"/>
        </w:rPr>
        <w:t xml:space="preserve">Created </w:t>
      </w:r>
      <w:r>
        <w:rPr>
          <w:rFonts w:eastAsia="Times New Roman" w:cs="Times New Roman"/>
          <w:color w:val="000000"/>
          <w:szCs w:val="24"/>
          <w:highlight w:val="white"/>
        </w:rPr>
        <w:t xml:space="preserve">by </w:t>
      </w:r>
      <w:r>
        <w:rPr>
          <w:rFonts w:eastAsia="Times New Roman" w:cs="Times New Roman"/>
          <w:szCs w:val="24"/>
          <w:highlight w:val="white"/>
        </w:rPr>
        <w:t>Author</w:t>
      </w:r>
      <w:r>
        <w:rPr>
          <w:rFonts w:eastAsia="Times New Roman" w:cs="Times New Roman"/>
          <w:color w:val="000000"/>
          <w:szCs w:val="24"/>
          <w:highlight w:val="white"/>
        </w:rPr>
        <w:t>)</w:t>
      </w:r>
    </w:p>
    <w:p w14:paraId="03E9BC07" w14:textId="77777777" w:rsidR="00091FA8" w:rsidRPr="00975F23" w:rsidRDefault="00091FA8" w:rsidP="00091FA8">
      <w:pPr>
        <w:pStyle w:val="Heading1"/>
        <w:rPr>
          <w:lang w:val="en-GB"/>
        </w:rPr>
      </w:pPr>
      <w:bookmarkStart w:id="39" w:name="_Toc114240409"/>
      <w:bookmarkStart w:id="40" w:name="_Toc114320848"/>
      <w:bookmarkStart w:id="41" w:name="_Toc114320977"/>
      <w:bookmarkStart w:id="42" w:name="_Toc114323819"/>
      <w:r w:rsidRPr="00975F23">
        <w:rPr>
          <w:shd w:val="clear" w:color="auto" w:fill="FFFFFF"/>
          <w:lang w:val="en-GB"/>
        </w:rPr>
        <w:t>2.2 Concept of private equity investment</w:t>
      </w:r>
      <w:bookmarkEnd w:id="39"/>
      <w:bookmarkEnd w:id="40"/>
      <w:bookmarkEnd w:id="41"/>
      <w:bookmarkEnd w:id="42"/>
      <w:r w:rsidRPr="00975F23">
        <w:rPr>
          <w:shd w:val="clear" w:color="auto" w:fill="FFFFFF"/>
          <w:lang w:val="en-GB"/>
        </w:rPr>
        <w:t xml:space="preserve"> </w:t>
      </w:r>
    </w:p>
    <w:p w14:paraId="38DF0101" w14:textId="77777777" w:rsidR="00091FA8" w:rsidRPr="00975F23" w:rsidRDefault="00091FA8" w:rsidP="00091FA8">
      <w:pPr>
        <w:rPr>
          <w:rFonts w:eastAsia="Times New Roman" w:cs="Times New Roman"/>
          <w:szCs w:val="24"/>
          <w:lang w:val="en-GB"/>
        </w:rPr>
      </w:pPr>
      <w:r w:rsidRPr="00975F23">
        <w:rPr>
          <w:rFonts w:eastAsia="Times New Roman" w:cs="Times New Roman"/>
          <w:szCs w:val="24"/>
          <w:lang w:val="en-GB"/>
        </w:rPr>
        <w:t xml:space="preserve">The investment partnerships that manage and buy companies before selling them can be referred to as private equity. The organisations inside the private equity specifically operate inside the departments of the investment funds. According to the authors </w:t>
      </w:r>
      <w:r w:rsidRPr="00975F23">
        <w:rPr>
          <w:rFonts w:eastAsia="Times New Roman" w:cs="Times New Roman"/>
          <w:szCs w:val="24"/>
          <w:shd w:val="clear" w:color="auto" w:fill="FFFFFF"/>
          <w:lang w:val="en-GB"/>
        </w:rPr>
        <w:t xml:space="preserve">Miyamoto </w:t>
      </w:r>
      <w:r w:rsidRPr="00975F23">
        <w:rPr>
          <w:rFonts w:eastAsia="Times New Roman" w:cs="Times New Roman"/>
          <w:i/>
          <w:iCs/>
          <w:szCs w:val="24"/>
          <w:shd w:val="clear" w:color="auto" w:fill="FFFFFF"/>
          <w:lang w:val="en-GB"/>
        </w:rPr>
        <w:t xml:space="preserve">et al. </w:t>
      </w:r>
      <w:r w:rsidRPr="00975F23">
        <w:rPr>
          <w:rFonts w:eastAsia="Times New Roman" w:cs="Times New Roman"/>
          <w:szCs w:val="24"/>
          <w:shd w:val="clear" w:color="auto" w:fill="FFFFFF"/>
          <w:lang w:val="en-GB"/>
        </w:rPr>
        <w:t>(2022),</w:t>
      </w:r>
      <w:r w:rsidRPr="00975F23">
        <w:rPr>
          <w:rFonts w:eastAsia="Times New Roman" w:cs="Times New Roman"/>
          <w:szCs w:val="24"/>
          <w:lang w:val="en-GB"/>
        </w:rPr>
        <w:t xml:space="preserve"> rather than investing inside the startup industries the private equity organisations mostly tend to invest in the companies which are already matured rather than the startup ones. The portfolios are managed by the companies to increase the worth of a particular organisation. With the help of private equity the invested funds in the companies are specifically utilised for the implementation of technology that can increase the operational efficiency. The accredited investors are also a part of the private equity. </w:t>
      </w:r>
    </w:p>
    <w:p w14:paraId="5E36607F" w14:textId="77777777" w:rsidR="00091FA8" w:rsidRDefault="00091FA8" w:rsidP="00091FA8">
      <w:pPr>
        <w:rPr>
          <w:rFonts w:eastAsia="Times New Roman" w:cs="Times New Roman"/>
          <w:szCs w:val="24"/>
        </w:rPr>
      </w:pPr>
      <w:bookmarkStart w:id="43" w:name="_Toc114240410"/>
      <w:r>
        <w:rPr>
          <w:rFonts w:eastAsia="Times New Roman" w:cs="Times New Roman"/>
          <w:color w:val="FF0000"/>
          <w:szCs w:val="24"/>
        </w:rPr>
        <w:t>The private equity firms specifically provide investors with profit within 4 to 7 years. As observed by Popp</w:t>
      </w:r>
      <w:r>
        <w:rPr>
          <w:rFonts w:eastAsia="Times New Roman" w:cs="Times New Roman"/>
          <w:b/>
          <w:color w:val="FF0000"/>
          <w:szCs w:val="24"/>
        </w:rPr>
        <w:t xml:space="preserve"> </w:t>
      </w:r>
      <w:r>
        <w:rPr>
          <w:rFonts w:eastAsia="Times New Roman" w:cs="Times New Roman"/>
          <w:i/>
          <w:color w:val="FF0000"/>
          <w:szCs w:val="24"/>
        </w:rPr>
        <w:t>et al</w:t>
      </w:r>
      <w:r>
        <w:rPr>
          <w:rFonts w:eastAsia="Times New Roman" w:cs="Times New Roman"/>
          <w:color w:val="FF0000"/>
          <w:szCs w:val="24"/>
        </w:rPr>
        <w:t>. (2018), private equity firms also face many challenges and barriers when a firm shuts down or the workers or the employees are retained. The evaluation takes place for increasing the revenues in most of the cases. The private equity forms also include the investment team that further analyzes the industry of the organisation along with the recent financial performance. The private equity forms also include the investment professionals with which the organisation includes the fetching of an appropriate deal that can help them to increase their revenue.</w:t>
      </w:r>
    </w:p>
    <w:p w14:paraId="6720DFDF" w14:textId="77777777" w:rsidR="00091FA8" w:rsidRPr="00975F23" w:rsidRDefault="00091FA8" w:rsidP="00091FA8">
      <w:pPr>
        <w:pStyle w:val="Heading1"/>
        <w:rPr>
          <w:lang w:val="en-GB"/>
        </w:rPr>
      </w:pPr>
      <w:bookmarkStart w:id="44" w:name="_Toc114320849"/>
      <w:bookmarkStart w:id="45" w:name="_Toc114320978"/>
      <w:bookmarkStart w:id="46" w:name="_Toc114323820"/>
      <w:r w:rsidRPr="00975F23">
        <w:rPr>
          <w:shd w:val="clear" w:color="auto" w:fill="FFFFFF"/>
          <w:lang w:val="en-GB"/>
        </w:rPr>
        <w:t>2.3 Factors affecting private equity investment:</w:t>
      </w:r>
      <w:bookmarkEnd w:id="43"/>
      <w:bookmarkEnd w:id="44"/>
      <w:bookmarkEnd w:id="45"/>
      <w:bookmarkEnd w:id="46"/>
    </w:p>
    <w:p w14:paraId="733951E3" w14:textId="77777777" w:rsidR="00091FA8" w:rsidRPr="00975F23" w:rsidRDefault="00091FA8" w:rsidP="00091FA8">
      <w:pPr>
        <w:rPr>
          <w:rFonts w:eastAsia="Times New Roman" w:cs="Times New Roman"/>
          <w:szCs w:val="24"/>
          <w:lang w:val="en-GB"/>
        </w:rPr>
      </w:pPr>
      <w:r w:rsidRPr="00975F23">
        <w:rPr>
          <w:rFonts w:eastAsia="Times New Roman" w:cs="Times New Roman"/>
          <w:szCs w:val="24"/>
          <w:lang w:val="en-GB"/>
        </w:rPr>
        <w:t>The main purpose of the private equity company is to buy the firms which are at stake and further invest in them so that they can also earn a proper amount of revenue. The direct investments further help the firms to maintain their long term sustainability. </w:t>
      </w:r>
    </w:p>
    <w:p w14:paraId="79077689" w14:textId="77777777" w:rsidR="00091FA8" w:rsidRPr="00975F23" w:rsidRDefault="00091FA8" w:rsidP="00091FA8">
      <w:pPr>
        <w:rPr>
          <w:rFonts w:eastAsia="Times New Roman" w:cs="Times New Roman"/>
          <w:szCs w:val="24"/>
          <w:lang w:val="en-GB"/>
        </w:rPr>
      </w:pPr>
      <w:r w:rsidRPr="00975F23">
        <w:rPr>
          <w:rFonts w:eastAsia="Times New Roman" w:cs="Times New Roman"/>
          <w:szCs w:val="24"/>
          <w:lang w:val="en-GB"/>
        </w:rPr>
        <w:t xml:space="preserve">The growth of revenue is one of the important parts of any business organisation. As stated by the authors </w:t>
      </w:r>
      <w:r w:rsidRPr="00975F23">
        <w:rPr>
          <w:rFonts w:eastAsia="Times New Roman" w:cs="Times New Roman"/>
          <w:szCs w:val="24"/>
          <w:shd w:val="clear" w:color="auto" w:fill="FFFFFF"/>
          <w:lang w:val="en-GB"/>
        </w:rPr>
        <w:t xml:space="preserve">Block </w:t>
      </w:r>
      <w:r w:rsidRPr="00975F23">
        <w:rPr>
          <w:rFonts w:eastAsia="Times New Roman" w:cs="Times New Roman"/>
          <w:i/>
          <w:iCs/>
          <w:szCs w:val="24"/>
          <w:shd w:val="clear" w:color="auto" w:fill="FFFFFF"/>
          <w:lang w:val="en-GB"/>
        </w:rPr>
        <w:t xml:space="preserve">et al. </w:t>
      </w:r>
      <w:r w:rsidRPr="00975F23">
        <w:rPr>
          <w:rFonts w:eastAsia="Times New Roman" w:cs="Times New Roman"/>
          <w:szCs w:val="24"/>
          <w:shd w:val="clear" w:color="auto" w:fill="FFFFFF"/>
          <w:lang w:val="en-GB"/>
        </w:rPr>
        <w:t>(2019),</w:t>
      </w:r>
      <w:r w:rsidRPr="00975F23">
        <w:rPr>
          <w:rFonts w:eastAsia="Times New Roman" w:cs="Times New Roman"/>
          <w:szCs w:val="24"/>
          <w:lang w:val="en-GB"/>
        </w:rPr>
        <w:t xml:space="preserve"> the venture capital funds such as the private equity investments plays much more attention to the revenue growth of the organisations along with analysing their business models.It is not an easy process for a particular startup organisation to invest money for its operations in a high aspect. But the private equity investments help the startup organisations with the infusion of cash that helps a startup business to grow and increase their revenue.</w:t>
      </w:r>
    </w:p>
    <w:p w14:paraId="2E5B5663" w14:textId="77777777" w:rsidR="00091FA8" w:rsidRPr="00975F23" w:rsidRDefault="00091FA8" w:rsidP="00091FA8">
      <w:pPr>
        <w:rPr>
          <w:rFonts w:eastAsia="Times New Roman" w:cs="Times New Roman"/>
          <w:szCs w:val="24"/>
          <w:lang w:val="en-GB"/>
        </w:rPr>
      </w:pPr>
      <w:r w:rsidRPr="00975F23">
        <w:rPr>
          <w:rFonts w:eastAsia="Times New Roman" w:cs="Times New Roman"/>
          <w:szCs w:val="24"/>
          <w:lang w:val="en-GB"/>
        </w:rPr>
        <w:t xml:space="preserve">With a low return it is easy to fetch the bench mark of the private equity return. The public investors portfolio is diversified internationally as per the author </w:t>
      </w:r>
      <w:r w:rsidRPr="00975F23">
        <w:rPr>
          <w:rFonts w:eastAsia="Times New Roman" w:cs="Times New Roman"/>
          <w:szCs w:val="24"/>
          <w:shd w:val="clear" w:color="auto" w:fill="FFFFFF"/>
          <w:lang w:val="en-GB"/>
        </w:rPr>
        <w:t>Phalippou, (2020).</w:t>
      </w:r>
      <w:r w:rsidRPr="00975F23">
        <w:rPr>
          <w:rFonts w:eastAsia="Times New Roman" w:cs="Times New Roman"/>
          <w:szCs w:val="24"/>
          <w:lang w:val="en-GB"/>
        </w:rPr>
        <w:t xml:space="preserve"> The private market does not impact the private equity valuations. The firms which receive their investment through the private equity firms do not requirews to visit a bank or go through any process of banking that allows the high risk loans for them to support them financially.The venture capital firms that invests in the straup organisations specifically invented during the initial stages of development of the company. This further allows the startup organisations to keep their focus on the development of the appropriate strategies that can also help to maintain their sustainable growth.</w:t>
      </w:r>
    </w:p>
    <w:p w14:paraId="010DEE1C" w14:textId="77777777" w:rsidR="00091FA8" w:rsidRPr="00975F23" w:rsidRDefault="00091FA8" w:rsidP="00091FA8">
      <w:pPr>
        <w:rPr>
          <w:rFonts w:eastAsia="Times New Roman" w:cs="Times New Roman"/>
          <w:szCs w:val="24"/>
          <w:lang w:val="en-GB"/>
        </w:rPr>
      </w:pPr>
      <w:r w:rsidRPr="00975F23">
        <w:rPr>
          <w:rFonts w:eastAsia="Times New Roman" w:cs="Times New Roman"/>
          <w:b/>
          <w:bCs/>
          <w:i/>
          <w:iCs/>
          <w:szCs w:val="24"/>
          <w:lang w:val="en-GB"/>
        </w:rPr>
        <w:t>Some of the other factors that impact the private equity investment are as follows:</w:t>
      </w:r>
    </w:p>
    <w:p w14:paraId="0E7448FE" w14:textId="77777777" w:rsidR="00091FA8" w:rsidRPr="00975F23" w:rsidRDefault="00091FA8" w:rsidP="00091FA8">
      <w:pPr>
        <w:rPr>
          <w:rFonts w:eastAsia="Times New Roman" w:cs="Times New Roman"/>
          <w:szCs w:val="24"/>
          <w:lang w:val="en-GB"/>
        </w:rPr>
      </w:pPr>
      <w:r w:rsidRPr="00975F23">
        <w:rPr>
          <w:rFonts w:eastAsia="Times New Roman" w:cs="Times New Roman"/>
          <w:b/>
          <w:bCs/>
          <w:i/>
          <w:iCs/>
          <w:szCs w:val="24"/>
          <w:lang w:val="en-GB"/>
        </w:rPr>
        <w:t>Co</w:t>
      </w:r>
      <w:r>
        <w:rPr>
          <w:rFonts w:eastAsia="Times New Roman" w:cs="Times New Roman"/>
          <w:b/>
          <w:bCs/>
          <w:i/>
          <w:iCs/>
          <w:szCs w:val="24"/>
          <w:lang w:val="en-GB"/>
        </w:rPr>
        <w:t>mpetitiveness inside the market</w:t>
      </w:r>
      <w:r w:rsidRPr="00975F23">
        <w:rPr>
          <w:rFonts w:eastAsia="Times New Roman" w:cs="Times New Roman"/>
          <w:b/>
          <w:bCs/>
          <w:i/>
          <w:iCs/>
          <w:szCs w:val="24"/>
          <w:lang w:val="en-GB"/>
        </w:rPr>
        <w:t>:</w:t>
      </w:r>
      <w:r w:rsidRPr="00975F23">
        <w:rPr>
          <w:rFonts w:eastAsia="Times New Roman" w:cs="Times New Roman"/>
          <w:szCs w:val="24"/>
          <w:lang w:val="en-GB"/>
        </w:rPr>
        <w:t xml:space="preserve"> The competition inside the market has a major impact on the business firms that creates challenges for an individual company to achieve their sustainable growth as per the authors </w:t>
      </w:r>
      <w:r w:rsidRPr="00975F23">
        <w:rPr>
          <w:rFonts w:eastAsia="Times New Roman" w:cs="Times New Roman"/>
          <w:szCs w:val="24"/>
          <w:shd w:val="clear" w:color="auto" w:fill="FFFFFF"/>
          <w:lang w:val="en-GB"/>
        </w:rPr>
        <w:t xml:space="preserve">Lotfi </w:t>
      </w:r>
      <w:r w:rsidRPr="00975F23">
        <w:rPr>
          <w:rFonts w:eastAsia="Times New Roman" w:cs="Times New Roman"/>
          <w:i/>
          <w:iCs/>
          <w:szCs w:val="24"/>
          <w:shd w:val="clear" w:color="auto" w:fill="FFFFFF"/>
          <w:lang w:val="en-GB"/>
        </w:rPr>
        <w:t>et al</w:t>
      </w:r>
      <w:r w:rsidRPr="00975F23">
        <w:rPr>
          <w:rFonts w:eastAsia="Times New Roman" w:cs="Times New Roman"/>
          <w:szCs w:val="24"/>
          <w:shd w:val="clear" w:color="auto" w:fill="FFFFFF"/>
          <w:lang w:val="en-GB"/>
        </w:rPr>
        <w:t>. (2018)</w:t>
      </w:r>
      <w:r>
        <w:rPr>
          <w:rFonts w:eastAsia="Times New Roman" w:cs="Times New Roman"/>
          <w:szCs w:val="24"/>
          <w:lang w:val="en-GB"/>
        </w:rPr>
        <w:t>,</w:t>
      </w:r>
      <w:r w:rsidRPr="00975F23">
        <w:rPr>
          <w:rFonts w:eastAsia="Times New Roman" w:cs="Times New Roman"/>
          <w:szCs w:val="24"/>
          <w:lang w:val="en-GB"/>
        </w:rPr>
        <w:t xml:space="preserve"> highly competitive market that offers a large number of products the same as the other companies are offering inside the same market creates huge barriers for the startup organisations to maintain a sustainable growth. Hence the private equity firms must hold back from investing in the firms that operate inside a highly operative market.</w:t>
      </w:r>
    </w:p>
    <w:p w14:paraId="1E21012F" w14:textId="77777777" w:rsidR="00091FA8" w:rsidRPr="00975F23" w:rsidRDefault="00091FA8" w:rsidP="00091FA8">
      <w:pPr>
        <w:rPr>
          <w:rFonts w:eastAsia="Times New Roman" w:cs="Times New Roman"/>
          <w:szCs w:val="24"/>
          <w:lang w:val="en-GB"/>
        </w:rPr>
      </w:pPr>
      <w:r>
        <w:rPr>
          <w:rFonts w:eastAsia="Times New Roman" w:cs="Times New Roman"/>
          <w:b/>
          <w:bCs/>
          <w:i/>
          <w:iCs/>
          <w:szCs w:val="24"/>
          <w:lang w:val="en-GB"/>
        </w:rPr>
        <w:t>Potential of growth</w:t>
      </w:r>
      <w:r w:rsidRPr="00975F23">
        <w:rPr>
          <w:rFonts w:eastAsia="Times New Roman" w:cs="Times New Roman"/>
          <w:b/>
          <w:bCs/>
          <w:i/>
          <w:iCs/>
          <w:szCs w:val="24"/>
          <w:lang w:val="en-GB"/>
        </w:rPr>
        <w:t xml:space="preserve">: </w:t>
      </w:r>
      <w:r w:rsidRPr="00975F23">
        <w:rPr>
          <w:rFonts w:eastAsia="Times New Roman" w:cs="Times New Roman"/>
          <w:szCs w:val="24"/>
          <w:lang w:val="en-GB"/>
        </w:rPr>
        <w:t>For determining the investment of a target company the potential growth of a company becomes one of the important factors. The private equity firms tend to invest in those organisations which carry a strong customer base which can be explored inside the target market as per the authors (</w:t>
      </w:r>
      <w:r w:rsidRPr="00975F23">
        <w:rPr>
          <w:rFonts w:eastAsia="Times New Roman" w:cs="Times New Roman"/>
          <w:szCs w:val="24"/>
          <w:shd w:val="clear" w:color="auto" w:fill="FFFFFF"/>
          <w:lang w:val="en-GB"/>
        </w:rPr>
        <w:t>Hegeman and Sørheim, 2021)</w:t>
      </w:r>
      <w:r w:rsidRPr="00975F23">
        <w:rPr>
          <w:rFonts w:eastAsia="Times New Roman" w:cs="Times New Roman"/>
          <w:szCs w:val="24"/>
          <w:lang w:val="en-GB"/>
        </w:rPr>
        <w:t>. They also tend to invest in those firms which have a flexible capability that allows them to expand smoothly in new sectors. The industries are valued by the private equity firms or investors which have a huge capability in expanding inside a competitive market as well as where they can include both organisational and financial activities.</w:t>
      </w:r>
    </w:p>
    <w:p w14:paraId="73371CEF" w14:textId="77777777" w:rsidR="00091FA8" w:rsidRPr="00975F23" w:rsidRDefault="00091FA8" w:rsidP="00091FA8">
      <w:pPr>
        <w:rPr>
          <w:rFonts w:eastAsia="Times New Roman" w:cs="Times New Roman"/>
          <w:szCs w:val="24"/>
          <w:lang w:val="en-GB"/>
        </w:rPr>
      </w:pPr>
      <w:r>
        <w:rPr>
          <w:rFonts w:eastAsia="Times New Roman" w:cs="Times New Roman"/>
          <w:b/>
          <w:bCs/>
          <w:i/>
          <w:iCs/>
          <w:szCs w:val="24"/>
          <w:lang w:val="en-GB"/>
        </w:rPr>
        <w:t>Potential of value creation</w:t>
      </w:r>
      <w:r w:rsidRPr="00975F23">
        <w:rPr>
          <w:rFonts w:eastAsia="Times New Roman" w:cs="Times New Roman"/>
          <w:b/>
          <w:bCs/>
          <w:i/>
          <w:iCs/>
          <w:szCs w:val="24"/>
          <w:lang w:val="en-GB"/>
        </w:rPr>
        <w:t xml:space="preserve">: </w:t>
      </w:r>
      <w:r w:rsidRPr="00975F23">
        <w:rPr>
          <w:rFonts w:eastAsia="Times New Roman" w:cs="Times New Roman"/>
          <w:szCs w:val="24"/>
          <w:lang w:val="en-GB"/>
        </w:rPr>
        <w:t xml:space="preserve">The private equity firms also invest in the markets that carry the potential of value creation. Some of the factors of the potential value creation include the price controlling capacity, diverse customer base , operational efficiency and cutting of the cost or selling of the assets that are unused as observed by </w:t>
      </w:r>
      <w:r w:rsidRPr="00975F23">
        <w:rPr>
          <w:rFonts w:eastAsia="Times New Roman" w:cs="Times New Roman"/>
          <w:szCs w:val="24"/>
          <w:shd w:val="clear" w:color="auto" w:fill="FFFFFF"/>
          <w:lang w:val="en-GB"/>
        </w:rPr>
        <w:t>Rounaghi</w:t>
      </w:r>
      <w:r w:rsidRPr="00975F23">
        <w:rPr>
          <w:rFonts w:eastAsia="Times New Roman" w:cs="Times New Roman"/>
          <w:i/>
          <w:iCs/>
          <w:szCs w:val="24"/>
          <w:shd w:val="clear" w:color="auto" w:fill="FFFFFF"/>
          <w:lang w:val="en-GB"/>
        </w:rPr>
        <w:t xml:space="preserve"> et al</w:t>
      </w:r>
      <w:r w:rsidRPr="00975F23">
        <w:rPr>
          <w:rFonts w:eastAsia="Times New Roman" w:cs="Times New Roman"/>
          <w:szCs w:val="24"/>
          <w:shd w:val="clear" w:color="auto" w:fill="FFFFFF"/>
          <w:lang w:val="en-GB"/>
        </w:rPr>
        <w:t>. (2021)</w:t>
      </w:r>
      <w:r w:rsidRPr="00975F23">
        <w:rPr>
          <w:rFonts w:eastAsia="Times New Roman" w:cs="Times New Roman"/>
          <w:szCs w:val="24"/>
          <w:lang w:val="en-GB"/>
        </w:rPr>
        <w:t>. The private equity firms keep their target to invest in those firms that have the ability to extend their other sources of revenue that can further retain the potential factors.</w:t>
      </w:r>
    </w:p>
    <w:p w14:paraId="245DEF81" w14:textId="77777777" w:rsidR="00091FA8" w:rsidRDefault="00091FA8" w:rsidP="00091FA8">
      <w:pPr>
        <w:rPr>
          <w:rFonts w:eastAsia="Times New Roman" w:cs="Times New Roman"/>
          <w:b/>
          <w:bCs/>
          <w:i/>
          <w:iCs/>
          <w:szCs w:val="24"/>
          <w:lang w:val="en-GB"/>
        </w:rPr>
      </w:pPr>
      <w:r w:rsidRPr="00975F23">
        <w:rPr>
          <w:rFonts w:eastAsia="Times New Roman" w:cs="Times New Roman"/>
          <w:b/>
          <w:bCs/>
          <w:i/>
          <w:iCs/>
          <w:szCs w:val="24"/>
          <w:lang w:val="en-GB"/>
        </w:rPr>
        <w:t xml:space="preserve">Latest trends inside the industry: </w:t>
      </w:r>
    </w:p>
    <w:p w14:paraId="42B9EEAC" w14:textId="77777777" w:rsidR="00091FA8" w:rsidRPr="00975F23" w:rsidRDefault="00091FA8" w:rsidP="00091FA8">
      <w:pPr>
        <w:rPr>
          <w:rFonts w:eastAsia="Times New Roman" w:cs="Times New Roman"/>
          <w:szCs w:val="24"/>
          <w:lang w:val="en-GB"/>
        </w:rPr>
      </w:pPr>
      <w:r>
        <w:rPr>
          <w:rFonts w:eastAsia="Times New Roman" w:cs="Times New Roman"/>
          <w:color w:val="FF0000"/>
          <w:szCs w:val="24"/>
          <w:highlight w:val="white"/>
        </w:rPr>
        <w:t>The private equity firms have included many categories of investment and the strategies for raising the funds. One of the important strategies of the private equity firms is to buy out the borrowed funds that can further destructs at the companies and provide the profi</w:t>
      </w:r>
      <w:sdt>
        <w:sdtPr>
          <w:tag w:val="goog_rdk_0"/>
          <w:id w:val="18010674"/>
        </w:sdtPr>
        <w:sdtEndPr/>
        <w:sdtContent/>
      </w:sdt>
      <w:r>
        <w:rPr>
          <w:rFonts w:eastAsia="Times New Roman" w:cs="Times New Roman"/>
          <w:color w:val="FF0000"/>
          <w:szCs w:val="24"/>
          <w:highlight w:val="white"/>
        </w:rPr>
        <w:t>ts. There are many private equity organisations that have been borrowing the funds from the private credits which are a much easier process that has been providing advantages much more than what they had been receiving from a particular bank (Chen and Sivakumar, 2021) . The private equity credit funding that is included inside the transaction of the private equity forms is considered to be rising its intensity in the near future.</w:t>
      </w:r>
      <w:r>
        <w:rPr>
          <w:rFonts w:eastAsia="Times New Roman" w:cs="Times New Roman"/>
          <w:color w:val="FF0000"/>
          <w:szCs w:val="24"/>
        </w:rPr>
        <w:t xml:space="preserve"> </w:t>
      </w:r>
      <w:r w:rsidRPr="00975F23">
        <w:rPr>
          <w:rFonts w:eastAsia="Times New Roman" w:cs="Times New Roman"/>
          <w:szCs w:val="24"/>
          <w:lang w:val="en-GB"/>
        </w:rPr>
        <w:t>The potential growth and the recent trends inside the industry have a significant impact on the analysis of a particular company. If a particular organisation is seen to implement their innovative strategies for their growth inside the market then they are most likely to fall inside the perspective of the private equity firms.</w:t>
      </w:r>
    </w:p>
    <w:p w14:paraId="720608E9" w14:textId="77777777" w:rsidR="00091FA8" w:rsidRPr="00975F23" w:rsidRDefault="00091FA8" w:rsidP="00091FA8">
      <w:pPr>
        <w:pStyle w:val="Heading1"/>
        <w:rPr>
          <w:lang w:val="en-GB"/>
        </w:rPr>
      </w:pPr>
      <w:bookmarkStart w:id="47" w:name="_Toc114240411"/>
      <w:bookmarkStart w:id="48" w:name="_Toc114320850"/>
      <w:bookmarkStart w:id="49" w:name="_Toc114320979"/>
      <w:bookmarkStart w:id="50" w:name="_Toc114323821"/>
      <w:r w:rsidRPr="00975F23">
        <w:rPr>
          <w:shd w:val="clear" w:color="auto" w:fill="FFFFFF"/>
          <w:lang w:val="en-GB"/>
        </w:rPr>
        <w:t>2.4 Common issues faced by private equity investors after BREXIT at EU</w:t>
      </w:r>
      <w:bookmarkEnd w:id="47"/>
      <w:bookmarkEnd w:id="48"/>
      <w:bookmarkEnd w:id="49"/>
      <w:bookmarkEnd w:id="50"/>
      <w:r w:rsidRPr="00975F23">
        <w:rPr>
          <w:shd w:val="clear" w:color="auto" w:fill="FFFFFF"/>
          <w:lang w:val="en-GB"/>
        </w:rPr>
        <w:t xml:space="preserve"> </w:t>
      </w:r>
    </w:p>
    <w:p w14:paraId="6C90B6F9" w14:textId="77777777" w:rsidR="00091FA8" w:rsidRDefault="00091FA8" w:rsidP="00091FA8">
      <w:pPr>
        <w:rPr>
          <w:rFonts w:eastAsia="Times New Roman" w:cs="Times New Roman"/>
          <w:b/>
          <w:bCs/>
          <w:i/>
          <w:iCs/>
          <w:szCs w:val="24"/>
          <w:lang w:val="en-GB"/>
        </w:rPr>
      </w:pPr>
      <w:r w:rsidRPr="00975F23">
        <w:rPr>
          <w:rFonts w:eastAsia="Times New Roman" w:cs="Times New Roman"/>
          <w:b/>
          <w:bCs/>
          <w:i/>
          <w:iCs/>
          <w:szCs w:val="24"/>
          <w:lang w:val="en-GB"/>
        </w:rPr>
        <w:t>Requires an upfront funding</w:t>
      </w:r>
    </w:p>
    <w:p w14:paraId="06C850B1" w14:textId="77777777" w:rsidR="00091FA8" w:rsidRPr="008F0382" w:rsidRDefault="00091FA8" w:rsidP="00091FA8">
      <w:pPr>
        <w:rPr>
          <w:rFonts w:eastAsia="Times New Roman" w:cs="Times New Roman"/>
          <w:b/>
          <w:i/>
          <w:szCs w:val="24"/>
        </w:rPr>
      </w:pPr>
      <w:r>
        <w:rPr>
          <w:rFonts w:eastAsia="Times New Roman" w:cs="Times New Roman"/>
          <w:color w:val="FF0000"/>
          <w:szCs w:val="24"/>
          <w:highlight w:val="white"/>
        </w:rPr>
        <w:t>The private equity investments of includes the institutional investors and wealthy entrepreneurs in which the funding becomes funding for a high risk venture. The money often goes to the new organisations that can include the significant growth along with the possibilities of entering inside the industries such as software, healthcare, biotechnology and telecommunications. The companies are provided value that can help them to fetch much more success. At times organisations can implement a team of new management that can have them cut their costs or remove the operational parts that are underperforming. There must be a minimum requirement of investment who are willing to commit a minimum amount of funding. The fund specifically holds or includes the share of the private partnerships or collaborative relationship between the stakeholders that invest in the private equity.</w:t>
      </w:r>
    </w:p>
    <w:p w14:paraId="4DCC4EDF" w14:textId="77777777" w:rsidR="00091FA8" w:rsidRPr="00975F23" w:rsidRDefault="00091FA8" w:rsidP="00091FA8">
      <w:pPr>
        <w:rPr>
          <w:rFonts w:eastAsia="Times New Roman" w:cs="Times New Roman"/>
          <w:szCs w:val="24"/>
          <w:lang w:val="en-GB"/>
        </w:rPr>
      </w:pPr>
      <w:r w:rsidRPr="00975F23">
        <w:rPr>
          <w:rFonts w:eastAsia="Times New Roman" w:cs="Times New Roman"/>
          <w:szCs w:val="24"/>
          <w:lang w:val="en-GB"/>
        </w:rPr>
        <w:t xml:space="preserve">The private organisations also play a major part in the creation of social values. The investors who are socially motivated try to work with other stakeholders with a collaborative relation for creating a much more social value. However the investors are impacted, which impacts the output of the organisations while making the private transactions in the market by further accepting the financial returns that are much lower that the returns expected by the investors who are neutral socially as per the authors </w:t>
      </w:r>
      <w:r w:rsidRPr="00975F23">
        <w:rPr>
          <w:rFonts w:eastAsia="Times New Roman" w:cs="Times New Roman"/>
          <w:szCs w:val="24"/>
          <w:shd w:val="clear" w:color="auto" w:fill="FFFFFF"/>
          <w:lang w:val="en-GB"/>
        </w:rPr>
        <w:t xml:space="preserve">Brest </w:t>
      </w:r>
      <w:r w:rsidRPr="00975F23">
        <w:rPr>
          <w:rFonts w:eastAsia="Times New Roman" w:cs="Times New Roman"/>
          <w:i/>
          <w:iCs/>
          <w:szCs w:val="24"/>
          <w:shd w:val="clear" w:color="auto" w:fill="FFFFFF"/>
          <w:lang w:val="en-GB"/>
        </w:rPr>
        <w:t xml:space="preserve">et al. </w:t>
      </w:r>
      <w:r w:rsidRPr="00975F23">
        <w:rPr>
          <w:rFonts w:eastAsia="Times New Roman" w:cs="Times New Roman"/>
          <w:szCs w:val="24"/>
          <w:shd w:val="clear" w:color="auto" w:fill="FFFFFF"/>
          <w:lang w:val="en-GB"/>
        </w:rPr>
        <w:t>(2021)</w:t>
      </w:r>
      <w:r w:rsidRPr="00975F23">
        <w:rPr>
          <w:rFonts w:eastAsia="Times New Roman" w:cs="Times New Roman"/>
          <w:szCs w:val="24"/>
          <w:lang w:val="en-GB"/>
        </w:rPr>
        <w:t>. A substantial amount of capital is required for investment by the investor in the private equity firms. It can be a costly aspect for the investors for the return of the profit.</w:t>
      </w:r>
    </w:p>
    <w:p w14:paraId="31FAA02C" w14:textId="77777777" w:rsidR="00091FA8" w:rsidRDefault="00091FA8" w:rsidP="00091FA8">
      <w:pPr>
        <w:rPr>
          <w:rFonts w:eastAsia="Times New Roman" w:cs="Times New Roman"/>
          <w:b/>
          <w:i/>
          <w:color w:val="FF0000"/>
          <w:szCs w:val="24"/>
        </w:rPr>
      </w:pPr>
      <w:r>
        <w:rPr>
          <w:rFonts w:eastAsia="Times New Roman" w:cs="Times New Roman"/>
          <w:b/>
          <w:i/>
          <w:color w:val="FF0000"/>
          <w:szCs w:val="24"/>
        </w:rPr>
        <w:t>Long process of funding</w:t>
      </w:r>
    </w:p>
    <w:p w14:paraId="76DF85AF" w14:textId="77777777" w:rsidR="00091FA8" w:rsidRDefault="00091FA8" w:rsidP="00091FA8">
      <w:pPr>
        <w:rPr>
          <w:rFonts w:eastAsia="Times New Roman" w:cs="Times New Roman"/>
          <w:color w:val="FF0000"/>
          <w:szCs w:val="24"/>
          <w:highlight w:val="white"/>
        </w:rPr>
      </w:pPr>
      <w:r>
        <w:rPr>
          <w:rFonts w:eastAsia="Times New Roman" w:cs="Times New Roman"/>
          <w:color w:val="FF0000"/>
          <w:szCs w:val="24"/>
          <w:highlight w:val="white"/>
        </w:rPr>
        <w:t xml:space="preserve">An investor can hold the minority interest for an organisation that they have interest in. This further includes 2 more levels: the first one includes the minority passive control and the second one includes the minority active control. The privately owned equipment investors specifically include four types of funding (Jouffray </w:t>
      </w:r>
      <w:r>
        <w:rPr>
          <w:rFonts w:eastAsia="Times New Roman" w:cs="Times New Roman"/>
          <w:i/>
          <w:color w:val="FF0000"/>
          <w:szCs w:val="24"/>
          <w:highlight w:val="white"/>
        </w:rPr>
        <w:t xml:space="preserve">et al. </w:t>
      </w:r>
      <w:r>
        <w:rPr>
          <w:rFonts w:eastAsia="Times New Roman" w:cs="Times New Roman"/>
          <w:color w:val="FF0000"/>
          <w:szCs w:val="24"/>
          <w:highlight w:val="white"/>
        </w:rPr>
        <w:t>2019). The four types of funding specifically includes distressed funding, leveraged equity, real estate private equity and funds of funds. The leveraged buyouts are one of the most common and popular forms of private equity funding in which there is the combination alignment of equity and debt for financing the transaction. The real estate private equity specifically includes higher capital for investment as compared to the other categories of funding in private equity. The funds of funds specifically focus on investments in other funds specifically the mutual funds or the hedge funds.</w:t>
      </w:r>
    </w:p>
    <w:p w14:paraId="78187246" w14:textId="77777777" w:rsidR="00091FA8" w:rsidRPr="00975F23" w:rsidRDefault="00091FA8" w:rsidP="00091FA8">
      <w:pPr>
        <w:rPr>
          <w:rFonts w:eastAsia="Times New Roman" w:cs="Times New Roman"/>
          <w:szCs w:val="24"/>
          <w:lang w:val="en-GB"/>
        </w:rPr>
      </w:pPr>
      <w:r w:rsidRPr="00975F23">
        <w:rPr>
          <w:rFonts w:eastAsia="Times New Roman" w:cs="Times New Roman"/>
          <w:szCs w:val="24"/>
          <w:lang w:val="en-GB"/>
        </w:rPr>
        <w:t xml:space="preserve">The companies are increasingly trying to gain the long term value creation inside the changes taking place in the sustainable economy.  But the investors of the private equity firms are facing barriers while trying to invest in the firms that can help them to perform the social operations of finances. The national and global economy further faces threat due to the unprecedented erosion of the national capital. The long term creation of value has been one of the core factors that allows the private investors to invest for the startup firms or the firms that are already existing inside the current business market as per the authors </w:t>
      </w:r>
      <w:r w:rsidRPr="00975F23">
        <w:rPr>
          <w:rFonts w:eastAsia="Times New Roman" w:cs="Times New Roman"/>
          <w:szCs w:val="24"/>
          <w:shd w:val="clear" w:color="auto" w:fill="FFFFFF"/>
          <w:lang w:val="en-GB"/>
        </w:rPr>
        <w:t>Schoenmaker and Schramade,  (2019)</w:t>
      </w:r>
      <w:r w:rsidRPr="00975F23">
        <w:rPr>
          <w:rFonts w:eastAsia="Times New Roman" w:cs="Times New Roman"/>
          <w:szCs w:val="24"/>
          <w:lang w:val="en-GB"/>
        </w:rPr>
        <w:t xml:space="preserve"> . Further for the extra financial growth the private equity investors are trying to invest for those organisations who can convince them for the process and purpose of investment.</w:t>
      </w:r>
    </w:p>
    <w:p w14:paraId="5CE4D041" w14:textId="77777777" w:rsidR="00091FA8" w:rsidRPr="00975F23" w:rsidRDefault="00091FA8" w:rsidP="00091FA8">
      <w:pPr>
        <w:rPr>
          <w:rFonts w:eastAsia="Times New Roman" w:cs="Times New Roman"/>
          <w:szCs w:val="24"/>
          <w:lang w:val="en-GB"/>
        </w:rPr>
      </w:pPr>
      <w:r w:rsidRPr="00975F23">
        <w:rPr>
          <w:rFonts w:eastAsia="Times New Roman" w:cs="Times New Roman"/>
          <w:szCs w:val="24"/>
          <w:lang w:val="en-GB"/>
        </w:rPr>
        <w:t>For getting along with the same radar with the private equity firms it may take a long period of time for the investors. The companies that are established along with the startup firms are responsible for convincing the investors regarding investing the money for the business. This requires months of deliberations and negotiations.For the next stages of development in the process of investing, the private investors are also required to ana;lyse the reason for investing their funds. For this purpose the lenders want to analyse more regarding the past conducted performance that includes the history of the cash flows. This also makes the process of investments much time consuming and lengthy.</w:t>
      </w:r>
    </w:p>
    <w:p w14:paraId="51162BF3" w14:textId="77777777" w:rsidR="00091FA8" w:rsidRPr="00975F23" w:rsidRDefault="00091FA8" w:rsidP="00091FA8">
      <w:pPr>
        <w:rPr>
          <w:rFonts w:eastAsia="Times New Roman" w:cs="Times New Roman"/>
          <w:szCs w:val="24"/>
          <w:lang w:val="en-GB"/>
        </w:rPr>
      </w:pPr>
    </w:p>
    <w:p w14:paraId="5AA0D70D" w14:textId="77777777" w:rsidR="00091FA8" w:rsidRPr="00975F23" w:rsidRDefault="00091FA8" w:rsidP="00091FA8">
      <w:pPr>
        <w:rPr>
          <w:rFonts w:eastAsia="Times New Roman" w:cs="Times New Roman"/>
          <w:szCs w:val="24"/>
          <w:lang w:val="en-GB"/>
        </w:rPr>
      </w:pPr>
      <w:r w:rsidRPr="00975F23">
        <w:rPr>
          <w:rFonts w:eastAsia="Times New Roman" w:cs="Times New Roman"/>
          <w:b/>
          <w:bCs/>
          <w:i/>
          <w:iCs/>
          <w:szCs w:val="24"/>
          <w:lang w:val="en-GB"/>
        </w:rPr>
        <w:t>Less control is given to the investors:</w:t>
      </w:r>
    </w:p>
    <w:p w14:paraId="6766FC64" w14:textId="77777777" w:rsidR="00091FA8" w:rsidRPr="00975F23" w:rsidRDefault="00091FA8" w:rsidP="00091FA8">
      <w:pPr>
        <w:rPr>
          <w:rFonts w:eastAsia="Times New Roman" w:cs="Times New Roman"/>
          <w:szCs w:val="24"/>
          <w:lang w:val="en-GB"/>
        </w:rPr>
      </w:pPr>
      <w:r w:rsidRPr="00975F23">
        <w:rPr>
          <w:rFonts w:eastAsia="Times New Roman" w:cs="Times New Roman"/>
          <w:szCs w:val="24"/>
          <w:shd w:val="clear" w:color="auto" w:fill="FFFFFF"/>
          <w:lang w:val="en-GB"/>
        </w:rPr>
        <w:t> When there is an alignment of the capital with the business the private equity investors are able to take the appropriate decisions regarding the structure, formation , operations or the management of the business. For their own built or established organisations private equity can face difficulties in handling the shares or the capital.</w:t>
      </w:r>
    </w:p>
    <w:p w14:paraId="74ED6D07" w14:textId="77777777" w:rsidR="00091FA8" w:rsidRPr="00975F23" w:rsidRDefault="00091FA8" w:rsidP="00091FA8">
      <w:pPr>
        <w:rPr>
          <w:rFonts w:eastAsia="Times New Roman" w:cs="Times New Roman"/>
          <w:szCs w:val="24"/>
          <w:lang w:val="en-GB"/>
        </w:rPr>
      </w:pPr>
      <w:r w:rsidRPr="00975F23">
        <w:rPr>
          <w:rFonts w:eastAsia="Times New Roman" w:cs="Times New Roman"/>
          <w:szCs w:val="24"/>
          <w:lang w:val="en-GB"/>
        </w:rPr>
        <w:t xml:space="preserve">The funds of the private equity investors are specifically regulated by a substantial contract. The limited partnerships that include the contractual flexibility enter into the alliances to enter inside the schemes for reducing the costs of the agencies as observed by </w:t>
      </w:r>
      <w:r w:rsidRPr="00975F23">
        <w:rPr>
          <w:rFonts w:eastAsia="Times New Roman" w:cs="Times New Roman"/>
          <w:szCs w:val="24"/>
          <w:shd w:val="clear" w:color="auto" w:fill="FFFFFF"/>
          <w:lang w:val="en-GB"/>
        </w:rPr>
        <w:t>Anaya and Pollitt, (2021)</w:t>
      </w:r>
      <w:r w:rsidRPr="00975F23">
        <w:rPr>
          <w:rFonts w:eastAsia="Times New Roman" w:cs="Times New Roman"/>
          <w:szCs w:val="24"/>
          <w:lang w:val="en-GB"/>
        </w:rPr>
        <w:t>.There is a presence of a wide range of challenges with the governance aspect for which it has created further challenges for many of the private equity investors in Brexit. These specifically included the potential high investing along with over leveraged transactions. This high investing that results in the potential barriers also includes the fixing of the prices and the insider tradings. When the risks are analysed to be much more critical then the private investors must include the intervention of the governance. But there is still a presence of less information regarding the strategies and along with its impact.</w:t>
      </w:r>
    </w:p>
    <w:p w14:paraId="537CAA8A" w14:textId="77777777" w:rsidR="00091FA8" w:rsidRPr="00975F23" w:rsidRDefault="00091FA8" w:rsidP="00091FA8">
      <w:pPr>
        <w:rPr>
          <w:rFonts w:eastAsia="Times New Roman" w:cs="Times New Roman"/>
          <w:szCs w:val="24"/>
          <w:lang w:val="en-GB"/>
        </w:rPr>
      </w:pPr>
      <w:r w:rsidRPr="00975F23">
        <w:rPr>
          <w:rFonts w:eastAsia="Times New Roman" w:cs="Times New Roman"/>
          <w:b/>
          <w:bCs/>
          <w:i/>
          <w:iCs/>
          <w:szCs w:val="24"/>
          <w:lang w:val="en-GB"/>
        </w:rPr>
        <w:t>Decisions taken by the investors of the private equity firms: </w:t>
      </w:r>
    </w:p>
    <w:p w14:paraId="70A759DB" w14:textId="77777777" w:rsidR="00091FA8" w:rsidRPr="00975F23" w:rsidRDefault="00091FA8" w:rsidP="00091FA8">
      <w:pPr>
        <w:rPr>
          <w:rFonts w:eastAsia="Times New Roman" w:cs="Times New Roman"/>
          <w:szCs w:val="24"/>
          <w:lang w:val="en-GB"/>
        </w:rPr>
      </w:pPr>
      <w:r w:rsidRPr="00975F23">
        <w:rPr>
          <w:rFonts w:eastAsia="Times New Roman" w:cs="Times New Roman"/>
          <w:szCs w:val="24"/>
          <w:lang w:val="en-GB"/>
        </w:rPr>
        <w:t xml:space="preserve">From outside  of the business the investors must take the appropriate decisions that can help them further to implement the appropriate strategies to maintain the grounds of sustainability as stated by </w:t>
      </w:r>
      <w:r w:rsidRPr="00975F23">
        <w:rPr>
          <w:rFonts w:eastAsia="Times New Roman" w:cs="Times New Roman"/>
          <w:szCs w:val="24"/>
          <w:shd w:val="clear" w:color="auto" w:fill="FFFFFF"/>
          <w:lang w:val="en-GB"/>
        </w:rPr>
        <w:t>Anh and Tien, (2021)</w:t>
      </w:r>
      <w:r w:rsidRPr="00975F23">
        <w:rPr>
          <w:rFonts w:eastAsia="Times New Roman" w:cs="Times New Roman"/>
          <w:szCs w:val="24"/>
          <w:lang w:val="en-GB"/>
        </w:rPr>
        <w:t>. But the investors must be cautious regarding making the investment to those businesses that are outside the focused industry. This can include someone in the business context with a mismatch view along with insufficient experience. If the business includes a concept which is unique then the investors are also recommended to conduct a research from beforehand before the process of investing can take place. If after the conducted research there is a market gap that has been found out then the investors of the private equity firms must analyse the current gap in the market before investing in any new businesses.</w:t>
      </w:r>
    </w:p>
    <w:p w14:paraId="5F2F0BB6" w14:textId="77777777" w:rsidR="00091FA8" w:rsidRPr="00975F23" w:rsidRDefault="00091FA8" w:rsidP="00091FA8">
      <w:pPr>
        <w:pStyle w:val="Heading1"/>
        <w:rPr>
          <w:lang w:val="en-GB"/>
        </w:rPr>
      </w:pPr>
      <w:bookmarkStart w:id="51" w:name="_Toc114240412"/>
      <w:bookmarkStart w:id="52" w:name="_Toc114320851"/>
      <w:bookmarkStart w:id="53" w:name="_Toc114320980"/>
      <w:bookmarkStart w:id="54" w:name="_Toc114323822"/>
      <w:r w:rsidRPr="00975F23">
        <w:rPr>
          <w:shd w:val="clear" w:color="auto" w:fill="FFFFFF"/>
          <w:lang w:val="en-GB"/>
        </w:rPr>
        <w:t>2.5 Impact on private equity investment at EU after BREXIT</w:t>
      </w:r>
      <w:bookmarkEnd w:id="51"/>
      <w:bookmarkEnd w:id="52"/>
      <w:bookmarkEnd w:id="53"/>
      <w:bookmarkEnd w:id="54"/>
      <w:r w:rsidRPr="00975F23">
        <w:rPr>
          <w:shd w:val="clear" w:color="auto" w:fill="FFFFFF"/>
          <w:lang w:val="en-GB"/>
        </w:rPr>
        <w:t xml:space="preserve"> </w:t>
      </w:r>
    </w:p>
    <w:p w14:paraId="2AE1275A" w14:textId="77777777" w:rsidR="00091FA8" w:rsidRPr="00975F23" w:rsidRDefault="00091FA8" w:rsidP="00091FA8">
      <w:pPr>
        <w:rPr>
          <w:rFonts w:eastAsia="Times New Roman" w:cs="Times New Roman"/>
          <w:szCs w:val="24"/>
          <w:lang w:val="en-GB"/>
        </w:rPr>
      </w:pPr>
    </w:p>
    <w:p w14:paraId="1AAF6032" w14:textId="77777777" w:rsidR="00091FA8" w:rsidRPr="00975F23" w:rsidRDefault="00091FA8" w:rsidP="00091FA8">
      <w:pPr>
        <w:rPr>
          <w:rFonts w:eastAsia="Times New Roman" w:cs="Times New Roman"/>
          <w:szCs w:val="24"/>
          <w:lang w:val="en-GB"/>
        </w:rPr>
      </w:pPr>
      <w:r w:rsidRPr="00975F23">
        <w:rPr>
          <w:rFonts w:eastAsia="Times New Roman" w:cs="Times New Roman"/>
          <w:szCs w:val="24"/>
          <w:shd w:val="clear" w:color="auto" w:fill="FFFFFF"/>
          <w:lang w:val="en-GB"/>
        </w:rPr>
        <w:t>The strategy of private equity specifically helps in the support to the firms for implementing the appropriate technology throughout the conducted business.The aspect of private equity investment includes the equal opportunity for the purpose of investment. PE can be adopted by all sorts of investors belonging from both large organisations and the small organisations. The initial indications of the return from the investments are high in both long and short run. Further to enhance the positive impact that can help to maintain the environmental sustainability PE plays a significant role in its functionality.</w:t>
      </w:r>
    </w:p>
    <w:p w14:paraId="550A0FFE" w14:textId="77777777" w:rsidR="00091FA8" w:rsidRPr="00975F23" w:rsidRDefault="00091FA8" w:rsidP="00091FA8">
      <w:pPr>
        <w:rPr>
          <w:rFonts w:eastAsia="Times New Roman" w:cs="Times New Roman"/>
          <w:szCs w:val="24"/>
          <w:lang w:val="en-GB"/>
        </w:rPr>
      </w:pPr>
    </w:p>
    <w:p w14:paraId="7E145517" w14:textId="77777777" w:rsidR="00091FA8" w:rsidRPr="00975F23" w:rsidRDefault="00091FA8" w:rsidP="00091FA8">
      <w:pPr>
        <w:rPr>
          <w:rFonts w:eastAsia="Times New Roman" w:cs="Times New Roman"/>
          <w:szCs w:val="24"/>
          <w:lang w:val="en-GB"/>
        </w:rPr>
      </w:pPr>
      <w:r w:rsidRPr="00975F23">
        <w:rPr>
          <w:rFonts w:eastAsia="Times New Roman" w:cs="Times New Roman"/>
          <w:szCs w:val="24"/>
          <w:shd w:val="clear" w:color="auto" w:fill="FFFFFF"/>
          <w:lang w:val="en-GB"/>
        </w:rPr>
        <w:t>The financial implications due to Brexit has been impacting the UK manufacturing companies along with that it had been disturbing the UK supply chain. These have included many local firms that do not carry the efficient path of direct export and fall inside the complex value chains.as these firms have been depending upon the complex  EU value chains. Hence Brexit has been posing both challenges and benefits to them. During the referendum in the UK there was also a slow down in the processes of transaction as stated by Hall, (2022). More than any other sector the UK manufacturing industry has been highly exposed to Brexit. The exposure included one of the important challenges for the UK manufacturing organisations which is to retain the employees that belonged from the highly skilled technical grounds.</w:t>
      </w:r>
    </w:p>
    <w:p w14:paraId="6D11610B" w14:textId="77777777" w:rsidR="00091FA8" w:rsidRPr="00975F23" w:rsidRDefault="00091FA8" w:rsidP="00091FA8">
      <w:pPr>
        <w:rPr>
          <w:rFonts w:eastAsia="Times New Roman" w:cs="Times New Roman"/>
          <w:szCs w:val="24"/>
          <w:lang w:val="en-GB"/>
        </w:rPr>
      </w:pPr>
    </w:p>
    <w:p w14:paraId="4EC4CF6B" w14:textId="77777777" w:rsidR="00091FA8" w:rsidRPr="00975F23" w:rsidRDefault="00091FA8" w:rsidP="00091FA8">
      <w:pPr>
        <w:rPr>
          <w:rFonts w:eastAsia="Times New Roman" w:cs="Times New Roman"/>
          <w:szCs w:val="24"/>
          <w:lang w:val="en-GB"/>
        </w:rPr>
      </w:pPr>
      <w:r w:rsidRPr="00975F23">
        <w:rPr>
          <w:rFonts w:eastAsia="Times New Roman" w:cs="Times New Roman"/>
          <w:szCs w:val="24"/>
          <w:shd w:val="clear" w:color="auto" w:fill="FFFFFF"/>
          <w:lang w:val="en-GB"/>
        </w:rPr>
        <w:t xml:space="preserve">There are also many regions from the east and west midlands from the EU who voted highly in favour for Brexit as stated by Davies </w:t>
      </w:r>
      <w:r w:rsidRPr="00975F23">
        <w:rPr>
          <w:rFonts w:eastAsia="Times New Roman" w:cs="Times New Roman"/>
          <w:i/>
          <w:iCs/>
          <w:szCs w:val="24"/>
          <w:shd w:val="clear" w:color="auto" w:fill="FFFFFF"/>
          <w:lang w:val="en-GB"/>
        </w:rPr>
        <w:t xml:space="preserve">et al. </w:t>
      </w:r>
      <w:r w:rsidRPr="00975F23">
        <w:rPr>
          <w:rFonts w:eastAsia="Times New Roman" w:cs="Times New Roman"/>
          <w:szCs w:val="24"/>
          <w:shd w:val="clear" w:color="auto" w:fill="FFFFFF"/>
          <w:lang w:val="en-GB"/>
        </w:rPr>
        <w:t>(2021). But the number and margins of the votes were very low and narrow. Regarding the future the long term and the short term policy makers were much more concerned about the implications of Brexit aws they have been evaluating the future scope of the business. In the context of business ,the northern part of England that included the policy makers , also faced a threat due to Brexit over their conduct of businesses as these have been causing long term structural problems such as inadequate population and the implementation of the weak innovative strategies throughout the business.</w:t>
      </w:r>
    </w:p>
    <w:p w14:paraId="6F560F6A" w14:textId="77777777" w:rsidR="00091FA8" w:rsidRPr="00975F23" w:rsidRDefault="00091FA8" w:rsidP="00091FA8">
      <w:pPr>
        <w:rPr>
          <w:rFonts w:eastAsia="Times New Roman" w:cs="Times New Roman"/>
          <w:szCs w:val="24"/>
          <w:lang w:val="en-GB"/>
        </w:rPr>
      </w:pPr>
    </w:p>
    <w:p w14:paraId="539A43A7" w14:textId="77777777" w:rsidR="00091FA8" w:rsidRPr="00975F23" w:rsidRDefault="00091FA8" w:rsidP="00091FA8">
      <w:pPr>
        <w:rPr>
          <w:rFonts w:eastAsia="Times New Roman" w:cs="Times New Roman"/>
          <w:szCs w:val="24"/>
          <w:lang w:val="en-GB"/>
        </w:rPr>
      </w:pPr>
      <w:r w:rsidRPr="00975F23">
        <w:rPr>
          <w:rFonts w:eastAsia="Times New Roman" w:cs="Times New Roman"/>
          <w:szCs w:val="24"/>
          <w:shd w:val="clear" w:color="auto" w:fill="FFFFFF"/>
          <w:lang w:val="en-GB"/>
        </w:rPr>
        <w:t xml:space="preserve">One of the increasingly considered important channels of funding for the business conducted in Europe is PE.  In Europe the elements of growth have been significantly considered and appreciated with its understanding factors. In the EU legislation the other sectors such as the banking and the management sectors are highly independent for providing the most significant services as stated b y the authors Palmié </w:t>
      </w:r>
      <w:r w:rsidRPr="00975F23">
        <w:rPr>
          <w:rFonts w:eastAsia="Times New Roman" w:cs="Times New Roman"/>
          <w:i/>
          <w:iCs/>
          <w:szCs w:val="24"/>
          <w:shd w:val="clear" w:color="auto" w:fill="FFFFFF"/>
          <w:lang w:val="en-GB"/>
        </w:rPr>
        <w:t>et al</w:t>
      </w:r>
      <w:r w:rsidRPr="00975F23">
        <w:rPr>
          <w:rFonts w:eastAsia="Times New Roman" w:cs="Times New Roman"/>
          <w:szCs w:val="24"/>
          <w:shd w:val="clear" w:color="auto" w:fill="FFFFFF"/>
          <w:lang w:val="en-GB"/>
        </w:rPr>
        <w:t>. (2020). But there are many factors related with the legislation of the EU that impacts the sector of private equity. But the activities related with the owning of the private companies does not follow the same regulations. The deferred launching of the funds has been also slowing down the launching of the funds.</w:t>
      </w:r>
    </w:p>
    <w:p w14:paraId="6022381B" w14:textId="77777777" w:rsidR="00091FA8" w:rsidRPr="00975F23" w:rsidRDefault="00091FA8" w:rsidP="00091FA8">
      <w:pPr>
        <w:rPr>
          <w:rFonts w:eastAsia="Times New Roman" w:cs="Times New Roman"/>
          <w:szCs w:val="24"/>
          <w:lang w:val="en-GB"/>
        </w:rPr>
      </w:pPr>
    </w:p>
    <w:p w14:paraId="1BCF46DE" w14:textId="77777777" w:rsidR="00091FA8" w:rsidRPr="00975F23" w:rsidRDefault="00091FA8" w:rsidP="00091FA8">
      <w:pPr>
        <w:rPr>
          <w:rFonts w:eastAsia="Times New Roman" w:cs="Times New Roman"/>
          <w:szCs w:val="24"/>
          <w:lang w:val="en-GB"/>
        </w:rPr>
      </w:pPr>
      <w:r w:rsidRPr="00975F23">
        <w:rPr>
          <w:rFonts w:eastAsia="Times New Roman" w:cs="Times New Roman"/>
          <w:szCs w:val="24"/>
          <w:lang w:val="en-GB"/>
        </w:rPr>
        <w:t xml:space="preserve">After leaving the european union the decision has been making a huge consequence among the trade relations among the UK and the EU. This further impacted the venture capitals and the private equity firms along with the investment infrastructure as per the authors </w:t>
      </w:r>
      <w:r w:rsidRPr="00975F23">
        <w:rPr>
          <w:rFonts w:eastAsia="Times New Roman" w:cs="Times New Roman"/>
          <w:szCs w:val="24"/>
          <w:shd w:val="clear" w:color="auto" w:fill="FFFFFF"/>
          <w:lang w:val="en-GB"/>
        </w:rPr>
        <w:t>Hohlmeier and Fahrholz, (2018)</w:t>
      </w:r>
      <w:r w:rsidRPr="00975F23">
        <w:rPr>
          <w:rFonts w:eastAsia="Times New Roman" w:cs="Times New Roman"/>
          <w:szCs w:val="24"/>
          <w:lang w:val="en-GB"/>
        </w:rPr>
        <w:t>. The capital and the financial markets play a very important role for financing the activities of a business. A wide range of regulations by the EU is offered inside these markets for the business activities. Across the borders in simplified conditions the EU offers regulated financial services. </w:t>
      </w:r>
    </w:p>
    <w:p w14:paraId="79DE6B11" w14:textId="77777777" w:rsidR="00091FA8" w:rsidRPr="00975F23" w:rsidRDefault="00091FA8" w:rsidP="00091FA8">
      <w:pPr>
        <w:rPr>
          <w:rFonts w:eastAsia="Times New Roman" w:cs="Times New Roman"/>
          <w:szCs w:val="24"/>
          <w:lang w:val="en-GB"/>
        </w:rPr>
      </w:pPr>
    </w:p>
    <w:p w14:paraId="64BE62C2" w14:textId="77777777" w:rsidR="00091FA8" w:rsidRPr="00975F23" w:rsidRDefault="00091FA8" w:rsidP="00091FA8">
      <w:pPr>
        <w:rPr>
          <w:rFonts w:eastAsia="Times New Roman" w:cs="Times New Roman"/>
          <w:szCs w:val="24"/>
          <w:lang w:val="en-GB"/>
        </w:rPr>
      </w:pPr>
      <w:r w:rsidRPr="00975F23">
        <w:rPr>
          <w:rFonts w:eastAsia="Times New Roman" w:cs="Times New Roman"/>
          <w:szCs w:val="24"/>
          <w:lang w:val="en-GB"/>
        </w:rPr>
        <w:t>Unlike the other processes of funding  the funds associated with the PE investors includes funding with long term commitments for which once the investments are done it cannot be undone. Within the EU there are many firms which are trying to relocate themselves that further give them the external challenges. If there is a downturn inside the economy then there will be an investment increase in the holding of the investments. This has been creating a concern for the investors in investing the new funds in the EU after brexit. In addition to the aspect of high and increased uncertainty there are many funds which are UK based which have been reduced to euros. As a result there are many managers from many of the organisations in the UK who have been facing many difficulties.</w:t>
      </w:r>
    </w:p>
    <w:p w14:paraId="76DFA8C8" w14:textId="77777777" w:rsidR="00091FA8" w:rsidRPr="00975F23" w:rsidRDefault="00091FA8" w:rsidP="00091FA8">
      <w:pPr>
        <w:rPr>
          <w:rFonts w:eastAsia="Times New Roman" w:cs="Times New Roman"/>
          <w:szCs w:val="24"/>
          <w:lang w:val="en-GB"/>
        </w:rPr>
      </w:pPr>
    </w:p>
    <w:p w14:paraId="7D5AE79B" w14:textId="77777777" w:rsidR="00091FA8" w:rsidRPr="00975F23" w:rsidRDefault="00091FA8" w:rsidP="00091FA8">
      <w:pPr>
        <w:rPr>
          <w:rFonts w:eastAsia="Times New Roman" w:cs="Times New Roman"/>
          <w:szCs w:val="24"/>
          <w:lang w:val="en-GB"/>
        </w:rPr>
      </w:pPr>
      <w:r w:rsidRPr="00975F23">
        <w:rPr>
          <w:rFonts w:eastAsia="Times New Roman" w:cs="Times New Roman"/>
          <w:szCs w:val="24"/>
          <w:lang w:val="en-GB"/>
        </w:rPr>
        <w:t>In Spite of the regulatory disturbances  there are still many opportunities for the PE investors to fetch new opportunities after Brexit. From the perspective of the company  the important factors of the export performance specifically includes the efficient and diverse boards that carry the international networks. The firmes with PE back ups shows ,much higher rate of success that includes the exporting and delivering of the sales with the help of these routes. Due to Brexit the  business models that are related with the operations of  export have also increased. The banks also became much more active and conscious while making these export deals. </w:t>
      </w:r>
    </w:p>
    <w:p w14:paraId="23741554" w14:textId="77777777" w:rsidR="00091FA8" w:rsidRPr="00975F23" w:rsidRDefault="00091FA8" w:rsidP="00091FA8">
      <w:pPr>
        <w:rPr>
          <w:rFonts w:eastAsia="Times New Roman" w:cs="Times New Roman"/>
          <w:szCs w:val="24"/>
          <w:lang w:val="en-GB"/>
        </w:rPr>
      </w:pPr>
    </w:p>
    <w:p w14:paraId="37630046" w14:textId="77777777" w:rsidR="00091FA8" w:rsidRPr="00975F23" w:rsidRDefault="00091FA8" w:rsidP="00091FA8">
      <w:pPr>
        <w:rPr>
          <w:rFonts w:eastAsia="Times New Roman" w:cs="Times New Roman"/>
          <w:szCs w:val="24"/>
          <w:lang w:val="en-GB"/>
        </w:rPr>
      </w:pPr>
      <w:r w:rsidRPr="00975F23">
        <w:rPr>
          <w:rFonts w:eastAsia="Times New Roman" w:cs="Times New Roman"/>
          <w:szCs w:val="24"/>
          <w:lang w:val="en-GB"/>
        </w:rPr>
        <w:t xml:space="preserve">The portfolio firms that are present with the private equity investors face both threats and opportunities by Brexit. Further within the context of the UK the funds by the private equity investors are much more resilient than the funds from the other types of the investors as per the authors </w:t>
      </w:r>
      <w:r w:rsidRPr="00975F23">
        <w:rPr>
          <w:rFonts w:eastAsia="Times New Roman" w:cs="Times New Roman"/>
          <w:szCs w:val="24"/>
          <w:shd w:val="clear" w:color="auto" w:fill="FFFFFF"/>
          <w:lang w:val="en-GB"/>
        </w:rPr>
        <w:t>Brown and Rocha,  (2020)</w:t>
      </w:r>
      <w:r w:rsidRPr="00975F23">
        <w:rPr>
          <w:rFonts w:eastAsia="Times New Roman" w:cs="Times New Roman"/>
          <w:szCs w:val="24"/>
          <w:lang w:val="en-GB"/>
        </w:rPr>
        <w:t>. In access to the EU the PE firms in the UK  have been facing difficulties in raising the funds along with conducting the business deals. This created threats and problems to the UK as a leading nation in the EU for PE. The regulatory activities that are conducted inside the firms of private equity have been subject to less regulation that further potentially created a premium of de-regulation.</w:t>
      </w:r>
    </w:p>
    <w:p w14:paraId="6C0E3F37" w14:textId="77777777" w:rsidR="00091FA8" w:rsidRPr="008F0382" w:rsidRDefault="00091FA8" w:rsidP="00091FA8">
      <w:pPr>
        <w:rPr>
          <w:rFonts w:eastAsia="Times New Roman" w:cs="Times New Roman"/>
          <w:color w:val="FF0000"/>
          <w:szCs w:val="24"/>
          <w:highlight w:val="white"/>
        </w:rPr>
      </w:pPr>
      <w:r>
        <w:rPr>
          <w:rFonts w:eastAsia="Times New Roman" w:cs="Times New Roman"/>
          <w:color w:val="FF0000"/>
          <w:szCs w:val="24"/>
          <w:highlight w:val="white"/>
        </w:rPr>
        <w:t>Brexit was a largely unexpected event which has an impact on the organisations according to the exposure inside Europe as stated by the author Asimakopoulos, (2019). The main financial hub for serving the EU economy included the city of London that included the further locational sectors impacted with the biggest challenges for the EU and the UK in the future relationship. The EU has been choosing the UK as one of their important locations making it European headquarters for accessing the whole market. The UK also included the preferable choice for the investors across Europe and around the world to conduct their business of assessment. The role of the UK was one of the important financial assets for the European country and as a globally known hub includes the foreign exchange trading. The activities inside trading included the migration towards the EU which was taking place in London.</w:t>
      </w:r>
    </w:p>
    <w:p w14:paraId="799C0D40" w14:textId="77777777" w:rsidR="00091FA8" w:rsidRPr="00975F23" w:rsidRDefault="00091FA8" w:rsidP="00091FA8">
      <w:pPr>
        <w:rPr>
          <w:rFonts w:eastAsia="Times New Roman" w:cs="Times New Roman"/>
          <w:szCs w:val="24"/>
          <w:lang w:val="en-GB"/>
        </w:rPr>
      </w:pPr>
      <w:r w:rsidRPr="00975F23">
        <w:rPr>
          <w:rFonts w:eastAsia="Times New Roman" w:cs="Times New Roman"/>
          <w:szCs w:val="24"/>
          <w:lang w:val="en-GB"/>
        </w:rPr>
        <w:t>The EU has been no longer holding back the state aid if it is being used by the European government. Further a challenging situation or environment is created if there is a downturn in the economic forecast. More than the other types of the UK fund the PE UK funds has been much more effective and resilient. Along with that the portfolio firms have also shown their  functionality of being more resilient.  These specific developments will further create the long term and the short term consequence.</w:t>
      </w:r>
    </w:p>
    <w:p w14:paraId="72B53C38" w14:textId="77777777" w:rsidR="00091FA8" w:rsidRPr="00975F23" w:rsidRDefault="00091FA8" w:rsidP="00091FA8">
      <w:pPr>
        <w:pStyle w:val="Heading1"/>
        <w:spacing w:before="0"/>
        <w:rPr>
          <w:lang w:val="en-GB"/>
        </w:rPr>
      </w:pPr>
      <w:r w:rsidRPr="00975F23">
        <w:rPr>
          <w:lang w:val="en-GB"/>
        </w:rPr>
        <w:br/>
      </w:r>
      <w:bookmarkStart w:id="55" w:name="_Toc114320852"/>
      <w:bookmarkStart w:id="56" w:name="_Toc114320981"/>
      <w:bookmarkStart w:id="57" w:name="_Toc114323823"/>
      <w:r w:rsidRPr="00975F23">
        <w:rPr>
          <w:lang w:val="en-GB"/>
        </w:rPr>
        <w:t>2.6 Potential strategies for recovering the gaps in private equity investment at EU</w:t>
      </w:r>
      <w:bookmarkEnd w:id="55"/>
      <w:bookmarkEnd w:id="56"/>
      <w:bookmarkEnd w:id="57"/>
    </w:p>
    <w:p w14:paraId="2DD426CF" w14:textId="77777777" w:rsidR="00091FA8" w:rsidRPr="00975F23" w:rsidRDefault="00091FA8" w:rsidP="00091FA8">
      <w:pPr>
        <w:pStyle w:val="NormalWeb"/>
        <w:spacing w:before="200" w:beforeAutospacing="0" w:after="200" w:afterAutospacing="0" w:line="360" w:lineRule="auto"/>
        <w:rPr>
          <w:lang w:val="en-GB"/>
        </w:rPr>
      </w:pPr>
      <w:r w:rsidRPr="00975F23">
        <w:rPr>
          <w:lang w:val="en-GB"/>
        </w:rPr>
        <w:t>Particular strategies are suggested to review the gaps identified for European Union states and companies after BREXIT caused them to appropriate negative outputs.</w:t>
      </w:r>
    </w:p>
    <w:p w14:paraId="3EE18D6B" w14:textId="77777777" w:rsidR="00091FA8" w:rsidRPr="00975F23" w:rsidRDefault="00091FA8" w:rsidP="00091FA8">
      <w:pPr>
        <w:pStyle w:val="NormalWeb"/>
        <w:spacing w:before="200" w:beforeAutospacing="0" w:after="200" w:afterAutospacing="0" w:line="360" w:lineRule="auto"/>
        <w:rPr>
          <w:lang w:val="en-GB"/>
        </w:rPr>
      </w:pPr>
      <w:r w:rsidRPr="00975F23">
        <w:rPr>
          <w:b/>
          <w:bCs/>
          <w:i/>
          <w:iCs/>
          <w:lang w:val="en-GB"/>
        </w:rPr>
        <w:t>Existing framework can be remodelled with sufficient opportunities for growth:</w:t>
      </w:r>
    </w:p>
    <w:p w14:paraId="6DFB20E1" w14:textId="77777777" w:rsidR="00091FA8" w:rsidRPr="00975F23" w:rsidRDefault="00091FA8" w:rsidP="00091FA8">
      <w:pPr>
        <w:pStyle w:val="NormalWeb"/>
        <w:spacing w:before="200" w:beforeAutospacing="0" w:after="200" w:afterAutospacing="0" w:line="360" w:lineRule="auto"/>
        <w:rPr>
          <w:lang w:val="en-GB"/>
        </w:rPr>
      </w:pPr>
      <w:r w:rsidRPr="00975F23">
        <w:rPr>
          <w:lang w:val="en-GB"/>
        </w:rPr>
        <w:t>The European administration can seek to revive their economy by investing in existing resources. Different revenue making industries can be targeted by them to invest and expand with minimum scope of profit. Reviving a few industries like construction, green technology, and automobiles are likely to establish a positive reflection. As informed by Javid (2019), increasing rate of investment in these industries along with improving infrastructure of the company is likely to motivate other investors. Perceiving this rate of financial support from local governments, there is adequate scope for them to resist risky economic conditions. Additionally, funds available could be redirected to help those unemployed and ones who are at majorly at risk of losing their jobs. Increasing rates of employment would automatically spike their scope of investment in an economy. This plan could make effective use of flexibility catered through Stability and Growth Pact of European Union. Similarly, Lisbon Strategy for Growth and Jobs are also used in this plan to develop major aspects of an economy.</w:t>
      </w:r>
    </w:p>
    <w:p w14:paraId="56293DDD" w14:textId="77777777" w:rsidR="00091FA8" w:rsidRPr="00975F23" w:rsidRDefault="00091FA8" w:rsidP="00091FA8">
      <w:pPr>
        <w:pStyle w:val="NormalWeb"/>
        <w:spacing w:before="200" w:beforeAutospacing="0" w:after="200" w:afterAutospacing="0" w:line="360" w:lineRule="auto"/>
        <w:rPr>
          <w:lang w:val="en-GB"/>
        </w:rPr>
      </w:pPr>
      <w:r w:rsidRPr="00975F23">
        <w:rPr>
          <w:b/>
          <w:bCs/>
          <w:i/>
          <w:iCs/>
          <w:lang w:val="en-GB"/>
        </w:rPr>
        <w:t>Coordinated approach for managing fiscal stimulus:</w:t>
      </w:r>
    </w:p>
    <w:p w14:paraId="0737374F" w14:textId="77777777" w:rsidR="00091FA8" w:rsidRPr="00975F23" w:rsidRDefault="00091FA8" w:rsidP="00091FA8">
      <w:pPr>
        <w:pStyle w:val="NormalWeb"/>
        <w:spacing w:before="200" w:beforeAutospacing="0" w:after="200" w:afterAutospacing="0" w:line="360" w:lineRule="auto"/>
        <w:rPr>
          <w:lang w:val="en-GB"/>
        </w:rPr>
      </w:pPr>
      <w:r w:rsidRPr="00975F23">
        <w:rPr>
          <w:lang w:val="en-GB"/>
        </w:rPr>
        <w:t>The plan for stimulating European sector after BREXIT required heavy investment from governmental authorities to reframe their domestic economy. It was totalled by adjoining the efforts to invest a sum of €200 billion. This amount was equal to 1.5% of the European Union’s total GDP. It will be feasible for different states to use this fund at maximum potential which can reduce their economic pressure. As opinionated by Guay and Birch (2022), both national and European Union’s resources could be actively integrated in this economy to uplift their fallen state. There is an effective scope to retract falling rates of demand, negative impacts on investment, and low scale of employment. Contributing different resources from combined bodies could issue effective scope for reviving this Union’s economic and financial health (Ec.europa.eu, 2022). Appropriating maximum scope for employment could readily help this economy to gain substantial investment from domestic backgrounds. This would effectively increase their daily scope of investment thereby allowing foreign investors to regenerate their FDIs by considerable margins.</w:t>
      </w:r>
    </w:p>
    <w:p w14:paraId="6C517404" w14:textId="77777777" w:rsidR="00091FA8" w:rsidRPr="00975F23" w:rsidRDefault="00091FA8" w:rsidP="00091FA8">
      <w:pPr>
        <w:spacing w:line="276" w:lineRule="auto"/>
        <w:jc w:val="left"/>
        <w:rPr>
          <w:rFonts w:eastAsia="Times New Roman" w:cs="Times New Roman"/>
          <w:b/>
          <w:bCs/>
          <w:i/>
          <w:iCs/>
          <w:szCs w:val="24"/>
          <w:lang w:val="en-GB"/>
        </w:rPr>
      </w:pPr>
      <w:r w:rsidRPr="00975F23">
        <w:rPr>
          <w:b/>
          <w:bCs/>
          <w:i/>
          <w:iCs/>
          <w:lang w:val="en-GB"/>
        </w:rPr>
        <w:br w:type="page"/>
      </w:r>
    </w:p>
    <w:p w14:paraId="0BDC9EA3" w14:textId="77777777" w:rsidR="00091FA8" w:rsidRPr="00975F23" w:rsidRDefault="00091FA8" w:rsidP="00091FA8">
      <w:pPr>
        <w:pStyle w:val="NormalWeb"/>
        <w:spacing w:before="200" w:beforeAutospacing="0" w:after="200" w:afterAutospacing="0" w:line="360" w:lineRule="auto"/>
        <w:rPr>
          <w:lang w:val="en-GB"/>
        </w:rPr>
      </w:pPr>
      <w:r w:rsidRPr="00975F23">
        <w:rPr>
          <w:b/>
          <w:bCs/>
          <w:i/>
          <w:iCs/>
          <w:lang w:val="en-GB"/>
        </w:rPr>
        <w:t>Financing of Investments:</w:t>
      </w:r>
    </w:p>
    <w:p w14:paraId="29BE9D52" w14:textId="77777777" w:rsidR="00091FA8" w:rsidRPr="00975F23" w:rsidRDefault="00091FA8" w:rsidP="00091FA8">
      <w:pPr>
        <w:pStyle w:val="NormalWeb"/>
        <w:spacing w:before="200" w:beforeAutospacing="0" w:after="200" w:afterAutospacing="0" w:line="360" w:lineRule="auto"/>
        <w:rPr>
          <w:lang w:val="en-GB"/>
        </w:rPr>
      </w:pPr>
      <w:r w:rsidRPr="00975F23">
        <w:rPr>
          <w:lang w:val="en-GB"/>
        </w:rPr>
        <w:t>EIB’s response to this economic crisis was to increase their annual level of financing by €15 billion. This plan can be facilitated over a period of two or more years until the local economy is able to resist such financial challenges proposed by an economy. Banks could assume to play their roles for financing investment programmes by different individuals. As mentioned by Odhiambo and Mokori (2019), different commercial banks can help to revive this economic state by advancing loans at low rates of interest. Further, different investors who took loan at previous rates can be rescheduled with lower rates of interest as well. There will be substantial scope for such firms in the European Union for gaining maximum investment. Sectors usually producing high revenue can be highlighted by advancing loans to improve their infrastructure. Different types of loans can be issued to finance the risks borne by investors during this state. </w:t>
      </w:r>
    </w:p>
    <w:p w14:paraId="10A61EEB" w14:textId="77777777" w:rsidR="00091FA8" w:rsidRPr="00975F23" w:rsidRDefault="00091FA8" w:rsidP="00091FA8">
      <w:pPr>
        <w:pStyle w:val="Heading1"/>
        <w:spacing w:before="0"/>
        <w:rPr>
          <w:lang w:val="en-GB"/>
        </w:rPr>
      </w:pPr>
      <w:bookmarkStart w:id="58" w:name="_Toc114320853"/>
      <w:bookmarkStart w:id="59" w:name="_Toc114320982"/>
      <w:bookmarkStart w:id="60" w:name="_Toc114323824"/>
      <w:r w:rsidRPr="00975F23">
        <w:rPr>
          <w:lang w:val="en-GB"/>
        </w:rPr>
        <w:t>2.7 Theoretical perspectives</w:t>
      </w:r>
      <w:bookmarkEnd w:id="58"/>
      <w:bookmarkEnd w:id="59"/>
      <w:bookmarkEnd w:id="60"/>
    </w:p>
    <w:p w14:paraId="4FFCE5D3" w14:textId="77777777" w:rsidR="00091FA8" w:rsidRPr="00975F23" w:rsidRDefault="00091FA8" w:rsidP="00091FA8">
      <w:pPr>
        <w:pStyle w:val="Heading1"/>
        <w:spacing w:before="0"/>
        <w:rPr>
          <w:lang w:val="en-GB"/>
        </w:rPr>
      </w:pPr>
      <w:bookmarkStart w:id="61" w:name="_Toc114320854"/>
      <w:bookmarkStart w:id="62" w:name="_Toc114320983"/>
      <w:bookmarkStart w:id="63" w:name="_Toc114323825"/>
      <w:r w:rsidRPr="00975F23">
        <w:rPr>
          <w:i/>
          <w:iCs/>
          <w:lang w:val="en-GB"/>
        </w:rPr>
        <w:t>2.7.1 Fifty-Percent Principle Theory</w:t>
      </w:r>
      <w:bookmarkEnd w:id="61"/>
      <w:bookmarkEnd w:id="62"/>
      <w:bookmarkEnd w:id="63"/>
    </w:p>
    <w:p w14:paraId="3409C24B" w14:textId="77777777" w:rsidR="00091FA8" w:rsidRPr="00975F23" w:rsidRDefault="00091FA8" w:rsidP="00091FA8">
      <w:pPr>
        <w:pStyle w:val="NormalWeb"/>
        <w:spacing w:before="200" w:beforeAutospacing="0" w:after="200" w:afterAutospacing="0" w:line="360" w:lineRule="auto"/>
        <w:rPr>
          <w:lang w:val="en-GB"/>
        </w:rPr>
      </w:pPr>
      <w:r w:rsidRPr="00975F23">
        <w:rPr>
          <w:lang w:val="en-GB"/>
        </w:rPr>
        <w:t>Different stocks on the national index are supposed to fluctuate due to the diverse investor activities. Experts have perceived that most companies tend to follow a common trend while practising upward movement on the market list. There is substantial scope for a firm’s equity to grow but is most likely to surface losses by a 50% margin. According to this principle, each stock is supposed to undergo a subtle rate of price correction at one half or two-thirds proportion (Tamara and Budhiman, 2022). It implies that if any stock has perceived a growth of 15% during any phase, there will be scope for 7% to 8% reduction. Such fluctuations are mostly facilitated by sensitive investors who seek to pool their money back with minimal appreciation of their capital. </w:t>
      </w:r>
    </w:p>
    <w:p w14:paraId="756F8DA3" w14:textId="77777777" w:rsidR="00091FA8" w:rsidRPr="00975F23" w:rsidRDefault="00091FA8" w:rsidP="00091FA8">
      <w:pPr>
        <w:pStyle w:val="NormalWeb"/>
        <w:spacing w:before="200" w:beforeAutospacing="0" w:after="200" w:afterAutospacing="0" w:line="360" w:lineRule="auto"/>
        <w:rPr>
          <w:lang w:val="en-GB"/>
        </w:rPr>
      </w:pPr>
      <w:r w:rsidRPr="00975F23">
        <w:rPr>
          <w:lang w:val="en-GB"/>
        </w:rPr>
        <w:t>Similarly, in case of European Union there is a large scope for investors to school their money at alternative investments predicting a major fall post BREXIT. There had been major fallouts after Britain sought to exit from the European Union. As described by Dhingra (2019), investors had predicted unsure movement in private investments due to the unprecedented governmental policies. Inflow from other countries had reduced substantially, thereby affecting their FDI by considerable margins. Reduced rates of investment and recession had further plagued this situation for European based companies. Moreover, the economic impact became gruesome by calling job losses due to migrating workforce and shortage of skilled labour. Ineffective scope of growth had persuaded investors to predict reversal of growth trends thereby withdrawing substantial proportions of their capital investment in private equities (Breuer and Pinkwart, 2018). During this phase, sterling became more weak against peer currencies of European estate. Possibility of trade barriers often discouraged investors from totalling their private equity in European firms.</w:t>
      </w:r>
    </w:p>
    <w:p w14:paraId="5399909D" w14:textId="77777777" w:rsidR="00091FA8" w:rsidRPr="00975F23" w:rsidRDefault="00091FA8" w:rsidP="00091FA8">
      <w:pPr>
        <w:pStyle w:val="Heading1"/>
        <w:spacing w:before="0"/>
        <w:rPr>
          <w:lang w:val="en-GB"/>
        </w:rPr>
      </w:pPr>
      <w:bookmarkStart w:id="64" w:name="_Toc114320855"/>
      <w:bookmarkStart w:id="65" w:name="_Toc114320984"/>
      <w:bookmarkStart w:id="66" w:name="_Toc114323826"/>
      <w:r w:rsidRPr="00975F23">
        <w:rPr>
          <w:i/>
          <w:iCs/>
          <w:lang w:val="en-GB"/>
        </w:rPr>
        <w:t>2.7.2 Prospect Theory</w:t>
      </w:r>
      <w:bookmarkEnd w:id="64"/>
      <w:bookmarkEnd w:id="65"/>
      <w:bookmarkEnd w:id="66"/>
    </w:p>
    <w:p w14:paraId="454DAE2D" w14:textId="77777777" w:rsidR="00091FA8" w:rsidRPr="00975F23" w:rsidRDefault="00091FA8" w:rsidP="00091FA8">
      <w:pPr>
        <w:pStyle w:val="NormalWeb"/>
        <w:spacing w:before="200" w:beforeAutospacing="0" w:after="200" w:afterAutospacing="0" w:line="360" w:lineRule="auto"/>
        <w:rPr>
          <w:lang w:val="en-GB"/>
        </w:rPr>
      </w:pPr>
      <w:r w:rsidRPr="00975F23">
        <w:rPr>
          <w:lang w:val="en-GB"/>
        </w:rPr>
        <w:t xml:space="preserve">This theory has often been totalled as risk aversion scope for private investors at equity prone stocks. It states their mentality while assessing the returns from any investment. Investor’s perception about profit or loss is assumed to be skewed during majority of the instances. As optimised by Ruggeri </w:t>
      </w:r>
      <w:r w:rsidRPr="00975F23">
        <w:rPr>
          <w:i/>
          <w:iCs/>
          <w:lang w:val="en-GB"/>
        </w:rPr>
        <w:t xml:space="preserve">et al. </w:t>
      </w:r>
      <w:r w:rsidRPr="00975F23">
        <w:rPr>
          <w:lang w:val="en-GB"/>
        </w:rPr>
        <w:t>(2020), there is always adequate scope for losses even if major determinants are in favour of a stock. BREXIT has been one of those major changes in European Union’s history. This theory assumes that investors are more inclined towards avoiding losses than identifying their potential for growth. In most cases, an investor is much more likely to opt for continuous returns than any portfolio that emits fluctuating but higher returns during different phases. They expect to sustain capital growth by investing in those equities that portray minimum risk.</w:t>
      </w:r>
    </w:p>
    <w:p w14:paraId="501FD7B4" w14:textId="77777777" w:rsidR="00091FA8" w:rsidRPr="00975F23" w:rsidRDefault="00091FA8" w:rsidP="00091FA8">
      <w:pPr>
        <w:pStyle w:val="NormalWeb"/>
        <w:spacing w:before="200" w:beforeAutospacing="0" w:after="200" w:afterAutospacing="0" w:line="360" w:lineRule="auto"/>
        <w:rPr>
          <w:lang w:val="en-GB"/>
        </w:rPr>
      </w:pPr>
      <w:r w:rsidRPr="00975F23">
        <w:rPr>
          <w:lang w:val="en-GB"/>
        </w:rPr>
        <w:t>Risk and reward theory is almost optimed by such investors through a minimum scale of operations. These people are much likely to prefer lesser proportions of risk for enabling low but continuous returns during any period. BREXIT was considered to be an epic reflection of risky investments in the European Union (Jessop, 2018). Investors who totalled their funds at private equity mostly perceived that political changes in the EU after BREXIT would drag their capital down to loss making positions. As soon as investors predicted negative outcomes of that phase, they withdrew their funds from such European companies. Due to impaired political health, growing number of job losses, recessionary period, and unhealthy economic conditions investors sought to redirect their funds to other stocks with low beta. Effective loss of investors completely nulled their private equity stocks thereby downsizing European companies by considerable extents. Contrastingly, if investors sought to invest further at European companies, some amount of risk could be averted. Market support could effectively help them to carve out of such situations. There has been adequate scope for them to retaliate those economic challenges with such a rate of investment in European companies.</w:t>
      </w:r>
    </w:p>
    <w:p w14:paraId="70A2E8AF" w14:textId="77777777" w:rsidR="00091FA8" w:rsidRPr="00975F23" w:rsidRDefault="00091FA8" w:rsidP="00091FA8">
      <w:pPr>
        <w:pStyle w:val="Heading1"/>
        <w:spacing w:before="0"/>
        <w:rPr>
          <w:lang w:val="en-GB"/>
        </w:rPr>
      </w:pPr>
      <w:bookmarkStart w:id="67" w:name="_Toc114320856"/>
      <w:bookmarkStart w:id="68" w:name="_Toc114320985"/>
      <w:bookmarkStart w:id="69" w:name="_Toc114323827"/>
      <w:r w:rsidRPr="00975F23">
        <w:rPr>
          <w:i/>
          <w:iCs/>
          <w:lang w:val="en-GB"/>
        </w:rPr>
        <w:t>2.7.3 Rational Expectations Theory</w:t>
      </w:r>
      <w:bookmarkEnd w:id="67"/>
      <w:bookmarkEnd w:id="68"/>
      <w:bookmarkEnd w:id="69"/>
    </w:p>
    <w:p w14:paraId="34C568AD" w14:textId="77777777" w:rsidR="00091FA8" w:rsidRPr="00975F23" w:rsidRDefault="00091FA8" w:rsidP="00091FA8">
      <w:pPr>
        <w:pStyle w:val="NormalWeb"/>
        <w:spacing w:before="200" w:beforeAutospacing="0" w:after="200" w:afterAutospacing="0" w:line="360" w:lineRule="auto"/>
        <w:rPr>
          <w:lang w:val="en-GB"/>
        </w:rPr>
      </w:pPr>
      <w:r w:rsidRPr="00975F23">
        <w:rPr>
          <w:lang w:val="en-GB"/>
        </w:rPr>
        <w:t>Investors often react based upon what they seek to occur in future. It is an economic apprehension which accentuates investors to either add or deduct stocks from their portfolios. There has been adequate scope for them to assess the growth or degrowth by visualising the economic health of a scenario. Adequate knowledge about different stocks of a company are explicitly studied by investors before assessing their movement during any phase. Based on these factors, investors usually seek to establish their own portfolios during any session. According to Mohammed Badr and Wadi (2021), these expectations could either suggest them to expand their scope of investment or withdraw. Both positive and negative decisions could be suggested through this mechanism. Following trends and economic status of a union helps them to appropriate their own scope of prophecy.</w:t>
      </w:r>
    </w:p>
    <w:p w14:paraId="144D8C4B" w14:textId="77777777" w:rsidR="00091FA8" w:rsidRPr="00975F23" w:rsidRDefault="00091FA8" w:rsidP="00091FA8">
      <w:pPr>
        <w:pStyle w:val="NormalWeb"/>
        <w:spacing w:before="200" w:beforeAutospacing="0" w:after="200" w:afterAutospacing="0" w:line="360" w:lineRule="auto"/>
        <w:rPr>
          <w:lang w:val="en-GB"/>
        </w:rPr>
      </w:pPr>
      <w:r w:rsidRPr="00975F23">
        <w:rPr>
          <w:lang w:val="en-GB"/>
        </w:rPr>
        <w:t>During BREXIT, investors sought risky trails for different types of private equity investment. Increasing rate of migration, devaluation of sterling, social inequalities, and unemployment majorly suggested degrowth of firms. There has been substantial scope for them to rationalise this situation to sustain losses for the companies. As suggested by Oyewola</w:t>
      </w:r>
      <w:r w:rsidRPr="00975F23">
        <w:rPr>
          <w:i/>
          <w:iCs/>
          <w:lang w:val="en-GB"/>
        </w:rPr>
        <w:t xml:space="preserve"> et al</w:t>
      </w:r>
      <w:r w:rsidRPr="00975F23">
        <w:rPr>
          <w:lang w:val="en-GB"/>
        </w:rPr>
        <w:t xml:space="preserve">. (2021), predicting this rate of losses for those equity stocks, investors refrained from continuing their investment. Investors sought to establish sound reasoning after studying the trends prevailing in the European Union. There had been major fallouts for different companies that pursued business in both Britain and other countries of the European Union. As per the view of Breinlich </w:t>
      </w:r>
      <w:r w:rsidRPr="00975F23">
        <w:rPr>
          <w:i/>
          <w:iCs/>
          <w:lang w:val="en-GB"/>
        </w:rPr>
        <w:t>et al.</w:t>
      </w:r>
      <w:r w:rsidRPr="00975F23">
        <w:rPr>
          <w:lang w:val="en-GB"/>
        </w:rPr>
        <w:t xml:space="preserve"> (2020), several investors were turned down by interpreting losses to be reported during future instances. As a result, they sought to reduce their holdings at European Union. Similar trends were followed by other countries in this context. FDI of this sector reduced substantially thereby probing losses for them after BREXIT happened. </w:t>
      </w:r>
    </w:p>
    <w:p w14:paraId="7E0BCBBF" w14:textId="77777777" w:rsidR="00091FA8" w:rsidRPr="00975F23" w:rsidRDefault="00091FA8" w:rsidP="00091FA8">
      <w:pPr>
        <w:pStyle w:val="Heading1"/>
        <w:spacing w:before="0"/>
        <w:rPr>
          <w:lang w:val="en-GB"/>
        </w:rPr>
      </w:pPr>
      <w:bookmarkStart w:id="70" w:name="_Toc114320857"/>
      <w:bookmarkStart w:id="71" w:name="_Toc114320986"/>
      <w:bookmarkStart w:id="72" w:name="_Toc114323828"/>
      <w:r w:rsidRPr="00975F23">
        <w:rPr>
          <w:lang w:val="en-GB"/>
        </w:rPr>
        <w:t>2.8 Literature gap</w:t>
      </w:r>
      <w:bookmarkEnd w:id="70"/>
      <w:bookmarkEnd w:id="71"/>
      <w:bookmarkEnd w:id="72"/>
    </w:p>
    <w:p w14:paraId="25944890" w14:textId="77777777" w:rsidR="00091FA8" w:rsidRPr="00975F23" w:rsidRDefault="00091FA8" w:rsidP="00091FA8">
      <w:pPr>
        <w:pStyle w:val="NormalWeb"/>
        <w:spacing w:before="200" w:beforeAutospacing="0" w:after="200" w:afterAutospacing="0" w:line="360" w:lineRule="auto"/>
        <w:rPr>
          <w:lang w:val="en-GB"/>
        </w:rPr>
      </w:pPr>
      <w:r w:rsidRPr="00975F23">
        <w:rPr>
          <w:lang w:val="en-GB"/>
        </w:rPr>
        <w:t>Different researchers have precisely highlighted the scope of impact on UK based firms while totalling the impacts of BREXIT. Very few have given prior emphasis to decreasing margins of business opportunity for European firms. Marginal discussion about economic impacts does not facilitate to interpret the financial disparities experienced by European firms. Similarly, there has been a subtle gap while reflecting such advantages derived from post BREXIT situations. Most journals which covered this content suitably explained investment decisions of different countries. Private equity investment contexts were completely overridden while mentioning the gap of financial adequacy for European firms. Moreover, different theories related to investment decisions have been under discussed by past researchers. Relating their perception of investing at different companies were completely avoided from being included in such discussion. Concept of FDI had also been overshadowed through those discussions. It specifically omitted adequate justification about potential scarcities experienced by private investors for investing in European stocks.</w:t>
      </w:r>
    </w:p>
    <w:p w14:paraId="44B07EA0" w14:textId="77777777" w:rsidR="00091FA8" w:rsidRPr="00975F23" w:rsidRDefault="00091FA8" w:rsidP="00091FA8">
      <w:pPr>
        <w:pStyle w:val="Heading1"/>
        <w:spacing w:before="0"/>
        <w:rPr>
          <w:lang w:val="en-GB"/>
        </w:rPr>
      </w:pPr>
      <w:bookmarkStart w:id="73" w:name="_Toc114320858"/>
      <w:bookmarkStart w:id="74" w:name="_Toc114320987"/>
      <w:bookmarkStart w:id="75" w:name="_Toc114323829"/>
      <w:r w:rsidRPr="00975F23">
        <w:rPr>
          <w:lang w:val="en-GB"/>
        </w:rPr>
        <w:t>2.9 Summary</w:t>
      </w:r>
      <w:bookmarkEnd w:id="73"/>
      <w:bookmarkEnd w:id="74"/>
      <w:bookmarkEnd w:id="75"/>
    </w:p>
    <w:p w14:paraId="41F69073" w14:textId="77777777" w:rsidR="00091FA8" w:rsidRPr="00975F23" w:rsidRDefault="00091FA8" w:rsidP="00091FA8">
      <w:pPr>
        <w:rPr>
          <w:lang w:val="en-GB"/>
        </w:rPr>
      </w:pPr>
      <w:r w:rsidRPr="00975F23">
        <w:rPr>
          <w:lang w:val="en-GB"/>
        </w:rPr>
        <w:t>This chapter has included effective details about different factors affecting private equity investment in European Union states. Substantial evidence from existing literature has been used to cite the entire concept of private equity investment. During this trial, factors like competitiveness, potential of growth, scope of value creation have been briefly described. It sought to explain such determinants which could effectively enrich their scope of investing at European companies. However, these factors were directly challenged due to the negative impact probed by BREXIT deal. Britain's exit had certainly caused loss of jobs, lack of skilled labour, devaluation of sterling, falling rates of national income, and reducing rates of private equity investment. Companies belonging to this sector had suffered substantial losses with this type of approach. During this phase, multiple issues plagued their scope of profitability and growth. Investors were unable to produce sufficient profits for themselves. Due to this reason particular strategies were framed to revive such fallen back condition of EU states.</w:t>
      </w:r>
    </w:p>
    <w:p w14:paraId="2B105AD4" w14:textId="77777777" w:rsidR="00231FC2" w:rsidRPr="00231FC2" w:rsidRDefault="00231FC2" w:rsidP="00231FC2">
      <w:pPr>
        <w:spacing w:before="240"/>
        <w:rPr>
          <w:rFonts w:eastAsia="Times New Roman" w:cs="Times New Roman"/>
          <w:b/>
          <w:szCs w:val="24"/>
          <w:highlight w:val="white"/>
          <w:lang w:val="en-GB"/>
        </w:rPr>
      </w:pPr>
      <w:r w:rsidRPr="00231FC2">
        <w:rPr>
          <w:highlight w:val="white"/>
          <w:lang w:val="en-GB"/>
        </w:rPr>
        <w:br w:type="page"/>
      </w:r>
    </w:p>
    <w:p w14:paraId="2D7942B2" w14:textId="77777777" w:rsidR="00115F5A" w:rsidRPr="00231FC2" w:rsidRDefault="00C413C0" w:rsidP="00231FC2">
      <w:pPr>
        <w:pStyle w:val="Heading1"/>
        <w:spacing w:before="240"/>
        <w:rPr>
          <w:color w:val="000000" w:themeColor="text1"/>
          <w:highlight w:val="white"/>
          <w:lang w:val="en-GB"/>
        </w:rPr>
      </w:pPr>
      <w:bookmarkStart w:id="76" w:name="_Toc114323830"/>
      <w:r w:rsidRPr="00231FC2">
        <w:rPr>
          <w:color w:val="000000" w:themeColor="text1"/>
          <w:highlight w:val="white"/>
          <w:lang w:val="en-GB"/>
        </w:rPr>
        <w:t>Chapter 3: Research Methodology</w:t>
      </w:r>
      <w:bookmarkEnd w:id="76"/>
      <w:r w:rsidRPr="00231FC2">
        <w:rPr>
          <w:color w:val="000000" w:themeColor="text1"/>
          <w:highlight w:val="white"/>
          <w:lang w:val="en-GB"/>
        </w:rPr>
        <w:t xml:space="preserve"> </w:t>
      </w:r>
    </w:p>
    <w:p w14:paraId="20006BAD" w14:textId="77777777" w:rsidR="00115F5A" w:rsidRPr="00231FC2" w:rsidRDefault="00C413C0" w:rsidP="00231FC2">
      <w:pPr>
        <w:pStyle w:val="Heading1"/>
        <w:spacing w:before="240"/>
        <w:rPr>
          <w:color w:val="000000" w:themeColor="text1"/>
          <w:highlight w:val="white"/>
          <w:lang w:val="en-GB"/>
        </w:rPr>
      </w:pPr>
      <w:bookmarkStart w:id="77" w:name="_Toc114323831"/>
      <w:r w:rsidRPr="00231FC2">
        <w:rPr>
          <w:color w:val="000000" w:themeColor="text1"/>
          <w:highlight w:val="white"/>
          <w:lang w:val="en-GB"/>
        </w:rPr>
        <w:t>3.0 Introduction</w:t>
      </w:r>
      <w:bookmarkEnd w:id="77"/>
    </w:p>
    <w:p w14:paraId="4B2F8A7D" w14:textId="77777777" w:rsidR="00115F5A" w:rsidRPr="00231FC2" w:rsidRDefault="00C413C0" w:rsidP="00231FC2">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Private equity investment adds business values and offers financial development for sustainable growth of business. Private equity investment adds business capital and ensures rewarding management operations. After establishment of EU, equity financing difficulties were dealt with </w:t>
      </w:r>
      <w:r w:rsidR="000D7594" w:rsidRPr="00231FC2">
        <w:rPr>
          <w:rFonts w:ascii="Times New Roman" w:eastAsia="Times New Roman" w:hAnsi="Times New Roman" w:cs="Times New Roman"/>
          <w:color w:val="000000" w:themeColor="text1"/>
          <w:sz w:val="24"/>
          <w:szCs w:val="24"/>
          <w:highlight w:val="white"/>
          <w:lang w:val="en-GB"/>
        </w:rPr>
        <w:t>those significantly impacted start-up businesses</w:t>
      </w:r>
      <w:r w:rsidRPr="00231FC2">
        <w:rPr>
          <w:rFonts w:ascii="Times New Roman" w:eastAsia="Times New Roman" w:hAnsi="Times New Roman" w:cs="Times New Roman"/>
          <w:color w:val="000000" w:themeColor="text1"/>
          <w:sz w:val="24"/>
          <w:szCs w:val="24"/>
          <w:highlight w:val="white"/>
          <w:lang w:val="en-GB"/>
        </w:rPr>
        <w:t xml:space="preserve">. After </w:t>
      </w:r>
      <w:r w:rsidR="00AE0A8E">
        <w:rPr>
          <w:rFonts w:ascii="Times New Roman" w:eastAsia="Times New Roman" w:hAnsi="Times New Roman" w:cs="Times New Roman"/>
          <w:color w:val="000000" w:themeColor="text1"/>
          <w:sz w:val="24"/>
          <w:szCs w:val="24"/>
          <w:highlight w:val="white"/>
          <w:lang w:val="en-GB"/>
        </w:rPr>
        <w:t>BREXIT</w:t>
      </w:r>
      <w:r w:rsidRPr="00231FC2">
        <w:rPr>
          <w:rFonts w:ascii="Times New Roman" w:eastAsia="Times New Roman" w:hAnsi="Times New Roman" w:cs="Times New Roman"/>
          <w:color w:val="000000" w:themeColor="text1"/>
          <w:sz w:val="24"/>
          <w:szCs w:val="24"/>
          <w:highlight w:val="white"/>
          <w:lang w:val="en-GB"/>
        </w:rPr>
        <w:t xml:space="preserve">, private equity investment in EU has been assessed with numerous merits and demerits which are investigated in this research work. This chapter has identified different research tools and techniques as research methods that have accessed suitable data for this research preparation. After taking a specific data collection process, ethical dimension of this research is discussed </w:t>
      </w:r>
      <w:r w:rsidR="000D7594" w:rsidRPr="00231FC2">
        <w:rPr>
          <w:rFonts w:ascii="Times New Roman" w:eastAsia="Times New Roman" w:hAnsi="Times New Roman" w:cs="Times New Roman"/>
          <w:color w:val="000000" w:themeColor="text1"/>
          <w:sz w:val="24"/>
          <w:szCs w:val="24"/>
          <w:highlight w:val="white"/>
          <w:lang w:val="en-GB"/>
        </w:rPr>
        <w:t>that has ensured validity and reliability of research information.</w:t>
      </w:r>
      <w:r w:rsidRPr="00231FC2">
        <w:rPr>
          <w:rFonts w:ascii="Times New Roman" w:eastAsia="Times New Roman" w:hAnsi="Times New Roman" w:cs="Times New Roman"/>
          <w:color w:val="000000" w:themeColor="text1"/>
          <w:sz w:val="24"/>
          <w:szCs w:val="24"/>
          <w:highlight w:val="white"/>
          <w:lang w:val="en-GB"/>
        </w:rPr>
        <w:t xml:space="preserve"> </w:t>
      </w:r>
    </w:p>
    <w:p w14:paraId="79E0B18D" w14:textId="77777777" w:rsidR="00115F5A" w:rsidRPr="00231FC2" w:rsidRDefault="00C413C0" w:rsidP="00231FC2">
      <w:pPr>
        <w:pStyle w:val="Heading1"/>
        <w:spacing w:before="240"/>
        <w:rPr>
          <w:color w:val="000000" w:themeColor="text1"/>
          <w:highlight w:val="white"/>
          <w:lang w:val="en-GB"/>
        </w:rPr>
      </w:pPr>
      <w:bookmarkStart w:id="78" w:name="_Toc114323832"/>
      <w:r w:rsidRPr="00231FC2">
        <w:rPr>
          <w:color w:val="000000" w:themeColor="text1"/>
          <w:highlight w:val="white"/>
          <w:lang w:val="en-GB"/>
        </w:rPr>
        <w:t>3.1 Research Onion</w:t>
      </w:r>
      <w:bookmarkEnd w:id="78"/>
      <w:r w:rsidRPr="00231FC2">
        <w:rPr>
          <w:color w:val="000000" w:themeColor="text1"/>
          <w:highlight w:val="white"/>
          <w:lang w:val="en-GB"/>
        </w:rPr>
        <w:t xml:space="preserve"> </w:t>
      </w:r>
    </w:p>
    <w:p w14:paraId="3C086DC0" w14:textId="77777777" w:rsidR="00115F5A" w:rsidRPr="00231FC2" w:rsidRDefault="00C413C0" w:rsidP="00231FC2">
      <w:pPr>
        <w:pStyle w:val="Normal1"/>
        <w:spacing w:before="240" w:line="360" w:lineRule="auto"/>
        <w:jc w:val="center"/>
        <w:rPr>
          <w:rFonts w:ascii="Times New Roman" w:eastAsia="Times New Roman" w:hAnsi="Times New Roman" w:cs="Times New Roman"/>
          <w:b/>
          <w:color w:val="000000" w:themeColor="text1"/>
          <w:sz w:val="24"/>
          <w:szCs w:val="24"/>
          <w:highlight w:val="white"/>
          <w:lang w:val="en-GB"/>
        </w:rPr>
      </w:pPr>
      <w:r w:rsidRPr="00231FC2">
        <w:rPr>
          <w:rFonts w:ascii="Times New Roman" w:eastAsia="Times New Roman" w:hAnsi="Times New Roman" w:cs="Times New Roman"/>
          <w:b/>
          <w:noProof/>
          <w:color w:val="000000" w:themeColor="text1"/>
          <w:sz w:val="24"/>
          <w:szCs w:val="24"/>
          <w:highlight w:val="white"/>
        </w:rPr>
        <w:drawing>
          <wp:inline distT="114300" distB="114300" distL="114300" distR="114300" wp14:anchorId="00F94ABC" wp14:editId="76B4B7BB">
            <wp:extent cx="4775468" cy="26891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cstate="print"/>
                    <a:srcRect/>
                    <a:stretch>
                      <a:fillRect/>
                    </a:stretch>
                  </pic:blipFill>
                  <pic:spPr>
                    <a:xfrm>
                      <a:off x="0" y="0"/>
                      <a:ext cx="4775468" cy="2689175"/>
                    </a:xfrm>
                    <a:prstGeom prst="rect">
                      <a:avLst/>
                    </a:prstGeom>
                    <a:ln/>
                  </pic:spPr>
                </pic:pic>
              </a:graphicData>
            </a:graphic>
          </wp:inline>
        </w:drawing>
      </w:r>
    </w:p>
    <w:p w14:paraId="2A673E96" w14:textId="77777777" w:rsidR="00115F5A" w:rsidRPr="00231FC2" w:rsidRDefault="00C413C0" w:rsidP="00231FC2">
      <w:pPr>
        <w:pStyle w:val="Heading2"/>
        <w:spacing w:before="240"/>
        <w:rPr>
          <w:color w:val="000000" w:themeColor="text1"/>
          <w:highlight w:val="white"/>
          <w:lang w:val="en-GB"/>
        </w:rPr>
      </w:pPr>
      <w:bookmarkStart w:id="79" w:name="_Toc114323871"/>
      <w:r w:rsidRPr="00231FC2">
        <w:rPr>
          <w:color w:val="000000" w:themeColor="text1"/>
          <w:highlight w:val="white"/>
          <w:lang w:val="en-GB"/>
        </w:rPr>
        <w:t>Figure 3.1: Research Onion</w:t>
      </w:r>
      <w:bookmarkEnd w:id="79"/>
      <w:r w:rsidRPr="00231FC2">
        <w:rPr>
          <w:color w:val="000000" w:themeColor="text1"/>
          <w:highlight w:val="white"/>
          <w:lang w:val="en-GB"/>
        </w:rPr>
        <w:t xml:space="preserve"> </w:t>
      </w:r>
    </w:p>
    <w:p w14:paraId="55D8C02E" w14:textId="77777777" w:rsidR="00115F5A" w:rsidRPr="00231FC2" w:rsidRDefault="00C413C0" w:rsidP="00231FC2">
      <w:pPr>
        <w:pStyle w:val="Normal1"/>
        <w:spacing w:before="240" w:line="360" w:lineRule="auto"/>
        <w:jc w:val="center"/>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(Source: Influenced by Saunders </w:t>
      </w:r>
      <w:r w:rsidRPr="00231FC2">
        <w:rPr>
          <w:rFonts w:ascii="Times New Roman" w:eastAsia="Times New Roman" w:hAnsi="Times New Roman" w:cs="Times New Roman"/>
          <w:i/>
          <w:color w:val="000000" w:themeColor="text1"/>
          <w:sz w:val="24"/>
          <w:szCs w:val="24"/>
          <w:highlight w:val="white"/>
          <w:lang w:val="en-GB"/>
        </w:rPr>
        <w:t xml:space="preserve">et al. </w:t>
      </w:r>
      <w:r w:rsidRPr="00231FC2">
        <w:rPr>
          <w:rFonts w:ascii="Times New Roman" w:eastAsia="Times New Roman" w:hAnsi="Times New Roman" w:cs="Times New Roman"/>
          <w:color w:val="000000" w:themeColor="text1"/>
          <w:sz w:val="24"/>
          <w:szCs w:val="24"/>
          <w:highlight w:val="white"/>
          <w:lang w:val="en-GB"/>
        </w:rPr>
        <w:t>2019)</w:t>
      </w:r>
    </w:p>
    <w:p w14:paraId="77518DAF" w14:textId="77777777" w:rsidR="00115F5A" w:rsidRPr="00231FC2" w:rsidRDefault="00C413C0" w:rsidP="00231FC2">
      <w:pPr>
        <w:pStyle w:val="Heading1"/>
        <w:spacing w:before="240"/>
        <w:rPr>
          <w:color w:val="000000" w:themeColor="text1"/>
          <w:highlight w:val="white"/>
          <w:lang w:val="en-GB"/>
        </w:rPr>
      </w:pPr>
      <w:bookmarkStart w:id="80" w:name="_Toc114323833"/>
      <w:r w:rsidRPr="00231FC2">
        <w:rPr>
          <w:color w:val="000000" w:themeColor="text1"/>
          <w:highlight w:val="white"/>
          <w:lang w:val="en-GB"/>
        </w:rPr>
        <w:t>3.2 Research Philosophy</w:t>
      </w:r>
      <w:bookmarkEnd w:id="80"/>
    </w:p>
    <w:p w14:paraId="0EB55EC6" w14:textId="77777777" w:rsidR="00115F5A" w:rsidRPr="00231FC2" w:rsidRDefault="00C413C0" w:rsidP="00231FC2">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Research philosophy is an assumption of researchers and is used to deal with sources and knowledge. It refers to researchers’ set of principles about research topics and understanding valid information based on their own perspectives. As stated by Mohajan (2018), research philosophy is a belief system of researchers in which way, information and concept are collected, analysed and utilised for research purposes. This research has proceeded with “</w:t>
      </w:r>
      <w:r w:rsidRPr="00231FC2">
        <w:rPr>
          <w:rFonts w:ascii="Times New Roman" w:eastAsia="Times New Roman" w:hAnsi="Times New Roman" w:cs="Times New Roman"/>
          <w:i/>
          <w:color w:val="000000" w:themeColor="text1"/>
          <w:sz w:val="24"/>
          <w:szCs w:val="24"/>
          <w:highlight w:val="white"/>
          <w:lang w:val="en-GB"/>
        </w:rPr>
        <w:t>interpretivism research philosophy”</w:t>
      </w:r>
      <w:r w:rsidR="000D7594" w:rsidRPr="00231FC2">
        <w:rPr>
          <w:rFonts w:ascii="Times New Roman" w:eastAsia="Times New Roman" w:hAnsi="Times New Roman" w:cs="Times New Roman"/>
          <w:color w:val="000000" w:themeColor="text1"/>
          <w:sz w:val="24"/>
          <w:szCs w:val="24"/>
          <w:highlight w:val="white"/>
          <w:lang w:val="en-GB"/>
        </w:rPr>
        <w:t xml:space="preserve"> instead of positivism, pragmatism and r</w:t>
      </w:r>
      <w:r w:rsidRPr="00231FC2">
        <w:rPr>
          <w:rFonts w:ascii="Times New Roman" w:eastAsia="Times New Roman" w:hAnsi="Times New Roman" w:cs="Times New Roman"/>
          <w:color w:val="000000" w:themeColor="text1"/>
          <w:sz w:val="24"/>
          <w:szCs w:val="24"/>
          <w:highlight w:val="white"/>
          <w:lang w:val="en-GB"/>
        </w:rPr>
        <w:t xml:space="preserve">ealism philosophies. Interpretivism uses qualitative data which has ensured an interpretation of research information based on observing social world of a research topic. As mentioned by Ruggiano and Perry (2019), interpretivism philosophical insight has promoted concept of private equity investment by observing social world. Interpretivism philosophy claims individual observation and understanding of reality with information and ensured descriptive research conduction. This type of research philosophy has involved and interpreted different secondary sources and constituted this research preparation. Hence, this research has developed non-numeric data after observing the concept of private equity investment and interpreting its importance for business promotion accordingly. </w:t>
      </w:r>
    </w:p>
    <w:p w14:paraId="5F01907E" w14:textId="77777777" w:rsidR="00115F5A" w:rsidRPr="00231FC2" w:rsidRDefault="00C413C0" w:rsidP="00231FC2">
      <w:pPr>
        <w:pStyle w:val="Heading1"/>
        <w:spacing w:before="240"/>
        <w:rPr>
          <w:color w:val="000000" w:themeColor="text1"/>
          <w:highlight w:val="white"/>
          <w:lang w:val="en-GB"/>
        </w:rPr>
      </w:pPr>
      <w:bookmarkStart w:id="81" w:name="_Toc114323834"/>
      <w:r w:rsidRPr="00231FC2">
        <w:rPr>
          <w:color w:val="000000" w:themeColor="text1"/>
          <w:highlight w:val="white"/>
          <w:lang w:val="en-GB"/>
        </w:rPr>
        <w:t>3.3 Research Approach</w:t>
      </w:r>
      <w:bookmarkEnd w:id="81"/>
    </w:p>
    <w:p w14:paraId="5A112550" w14:textId="77777777" w:rsidR="00115F5A" w:rsidRPr="00231FC2" w:rsidRDefault="00C413C0" w:rsidP="00231FC2">
      <w:pPr>
        <w:pStyle w:val="Normal1"/>
        <w:spacing w:before="240" w:line="360" w:lineRule="auto"/>
        <w:jc w:val="both"/>
        <w:rPr>
          <w:rFonts w:ascii="Times New Roman" w:eastAsia="Times New Roman" w:hAnsi="Times New Roman" w:cs="Times New Roman"/>
          <w:i/>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Research approach is a plan that consists of a broad assumption over collected data and interpreted such information in research work. As stated by Tarrant and Hughes (2019), research approach plays a great role in giving research legitimacy and providing sound findings. Hence it is a delayed plan that helps to keep research work on track and makes data interpretation process effective and manageable for future outcomes. This research has included an </w:t>
      </w:r>
      <w:r w:rsidRPr="00231FC2">
        <w:rPr>
          <w:rFonts w:ascii="Times New Roman" w:eastAsia="Times New Roman" w:hAnsi="Times New Roman" w:cs="Times New Roman"/>
          <w:i/>
          <w:color w:val="000000" w:themeColor="text1"/>
          <w:sz w:val="24"/>
          <w:szCs w:val="24"/>
          <w:highlight w:val="white"/>
          <w:lang w:val="en-GB"/>
        </w:rPr>
        <w:t xml:space="preserve">“inductive approach” </w:t>
      </w:r>
      <w:r w:rsidRPr="00231FC2">
        <w:rPr>
          <w:rFonts w:ascii="Times New Roman" w:eastAsia="Times New Roman" w:hAnsi="Times New Roman" w:cs="Times New Roman"/>
          <w:color w:val="000000" w:themeColor="text1"/>
          <w:sz w:val="24"/>
          <w:szCs w:val="24"/>
          <w:highlight w:val="white"/>
          <w:lang w:val="en-GB"/>
        </w:rPr>
        <w:t xml:space="preserve">that has ensured a critical design plan for overall research preparation. According to Purcell </w:t>
      </w:r>
      <w:r w:rsidRPr="00231FC2">
        <w:rPr>
          <w:rFonts w:ascii="Times New Roman" w:eastAsia="Times New Roman" w:hAnsi="Times New Roman" w:cs="Times New Roman"/>
          <w:i/>
          <w:color w:val="000000" w:themeColor="text1"/>
          <w:sz w:val="24"/>
          <w:szCs w:val="24"/>
          <w:highlight w:val="white"/>
          <w:lang w:val="en-GB"/>
        </w:rPr>
        <w:t xml:space="preserve">et al. </w:t>
      </w:r>
      <w:r w:rsidRPr="00231FC2">
        <w:rPr>
          <w:rFonts w:ascii="Times New Roman" w:eastAsia="Times New Roman" w:hAnsi="Times New Roman" w:cs="Times New Roman"/>
          <w:color w:val="000000" w:themeColor="text1"/>
          <w:sz w:val="24"/>
          <w:szCs w:val="24"/>
          <w:highlight w:val="white"/>
          <w:lang w:val="en-GB"/>
        </w:rPr>
        <w:t xml:space="preserve">(2020), the inductive approach uses observations and ensures research development based on existing theoretical insights. This research has developed an information development plan based on existing theories. Fifty-Percent Principle Theory, Prospect Theory and Rational Expectations Theory are used to determine effect of private equity investment in EU after </w:t>
      </w:r>
      <w:r w:rsidR="00AE0A8E">
        <w:rPr>
          <w:rFonts w:ascii="Times New Roman" w:eastAsia="Times New Roman" w:hAnsi="Times New Roman" w:cs="Times New Roman"/>
          <w:color w:val="000000" w:themeColor="text1"/>
          <w:sz w:val="24"/>
          <w:szCs w:val="24"/>
          <w:highlight w:val="white"/>
          <w:lang w:val="en-GB"/>
        </w:rPr>
        <w:t>BREXIT</w:t>
      </w:r>
      <w:r w:rsidRPr="00231FC2">
        <w:rPr>
          <w:rFonts w:ascii="Times New Roman" w:eastAsia="Times New Roman" w:hAnsi="Times New Roman" w:cs="Times New Roman"/>
          <w:color w:val="000000" w:themeColor="text1"/>
          <w:sz w:val="24"/>
          <w:szCs w:val="24"/>
          <w:highlight w:val="white"/>
          <w:lang w:val="en-GB"/>
        </w:rPr>
        <w:t xml:space="preserve">. This type of research approach has helped this research to investigate different pros and cons of private equity investment based on existing theories. Hence, an inductive approach is used in this research work to identify merits and demerits of private equity investments to report research aim. </w:t>
      </w:r>
    </w:p>
    <w:p w14:paraId="5ED14B59" w14:textId="77777777" w:rsidR="00115F5A" w:rsidRPr="00231FC2" w:rsidRDefault="00C413C0" w:rsidP="00231FC2">
      <w:pPr>
        <w:pStyle w:val="Heading1"/>
        <w:spacing w:before="240"/>
        <w:rPr>
          <w:color w:val="000000" w:themeColor="text1"/>
          <w:highlight w:val="white"/>
          <w:lang w:val="en-GB"/>
        </w:rPr>
      </w:pPr>
      <w:bookmarkStart w:id="82" w:name="_Toc114323835"/>
      <w:r w:rsidRPr="00231FC2">
        <w:rPr>
          <w:color w:val="000000" w:themeColor="text1"/>
          <w:highlight w:val="white"/>
          <w:lang w:val="en-GB"/>
        </w:rPr>
        <w:t>3.4 Research Design</w:t>
      </w:r>
      <w:bookmarkEnd w:id="82"/>
    </w:p>
    <w:p w14:paraId="1E4474A5" w14:textId="77777777" w:rsidR="00115F5A" w:rsidRPr="00231FC2" w:rsidRDefault="00C413C0" w:rsidP="00231FC2">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Research design refers to integration of different information logically to gain potential outcomes. Research design is an arrangement of data collection that controls implementation of research objectives based on a specific process (Chauvette </w:t>
      </w:r>
      <w:r w:rsidRPr="00231FC2">
        <w:rPr>
          <w:rFonts w:ascii="Times New Roman" w:eastAsia="Times New Roman" w:hAnsi="Times New Roman" w:cs="Times New Roman"/>
          <w:i/>
          <w:color w:val="000000" w:themeColor="text1"/>
          <w:sz w:val="24"/>
          <w:szCs w:val="24"/>
          <w:highlight w:val="white"/>
          <w:lang w:val="en-GB"/>
        </w:rPr>
        <w:t xml:space="preserve">et al. </w:t>
      </w:r>
      <w:r w:rsidRPr="00231FC2">
        <w:rPr>
          <w:rFonts w:ascii="Times New Roman" w:eastAsia="Times New Roman" w:hAnsi="Times New Roman" w:cs="Times New Roman"/>
          <w:color w:val="000000" w:themeColor="text1"/>
          <w:sz w:val="24"/>
          <w:szCs w:val="24"/>
          <w:highlight w:val="white"/>
          <w:lang w:val="en-GB"/>
        </w:rPr>
        <w:t xml:space="preserve">2019). Major types of research design are qualitative and quantitative research design. This research has adopted a </w:t>
      </w:r>
      <w:r w:rsidRPr="00231FC2">
        <w:rPr>
          <w:rFonts w:ascii="Times New Roman" w:eastAsia="Times New Roman" w:hAnsi="Times New Roman" w:cs="Times New Roman"/>
          <w:i/>
          <w:color w:val="000000" w:themeColor="text1"/>
          <w:sz w:val="24"/>
          <w:szCs w:val="24"/>
          <w:highlight w:val="white"/>
          <w:lang w:val="en-GB"/>
        </w:rPr>
        <w:t>“qualitative research design”</w:t>
      </w:r>
      <w:r w:rsidRPr="00231FC2">
        <w:rPr>
          <w:rFonts w:ascii="Times New Roman" w:eastAsia="Times New Roman" w:hAnsi="Times New Roman" w:cs="Times New Roman"/>
          <w:color w:val="000000" w:themeColor="text1"/>
          <w:sz w:val="24"/>
          <w:szCs w:val="24"/>
          <w:highlight w:val="white"/>
          <w:lang w:val="en-GB"/>
        </w:rPr>
        <w:t xml:space="preserve"> to assess different pros and cons of private equity investment based on observation. This type of research design helped this research work deal with merits and demerits of private equity in EU which has evaluated this research information descriptively. A descriptive manner in qualitative research design has positively impacted a broad critical analysis of private equity investment after </w:t>
      </w:r>
      <w:r w:rsidR="00AE0A8E">
        <w:rPr>
          <w:rFonts w:ascii="Times New Roman" w:eastAsia="Times New Roman" w:hAnsi="Times New Roman" w:cs="Times New Roman"/>
          <w:color w:val="000000" w:themeColor="text1"/>
          <w:sz w:val="24"/>
          <w:szCs w:val="24"/>
          <w:highlight w:val="white"/>
          <w:lang w:val="en-GB"/>
        </w:rPr>
        <w:t>BREXIT</w:t>
      </w:r>
      <w:r w:rsidRPr="00231FC2">
        <w:rPr>
          <w:rFonts w:ascii="Times New Roman" w:eastAsia="Times New Roman" w:hAnsi="Times New Roman" w:cs="Times New Roman"/>
          <w:color w:val="000000" w:themeColor="text1"/>
          <w:sz w:val="24"/>
          <w:szCs w:val="24"/>
          <w:highlight w:val="white"/>
          <w:lang w:val="en-GB"/>
        </w:rPr>
        <w:t xml:space="preserve"> in EU. In such ways, this research has used a qualitative design based on a descriptive manner to critically constituted research information. Qualitative data has incorporated all possible non-numeric information based on secondary sources and developed a descriptive data analysis process throughout this research journey. This type of design has decided a successful development of research work based on a collaborative discussion of all collected secondary resources and compiled successfully in this research work. In such ways, this research has elaborated all gathered information based on the qualitative information analysis process. </w:t>
      </w:r>
    </w:p>
    <w:p w14:paraId="433B9337" w14:textId="77777777" w:rsidR="00115F5A" w:rsidRPr="00231FC2" w:rsidRDefault="00C413C0" w:rsidP="00231FC2">
      <w:pPr>
        <w:pStyle w:val="Heading1"/>
        <w:spacing w:before="240"/>
        <w:rPr>
          <w:color w:val="000000" w:themeColor="text1"/>
          <w:highlight w:val="white"/>
          <w:lang w:val="en-GB"/>
        </w:rPr>
      </w:pPr>
      <w:bookmarkStart w:id="83" w:name="_Toc114323836"/>
      <w:r w:rsidRPr="00231FC2">
        <w:rPr>
          <w:color w:val="000000" w:themeColor="text1"/>
          <w:highlight w:val="white"/>
          <w:lang w:val="en-GB"/>
        </w:rPr>
        <w:t>3.5 Research Strategy</w:t>
      </w:r>
      <w:bookmarkEnd w:id="83"/>
    </w:p>
    <w:p w14:paraId="5F8B8470" w14:textId="77777777" w:rsidR="00115F5A" w:rsidRPr="00231FC2" w:rsidRDefault="00C413C0" w:rsidP="00231FC2">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Research strategy is an important research tool that gives a specific direction to researchers’ thought processes. As mentioned by Dufour and Richard (2019), research strategy is a step-wise data plan that ensures research effort in a specific direction and enables research conduction successfully. This research has proceeded with an </w:t>
      </w:r>
      <w:r w:rsidRPr="00231FC2">
        <w:rPr>
          <w:rFonts w:ascii="Times New Roman" w:eastAsia="Times New Roman" w:hAnsi="Times New Roman" w:cs="Times New Roman"/>
          <w:i/>
          <w:color w:val="000000" w:themeColor="text1"/>
          <w:sz w:val="24"/>
          <w:szCs w:val="24"/>
          <w:highlight w:val="white"/>
          <w:lang w:val="en-GB"/>
        </w:rPr>
        <w:t xml:space="preserve">“archival research strategy” </w:t>
      </w:r>
      <w:r w:rsidRPr="00231FC2">
        <w:rPr>
          <w:rFonts w:ascii="Times New Roman" w:eastAsia="Times New Roman" w:hAnsi="Times New Roman" w:cs="Times New Roman"/>
          <w:color w:val="000000" w:themeColor="text1"/>
          <w:sz w:val="24"/>
          <w:szCs w:val="24"/>
          <w:highlight w:val="white"/>
          <w:lang w:val="en-GB"/>
        </w:rPr>
        <w:t xml:space="preserve">that composed an extracting information analysis of research to understand the impact of equity investment in EU after </w:t>
      </w:r>
      <w:r w:rsidR="00AE0A8E">
        <w:rPr>
          <w:rFonts w:ascii="Times New Roman" w:eastAsia="Times New Roman" w:hAnsi="Times New Roman" w:cs="Times New Roman"/>
          <w:color w:val="000000" w:themeColor="text1"/>
          <w:sz w:val="24"/>
          <w:szCs w:val="24"/>
          <w:highlight w:val="white"/>
          <w:lang w:val="en-GB"/>
        </w:rPr>
        <w:t>BREXIT</w:t>
      </w:r>
      <w:r w:rsidRPr="00231FC2">
        <w:rPr>
          <w:rFonts w:ascii="Times New Roman" w:eastAsia="Times New Roman" w:hAnsi="Times New Roman" w:cs="Times New Roman"/>
          <w:color w:val="000000" w:themeColor="text1"/>
          <w:sz w:val="24"/>
          <w:szCs w:val="24"/>
          <w:highlight w:val="white"/>
          <w:lang w:val="en-GB"/>
        </w:rPr>
        <w:t xml:space="preserve">. According to Gee </w:t>
      </w:r>
      <w:r w:rsidRPr="00231FC2">
        <w:rPr>
          <w:rFonts w:ascii="Times New Roman" w:eastAsia="Times New Roman" w:hAnsi="Times New Roman" w:cs="Times New Roman"/>
          <w:i/>
          <w:color w:val="000000" w:themeColor="text1"/>
          <w:sz w:val="24"/>
          <w:szCs w:val="24"/>
          <w:highlight w:val="white"/>
          <w:lang w:val="en-GB"/>
        </w:rPr>
        <w:t xml:space="preserve">et al. </w:t>
      </w:r>
      <w:r w:rsidRPr="00231FC2">
        <w:rPr>
          <w:rFonts w:ascii="Times New Roman" w:eastAsia="Times New Roman" w:hAnsi="Times New Roman" w:cs="Times New Roman"/>
          <w:color w:val="000000" w:themeColor="text1"/>
          <w:sz w:val="24"/>
          <w:szCs w:val="24"/>
          <w:highlight w:val="white"/>
          <w:lang w:val="en-GB"/>
        </w:rPr>
        <w:t>(2019), an archival research strategy decides an accurate and systematic acquisition of research information and ensures a wider discussion over research questions. Hence, archival analysis based on gathered information from various resources can be conducted with this type and makes a collaborative analysis of all gathered information. Additionally, archival analysis has drawn suitable recommended strategies to propose private equity investment in EU for sustainable development of start</w:t>
      </w:r>
      <w:r w:rsidR="000D7594" w:rsidRPr="00231FC2">
        <w:rPr>
          <w:rFonts w:ascii="Times New Roman" w:eastAsia="Times New Roman" w:hAnsi="Times New Roman" w:cs="Times New Roman"/>
          <w:color w:val="000000" w:themeColor="text1"/>
          <w:sz w:val="24"/>
          <w:szCs w:val="24"/>
          <w:highlight w:val="white"/>
          <w:lang w:val="en-GB"/>
        </w:rPr>
        <w:t>-</w:t>
      </w:r>
      <w:r w:rsidRPr="00231FC2">
        <w:rPr>
          <w:rFonts w:ascii="Times New Roman" w:eastAsia="Times New Roman" w:hAnsi="Times New Roman" w:cs="Times New Roman"/>
          <w:color w:val="000000" w:themeColor="text1"/>
          <w:sz w:val="24"/>
          <w:szCs w:val="24"/>
          <w:highlight w:val="white"/>
          <w:lang w:val="en-GB"/>
        </w:rPr>
        <w:t xml:space="preserve">up companies. This type of strategy in this research preparation makes sure a suitable evaluation of qualitative data and develops sustainability of research information specifically based on research objectives. This research has described research data descriptively where own perspective and analysis power have been used to make this research independent and successful for a new direction of equity invent impact. </w:t>
      </w:r>
    </w:p>
    <w:p w14:paraId="0664A644" w14:textId="77777777" w:rsidR="00115F5A" w:rsidRPr="00231FC2" w:rsidRDefault="00C413C0" w:rsidP="00231FC2">
      <w:pPr>
        <w:pStyle w:val="Heading1"/>
        <w:spacing w:before="240"/>
        <w:rPr>
          <w:color w:val="000000" w:themeColor="text1"/>
          <w:highlight w:val="white"/>
          <w:lang w:val="en-GB"/>
        </w:rPr>
      </w:pPr>
      <w:bookmarkStart w:id="84" w:name="_Toc114323837"/>
      <w:r w:rsidRPr="00231FC2">
        <w:rPr>
          <w:color w:val="000000" w:themeColor="text1"/>
          <w:highlight w:val="white"/>
          <w:lang w:val="en-GB"/>
        </w:rPr>
        <w:t>3.6 Research Choice</w:t>
      </w:r>
      <w:bookmarkEnd w:id="84"/>
    </w:p>
    <w:p w14:paraId="5E4B2F8E" w14:textId="77777777" w:rsidR="00115F5A" w:rsidRPr="00231FC2" w:rsidRDefault="00C413C0" w:rsidP="00231FC2">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Research choice is used to make sure a suitable type of data collection process to implement research objectives successfully. As asserted by Hughes </w:t>
      </w:r>
      <w:r w:rsidRPr="00231FC2">
        <w:rPr>
          <w:rFonts w:ascii="Times New Roman" w:eastAsia="Times New Roman" w:hAnsi="Times New Roman" w:cs="Times New Roman"/>
          <w:i/>
          <w:color w:val="000000" w:themeColor="text1"/>
          <w:sz w:val="24"/>
          <w:szCs w:val="24"/>
          <w:highlight w:val="white"/>
          <w:lang w:val="en-GB"/>
        </w:rPr>
        <w:t xml:space="preserve">et al. </w:t>
      </w:r>
      <w:r w:rsidRPr="00231FC2">
        <w:rPr>
          <w:rFonts w:ascii="Times New Roman" w:eastAsia="Times New Roman" w:hAnsi="Times New Roman" w:cs="Times New Roman"/>
          <w:color w:val="000000" w:themeColor="text1"/>
          <w:sz w:val="24"/>
          <w:szCs w:val="24"/>
          <w:highlight w:val="white"/>
          <w:lang w:val="en-GB"/>
        </w:rPr>
        <w:t xml:space="preserve">(2020), research choice ensures the strategic choice of data in research from a wider selection type in research. Major research choices are mono-method, multi-method and mixed-method which are used to determine the type of research information to conduct a study. This research has used a </w:t>
      </w:r>
      <w:r w:rsidRPr="00231FC2">
        <w:rPr>
          <w:rFonts w:ascii="Times New Roman" w:eastAsia="Times New Roman" w:hAnsi="Times New Roman" w:cs="Times New Roman"/>
          <w:i/>
          <w:color w:val="000000" w:themeColor="text1"/>
          <w:sz w:val="24"/>
          <w:szCs w:val="24"/>
          <w:highlight w:val="white"/>
          <w:lang w:val="en-GB"/>
        </w:rPr>
        <w:t>“mono-method”</w:t>
      </w:r>
      <w:r w:rsidRPr="00231FC2">
        <w:rPr>
          <w:rFonts w:ascii="Times New Roman" w:eastAsia="Times New Roman" w:hAnsi="Times New Roman" w:cs="Times New Roman"/>
          <w:color w:val="000000" w:themeColor="text1"/>
          <w:sz w:val="24"/>
          <w:szCs w:val="24"/>
          <w:highlight w:val="white"/>
          <w:lang w:val="en-GB"/>
        </w:rPr>
        <w:t xml:space="preserve"> as research choice for this research preparation and used a specific type of data. Martins </w:t>
      </w:r>
      <w:r w:rsidRPr="00231FC2">
        <w:rPr>
          <w:rFonts w:ascii="Times New Roman" w:eastAsia="Times New Roman" w:hAnsi="Times New Roman" w:cs="Times New Roman"/>
          <w:i/>
          <w:color w:val="000000" w:themeColor="text1"/>
          <w:sz w:val="24"/>
          <w:szCs w:val="24"/>
          <w:highlight w:val="white"/>
          <w:lang w:val="en-GB"/>
        </w:rPr>
        <w:t xml:space="preserve">et al. </w:t>
      </w:r>
      <w:r w:rsidRPr="00231FC2">
        <w:rPr>
          <w:rFonts w:ascii="Times New Roman" w:eastAsia="Times New Roman" w:hAnsi="Times New Roman" w:cs="Times New Roman"/>
          <w:color w:val="000000" w:themeColor="text1"/>
          <w:sz w:val="24"/>
          <w:szCs w:val="24"/>
          <w:highlight w:val="white"/>
          <w:lang w:val="en-GB"/>
        </w:rPr>
        <w:t xml:space="preserve">(2018) said that the mono-method comprises one method of data collection that ensures a sustainable journey of research to expand its future contribution. Hence, mono-method has helped this research preparation to select one type of data collection process which is the secondary data collection method and developed research based on secondary sources. Additionally, this method has eventually made this research sustainable for a descriptive analysis based on social observation rather than dealing with statistical information. </w:t>
      </w:r>
    </w:p>
    <w:p w14:paraId="056C44EA" w14:textId="77777777" w:rsidR="00115F5A" w:rsidRPr="00231FC2" w:rsidRDefault="00C413C0" w:rsidP="00231FC2">
      <w:pPr>
        <w:pStyle w:val="Heading1"/>
        <w:spacing w:before="240"/>
        <w:rPr>
          <w:color w:val="000000" w:themeColor="text1"/>
          <w:highlight w:val="white"/>
          <w:lang w:val="en-GB"/>
        </w:rPr>
      </w:pPr>
      <w:bookmarkStart w:id="85" w:name="_Toc114323838"/>
      <w:r w:rsidRPr="00231FC2">
        <w:rPr>
          <w:color w:val="000000" w:themeColor="text1"/>
          <w:highlight w:val="white"/>
          <w:lang w:val="en-GB"/>
        </w:rPr>
        <w:t>3.7 Data Collection Method</w:t>
      </w:r>
      <w:bookmarkEnd w:id="85"/>
    </w:p>
    <w:p w14:paraId="259C6ED2" w14:textId="77777777" w:rsidR="00115F5A" w:rsidRPr="00231FC2" w:rsidRDefault="00C413C0" w:rsidP="00231FC2">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Data collection is most important tool in research preparation which ensures a specific data collection type to design research data. Zangirolami-Raimundo </w:t>
      </w:r>
      <w:r w:rsidRPr="00231FC2">
        <w:rPr>
          <w:rFonts w:ascii="Times New Roman" w:eastAsia="Times New Roman" w:hAnsi="Times New Roman" w:cs="Times New Roman"/>
          <w:i/>
          <w:color w:val="000000" w:themeColor="text1"/>
          <w:sz w:val="24"/>
          <w:szCs w:val="24"/>
          <w:highlight w:val="white"/>
          <w:lang w:val="en-GB"/>
        </w:rPr>
        <w:t xml:space="preserve">et al. </w:t>
      </w:r>
      <w:r w:rsidRPr="00231FC2">
        <w:rPr>
          <w:rFonts w:ascii="Times New Roman" w:eastAsia="Times New Roman" w:hAnsi="Times New Roman" w:cs="Times New Roman"/>
          <w:color w:val="000000" w:themeColor="text1"/>
          <w:sz w:val="24"/>
          <w:szCs w:val="24"/>
          <w:highlight w:val="white"/>
          <w:lang w:val="en-GB"/>
        </w:rPr>
        <w:t xml:space="preserve">(2018) opined that data collection is a process used to gather and analyse accurate data to find the answer to research questions and makes an analysis of research issues. Primary data collection and secondary data collection are main types of data collection tools which are further divided into two categories such as qualitative and quantitative methods. Quantitative method is a process which majorly deals with numerical and statistical information whereas qualitative method is basically developed with non-numeric data collection process. </w:t>
      </w:r>
    </w:p>
    <w:p w14:paraId="7D542F66" w14:textId="77777777" w:rsidR="00115F5A" w:rsidRPr="00231FC2" w:rsidRDefault="00C413C0" w:rsidP="00231FC2">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This research has used a </w:t>
      </w:r>
      <w:r w:rsidRPr="00231FC2">
        <w:rPr>
          <w:rFonts w:ascii="Times New Roman" w:eastAsia="Times New Roman" w:hAnsi="Times New Roman" w:cs="Times New Roman"/>
          <w:i/>
          <w:color w:val="000000" w:themeColor="text1"/>
          <w:sz w:val="24"/>
          <w:szCs w:val="24"/>
          <w:highlight w:val="white"/>
          <w:lang w:val="en-GB"/>
        </w:rPr>
        <w:t>“secondary data collection process”</w:t>
      </w:r>
      <w:r w:rsidRPr="00231FC2">
        <w:rPr>
          <w:rFonts w:ascii="Times New Roman" w:eastAsia="Times New Roman" w:hAnsi="Times New Roman" w:cs="Times New Roman"/>
          <w:color w:val="000000" w:themeColor="text1"/>
          <w:sz w:val="24"/>
          <w:szCs w:val="24"/>
          <w:highlight w:val="white"/>
          <w:lang w:val="en-GB"/>
        </w:rPr>
        <w:t xml:space="preserve"> based on which non-numerical information is constituted majorly. Secondary sources such as most current journals and articles are compiled for this research purpose. All selected journals and articles are published from 2018 onwards and all used websites are the most recent and authentic. This research has used journals and articles only based on research aims which have been used to investigate the merits and demerits of private equity investment in EU after </w:t>
      </w:r>
      <w:r w:rsidR="00AE0A8E">
        <w:rPr>
          <w:rFonts w:ascii="Times New Roman" w:eastAsia="Times New Roman" w:hAnsi="Times New Roman" w:cs="Times New Roman"/>
          <w:color w:val="000000" w:themeColor="text1"/>
          <w:sz w:val="24"/>
          <w:szCs w:val="24"/>
          <w:highlight w:val="white"/>
          <w:lang w:val="en-GB"/>
        </w:rPr>
        <w:t>BREXIT</w:t>
      </w:r>
      <w:r w:rsidRPr="00231FC2">
        <w:rPr>
          <w:rFonts w:ascii="Times New Roman" w:eastAsia="Times New Roman" w:hAnsi="Times New Roman" w:cs="Times New Roman"/>
          <w:color w:val="000000" w:themeColor="text1"/>
          <w:sz w:val="24"/>
          <w:szCs w:val="24"/>
          <w:highlight w:val="white"/>
          <w:lang w:val="en-GB"/>
        </w:rPr>
        <w:t xml:space="preserve">. Based on such resources, this research preparation is conducted and analysed all possible merits and demerits with non-numeric analysis. Qualitative data collection process is followed in this content that has designed findings of this research non-numerically. Hence, this research has used a secondary qualitative data collection process to collect and analyse research content. </w:t>
      </w:r>
    </w:p>
    <w:p w14:paraId="21AB5657" w14:textId="77777777" w:rsidR="00115F5A" w:rsidRPr="00231FC2" w:rsidRDefault="00C413C0" w:rsidP="00231FC2">
      <w:pPr>
        <w:pStyle w:val="Heading1"/>
        <w:spacing w:before="240"/>
        <w:rPr>
          <w:color w:val="000000" w:themeColor="text1"/>
          <w:highlight w:val="white"/>
          <w:lang w:val="en-GB"/>
        </w:rPr>
      </w:pPr>
      <w:bookmarkStart w:id="86" w:name="_Toc114323839"/>
      <w:r w:rsidRPr="00231FC2">
        <w:rPr>
          <w:color w:val="000000" w:themeColor="text1"/>
          <w:highlight w:val="white"/>
          <w:lang w:val="en-GB"/>
        </w:rPr>
        <w:t>3.7.1 Exclusion and Inclusion Criteria</w:t>
      </w:r>
      <w:bookmarkEnd w:id="86"/>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15F5A" w:rsidRPr="00231FC2" w14:paraId="7C72D8DE" w14:textId="77777777">
        <w:trPr>
          <w:cantSplit/>
          <w:tblHeader/>
          <w:jc w:val="center"/>
        </w:trPr>
        <w:tc>
          <w:tcPr>
            <w:tcW w:w="4514" w:type="dxa"/>
            <w:shd w:val="clear" w:color="auto" w:fill="auto"/>
            <w:tcMar>
              <w:top w:w="100" w:type="dxa"/>
              <w:left w:w="100" w:type="dxa"/>
              <w:bottom w:w="100" w:type="dxa"/>
              <w:right w:w="100" w:type="dxa"/>
            </w:tcMar>
          </w:tcPr>
          <w:p w14:paraId="451C0BDD" w14:textId="77777777" w:rsidR="00115F5A" w:rsidRPr="00231FC2" w:rsidRDefault="00C413C0" w:rsidP="00231FC2">
            <w:pPr>
              <w:pStyle w:val="Normal1"/>
              <w:widowControl w:val="0"/>
              <w:pBdr>
                <w:top w:val="nil"/>
                <w:left w:val="nil"/>
                <w:bottom w:val="nil"/>
                <w:right w:val="nil"/>
                <w:between w:val="nil"/>
              </w:pBdr>
              <w:spacing w:before="240" w:line="360" w:lineRule="auto"/>
              <w:jc w:val="center"/>
              <w:rPr>
                <w:rFonts w:ascii="Times New Roman" w:eastAsia="Times New Roman" w:hAnsi="Times New Roman" w:cs="Times New Roman"/>
                <w:b/>
                <w:color w:val="000000" w:themeColor="text1"/>
                <w:sz w:val="24"/>
                <w:szCs w:val="24"/>
                <w:highlight w:val="white"/>
                <w:lang w:val="en-GB"/>
              </w:rPr>
            </w:pPr>
            <w:r w:rsidRPr="00231FC2">
              <w:rPr>
                <w:rFonts w:ascii="Times New Roman" w:eastAsia="Times New Roman" w:hAnsi="Times New Roman" w:cs="Times New Roman"/>
                <w:b/>
                <w:color w:val="000000" w:themeColor="text1"/>
                <w:sz w:val="24"/>
                <w:szCs w:val="24"/>
                <w:highlight w:val="white"/>
                <w:lang w:val="en-GB"/>
              </w:rPr>
              <w:t xml:space="preserve">Inclusion criteria </w:t>
            </w:r>
          </w:p>
        </w:tc>
        <w:tc>
          <w:tcPr>
            <w:tcW w:w="4514" w:type="dxa"/>
            <w:shd w:val="clear" w:color="auto" w:fill="auto"/>
            <w:tcMar>
              <w:top w:w="100" w:type="dxa"/>
              <w:left w:w="100" w:type="dxa"/>
              <w:bottom w:w="100" w:type="dxa"/>
              <w:right w:w="100" w:type="dxa"/>
            </w:tcMar>
          </w:tcPr>
          <w:p w14:paraId="60000955" w14:textId="77777777" w:rsidR="00115F5A" w:rsidRPr="00231FC2" w:rsidRDefault="00C413C0" w:rsidP="00231FC2">
            <w:pPr>
              <w:pStyle w:val="Normal1"/>
              <w:widowControl w:val="0"/>
              <w:pBdr>
                <w:top w:val="nil"/>
                <w:left w:val="nil"/>
                <w:bottom w:val="nil"/>
                <w:right w:val="nil"/>
                <w:between w:val="nil"/>
              </w:pBdr>
              <w:spacing w:before="240" w:line="360" w:lineRule="auto"/>
              <w:jc w:val="center"/>
              <w:rPr>
                <w:rFonts w:ascii="Times New Roman" w:eastAsia="Times New Roman" w:hAnsi="Times New Roman" w:cs="Times New Roman"/>
                <w:b/>
                <w:color w:val="000000" w:themeColor="text1"/>
                <w:sz w:val="24"/>
                <w:szCs w:val="24"/>
                <w:highlight w:val="white"/>
                <w:lang w:val="en-GB"/>
              </w:rPr>
            </w:pPr>
            <w:r w:rsidRPr="00231FC2">
              <w:rPr>
                <w:rFonts w:ascii="Times New Roman" w:eastAsia="Times New Roman" w:hAnsi="Times New Roman" w:cs="Times New Roman"/>
                <w:b/>
                <w:color w:val="000000" w:themeColor="text1"/>
                <w:sz w:val="24"/>
                <w:szCs w:val="24"/>
                <w:highlight w:val="white"/>
                <w:lang w:val="en-GB"/>
              </w:rPr>
              <w:t xml:space="preserve">Exclusion criteria </w:t>
            </w:r>
          </w:p>
        </w:tc>
      </w:tr>
      <w:tr w:rsidR="00115F5A" w:rsidRPr="00231FC2" w14:paraId="3B675E7D" w14:textId="77777777">
        <w:trPr>
          <w:cantSplit/>
          <w:tblHeader/>
          <w:jc w:val="center"/>
        </w:trPr>
        <w:tc>
          <w:tcPr>
            <w:tcW w:w="4514" w:type="dxa"/>
            <w:shd w:val="clear" w:color="auto" w:fill="auto"/>
            <w:tcMar>
              <w:top w:w="100" w:type="dxa"/>
              <w:left w:w="100" w:type="dxa"/>
              <w:bottom w:w="100" w:type="dxa"/>
              <w:right w:w="100" w:type="dxa"/>
            </w:tcMar>
          </w:tcPr>
          <w:p w14:paraId="5CF6B86E" w14:textId="77777777" w:rsidR="00115F5A" w:rsidRPr="00231FC2" w:rsidRDefault="00C413C0" w:rsidP="00231FC2">
            <w:pPr>
              <w:pStyle w:val="Normal1"/>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All selected journals and articles are peer-reviewed in this research work. </w:t>
            </w:r>
          </w:p>
        </w:tc>
        <w:tc>
          <w:tcPr>
            <w:tcW w:w="4514" w:type="dxa"/>
            <w:shd w:val="clear" w:color="auto" w:fill="auto"/>
            <w:tcMar>
              <w:top w:w="100" w:type="dxa"/>
              <w:left w:w="100" w:type="dxa"/>
              <w:bottom w:w="100" w:type="dxa"/>
              <w:right w:w="100" w:type="dxa"/>
            </w:tcMar>
          </w:tcPr>
          <w:p w14:paraId="000E3080" w14:textId="77777777" w:rsidR="00115F5A" w:rsidRPr="00231FC2" w:rsidRDefault="00C413C0" w:rsidP="00231FC2">
            <w:pPr>
              <w:pStyle w:val="Normal1"/>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Non-peer-reviewed journals and articles are totally excluded. </w:t>
            </w:r>
          </w:p>
        </w:tc>
      </w:tr>
      <w:tr w:rsidR="00115F5A" w:rsidRPr="00231FC2" w14:paraId="291E9FCF" w14:textId="77777777">
        <w:trPr>
          <w:cantSplit/>
          <w:tblHeader/>
          <w:jc w:val="center"/>
        </w:trPr>
        <w:tc>
          <w:tcPr>
            <w:tcW w:w="4514" w:type="dxa"/>
            <w:shd w:val="clear" w:color="auto" w:fill="auto"/>
            <w:tcMar>
              <w:top w:w="100" w:type="dxa"/>
              <w:left w:w="100" w:type="dxa"/>
              <w:bottom w:w="100" w:type="dxa"/>
              <w:right w:w="100" w:type="dxa"/>
            </w:tcMar>
          </w:tcPr>
          <w:p w14:paraId="07A0BFE6" w14:textId="77777777" w:rsidR="00115F5A" w:rsidRPr="00231FC2" w:rsidRDefault="00C413C0" w:rsidP="00231FC2">
            <w:pPr>
              <w:pStyle w:val="Normal1"/>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Journals and articles which are published in 2018 are included. </w:t>
            </w:r>
          </w:p>
        </w:tc>
        <w:tc>
          <w:tcPr>
            <w:tcW w:w="4514" w:type="dxa"/>
            <w:shd w:val="clear" w:color="auto" w:fill="auto"/>
            <w:tcMar>
              <w:top w:w="100" w:type="dxa"/>
              <w:left w:w="100" w:type="dxa"/>
              <w:bottom w:w="100" w:type="dxa"/>
              <w:right w:w="100" w:type="dxa"/>
            </w:tcMar>
          </w:tcPr>
          <w:p w14:paraId="3CEE9D8B" w14:textId="77777777" w:rsidR="00115F5A" w:rsidRPr="00231FC2" w:rsidRDefault="00C413C0" w:rsidP="00231FC2">
            <w:pPr>
              <w:pStyle w:val="Normal1"/>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Before 2018 published journals and articles are excluded totally. </w:t>
            </w:r>
          </w:p>
        </w:tc>
      </w:tr>
      <w:tr w:rsidR="00115F5A" w:rsidRPr="00231FC2" w14:paraId="3B49A09D" w14:textId="77777777">
        <w:trPr>
          <w:cantSplit/>
          <w:tblHeader/>
          <w:jc w:val="center"/>
        </w:trPr>
        <w:tc>
          <w:tcPr>
            <w:tcW w:w="4514" w:type="dxa"/>
            <w:shd w:val="clear" w:color="auto" w:fill="auto"/>
            <w:tcMar>
              <w:top w:w="100" w:type="dxa"/>
              <w:left w:w="100" w:type="dxa"/>
              <w:bottom w:w="100" w:type="dxa"/>
              <w:right w:w="100" w:type="dxa"/>
            </w:tcMar>
          </w:tcPr>
          <w:p w14:paraId="16E59886" w14:textId="77777777" w:rsidR="00115F5A" w:rsidRPr="00231FC2" w:rsidRDefault="00C413C0" w:rsidP="00231FC2">
            <w:pPr>
              <w:pStyle w:val="Normal1"/>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Google Scholar database is used for collection of secondary resources. </w:t>
            </w:r>
          </w:p>
        </w:tc>
        <w:tc>
          <w:tcPr>
            <w:tcW w:w="4514" w:type="dxa"/>
            <w:shd w:val="clear" w:color="auto" w:fill="auto"/>
            <w:tcMar>
              <w:top w:w="100" w:type="dxa"/>
              <w:left w:w="100" w:type="dxa"/>
              <w:bottom w:w="100" w:type="dxa"/>
              <w:right w:w="100" w:type="dxa"/>
            </w:tcMar>
          </w:tcPr>
          <w:p w14:paraId="01191BBC" w14:textId="77777777" w:rsidR="00115F5A" w:rsidRPr="00231FC2" w:rsidRDefault="00C413C0" w:rsidP="00231FC2">
            <w:pPr>
              <w:pStyle w:val="Normal1"/>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Other databases except Google Scholar are excluded from this research work. </w:t>
            </w:r>
          </w:p>
        </w:tc>
      </w:tr>
      <w:tr w:rsidR="00115F5A" w:rsidRPr="00231FC2" w14:paraId="76BAEB5B" w14:textId="77777777">
        <w:trPr>
          <w:cantSplit/>
          <w:tblHeader/>
          <w:jc w:val="center"/>
        </w:trPr>
        <w:tc>
          <w:tcPr>
            <w:tcW w:w="4514" w:type="dxa"/>
            <w:shd w:val="clear" w:color="auto" w:fill="auto"/>
            <w:tcMar>
              <w:top w:w="100" w:type="dxa"/>
              <w:left w:w="100" w:type="dxa"/>
              <w:bottom w:w="100" w:type="dxa"/>
              <w:right w:w="100" w:type="dxa"/>
            </w:tcMar>
          </w:tcPr>
          <w:p w14:paraId="12A36C0C" w14:textId="77777777" w:rsidR="00115F5A" w:rsidRPr="00231FC2" w:rsidRDefault="00C413C0" w:rsidP="00231FC2">
            <w:pPr>
              <w:pStyle w:val="Normal1"/>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English language is used for collection of journals and articles. </w:t>
            </w:r>
          </w:p>
        </w:tc>
        <w:tc>
          <w:tcPr>
            <w:tcW w:w="4514" w:type="dxa"/>
            <w:shd w:val="clear" w:color="auto" w:fill="auto"/>
            <w:tcMar>
              <w:top w:w="100" w:type="dxa"/>
              <w:left w:w="100" w:type="dxa"/>
              <w:bottom w:w="100" w:type="dxa"/>
              <w:right w:w="100" w:type="dxa"/>
            </w:tcMar>
          </w:tcPr>
          <w:p w14:paraId="2274D277" w14:textId="77777777" w:rsidR="00115F5A" w:rsidRPr="00231FC2" w:rsidRDefault="00C413C0" w:rsidP="00231FC2">
            <w:pPr>
              <w:pStyle w:val="Normal1"/>
              <w:widowControl w:val="0"/>
              <w:pBdr>
                <w:top w:val="nil"/>
                <w:left w:val="nil"/>
                <w:bottom w:val="nil"/>
                <w:right w:val="nil"/>
                <w:between w:val="nil"/>
              </w:pBdr>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All other languages of journals and articles except English are excluded. </w:t>
            </w:r>
          </w:p>
        </w:tc>
      </w:tr>
      <w:tr w:rsidR="00115F5A" w:rsidRPr="00231FC2" w14:paraId="00B5B3CC" w14:textId="77777777">
        <w:trPr>
          <w:cantSplit/>
          <w:tblHeader/>
          <w:jc w:val="center"/>
        </w:trPr>
        <w:tc>
          <w:tcPr>
            <w:tcW w:w="4514" w:type="dxa"/>
            <w:shd w:val="clear" w:color="auto" w:fill="auto"/>
            <w:tcMar>
              <w:top w:w="100" w:type="dxa"/>
              <w:left w:w="100" w:type="dxa"/>
              <w:bottom w:w="100" w:type="dxa"/>
              <w:right w:w="100" w:type="dxa"/>
            </w:tcMar>
          </w:tcPr>
          <w:p w14:paraId="7BE3F0E0" w14:textId="77777777" w:rsidR="00115F5A" w:rsidRPr="00231FC2" w:rsidRDefault="00C413C0" w:rsidP="00231FC2">
            <w:pPr>
              <w:pStyle w:val="Normal1"/>
              <w:widowControl w:val="0"/>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Journals and articles which are only dedicated to these research objectives are included. </w:t>
            </w:r>
          </w:p>
        </w:tc>
        <w:tc>
          <w:tcPr>
            <w:tcW w:w="4514" w:type="dxa"/>
            <w:shd w:val="clear" w:color="auto" w:fill="auto"/>
            <w:tcMar>
              <w:top w:w="100" w:type="dxa"/>
              <w:left w:w="100" w:type="dxa"/>
              <w:bottom w:w="100" w:type="dxa"/>
              <w:right w:w="100" w:type="dxa"/>
            </w:tcMar>
          </w:tcPr>
          <w:p w14:paraId="729CB416" w14:textId="77777777" w:rsidR="00115F5A" w:rsidRPr="00231FC2" w:rsidRDefault="00C413C0" w:rsidP="00231FC2">
            <w:pPr>
              <w:pStyle w:val="Normal1"/>
              <w:widowControl w:val="0"/>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Journals and articles which are not dedicated to </w:t>
            </w:r>
            <w:r w:rsidR="000D7594" w:rsidRPr="00231FC2">
              <w:rPr>
                <w:rFonts w:ascii="Times New Roman" w:eastAsia="Times New Roman" w:hAnsi="Times New Roman" w:cs="Times New Roman"/>
                <w:color w:val="000000" w:themeColor="text1"/>
                <w:sz w:val="24"/>
                <w:szCs w:val="24"/>
                <w:highlight w:val="white"/>
                <w:lang w:val="en-GB"/>
              </w:rPr>
              <w:t>this research objectives</w:t>
            </w:r>
            <w:r w:rsidRPr="00231FC2">
              <w:rPr>
                <w:rFonts w:ascii="Times New Roman" w:eastAsia="Times New Roman" w:hAnsi="Times New Roman" w:cs="Times New Roman"/>
                <w:color w:val="000000" w:themeColor="text1"/>
                <w:sz w:val="24"/>
                <w:szCs w:val="24"/>
                <w:highlight w:val="white"/>
                <w:lang w:val="en-GB"/>
              </w:rPr>
              <w:t xml:space="preserve"> </w:t>
            </w:r>
            <w:r w:rsidR="000D7594" w:rsidRPr="00231FC2">
              <w:rPr>
                <w:rFonts w:ascii="Times New Roman" w:eastAsia="Times New Roman" w:hAnsi="Times New Roman" w:cs="Times New Roman"/>
                <w:color w:val="000000" w:themeColor="text1"/>
                <w:sz w:val="24"/>
                <w:szCs w:val="24"/>
                <w:highlight w:val="white"/>
                <w:lang w:val="en-GB"/>
              </w:rPr>
              <w:t xml:space="preserve">are </w:t>
            </w:r>
            <w:r w:rsidRPr="00231FC2">
              <w:rPr>
                <w:rFonts w:ascii="Times New Roman" w:eastAsia="Times New Roman" w:hAnsi="Times New Roman" w:cs="Times New Roman"/>
                <w:color w:val="000000" w:themeColor="text1"/>
                <w:sz w:val="24"/>
                <w:szCs w:val="24"/>
                <w:highlight w:val="white"/>
                <w:lang w:val="en-GB"/>
              </w:rPr>
              <w:t xml:space="preserve">fully are excluded. </w:t>
            </w:r>
          </w:p>
        </w:tc>
      </w:tr>
    </w:tbl>
    <w:p w14:paraId="55BF39B4" w14:textId="77777777" w:rsidR="00115F5A" w:rsidRPr="00231FC2" w:rsidRDefault="00C413C0" w:rsidP="00231FC2">
      <w:pPr>
        <w:pStyle w:val="Heading3"/>
        <w:spacing w:before="240"/>
        <w:rPr>
          <w:color w:val="000000" w:themeColor="text1"/>
          <w:highlight w:val="white"/>
          <w:lang w:val="en-GB"/>
        </w:rPr>
      </w:pPr>
      <w:bookmarkStart w:id="87" w:name="_Toc114323872"/>
      <w:r w:rsidRPr="00231FC2">
        <w:rPr>
          <w:color w:val="000000" w:themeColor="text1"/>
          <w:highlight w:val="white"/>
          <w:lang w:val="en-GB"/>
        </w:rPr>
        <w:t>Table 3.1: Exclusion and Inclusion criteria</w:t>
      </w:r>
      <w:bookmarkEnd w:id="87"/>
      <w:r w:rsidRPr="00231FC2">
        <w:rPr>
          <w:color w:val="000000" w:themeColor="text1"/>
          <w:highlight w:val="white"/>
          <w:lang w:val="en-GB"/>
        </w:rPr>
        <w:t xml:space="preserve"> </w:t>
      </w:r>
    </w:p>
    <w:p w14:paraId="241588C2" w14:textId="77777777" w:rsidR="00115F5A" w:rsidRPr="00231FC2" w:rsidRDefault="00C413C0" w:rsidP="00231FC2">
      <w:pPr>
        <w:pStyle w:val="Normal1"/>
        <w:spacing w:before="240" w:line="360" w:lineRule="auto"/>
        <w:jc w:val="center"/>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(Source: Created by Author) </w:t>
      </w:r>
    </w:p>
    <w:p w14:paraId="692C3BA9" w14:textId="77777777" w:rsidR="00115F5A" w:rsidRPr="00231FC2" w:rsidRDefault="00C413C0" w:rsidP="00231FC2">
      <w:pPr>
        <w:pStyle w:val="Heading1"/>
        <w:spacing w:before="240"/>
        <w:rPr>
          <w:color w:val="000000" w:themeColor="text1"/>
          <w:highlight w:val="white"/>
          <w:lang w:val="en-GB"/>
        </w:rPr>
      </w:pPr>
      <w:bookmarkStart w:id="88" w:name="_Toc114323840"/>
      <w:r w:rsidRPr="00231FC2">
        <w:rPr>
          <w:color w:val="000000" w:themeColor="text1"/>
          <w:highlight w:val="white"/>
          <w:lang w:val="en-GB"/>
        </w:rPr>
        <w:t>3.7.2 Search Strategy</w:t>
      </w:r>
      <w:bookmarkEnd w:id="88"/>
    </w:p>
    <w:p w14:paraId="60F9C3A5" w14:textId="77777777" w:rsidR="00115F5A" w:rsidRPr="00231FC2" w:rsidRDefault="00C413C0" w:rsidP="00231FC2">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Research strategy is an important factor in the research method that is used to develop quality and authenticity of research work. Search strategy is used in research work to make sure of a specific direction over gathered information. As stated by Umanailo </w:t>
      </w:r>
      <w:r w:rsidRPr="00231FC2">
        <w:rPr>
          <w:rFonts w:ascii="Times New Roman" w:eastAsia="Times New Roman" w:hAnsi="Times New Roman" w:cs="Times New Roman"/>
          <w:i/>
          <w:color w:val="000000" w:themeColor="text1"/>
          <w:sz w:val="24"/>
          <w:szCs w:val="24"/>
          <w:highlight w:val="white"/>
          <w:lang w:val="en-GB"/>
        </w:rPr>
        <w:t xml:space="preserve">et al. </w:t>
      </w:r>
      <w:r w:rsidRPr="00231FC2">
        <w:rPr>
          <w:rFonts w:ascii="Times New Roman" w:eastAsia="Times New Roman" w:hAnsi="Times New Roman" w:cs="Times New Roman"/>
          <w:color w:val="000000" w:themeColor="text1"/>
          <w:sz w:val="24"/>
          <w:szCs w:val="24"/>
          <w:highlight w:val="white"/>
          <w:lang w:val="en-GB"/>
        </w:rPr>
        <w:t>(2019), search strategy is a key term in research structure that serves to get relevant resources from a database. This research has used different keywords which ensure accurate results and ensure reporting to research questions. “</w:t>
      </w:r>
      <w:r w:rsidR="000D7594" w:rsidRPr="00231FC2">
        <w:rPr>
          <w:rFonts w:ascii="Times New Roman" w:eastAsia="Times New Roman" w:hAnsi="Times New Roman" w:cs="Times New Roman"/>
          <w:color w:val="000000" w:themeColor="text1"/>
          <w:sz w:val="24"/>
          <w:szCs w:val="24"/>
          <w:highlight w:val="white"/>
          <w:lang w:val="en-GB"/>
        </w:rPr>
        <w:t>Private</w:t>
      </w:r>
      <w:r w:rsidRPr="00231FC2">
        <w:rPr>
          <w:rFonts w:ascii="Times New Roman" w:eastAsia="Times New Roman" w:hAnsi="Times New Roman" w:cs="Times New Roman"/>
          <w:color w:val="000000" w:themeColor="text1"/>
          <w:sz w:val="24"/>
          <w:szCs w:val="24"/>
          <w:highlight w:val="white"/>
          <w:lang w:val="en-GB"/>
        </w:rPr>
        <w:t xml:space="preserve"> equity investment”, </w:t>
      </w:r>
      <w:r w:rsidR="000D7594" w:rsidRPr="00231FC2">
        <w:rPr>
          <w:rFonts w:ascii="Times New Roman" w:eastAsia="Times New Roman" w:hAnsi="Times New Roman" w:cs="Times New Roman"/>
          <w:color w:val="000000" w:themeColor="text1"/>
          <w:sz w:val="24"/>
          <w:szCs w:val="24"/>
          <w:highlight w:val="white"/>
          <w:lang w:val="en-GB"/>
        </w:rPr>
        <w:t>“</w:t>
      </w:r>
      <w:r w:rsidRPr="00231FC2">
        <w:rPr>
          <w:rFonts w:ascii="Times New Roman" w:eastAsia="Times New Roman" w:hAnsi="Times New Roman" w:cs="Times New Roman"/>
          <w:color w:val="000000" w:themeColor="text1"/>
          <w:sz w:val="24"/>
          <w:szCs w:val="24"/>
          <w:highlight w:val="white"/>
          <w:lang w:val="en-GB"/>
        </w:rPr>
        <w:t xml:space="preserve">factors to trigger private equity investment”, </w:t>
      </w:r>
      <w:r w:rsidR="000D7594" w:rsidRPr="00231FC2">
        <w:rPr>
          <w:rFonts w:ascii="Times New Roman" w:eastAsia="Times New Roman" w:hAnsi="Times New Roman" w:cs="Times New Roman"/>
          <w:color w:val="000000" w:themeColor="text1"/>
          <w:sz w:val="24"/>
          <w:szCs w:val="24"/>
          <w:highlight w:val="white"/>
          <w:lang w:val="en-GB"/>
        </w:rPr>
        <w:t>“</w:t>
      </w:r>
      <w:r w:rsidRPr="00231FC2">
        <w:rPr>
          <w:rFonts w:ascii="Times New Roman" w:eastAsia="Times New Roman" w:hAnsi="Times New Roman" w:cs="Times New Roman"/>
          <w:color w:val="000000" w:themeColor="text1"/>
          <w:sz w:val="24"/>
          <w:szCs w:val="24"/>
          <w:highlight w:val="white"/>
          <w:lang w:val="en-GB"/>
        </w:rPr>
        <w:t xml:space="preserve">issues in private equity investment in EU after </w:t>
      </w:r>
      <w:r w:rsidR="00AE0A8E">
        <w:rPr>
          <w:rFonts w:ascii="Times New Roman" w:eastAsia="Times New Roman" w:hAnsi="Times New Roman" w:cs="Times New Roman"/>
          <w:color w:val="000000" w:themeColor="text1"/>
          <w:sz w:val="24"/>
          <w:szCs w:val="24"/>
          <w:highlight w:val="white"/>
          <w:lang w:val="en-GB"/>
        </w:rPr>
        <w:t>BREXIT</w:t>
      </w:r>
      <w:r w:rsidRPr="00231FC2">
        <w:rPr>
          <w:rFonts w:ascii="Times New Roman" w:eastAsia="Times New Roman" w:hAnsi="Times New Roman" w:cs="Times New Roman"/>
          <w:color w:val="000000" w:themeColor="text1"/>
          <w:sz w:val="24"/>
          <w:szCs w:val="24"/>
          <w:highlight w:val="white"/>
          <w:lang w:val="en-GB"/>
        </w:rPr>
        <w:t>”, “impact of equity investment”</w:t>
      </w:r>
      <w:r w:rsidR="000D7594" w:rsidRPr="00231FC2">
        <w:rPr>
          <w:rFonts w:ascii="Times New Roman" w:eastAsia="Times New Roman" w:hAnsi="Times New Roman" w:cs="Times New Roman"/>
          <w:color w:val="000000" w:themeColor="text1"/>
          <w:sz w:val="24"/>
          <w:szCs w:val="24"/>
          <w:highlight w:val="white"/>
          <w:lang w:val="en-GB"/>
        </w:rPr>
        <w:t>,</w:t>
      </w:r>
      <w:r w:rsidRPr="00231FC2">
        <w:rPr>
          <w:rFonts w:ascii="Times New Roman" w:eastAsia="Times New Roman" w:hAnsi="Times New Roman" w:cs="Times New Roman"/>
          <w:color w:val="000000" w:themeColor="text1"/>
          <w:sz w:val="24"/>
          <w:szCs w:val="24"/>
          <w:highlight w:val="white"/>
          <w:lang w:val="en-GB"/>
        </w:rPr>
        <w:t xml:space="preserve"> “strategies for sustainable private equity investment” are some keywords of this research preparation that served to accumulate most authentic information. All of this information has resulted in gathering and analysing this research work successfully and conducting a quality research preparation. </w:t>
      </w:r>
    </w:p>
    <w:p w14:paraId="68D37771" w14:textId="77777777" w:rsidR="00115F5A" w:rsidRPr="00231FC2" w:rsidRDefault="00C413C0" w:rsidP="00231FC2">
      <w:pPr>
        <w:pStyle w:val="Heading1"/>
        <w:spacing w:before="240"/>
        <w:rPr>
          <w:color w:val="000000" w:themeColor="text1"/>
          <w:highlight w:val="white"/>
          <w:lang w:val="en-GB"/>
        </w:rPr>
      </w:pPr>
      <w:bookmarkStart w:id="89" w:name="_Toc114323841"/>
      <w:r w:rsidRPr="00231FC2">
        <w:rPr>
          <w:color w:val="000000" w:themeColor="text1"/>
          <w:highlight w:val="white"/>
          <w:lang w:val="en-GB"/>
        </w:rPr>
        <w:t>3.8 Data analysis</w:t>
      </w:r>
      <w:bookmarkEnd w:id="89"/>
    </w:p>
    <w:p w14:paraId="139A167A" w14:textId="77777777" w:rsidR="00115F5A" w:rsidRPr="00231FC2" w:rsidRDefault="00C413C0" w:rsidP="00231FC2">
      <w:pPr>
        <w:pStyle w:val="Normal1"/>
        <w:spacing w:before="240" w:line="360" w:lineRule="auto"/>
        <w:jc w:val="both"/>
        <w:rPr>
          <w:rFonts w:ascii="Times New Roman" w:eastAsia="Times New Roman" w:hAnsi="Times New Roman" w:cs="Times New Roman"/>
          <w:b/>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Data analysis is a process that uses logical techniques to describe and evaluate collected data in research. Greening (2019) mentioned that data analysis is closely associated to utilise research data in a specific pattern to involve answers to research objectives. Data collection performs to collect data and this research has collected all possible secondary data from online available secondary sources and investigated different merits and demerits of private equity investments in EU after </w:t>
      </w:r>
      <w:r w:rsidR="00AE0A8E">
        <w:rPr>
          <w:rFonts w:ascii="Times New Roman" w:eastAsia="Times New Roman" w:hAnsi="Times New Roman" w:cs="Times New Roman"/>
          <w:color w:val="000000" w:themeColor="text1"/>
          <w:sz w:val="24"/>
          <w:szCs w:val="24"/>
          <w:highlight w:val="white"/>
          <w:lang w:val="en-GB"/>
        </w:rPr>
        <w:t>BREXIT</w:t>
      </w:r>
      <w:r w:rsidRPr="00231FC2">
        <w:rPr>
          <w:rFonts w:ascii="Times New Roman" w:eastAsia="Times New Roman" w:hAnsi="Times New Roman" w:cs="Times New Roman"/>
          <w:color w:val="000000" w:themeColor="text1"/>
          <w:sz w:val="24"/>
          <w:szCs w:val="24"/>
          <w:highlight w:val="white"/>
          <w:lang w:val="en-GB"/>
        </w:rPr>
        <w:t xml:space="preserve">. Further, based on such selected information, recommendation strategies are developed to deal with identified demerits. This research has chosen a </w:t>
      </w:r>
      <w:r w:rsidRPr="00231FC2">
        <w:rPr>
          <w:rFonts w:ascii="Times New Roman" w:eastAsia="Times New Roman" w:hAnsi="Times New Roman" w:cs="Times New Roman"/>
          <w:i/>
          <w:color w:val="000000" w:themeColor="text1"/>
          <w:sz w:val="24"/>
          <w:szCs w:val="24"/>
          <w:highlight w:val="white"/>
          <w:lang w:val="en-GB"/>
        </w:rPr>
        <w:t>“thematic data analysis technique”</w:t>
      </w:r>
      <w:r w:rsidRPr="00231FC2">
        <w:rPr>
          <w:rFonts w:ascii="Times New Roman" w:eastAsia="Times New Roman" w:hAnsi="Times New Roman" w:cs="Times New Roman"/>
          <w:b/>
          <w:i/>
          <w:color w:val="000000" w:themeColor="text1"/>
          <w:sz w:val="24"/>
          <w:szCs w:val="24"/>
          <w:highlight w:val="white"/>
          <w:lang w:val="en-GB"/>
        </w:rPr>
        <w:t xml:space="preserve"> </w:t>
      </w:r>
      <w:r w:rsidRPr="00231FC2">
        <w:rPr>
          <w:rFonts w:ascii="Times New Roman" w:eastAsia="Times New Roman" w:hAnsi="Times New Roman" w:cs="Times New Roman"/>
          <w:color w:val="000000" w:themeColor="text1"/>
          <w:sz w:val="24"/>
          <w:szCs w:val="24"/>
          <w:highlight w:val="white"/>
          <w:lang w:val="en-GB"/>
        </w:rPr>
        <w:t xml:space="preserve">that involves gathering data non-numerically to constitute research findings. A total of 5 themes are developed that have used various secondary sources and developed a qualitative method to constitute all themes. Themes are developed based on all research objectives and reported to research issues and questions strategically. Each theme used one main journal or article which further compared and contrasted with other similar types of resources. Hence, this research has developed data analysis with themes based on secondary qualitative data collection methods. In such ways, data analysis has come to proceed with non-numerical research information. </w:t>
      </w:r>
    </w:p>
    <w:p w14:paraId="195CF36E" w14:textId="77777777" w:rsidR="00115F5A" w:rsidRPr="00231FC2" w:rsidRDefault="00C413C0" w:rsidP="00231FC2">
      <w:pPr>
        <w:pStyle w:val="Heading1"/>
        <w:spacing w:before="240"/>
        <w:rPr>
          <w:color w:val="000000" w:themeColor="text1"/>
          <w:highlight w:val="white"/>
          <w:lang w:val="en-GB"/>
        </w:rPr>
      </w:pPr>
      <w:bookmarkStart w:id="90" w:name="_Toc114323842"/>
      <w:r w:rsidRPr="00231FC2">
        <w:rPr>
          <w:color w:val="000000" w:themeColor="text1"/>
          <w:highlight w:val="white"/>
          <w:lang w:val="en-GB"/>
        </w:rPr>
        <w:t>3.9 Ethical Consideration</w:t>
      </w:r>
      <w:bookmarkEnd w:id="90"/>
    </w:p>
    <w:p w14:paraId="1DF383C7" w14:textId="77777777" w:rsidR="00115F5A" w:rsidRPr="00231FC2" w:rsidRDefault="00C413C0" w:rsidP="00231FC2">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Research ethics are moral principles in research that carry out ethical research work. As suggested by Wei </w:t>
      </w:r>
      <w:r w:rsidRPr="00231FC2">
        <w:rPr>
          <w:rFonts w:ascii="Times New Roman" w:eastAsia="Times New Roman" w:hAnsi="Times New Roman" w:cs="Times New Roman"/>
          <w:i/>
          <w:color w:val="000000" w:themeColor="text1"/>
          <w:sz w:val="24"/>
          <w:szCs w:val="24"/>
          <w:highlight w:val="white"/>
          <w:lang w:val="en-GB"/>
        </w:rPr>
        <w:t xml:space="preserve">et al. </w:t>
      </w:r>
      <w:r w:rsidRPr="00231FC2">
        <w:rPr>
          <w:rFonts w:ascii="Times New Roman" w:eastAsia="Times New Roman" w:hAnsi="Times New Roman" w:cs="Times New Roman"/>
          <w:color w:val="000000" w:themeColor="text1"/>
          <w:sz w:val="24"/>
          <w:szCs w:val="24"/>
          <w:highlight w:val="white"/>
          <w:lang w:val="en-GB"/>
        </w:rPr>
        <w:t xml:space="preserve">(2022), higher ethical dimensions in a research work ensure its sustainability in research world as well as impact on readers and future contributions majorly. This research has followed the guidelines of </w:t>
      </w:r>
      <w:r w:rsidRPr="00231FC2">
        <w:rPr>
          <w:rFonts w:ascii="Times New Roman" w:eastAsia="Times New Roman" w:hAnsi="Times New Roman" w:cs="Times New Roman"/>
          <w:i/>
          <w:color w:val="000000" w:themeColor="text1"/>
          <w:sz w:val="24"/>
          <w:szCs w:val="24"/>
          <w:highlight w:val="white"/>
          <w:lang w:val="en-GB"/>
        </w:rPr>
        <w:t xml:space="preserve">“The Copyright, Designs and Patents Act 1988 (c. 48)” </w:t>
      </w:r>
      <w:r w:rsidRPr="00231FC2">
        <w:rPr>
          <w:rFonts w:ascii="Times New Roman" w:eastAsia="Times New Roman" w:hAnsi="Times New Roman" w:cs="Times New Roman"/>
          <w:color w:val="000000" w:themeColor="text1"/>
          <w:sz w:val="24"/>
          <w:szCs w:val="24"/>
          <w:highlight w:val="white"/>
          <w:lang w:val="en-GB"/>
        </w:rPr>
        <w:t xml:space="preserve">which has evaluated research data in this research work. This research has used research data by keeping its original meaning name and so no manipulation of collected data is done in this research preparation. Additionally, copyright issues are neglected with authentic in-texting of authors and have constituted research information with effective protection. </w:t>
      </w:r>
    </w:p>
    <w:p w14:paraId="22132157" w14:textId="77777777" w:rsidR="00115F5A" w:rsidRPr="00231FC2" w:rsidRDefault="00C413C0" w:rsidP="00231FC2">
      <w:pPr>
        <w:pStyle w:val="Heading1"/>
        <w:spacing w:before="240"/>
        <w:rPr>
          <w:color w:val="000000" w:themeColor="text1"/>
          <w:highlight w:val="white"/>
          <w:lang w:val="en-GB"/>
        </w:rPr>
      </w:pPr>
      <w:bookmarkStart w:id="91" w:name="_Toc114323843"/>
      <w:r w:rsidRPr="00231FC2">
        <w:rPr>
          <w:color w:val="000000" w:themeColor="text1"/>
          <w:highlight w:val="white"/>
          <w:lang w:val="en-GB"/>
        </w:rPr>
        <w:t>3.10 Validity and Reliability of Research</w:t>
      </w:r>
      <w:bookmarkEnd w:id="91"/>
      <w:r w:rsidRPr="00231FC2">
        <w:rPr>
          <w:color w:val="000000" w:themeColor="text1"/>
          <w:highlight w:val="white"/>
          <w:lang w:val="en-GB"/>
        </w:rPr>
        <w:t xml:space="preserve"> </w:t>
      </w:r>
    </w:p>
    <w:p w14:paraId="52F2DB59" w14:textId="77777777" w:rsidR="004B2F33" w:rsidRDefault="00C413C0" w:rsidP="00231FC2">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rFonts w:ascii="Times New Roman" w:eastAsia="Times New Roman" w:hAnsi="Times New Roman" w:cs="Times New Roman"/>
          <w:color w:val="000000" w:themeColor="text1"/>
          <w:sz w:val="24"/>
          <w:szCs w:val="24"/>
          <w:highlight w:val="white"/>
          <w:lang w:val="en-GB"/>
        </w:rPr>
        <w:t xml:space="preserve">All selected journals and articles are collected from valid sources which have raised validity of information. Most current data from websites are incorporated that have developed validity rates in this research work. Besides this, most authentic articles and journals are used for collecting data and that has maintained reliability of research information. All used data in this research are real and contracted current authentic data logically which has maintained validity and reliability of this research conduction. Additionally, the ethical dimension of this research maintained research validity and reliability in the academic research world. </w:t>
      </w:r>
      <w:r w:rsidR="00AF2A08" w:rsidRPr="00231FC2">
        <w:rPr>
          <w:rFonts w:ascii="Times New Roman" w:eastAsia="Times New Roman" w:hAnsi="Times New Roman" w:cs="Times New Roman"/>
          <w:color w:val="000000" w:themeColor="text1"/>
          <w:sz w:val="24"/>
          <w:szCs w:val="24"/>
          <w:highlight w:val="white"/>
          <w:lang w:val="en-GB"/>
        </w:rPr>
        <w:t xml:space="preserve">Hence, this research has maintained reliability of sources and used only valid sources to ensure reliability and validity throughout research journey. </w:t>
      </w:r>
    </w:p>
    <w:p w14:paraId="49D5CFE1" w14:textId="77777777" w:rsidR="0046710C" w:rsidRPr="00613ECA" w:rsidRDefault="0046710C" w:rsidP="0046710C">
      <w:pPr>
        <w:pStyle w:val="Heading1"/>
        <w:rPr>
          <w:lang w:val="en-GB"/>
        </w:rPr>
      </w:pPr>
      <w:bookmarkStart w:id="92" w:name="_Toc114323844"/>
      <w:r w:rsidRPr="00613ECA">
        <w:rPr>
          <w:lang w:val="en-GB"/>
        </w:rPr>
        <w:t>3.11 Timeline</w:t>
      </w:r>
      <w:bookmarkEnd w:id="92"/>
    </w:p>
    <w:p w14:paraId="2A94CFD1" w14:textId="77777777" w:rsidR="0046710C" w:rsidRPr="0046710C" w:rsidRDefault="0046710C" w:rsidP="0046710C">
      <w:pPr>
        <w:pStyle w:val="Normal1"/>
        <w:spacing w:line="360" w:lineRule="auto"/>
        <w:jc w:val="both"/>
        <w:rPr>
          <w:rFonts w:ascii="Times New Roman" w:eastAsia="Times New Roman" w:hAnsi="Times New Roman" w:cs="Times New Roman"/>
          <w:sz w:val="24"/>
          <w:szCs w:val="24"/>
          <w:lang w:val="en-GB"/>
        </w:rPr>
      </w:pPr>
      <w:r w:rsidRPr="00613ECA">
        <w:rPr>
          <w:rFonts w:ascii="Times New Roman" w:eastAsia="Times New Roman" w:hAnsi="Times New Roman" w:cs="Times New Roman"/>
          <w:sz w:val="24"/>
          <w:szCs w:val="24"/>
          <w:lang w:val="en-GB"/>
        </w:rPr>
        <w:t xml:space="preserve">A research timeline refers to a chronological order of research events that are planned for its completion. Martin‐Willett </w:t>
      </w:r>
      <w:r w:rsidRPr="00613ECA">
        <w:rPr>
          <w:rFonts w:ascii="Times New Roman" w:eastAsia="Times New Roman" w:hAnsi="Times New Roman" w:cs="Times New Roman"/>
          <w:i/>
          <w:sz w:val="24"/>
          <w:szCs w:val="24"/>
          <w:lang w:val="en-GB"/>
        </w:rPr>
        <w:t xml:space="preserve">et al. </w:t>
      </w:r>
      <w:r w:rsidRPr="00613ECA">
        <w:rPr>
          <w:rFonts w:ascii="Times New Roman" w:eastAsia="Times New Roman" w:hAnsi="Times New Roman" w:cs="Times New Roman"/>
          <w:sz w:val="24"/>
          <w:szCs w:val="24"/>
          <w:lang w:val="en-GB"/>
        </w:rPr>
        <w:t xml:space="preserve">(2020) opined that timeline of research is an arrangement of research areas in line segments with time specifications that helps readers to understand a broad review of research details. Main two types of research timelines are cross-sectional timelines and longitudinal timelines. This research has selected a </w:t>
      </w:r>
      <w:r w:rsidRPr="00613ECA">
        <w:rPr>
          <w:rFonts w:ascii="Times New Roman" w:eastAsia="Times New Roman" w:hAnsi="Times New Roman" w:cs="Times New Roman"/>
          <w:i/>
          <w:sz w:val="24"/>
          <w:szCs w:val="24"/>
          <w:lang w:val="en-GB"/>
        </w:rPr>
        <w:t>“cross-sectional timeline”</w:t>
      </w:r>
      <w:r w:rsidRPr="00613ECA">
        <w:rPr>
          <w:rFonts w:ascii="Times New Roman" w:eastAsia="Times New Roman" w:hAnsi="Times New Roman" w:cs="Times New Roman"/>
          <w:sz w:val="24"/>
          <w:szCs w:val="24"/>
          <w:lang w:val="en-GB"/>
        </w:rPr>
        <w:t xml:space="preserve"> which helps to understand all areas of research at a point with a specific time. According to Álvarez-Carretero </w:t>
      </w:r>
      <w:r w:rsidRPr="00613ECA">
        <w:rPr>
          <w:rFonts w:ascii="Times New Roman" w:eastAsia="Times New Roman" w:hAnsi="Times New Roman" w:cs="Times New Roman"/>
          <w:i/>
          <w:sz w:val="24"/>
          <w:szCs w:val="24"/>
          <w:lang w:val="en-GB"/>
        </w:rPr>
        <w:t xml:space="preserve">et al. </w:t>
      </w:r>
      <w:r w:rsidRPr="00613ECA">
        <w:rPr>
          <w:rFonts w:ascii="Times New Roman" w:eastAsia="Times New Roman" w:hAnsi="Times New Roman" w:cs="Times New Roman"/>
          <w:sz w:val="24"/>
          <w:szCs w:val="24"/>
          <w:lang w:val="en-GB"/>
        </w:rPr>
        <w:t xml:space="preserve">(2022), a cross-sectional timeline is an observation of different subjects at a common point in time. Hence, using this type of timeline, this research has combined all research areas at a unit point mentioning time. </w:t>
      </w:r>
      <w:r w:rsidRPr="00613ECA">
        <w:rPr>
          <w:rFonts w:ascii="Times New Roman" w:eastAsia="Times New Roman" w:hAnsi="Times New Roman" w:cs="Times New Roman"/>
          <w:b/>
          <w:i/>
          <w:sz w:val="24"/>
          <w:szCs w:val="24"/>
          <w:lang w:val="en-GB"/>
        </w:rPr>
        <w:t>[Refer to Appendix]</w:t>
      </w:r>
      <w:r>
        <w:rPr>
          <w:rFonts w:ascii="Times New Roman" w:eastAsia="Times New Roman" w:hAnsi="Times New Roman" w:cs="Times New Roman"/>
          <w:b/>
          <w:i/>
          <w:sz w:val="24"/>
          <w:szCs w:val="24"/>
          <w:lang w:val="en-GB"/>
        </w:rPr>
        <w:tab/>
      </w:r>
    </w:p>
    <w:p w14:paraId="29F5600A" w14:textId="77777777" w:rsidR="00D77452" w:rsidRPr="00231FC2" w:rsidRDefault="00D77452" w:rsidP="00231FC2">
      <w:pPr>
        <w:pStyle w:val="Heading1"/>
        <w:spacing w:before="240"/>
        <w:rPr>
          <w:color w:val="000000" w:themeColor="text1"/>
          <w:highlight w:val="white"/>
          <w:lang w:val="en-GB"/>
        </w:rPr>
      </w:pPr>
      <w:bookmarkStart w:id="93" w:name="_Toc114242953"/>
      <w:bookmarkStart w:id="94" w:name="_Toc114323845"/>
      <w:r w:rsidRPr="00231FC2">
        <w:rPr>
          <w:color w:val="000000" w:themeColor="text1"/>
          <w:highlight w:val="white"/>
          <w:lang w:val="en-GB"/>
        </w:rPr>
        <w:t>3.12 Summary</w:t>
      </w:r>
      <w:bookmarkEnd w:id="93"/>
      <w:bookmarkEnd w:id="94"/>
    </w:p>
    <w:p w14:paraId="457234AD" w14:textId="77777777" w:rsidR="00231FC2" w:rsidRPr="00231FC2" w:rsidRDefault="00D77452" w:rsidP="00231FC2">
      <w:pPr>
        <w:spacing w:before="240"/>
        <w:rPr>
          <w:rFonts w:eastAsia="Times New Roman" w:cs="Times New Roman"/>
          <w:szCs w:val="24"/>
          <w:highlight w:val="white"/>
          <w:lang w:val="en-GB"/>
        </w:rPr>
      </w:pPr>
      <w:r w:rsidRPr="00231FC2">
        <w:rPr>
          <w:rFonts w:eastAsia="Times New Roman" w:cs="Times New Roman"/>
          <w:szCs w:val="24"/>
          <w:highlight w:val="white"/>
          <w:lang w:val="en-GB"/>
        </w:rPr>
        <w:t>It can be summarised that methodological approach provides significant assistance to a researcher assisting them in enhancing success and progress. Owing to this aspect, researchers can obtain guidance and value developing a quality study. Conducting this research, making use of interpretive research philosophy, a detailed study has been developed. In addition to this, an inductive approach has also been incorporated within this research to enhance the quality and success of this research process in an effective manner. Thus, developing a secondary data analysis method, developing detailed thematic analysis, this research process has been developed</w:t>
      </w:r>
      <w:r w:rsidR="00231FC2" w:rsidRPr="00231FC2">
        <w:rPr>
          <w:rFonts w:eastAsia="Times New Roman" w:cs="Times New Roman"/>
          <w:szCs w:val="24"/>
          <w:highlight w:val="white"/>
          <w:lang w:val="en-GB"/>
        </w:rPr>
        <w:t xml:space="preserve"> leading towards effectiveness.</w:t>
      </w:r>
    </w:p>
    <w:p w14:paraId="495BB0E8" w14:textId="77777777" w:rsidR="00231FC2" w:rsidRPr="00231FC2" w:rsidRDefault="00231FC2" w:rsidP="00231FC2">
      <w:pPr>
        <w:spacing w:before="240"/>
        <w:rPr>
          <w:rFonts w:eastAsia="Times New Roman" w:cs="Times New Roman"/>
          <w:szCs w:val="24"/>
          <w:highlight w:val="white"/>
          <w:lang w:val="en-GB"/>
        </w:rPr>
      </w:pPr>
      <w:r w:rsidRPr="00231FC2">
        <w:rPr>
          <w:rFonts w:eastAsia="Times New Roman" w:cs="Times New Roman"/>
          <w:szCs w:val="24"/>
          <w:highlight w:val="white"/>
          <w:lang w:val="en-GB"/>
        </w:rPr>
        <w:br w:type="page"/>
      </w:r>
    </w:p>
    <w:p w14:paraId="5D9E88E0" w14:textId="77777777" w:rsidR="00755B97" w:rsidRPr="008939EF" w:rsidRDefault="00755B97" w:rsidP="00755B97">
      <w:pPr>
        <w:pStyle w:val="Heading1"/>
        <w:spacing w:before="0" w:after="0"/>
        <w:rPr>
          <w:lang w:val="en-GB"/>
        </w:rPr>
      </w:pPr>
      <w:bookmarkStart w:id="95" w:name="_Toc114247592"/>
      <w:bookmarkStart w:id="96" w:name="_Toc114323846"/>
      <w:r w:rsidRPr="008939EF">
        <w:rPr>
          <w:lang w:val="en-GB"/>
        </w:rPr>
        <w:t>Chapter 4: Research Findings</w:t>
      </w:r>
      <w:bookmarkEnd w:id="95"/>
      <w:bookmarkEnd w:id="96"/>
    </w:p>
    <w:p w14:paraId="25F5D5FD" w14:textId="77777777" w:rsidR="00755B97" w:rsidRPr="008939EF" w:rsidRDefault="00755B97" w:rsidP="00755B97">
      <w:pPr>
        <w:pStyle w:val="Heading1"/>
        <w:spacing w:before="0" w:after="0"/>
        <w:rPr>
          <w:lang w:val="en-GB"/>
        </w:rPr>
      </w:pPr>
      <w:bookmarkStart w:id="97" w:name="_7b1082jdr14a" w:colFirst="0" w:colLast="0"/>
      <w:bookmarkStart w:id="98" w:name="_Toc114247593"/>
      <w:bookmarkStart w:id="99" w:name="_Toc114323847"/>
      <w:bookmarkEnd w:id="97"/>
      <w:r w:rsidRPr="008939EF">
        <w:rPr>
          <w:lang w:val="en-GB"/>
        </w:rPr>
        <w:t>4.0 Introduction</w:t>
      </w:r>
      <w:bookmarkEnd w:id="98"/>
      <w:bookmarkEnd w:id="99"/>
    </w:p>
    <w:p w14:paraId="631F11DE" w14:textId="77777777" w:rsidR="00755B97" w:rsidRPr="008939EF" w:rsidRDefault="00755B97" w:rsidP="00755B97">
      <w:pPr>
        <w:rPr>
          <w:lang w:val="en-GB"/>
        </w:rPr>
      </w:pPr>
      <w:r w:rsidRPr="008939EF">
        <w:rPr>
          <w:lang w:val="en-GB"/>
        </w:rPr>
        <w:t>Every research is required to total maximum efforts while coiling unique details about different firms operating in a laid back economic structure. Since BREXIT European firms had faced major challenges for establishing suitable returns. This research study has dawned such factors, issues, impacts, and strategies to address European states post BREXIT. Particular themes have been developed from such objectives to explore their emphasis on the European economy. Specific journals have been searched to scoop relevant information in that context. Effective knowledge about different facts can be totalled by this discussion. Each theme was critically comprehended and discussed to meet predetermined objectives of this study.</w:t>
      </w:r>
    </w:p>
    <w:p w14:paraId="39FD4C03" w14:textId="77777777" w:rsidR="00755B97" w:rsidRPr="008939EF" w:rsidRDefault="00755B97" w:rsidP="00755B97">
      <w:pPr>
        <w:pStyle w:val="Heading1"/>
        <w:spacing w:before="0" w:after="0"/>
        <w:rPr>
          <w:lang w:val="en-GB"/>
        </w:rPr>
      </w:pPr>
      <w:bookmarkStart w:id="100" w:name="_1mxzhetcxs2s" w:colFirst="0" w:colLast="0"/>
      <w:bookmarkStart w:id="101" w:name="_Toc114247594"/>
      <w:bookmarkStart w:id="102" w:name="_Toc114323848"/>
      <w:bookmarkEnd w:id="100"/>
      <w:r w:rsidRPr="008939EF">
        <w:rPr>
          <w:lang w:val="en-GB"/>
        </w:rPr>
        <w:t>4.1 Data analysis</w:t>
      </w:r>
      <w:bookmarkEnd w:id="101"/>
      <w:bookmarkEnd w:id="102"/>
      <w:r w:rsidRPr="008939EF">
        <w:rPr>
          <w:lang w:val="en-GB"/>
        </w:rPr>
        <w:t xml:space="preserve"> </w:t>
      </w:r>
    </w:p>
    <w:p w14:paraId="4559EB2D" w14:textId="77777777" w:rsidR="00755B97" w:rsidRPr="008939EF" w:rsidRDefault="00755B97" w:rsidP="00755B97">
      <w:pPr>
        <w:pStyle w:val="Heading1"/>
        <w:spacing w:before="0" w:after="0"/>
        <w:rPr>
          <w:lang w:val="en-GB"/>
        </w:rPr>
      </w:pPr>
      <w:bookmarkStart w:id="103" w:name="_m86ho25twimp" w:colFirst="0" w:colLast="0"/>
      <w:bookmarkStart w:id="104" w:name="_Toc114247595"/>
      <w:bookmarkStart w:id="105" w:name="_Toc114323849"/>
      <w:bookmarkEnd w:id="103"/>
      <w:r w:rsidRPr="008939EF">
        <w:rPr>
          <w:lang w:val="en-GB"/>
        </w:rPr>
        <w:t>Theme 1: Risk of return could effectively challenge companies from securing investment at their equity funds</w:t>
      </w:r>
      <w:bookmarkEnd w:id="104"/>
      <w:bookmarkEnd w:id="105"/>
    </w:p>
    <w:p w14:paraId="25A00041" w14:textId="77777777" w:rsidR="00755B97" w:rsidRPr="008939EF" w:rsidRDefault="00755B97" w:rsidP="00755B97">
      <w:pPr>
        <w:rPr>
          <w:lang w:val="en-GB"/>
        </w:rPr>
      </w:pPr>
      <w:r w:rsidRPr="008939EF">
        <w:rPr>
          <w:lang w:val="en-GB"/>
        </w:rPr>
        <w:t xml:space="preserve">Different companies operate with several competitors producing a similar level of output. Effective rate of risk for different investments cause firms to lose potential scope of investment from various investors. Both domestic and foreign investors are subject to pool investment at firms which propose adequate amounts of gains with minimal scope of risk. Post BREXIT, most European firms had gained massive damage due to poor economic health of the states. As per Hagan and Thomas Wassink (2020), unforeseeable political relations with British states had organically disrupted their scope of returns for existing investors. Major loss of employment, migration of labour force, lack of skilled workforce, and unstable economic conditions had plagued European companies. Investors employ their sole focus on retaining major proportions of their capital in addition to profitable outcomes. However, this type of a challenging situation effectively proposed investors with massive rates of risk. Investors were hopeful about extreme returns but entirety of this scope described loss making situations. Increased creased proportion of risks in any market usually suggests the scope for escalated returns. However, unrealistic risks could effectively disturb their initial capital as well. Poor political relations between the European Union and British states had aggressively affected private equity investments. </w:t>
      </w:r>
    </w:p>
    <w:p w14:paraId="06368E77" w14:textId="77777777" w:rsidR="00755B97" w:rsidRPr="008939EF" w:rsidRDefault="00755B97" w:rsidP="00755B97">
      <w:pPr>
        <w:rPr>
          <w:lang w:val="en-GB"/>
        </w:rPr>
      </w:pPr>
      <w:r w:rsidRPr="008939EF">
        <w:rPr>
          <w:lang w:val="en-GB"/>
        </w:rPr>
        <w:t xml:space="preserve">Most investors sought to redirect their funds to alternative stocks to sustain optimum growth. Rescheduling the rate of risk through alternative correction of portfolio can effectively increase their scope of income. As determined by Thissen </w:t>
      </w:r>
      <w:r w:rsidRPr="008939EF">
        <w:rPr>
          <w:i/>
          <w:lang w:val="en-GB"/>
        </w:rPr>
        <w:t xml:space="preserve">et al. </w:t>
      </w:r>
      <w:r w:rsidRPr="008939EF">
        <w:rPr>
          <w:lang w:val="en-GB"/>
        </w:rPr>
        <w:t>(2020), risk free rate of return for European companies post their BREXIT scenario was very low. However, beta factor of that economy totalled high rates. This made the entire scenario very challenging for firms to generate funds from both types of investors. Market risk for European stocks was piling high numbers due to unexpected disparities. According to Bishop and Payne (2021), different companies had lost track for gaining sanity through suitable economic processes. Due to this reason, European Union was further experiencing strategic challenges in order to stimulate effective funds. Government authorities in turn were unable to manage this situation by adding necessary capital due to substantial political tensions. Private equity investments suffered massively due to this reason citing poor health and economic status of the countries.</w:t>
      </w:r>
    </w:p>
    <w:p w14:paraId="76041E54" w14:textId="77777777" w:rsidR="00755B97" w:rsidRPr="008939EF" w:rsidRDefault="00755B97" w:rsidP="00755B97">
      <w:pPr>
        <w:pStyle w:val="Heading1"/>
        <w:spacing w:before="0" w:after="0"/>
        <w:rPr>
          <w:lang w:val="en-GB"/>
        </w:rPr>
      </w:pPr>
      <w:bookmarkStart w:id="106" w:name="_taug9fgq9dag" w:colFirst="0" w:colLast="0"/>
      <w:bookmarkStart w:id="107" w:name="_Toc114247596"/>
      <w:bookmarkStart w:id="108" w:name="_Toc114323850"/>
      <w:bookmarkEnd w:id="106"/>
      <w:r w:rsidRPr="008939EF">
        <w:rPr>
          <w:lang w:val="en-GB"/>
        </w:rPr>
        <w:t>Theme 2: Fragile investment from foreign investors had massively plagued EU’s scope of revival after BREXIT happened</w:t>
      </w:r>
      <w:bookmarkEnd w:id="107"/>
      <w:bookmarkEnd w:id="108"/>
    </w:p>
    <w:p w14:paraId="170C7813" w14:textId="77777777" w:rsidR="00755B97" w:rsidRPr="008939EF" w:rsidRDefault="00755B97" w:rsidP="00755B97">
      <w:pPr>
        <w:rPr>
          <w:lang w:val="en-GB"/>
        </w:rPr>
      </w:pPr>
      <w:r w:rsidRPr="008939EF">
        <w:rPr>
          <w:lang w:val="en-GB"/>
        </w:rPr>
        <w:t xml:space="preserve">Economic distress at European Union had increasingly affected firms from gaining both domestic and foreign capital. Due to unreasonable scope of pressure from different economic entities, government was unable to ensure adequate supply of reserves. Firstly, this type of an economic situation already plagued domestic investors for appropriating their money at those companies. Resultantly, different foreign investors too refrained from holding their stock back at European states (Engel, 2019). Stocks suggested increased risk during that phase which demotivated foreign bodies to invest in their private equity stocks. FDI of these countries automatically suffered losses thereby putting them under more pressure. Substantial efforts were totalled to retain European and British economic conditions. Most investors had sought this union to offer effective returns due to their advanced scope of technology and development (Lloyd and Payne, 2019). Combined units of UK and EU had kept them above other peers to generate effective funds. However, after investors sought risk of losing their initial capital, EU became vulnerable. </w:t>
      </w:r>
    </w:p>
    <w:p w14:paraId="5467389C" w14:textId="77777777" w:rsidR="00755B97" w:rsidRPr="008939EF" w:rsidRDefault="00755B97" w:rsidP="00755B97">
      <w:pPr>
        <w:rPr>
          <w:lang w:val="en-GB"/>
        </w:rPr>
      </w:pPr>
      <w:r w:rsidRPr="008939EF">
        <w:rPr>
          <w:lang w:val="en-GB"/>
        </w:rPr>
        <w:t xml:space="preserve">Different countries under the European Union expected to generate financial adequacy with foreign investors but lack of domestic capital turned them down. BREXIT had certainly chased their existing reserves for accomplishing the motives of downsizing their economy. Liquidity of each firm had been suffering aggressively while advocating such political changes on that continent. Sudden exclusion of foreign capital from their existing reserves made them extremely fragile to different types of market changes (Lake </w:t>
      </w:r>
      <w:r w:rsidRPr="008939EF">
        <w:rPr>
          <w:i/>
          <w:lang w:val="en-GB"/>
        </w:rPr>
        <w:t>et al</w:t>
      </w:r>
      <w:r w:rsidRPr="008939EF">
        <w:rPr>
          <w:lang w:val="en-GB"/>
        </w:rPr>
        <w:t xml:space="preserve">., 2021). Companies were unable to mitigate this situation since a large volume of capital was lost. Equity prone companies were unable to generate funds thereby dying to sustain existence in that scenario. Each company was unable to merge adequate capital for tracing profitability during those years. Withdrawal of capital from these countries effectively lowered their net worth suggesting losses for investors. Initial investment further lowered with risky return proposed for investors. Substantial loss of profitable opportunities discouraged investors from raising their capital strengths. </w:t>
      </w:r>
    </w:p>
    <w:p w14:paraId="16F38BFF" w14:textId="77777777" w:rsidR="00755B97" w:rsidRPr="008939EF" w:rsidRDefault="00755B97" w:rsidP="00755B97">
      <w:pPr>
        <w:pStyle w:val="Heading1"/>
        <w:spacing w:before="200" w:after="200"/>
        <w:rPr>
          <w:lang w:val="en-GB"/>
        </w:rPr>
      </w:pPr>
      <w:bookmarkStart w:id="109" w:name="_Toc114323851"/>
      <w:r w:rsidRPr="008939EF">
        <w:rPr>
          <w:color w:val="000000"/>
          <w:lang w:val="en-GB"/>
        </w:rPr>
        <w:t>Theme 3: UK-based managers will no longer be able to provide portfolio management services for European private equity funds</w:t>
      </w:r>
      <w:bookmarkEnd w:id="109"/>
    </w:p>
    <w:p w14:paraId="184E6884" w14:textId="77777777" w:rsidR="00755B97" w:rsidRPr="008939EF" w:rsidRDefault="00755B97" w:rsidP="00755B97">
      <w:pPr>
        <w:pStyle w:val="NormalWeb"/>
        <w:spacing w:before="200" w:beforeAutospacing="0" w:after="200" w:afterAutospacing="0" w:line="360" w:lineRule="auto"/>
        <w:rPr>
          <w:lang w:val="en-GB"/>
        </w:rPr>
      </w:pPr>
      <w:r w:rsidRPr="008939EF">
        <w:rPr>
          <w:color w:val="000000"/>
          <w:lang w:val="en-GB"/>
        </w:rPr>
        <w:t>Uk managers have perceived EU as potential scope for business opportunities. There is substantial scope for them to redirect their funds to this region by regulating themselves separately under another jurisdiction. As mentioned by Sweeney and Winn (2020), critics have already discussed that management of funds could be a challenging affair after UK exited the European Union. Due to their political differences, EU has rejected UK-based managers from pursuing business in that country. However, large funds are already invested at common places which if not recovered could suggest huge losses. There was substantial disparity amongst both unions before advancing adequate opportunities to their investors. Resultantly, UK-based managers had to migrate to EU jurisdictions for establishing their own parallel setups. European Union states could not authorise UK-based managers to handle their portfolios due to lack of equivalent jurisdiction (Donnelly, 2022). Although BREXIT happened, business opportunities could not be relaxed due to their sincere scope of profitability. Both management of funds and services were affected with BREXIT happening at such an interval.</w:t>
      </w:r>
    </w:p>
    <w:p w14:paraId="130C503F" w14:textId="77777777" w:rsidR="00755B97" w:rsidRPr="008939EF" w:rsidRDefault="00755B97" w:rsidP="00755B97">
      <w:pPr>
        <w:pStyle w:val="NormalWeb"/>
        <w:spacing w:before="200" w:beforeAutospacing="0" w:after="200" w:afterAutospacing="0" w:line="360" w:lineRule="auto"/>
        <w:rPr>
          <w:lang w:val="en-GB"/>
        </w:rPr>
      </w:pPr>
      <w:r w:rsidRPr="008939EF">
        <w:rPr>
          <w:color w:val="000000"/>
          <w:lang w:val="en-GB"/>
        </w:rPr>
        <w:t>Consistent pressure from separate unions forced EU to reject their continuity from different countries. However, business managers totalled their scope of continuing business by establishing parallel structures in EU states (Kalaitzake, 2021). These structures were similarly operated like in case of Scottish, UK, and Channel Island. Sufficient scope for business in those fields would effectively force those managers to continue in parity with their legal requirements. This in turn could help both states to generate sufficient capital. Constituting business in both regions would equally benefit their states by administering their capital through different equity investments. Although private investment was suffering at initial stages after BREXIT, this move would help to total sufficient benefits for investors. According to the view of Glencross (2021), challenging opposition from other jurisdictions further cribbed EU from recognising UK based managers from continuing business at their premises. Different companies were resultantly set up at EU states for regenerating funds and business opportunities. Private investment in equity funds also sought to manage growth at both locations.</w:t>
      </w:r>
    </w:p>
    <w:p w14:paraId="5A6F2E84" w14:textId="77777777" w:rsidR="00755B97" w:rsidRPr="008939EF" w:rsidRDefault="00755B97" w:rsidP="00755B97">
      <w:pPr>
        <w:pStyle w:val="Heading1"/>
        <w:spacing w:before="200" w:after="200"/>
        <w:rPr>
          <w:lang w:val="en-GB"/>
        </w:rPr>
      </w:pPr>
      <w:bookmarkStart w:id="110" w:name="_Toc114323852"/>
      <w:r w:rsidRPr="008939EF">
        <w:rPr>
          <w:color w:val="000000"/>
          <w:lang w:val="en-GB"/>
        </w:rPr>
        <w:t>Theme 4: Luxembourg has been chosen for being the new domicile of fund management and new businesses</w:t>
      </w:r>
      <w:bookmarkEnd w:id="110"/>
    </w:p>
    <w:p w14:paraId="76586F8B" w14:textId="77777777" w:rsidR="00755B97" w:rsidRPr="008939EF" w:rsidRDefault="00755B97" w:rsidP="00755B97">
      <w:pPr>
        <w:pStyle w:val="NormalWeb"/>
        <w:spacing w:before="200" w:beforeAutospacing="0" w:after="200" w:afterAutospacing="0" w:line="360" w:lineRule="auto"/>
        <w:rPr>
          <w:lang w:val="en-GB"/>
        </w:rPr>
      </w:pPr>
      <w:r w:rsidRPr="008939EF">
        <w:rPr>
          <w:color w:val="000000"/>
          <w:lang w:val="en-GB"/>
        </w:rPr>
        <w:t>Loss of common location for business had increasingly let down private equity investment initiatives. There has been a major challenge for scaling adequate business through diversified locations. Moreover, jurisdictions also changed for both countries. Most critics believed Dublin to pool such common business opportunities. As viewed by Panitz and Glückler (2022), facilities of common language and sufficient fund management totalled this type of a decision. However, the entire prediction proved to be wrong when Luxembourg was sorted for the same reason. Funds positioned at Luxembourg were controlled from London based offices. Both funds and management based services were equally facilitated through Luxembourg. Moreover, European institutional investors were readily inclined towards their jurisdiction since their investment in Luxembourg based vehicles. They already had substantial preference towards this country for totalling their investment initiatives. As described by Singham and McBride (2018), majority of the UK based firms sought Luxembourg to establish their offices and funds expecting bright scope for business. They sort themselves to continue business under EU through the jurisdictions of this country.</w:t>
      </w:r>
    </w:p>
    <w:p w14:paraId="39BC0F6C" w14:textId="77777777" w:rsidR="00755B97" w:rsidRPr="008939EF" w:rsidRDefault="00755B97" w:rsidP="00755B97">
      <w:pPr>
        <w:pStyle w:val="NormalWeb"/>
        <w:spacing w:before="200" w:beforeAutospacing="0" w:after="200" w:afterAutospacing="0" w:line="360" w:lineRule="auto"/>
        <w:rPr>
          <w:lang w:val="en-GB"/>
        </w:rPr>
      </w:pPr>
      <w:r w:rsidRPr="008939EF">
        <w:rPr>
          <w:color w:val="000000"/>
          <w:lang w:val="en-GB"/>
        </w:rPr>
        <w:t xml:space="preserve">Luxembourg had been operating with a modified regime of partnership. This rescheduled scope of partnership had certainly broadened their scope of business opportunities since limited liability partnership was highlighted under them. As highlighted by Repiquet (2018), this partnership regime under Luxembourg had been uniquely established with the likes of Cayman and Scottish partnerships. This type of partnership regime was precisely valued by investors and businessmen of both ends. Anglo Saxon managers had also been termed to have been familiar with these regimes. Adequate scope for risk taking had persuaded managers to qualify their efforts at this location. Different businessmen expected their businesses to flourish under such conditions (Hendrikse </w:t>
      </w:r>
      <w:r w:rsidRPr="008939EF">
        <w:rPr>
          <w:i/>
          <w:iCs/>
          <w:color w:val="000000"/>
          <w:lang w:val="en-GB"/>
        </w:rPr>
        <w:t>et al.</w:t>
      </w:r>
      <w:r w:rsidRPr="008939EF">
        <w:rPr>
          <w:color w:val="000000"/>
          <w:lang w:val="en-GB"/>
        </w:rPr>
        <w:t>, 2020). There was a suitable scope for business and funds. It has also been mentioned that no other country had this type of a scope for partnership including Ireland. Luxembourg was optimised and highlighted as a suitable scope of making profitable ventures.</w:t>
      </w:r>
    </w:p>
    <w:p w14:paraId="7EA879AC" w14:textId="77777777" w:rsidR="00755B97" w:rsidRPr="008939EF" w:rsidRDefault="00755B97" w:rsidP="00755B97">
      <w:pPr>
        <w:pStyle w:val="Heading1"/>
        <w:spacing w:before="200" w:after="200"/>
        <w:rPr>
          <w:lang w:val="en-GB"/>
        </w:rPr>
      </w:pPr>
      <w:bookmarkStart w:id="111" w:name="_Toc114323853"/>
      <w:r w:rsidRPr="008939EF">
        <w:rPr>
          <w:color w:val="000000"/>
          <w:lang w:val="en-GB"/>
        </w:rPr>
        <w:t>Theme 5: Adequate support from government and financial units could help European companies to retain their shareholders and private equity investments</w:t>
      </w:r>
      <w:bookmarkEnd w:id="111"/>
    </w:p>
    <w:p w14:paraId="2050BAB7" w14:textId="77777777" w:rsidR="00755B97" w:rsidRPr="008939EF" w:rsidRDefault="00755B97" w:rsidP="00755B97">
      <w:pPr>
        <w:pStyle w:val="NormalWeb"/>
        <w:spacing w:before="200" w:beforeAutospacing="0" w:after="200" w:afterAutospacing="0" w:line="360" w:lineRule="auto"/>
        <w:rPr>
          <w:lang w:val="en-GB"/>
        </w:rPr>
      </w:pPr>
      <w:r w:rsidRPr="008939EF">
        <w:rPr>
          <w:color w:val="000000"/>
          <w:lang w:val="en-GB"/>
        </w:rPr>
        <w:t xml:space="preserve">Every country seeks to sustain growth with effective policies introduced by the government. The European administration had an effective opportunity on their part to optimise different industries. Profitable institutions like car manufacturing, green technology, and construction could be enriched with adequate governmental support to attract investors (Bao and Lu, </w:t>
      </w:r>
      <w:r>
        <w:rPr>
          <w:color w:val="000000"/>
          <w:lang w:val="en-GB"/>
        </w:rPr>
        <w:t>2020). A sum worth billions of E</w:t>
      </w:r>
      <w:r w:rsidRPr="008939EF">
        <w:rPr>
          <w:color w:val="000000"/>
          <w:lang w:val="en-GB"/>
        </w:rPr>
        <w:t xml:space="preserve">uros could be forwarded to these industries for reviving their economic strengths. Investing in existing resources could help this Union to ascertain initial growth. Opportunities of employment and risk of job loss were critically averted by the European administration to counter this geo-political challenge. This government had aided the economy with a large sum of €200 billion which was worth 1.5% of their total GDP. advancing this type of financial support from their ends helped to address existing infrastructure. As suggested by George </w:t>
      </w:r>
      <w:r w:rsidRPr="008939EF">
        <w:rPr>
          <w:i/>
          <w:iCs/>
          <w:color w:val="000000"/>
          <w:lang w:val="en-GB"/>
        </w:rPr>
        <w:t xml:space="preserve">et al. </w:t>
      </w:r>
      <w:r w:rsidRPr="008939EF">
        <w:rPr>
          <w:color w:val="000000"/>
          <w:lang w:val="en-GB"/>
        </w:rPr>
        <w:t>(2021), developing this perspective would automatically attract investors to pool their capital at EU-based companies. Collaborating with “Stability and Growth Pact” and “Lisbon Strategy for Growth and Jobs” would effectively aid their economic development programme. Concentrating on available regimes to revive economic policies would further advance their scope of progressing towards a better future.</w:t>
      </w:r>
    </w:p>
    <w:p w14:paraId="5417C271" w14:textId="77777777" w:rsidR="00755B97" w:rsidRPr="008939EF" w:rsidRDefault="00755B97" w:rsidP="00755B97">
      <w:pPr>
        <w:rPr>
          <w:color w:val="000000"/>
          <w:lang w:val="en-GB"/>
        </w:rPr>
      </w:pPr>
      <w:r w:rsidRPr="008939EF">
        <w:rPr>
          <w:color w:val="000000"/>
          <w:lang w:val="en-GB"/>
        </w:rPr>
        <w:t xml:space="preserve">Banks would also play a vital role while advancing the commercial progress of EU states. There is substantial scope for firms to generate effective support from financial institutions while regenerating investment in private equity. Most investors were demotivated by the unforeseeable political relations and scope of profitability, financial support from commercial banks would enhance their investment motives. Reducing interest rates and withdrawing pressure from loaned funds would encourage investors to redirect their private investment to equity-based funds (Conrad, 2019). Similarly, introducing mutual funds for different customers could also help to revive their economic depression. Banks could effectively prepare diverse investment options along with tax-free tags for motivating investors at large. As opinionated by Block </w:t>
      </w:r>
      <w:r w:rsidRPr="008939EF">
        <w:rPr>
          <w:i/>
          <w:iCs/>
          <w:color w:val="000000"/>
          <w:lang w:val="en-GB"/>
        </w:rPr>
        <w:t>et al</w:t>
      </w:r>
      <w:r w:rsidRPr="008939EF">
        <w:rPr>
          <w:color w:val="000000"/>
          <w:lang w:val="en-GB"/>
        </w:rPr>
        <w:t>. (2019), there would be substantial scope for them to throttle their private equity investment by considerable margins. Such offers from banks could effectively drive investors to expect growth and thereby make investments in the country.</w:t>
      </w:r>
    </w:p>
    <w:p w14:paraId="2E8B393A" w14:textId="77777777" w:rsidR="00755B97" w:rsidRPr="008939EF" w:rsidRDefault="00755B97" w:rsidP="00755B97">
      <w:pPr>
        <w:pStyle w:val="Heading1"/>
        <w:spacing w:before="200" w:after="200"/>
        <w:rPr>
          <w:lang w:val="en-GB"/>
        </w:rPr>
      </w:pPr>
      <w:bookmarkStart w:id="112" w:name="_Toc114323854"/>
      <w:r w:rsidRPr="008939EF">
        <w:rPr>
          <w:color w:val="000000"/>
          <w:lang w:val="en-GB"/>
        </w:rPr>
        <w:t>4.2 Findings</w:t>
      </w:r>
      <w:bookmarkEnd w:id="112"/>
    </w:p>
    <w:p w14:paraId="2E1F272F" w14:textId="77777777" w:rsidR="00755B97" w:rsidRPr="008939EF" w:rsidRDefault="00755B97" w:rsidP="00755B97">
      <w:pPr>
        <w:pStyle w:val="NormalWeb"/>
        <w:spacing w:before="200" w:beforeAutospacing="0" w:after="200" w:afterAutospacing="0" w:line="360" w:lineRule="auto"/>
        <w:rPr>
          <w:lang w:val="en-GB"/>
        </w:rPr>
      </w:pPr>
      <w:r w:rsidRPr="008939EF">
        <w:rPr>
          <w:color w:val="000000"/>
          <w:lang w:val="en-GB"/>
        </w:rPr>
        <w:t>Risk of returns have been precisely discussed in the first theme depicting the perception of investors after BREXIT happened. Different companies were unable to perceive regular levels of investment at their equity reserves due to unrealistic political deficiencies. Major challenges had been viewed by investors while maintaining their funds at EU based stocks. Unstable economic conditions along with disrupted political relations forced them to squeeze their investments from the relevant stocks. During BREXIT, risk free rates of return were substantially low. There was minimum scope for investors to manage growth with available amounts of risk in the market. It became very challenging on their end to improve this status because of potential loss of capital. Ineffective managerial contexts due to political differences further increased their perception of negativity. Moreover, government was not able to provide investors with adequate support during this phase. Substantial rate of differences clubbed to generate complete opposition from stakeholders by withdrawal of funds. Investors were further motivated to redirect their funds to alternative investment sources. There had been major issues with trust and efficiency of those funds to manage profitable growth. Resultantly, domestic shareholders were completely demotivated to continue their scope of private investment in equity.</w:t>
      </w:r>
    </w:p>
    <w:p w14:paraId="7C2F09FE" w14:textId="77777777" w:rsidR="00755B97" w:rsidRPr="008939EF" w:rsidRDefault="00755B97" w:rsidP="00755B97">
      <w:pPr>
        <w:pStyle w:val="NormalWeb"/>
        <w:spacing w:before="200" w:beforeAutospacing="0" w:after="200" w:afterAutospacing="0" w:line="360" w:lineRule="auto"/>
        <w:rPr>
          <w:color w:val="000000"/>
          <w:lang w:val="en-GB"/>
        </w:rPr>
      </w:pPr>
      <w:r w:rsidRPr="008939EF">
        <w:rPr>
          <w:lang w:val="en-GB"/>
        </w:rPr>
        <w:t xml:space="preserve">Economic distress in European Union is noticed that has affected private firms and affected their domestic and foreign capital majorly. In this context, unreasonable scope in investment is observed in economic entities as well as governments becoming unable to ensure an adequate supply of reserves. It is found that such economic disruption plagued domestic investors to gain appropriate money back from invested companies. According to Engel (2019), foreign investors would refrain from holding their stock back in European states and FDI would suffer a huge loss automatically. On other hand, most investors have seen to offer effective returns with an advanced scope of technological development and aimed to retain European and British economic conditions. Alternative strategies to overcome such challenging situations for private companies have promoted government support which has further triggered bank funds and investment. </w:t>
      </w:r>
      <w:r w:rsidRPr="008939EF">
        <w:rPr>
          <w:color w:val="000000"/>
          <w:lang w:val="en-GB"/>
        </w:rPr>
        <w:t>Unable to perceive investment at private equity funds from domestic stakeholders, foreign investors also felt unprotected under the EU stocks. They were completely unsure of profitability and their scope for appreciating such capital. Due to the theory of averting losses, such foreign investors withdrew money from their existing stocks. This in turn plagued the European Union’s scope for managing sustenance against pre-existing economic disparities. FDI reserves of this union had been reduced by substantial margins affecting GDP by crucial rates. This became very challenging for such companies to manage growth of their equity sources. Consistent fall of GDP was actively affecting their economic condition in addition to BREXIT.</w:t>
      </w:r>
    </w:p>
    <w:p w14:paraId="339F3FE6" w14:textId="77777777" w:rsidR="00755B97" w:rsidRPr="008939EF" w:rsidRDefault="00755B97" w:rsidP="00755B97">
      <w:pPr>
        <w:rPr>
          <w:lang w:val="en-GB"/>
        </w:rPr>
      </w:pPr>
      <w:r w:rsidRPr="008939EF">
        <w:rPr>
          <w:lang w:val="en-GB"/>
        </w:rPr>
        <w:t>UK-based management was not long run to provide significant portfolio management services in private equity funds of Europe. European private equity market has faced a good integration for the last 10 years after BREXIT. It is observed that London became the hub of European private equity industry and put this situation effectively based on alternative investment strategies. Management was observed to be a significant body to sustain the future of firms. As stated by Glencross (2021), UK-based managers are found to take some important steps in raising parallel structures in onshore EU jurisdictions and are able to raise capital from European LPs. Firms have continued to ensure the most attractive opportunities and are expected to see a major change in management of funds. Besides this, a big question arrived for management service which has affected portfolio management in private companies. UK firm management was seen as less effective for asset management belonging to millions of investors in the EU. UK firms started to lose access to such investors and the portfolio management operation of different managers was hampered. Investment in private companies, as well as a significant development of overall industry, is affected and portfolio management needs further to trigger sustainability of firms in the existing market. Luxembourg was chosen for being a new domicile of new businesses and fund management. It is seen to become a big beneficial trend as after BREXIT, major firms chose Luxembourg as a domicile in their fund structure and opened an office. The key reason behind this is noticed to be the Luxembourg partnership regime. Along with this, no other European jurisdiction was seen to have this type of partnership and so institutional investors became very comfortable with Luxembourg jurisdiction.</w:t>
      </w:r>
    </w:p>
    <w:p w14:paraId="7F63204F" w14:textId="77777777" w:rsidR="00755B97" w:rsidRPr="008939EF" w:rsidRDefault="00755B97" w:rsidP="00755B97">
      <w:pPr>
        <w:rPr>
          <w:lang w:val="en-GB"/>
        </w:rPr>
      </w:pPr>
      <w:r w:rsidRPr="008939EF">
        <w:rPr>
          <w:lang w:val="en-GB"/>
        </w:rPr>
        <w:t>After being affected by sustainable growth and investment, every country seeks government policies to sustain their existence in the existing market. On this ground, the European administration provides a significant opportunity that performed well to optimise different industries. According to Bao and Lu (2020), adequate government support is received to car manufacturing, construction and green technology institutions that have attracted potent</w:t>
      </w:r>
      <w:r>
        <w:rPr>
          <w:lang w:val="en-GB"/>
        </w:rPr>
        <w:t>ial investors further. Billion E</w:t>
      </w:r>
      <w:r w:rsidRPr="008939EF">
        <w:rPr>
          <w:lang w:val="en-GB"/>
        </w:rPr>
        <w:t xml:space="preserve">uros are ensured for these industries which have helped to strengthen economic conditions of several companies. Along with this, the European administration has encountered geo-political challenges of several private companies and helps to provide resources as well as give employment opportunities. As proposed by George </w:t>
      </w:r>
      <w:r w:rsidRPr="008939EF">
        <w:rPr>
          <w:i/>
          <w:lang w:val="en-GB"/>
        </w:rPr>
        <w:t xml:space="preserve">et al. </w:t>
      </w:r>
      <w:r w:rsidRPr="008939EF">
        <w:rPr>
          <w:lang w:val="en-GB"/>
        </w:rPr>
        <w:t>(2021), financial support of government bodies aids in attracting investors to invest in EU-based companies and provides a significant improvement in firms’ capital formation. It is observed that government aided the economy with €200 billion which is worth 1.5% of the total GDP in Europe. Several economic development programmes are “Stability and Growth Pact” and “Lisbon Strategy for Growth and Jobs” which collaboratively ensures economic policies and ensures a better scope for companies for their further development. Banks have played a vital role in commercial progress of EU states. According to Conrad (2019), a reduction in bank investment rates and fewer withdrawal pressures from loaned funds had encouraged foreign potential investors to redirect a private investment and ensured equity-based funds. Government opportunities have driven banks' loan and funding programmes and ensured a less interest rate on loans. This is how potential inventors become attracted and invested in a firm for their capital growth. In such ways, the government offers effectively driven investors mottos and expected sustainable growth for companies with significant investment processes.</w:t>
      </w:r>
    </w:p>
    <w:p w14:paraId="18DB7B06" w14:textId="77777777" w:rsidR="00755B97" w:rsidRPr="008939EF" w:rsidRDefault="00755B97" w:rsidP="00755B97">
      <w:pPr>
        <w:pStyle w:val="Heading1"/>
        <w:spacing w:before="200" w:after="200"/>
        <w:rPr>
          <w:lang w:val="en-GB"/>
        </w:rPr>
      </w:pPr>
      <w:bookmarkStart w:id="113" w:name="_Toc114323855"/>
      <w:r w:rsidRPr="008939EF">
        <w:rPr>
          <w:color w:val="000000"/>
          <w:lang w:val="en-GB"/>
        </w:rPr>
        <w:t>4.3 Summary</w:t>
      </w:r>
      <w:bookmarkEnd w:id="113"/>
    </w:p>
    <w:p w14:paraId="370B66A1" w14:textId="77777777" w:rsidR="008828EF" w:rsidRPr="00613ECA" w:rsidRDefault="00755B97" w:rsidP="00755B97">
      <w:pPr>
        <w:rPr>
          <w:rFonts w:eastAsia="Times New Roman" w:cs="Times New Roman"/>
          <w:szCs w:val="24"/>
          <w:lang w:val="en-GB"/>
        </w:rPr>
      </w:pPr>
      <w:r w:rsidRPr="008939EF">
        <w:rPr>
          <w:lang w:val="en-GB"/>
        </w:rPr>
        <w:t>Different themes have been majorly scripted to gain adequate knowledge about the cited objectives of this dissertation. Each objective was precisely framed with suitable discussion previously organised by past researchers. It ensembled effective data about risk of return, drying FDIs and barring UK based managers from carrying on business in EU locations. This also resembled different impacts of BREXIT on EU based private equity investments. Further, effectiveness of Luxembourg as a potential scope for business opportunities and role played by government and commercial banks. These were once again cited for depicting the impact and solution for mitigating the various gaps. There was sincere discussion about the merits and demerits of accentuating private equity investments. Major focus was driven to imply the impact of BREXIT on investment at private equity of EU based firms.</w:t>
      </w:r>
      <w:r w:rsidR="008828EF" w:rsidRPr="00613ECA">
        <w:rPr>
          <w:rFonts w:eastAsia="Times New Roman" w:cs="Times New Roman"/>
          <w:szCs w:val="24"/>
          <w:lang w:val="en-GB"/>
        </w:rPr>
        <w:t xml:space="preserve"> </w:t>
      </w:r>
    </w:p>
    <w:p w14:paraId="4B6CF2F9" w14:textId="77777777" w:rsidR="0046710C" w:rsidRDefault="0046710C">
      <w:pPr>
        <w:spacing w:line="276" w:lineRule="auto"/>
        <w:jc w:val="left"/>
        <w:rPr>
          <w:rFonts w:eastAsia="Times New Roman" w:cs="Times New Roman"/>
          <w:b/>
          <w:color w:val="auto"/>
          <w:szCs w:val="24"/>
          <w:lang w:val="en-GB"/>
        </w:rPr>
      </w:pPr>
      <w:r>
        <w:rPr>
          <w:rFonts w:eastAsia="Times New Roman" w:cs="Times New Roman"/>
          <w:b/>
          <w:szCs w:val="24"/>
          <w:lang w:val="en-GB"/>
        </w:rPr>
        <w:br w:type="page"/>
      </w:r>
    </w:p>
    <w:p w14:paraId="2DB2150C" w14:textId="77777777" w:rsidR="008828EF" w:rsidRPr="00613ECA" w:rsidRDefault="008828EF" w:rsidP="0046710C">
      <w:pPr>
        <w:pStyle w:val="Heading1"/>
        <w:rPr>
          <w:lang w:val="en-GB"/>
        </w:rPr>
      </w:pPr>
      <w:bookmarkStart w:id="114" w:name="_Toc114323856"/>
      <w:r w:rsidRPr="00613ECA">
        <w:rPr>
          <w:lang w:val="en-GB"/>
        </w:rPr>
        <w:t>Chapter 5: Discussion</w:t>
      </w:r>
      <w:bookmarkEnd w:id="114"/>
    </w:p>
    <w:p w14:paraId="23DE37FD" w14:textId="77777777" w:rsidR="00091FA8" w:rsidRPr="00EC7AE8" w:rsidRDefault="00091FA8" w:rsidP="00091FA8">
      <w:pPr>
        <w:pStyle w:val="Heading1"/>
      </w:pPr>
      <w:bookmarkStart w:id="115" w:name="_Toc114323540"/>
      <w:bookmarkStart w:id="116" w:name="_Toc114323857"/>
      <w:r w:rsidRPr="00EC7AE8">
        <w:rPr>
          <w:bCs/>
          <w:color w:val="000000"/>
          <w:shd w:val="clear" w:color="auto" w:fill="FFFFFF"/>
        </w:rPr>
        <w:t>5.1 Introduction</w:t>
      </w:r>
      <w:bookmarkEnd w:id="115"/>
      <w:bookmarkEnd w:id="116"/>
    </w:p>
    <w:p w14:paraId="1F16BB74" w14:textId="77777777" w:rsidR="00091FA8" w:rsidRPr="00EC7AE8" w:rsidRDefault="00091FA8" w:rsidP="00091FA8">
      <w:pPr>
        <w:rPr>
          <w:rFonts w:eastAsia="Times New Roman" w:cs="Times New Roman"/>
          <w:color w:val="auto"/>
          <w:szCs w:val="24"/>
        </w:rPr>
      </w:pPr>
      <w:r w:rsidRPr="00EC7AE8">
        <w:rPr>
          <w:rFonts w:eastAsia="Times New Roman" w:cs="Times New Roman"/>
          <w:color w:val="000000"/>
          <w:szCs w:val="24"/>
          <w:shd w:val="clear" w:color="auto" w:fill="FFFFFF"/>
        </w:rPr>
        <w:t>The current study has included research in which the concept of private equity investment has been included which further focused on the different challenges that the investment processes had been facing. The research conducted has also included the significance of the research that has been creating an impact towards the strategies that can be implemented further for the challenges faced by the investors. The evaluation of specific aspects of the private equity investments in which the managers in the UK will no longer be able to provide the services of portfolio Management for the European private equity funds is also included. Along with that the evaluation of the ways in which the government and the financial units have been supporting and helping the European companies for retaining their shareholders and the private equity investors are also included.</w:t>
      </w:r>
    </w:p>
    <w:p w14:paraId="4622231D" w14:textId="77777777" w:rsidR="00091FA8" w:rsidRPr="00EC7AE8" w:rsidRDefault="00091FA8" w:rsidP="00091FA8">
      <w:pPr>
        <w:pStyle w:val="Normal1"/>
        <w:spacing w:line="360" w:lineRule="auto"/>
        <w:rPr>
          <w:rFonts w:ascii="Times New Roman" w:hAnsi="Times New Roman" w:cs="Times New Roman"/>
          <w:lang w:val="en-GB"/>
        </w:rPr>
      </w:pPr>
    </w:p>
    <w:p w14:paraId="26A9DE70" w14:textId="77777777" w:rsidR="00091FA8" w:rsidRPr="00EC7AE8" w:rsidRDefault="00091FA8" w:rsidP="00091FA8">
      <w:pPr>
        <w:pStyle w:val="Heading1"/>
        <w:rPr>
          <w:lang w:val="en-GB"/>
        </w:rPr>
      </w:pPr>
      <w:bookmarkStart w:id="117" w:name="_Toc114323541"/>
      <w:bookmarkStart w:id="118" w:name="_Toc114323858"/>
      <w:r w:rsidRPr="00EC7AE8">
        <w:rPr>
          <w:lang w:val="en-GB"/>
        </w:rPr>
        <w:t>5.2 Discussion</w:t>
      </w:r>
      <w:bookmarkEnd w:id="117"/>
      <w:bookmarkEnd w:id="118"/>
      <w:r w:rsidRPr="00EC7AE8">
        <w:rPr>
          <w:lang w:val="en-GB"/>
        </w:rPr>
        <w:t xml:space="preserve"> </w:t>
      </w:r>
    </w:p>
    <w:p w14:paraId="5DC72C6D" w14:textId="77777777" w:rsidR="00091FA8" w:rsidRPr="00EC7AE8" w:rsidRDefault="00091FA8" w:rsidP="00091FA8">
      <w:pPr>
        <w:pStyle w:val="Normal1"/>
        <w:spacing w:line="360" w:lineRule="auto"/>
        <w:jc w:val="both"/>
        <w:rPr>
          <w:rFonts w:ascii="Times New Roman" w:eastAsia="Times New Roman" w:hAnsi="Times New Roman" w:cs="Times New Roman"/>
          <w:sz w:val="24"/>
          <w:szCs w:val="24"/>
          <w:lang w:val="en-GB"/>
        </w:rPr>
      </w:pPr>
      <w:r w:rsidRPr="00EC7AE8">
        <w:rPr>
          <w:rFonts w:ascii="Times New Roman" w:eastAsia="Times New Roman" w:hAnsi="Times New Roman" w:cs="Times New Roman"/>
          <w:sz w:val="24"/>
          <w:szCs w:val="24"/>
          <w:lang w:val="en-GB"/>
        </w:rPr>
        <w:t xml:space="preserve">European companies’ development ensures a quick scale of economic growth and develops innovation and sustainable growth in business market. Equity invent is an important source of financing in European economy but various firms faced difficulties after BREXIT in obtaining equity financing. This situation has impacted significantly fund management as it has affected obtaining attractive opportunities further. In Europe, a long-term economic disruption was noticed in such an era which has affected the confidence of fund managers and investors greatly. On other hand, the private equity level was seen to reach a high position which puts industries on track. The government body provides direction to firms and ensures capital for business recovery and growth transformation. </w:t>
      </w:r>
    </w:p>
    <w:p w14:paraId="3D004536" w14:textId="77777777" w:rsidR="00091FA8" w:rsidRPr="00EC7AE8" w:rsidRDefault="00091FA8" w:rsidP="00091FA8">
      <w:pPr>
        <w:pStyle w:val="Normal1"/>
        <w:spacing w:line="360" w:lineRule="auto"/>
        <w:jc w:val="both"/>
        <w:rPr>
          <w:rFonts w:ascii="Times New Roman" w:eastAsia="Times New Roman" w:hAnsi="Times New Roman" w:cs="Times New Roman"/>
          <w:sz w:val="24"/>
          <w:szCs w:val="24"/>
          <w:lang w:val="en-GB"/>
        </w:rPr>
      </w:pPr>
      <w:r w:rsidRPr="00EC7AE8">
        <w:rPr>
          <w:rFonts w:ascii="Times New Roman" w:eastAsia="Times New Roman" w:hAnsi="Times New Roman" w:cs="Times New Roman"/>
          <w:sz w:val="24"/>
          <w:szCs w:val="24"/>
          <w:lang w:val="en-GB"/>
        </w:rPr>
        <w:t xml:space="preserve">Potential strategies of government for recovery in private equity investment in EU are remodelling an existing framework, managing a coordinated approach and financing of investments. As stated by Kalaitzake (2022), BREXIT affected most of the small businesses in UK and they lacked resources, staffing powers and financial stability. British Chamber of Commerce has estimated that half of the start-up businesses in UK found it harder to export to EU. As observed by Langan (2020), UK imports from the EU fell by 25% post-BREXIT which provided a major shock to UK and EU trade markets. Government support arrived in this context to make a sustainable and efficient start-up business market in UK. Luxembourg jurisdiction is observed to be more acceptable for private firms as this has a significant growth as per its historical background. </w:t>
      </w:r>
    </w:p>
    <w:p w14:paraId="4E6C0CDF" w14:textId="77777777" w:rsidR="00091FA8" w:rsidRPr="00EC7AE8" w:rsidRDefault="00091FA8" w:rsidP="00091FA8">
      <w:pPr>
        <w:pStyle w:val="Normal1"/>
        <w:spacing w:line="360" w:lineRule="auto"/>
        <w:jc w:val="both"/>
        <w:rPr>
          <w:rFonts w:ascii="Times New Roman" w:eastAsia="Times New Roman" w:hAnsi="Times New Roman" w:cs="Times New Roman"/>
          <w:sz w:val="24"/>
          <w:szCs w:val="24"/>
          <w:lang w:val="en-GB"/>
        </w:rPr>
      </w:pPr>
      <w:r w:rsidRPr="00EC7AE8">
        <w:rPr>
          <w:rFonts w:ascii="Times New Roman" w:eastAsia="Times New Roman" w:hAnsi="Times New Roman" w:cs="Times New Roman"/>
          <w:sz w:val="24"/>
          <w:szCs w:val="24"/>
          <w:lang w:val="en-GB"/>
        </w:rPr>
        <w:t xml:space="preserve">It is identified that private organisations of UK have a major loss of employment, lack of skilled employee base and unstable economic situation. Most foreign investors had seen instability in return on investment. Along with this poor political relationship arrived between British states and European Union’s that have negatively affected private equity investments. Hoffmann (2018) mentioned that BREXIT reduced UK trade openness, immigration growth and FDI which ensures a broader function in transport cost and makes a barrier to FDI inflows. Therefore, an unstable future for companies is seen for these companies that has ruined their sustainable growth rate like before. Several trading become affected post BREXIT which has triggered growth and retention capabilities of start-up businesses and made sure sustainable engagement of potential foreign investors and aided further development of the European economy. </w:t>
      </w:r>
    </w:p>
    <w:p w14:paraId="2236A234" w14:textId="77777777" w:rsidR="00091FA8" w:rsidRPr="00EC7AE8" w:rsidRDefault="00091FA8" w:rsidP="00091FA8">
      <w:pPr>
        <w:pStyle w:val="Normal1"/>
        <w:spacing w:line="360" w:lineRule="auto"/>
        <w:jc w:val="both"/>
        <w:rPr>
          <w:rFonts w:ascii="Times New Roman" w:eastAsia="Times New Roman" w:hAnsi="Times New Roman" w:cs="Times New Roman"/>
          <w:sz w:val="24"/>
          <w:szCs w:val="24"/>
          <w:lang w:val="en-GB"/>
        </w:rPr>
      </w:pPr>
      <w:r w:rsidRPr="00EC7AE8">
        <w:rPr>
          <w:rFonts w:ascii="Times New Roman" w:eastAsia="Times New Roman" w:hAnsi="Times New Roman" w:cs="Times New Roman"/>
          <w:sz w:val="24"/>
          <w:szCs w:val="24"/>
          <w:lang w:val="en-GB"/>
        </w:rPr>
        <w:t xml:space="preserve">Hard BREXIT situation has affected firm departure that has resulted in instability in business market. As mentioned by Bloom </w:t>
      </w:r>
      <w:r w:rsidRPr="00EC7AE8">
        <w:rPr>
          <w:rFonts w:ascii="Times New Roman" w:eastAsia="Times New Roman" w:hAnsi="Times New Roman" w:cs="Times New Roman"/>
          <w:i/>
          <w:sz w:val="24"/>
          <w:szCs w:val="24"/>
          <w:lang w:val="en-GB"/>
        </w:rPr>
        <w:t xml:space="preserve">et al. </w:t>
      </w:r>
      <w:r w:rsidRPr="00EC7AE8">
        <w:rPr>
          <w:rFonts w:ascii="Times New Roman" w:eastAsia="Times New Roman" w:hAnsi="Times New Roman" w:cs="Times New Roman"/>
          <w:sz w:val="24"/>
          <w:szCs w:val="24"/>
          <w:lang w:val="en-GB"/>
        </w:rPr>
        <w:t xml:space="preserve">(2018), BREXIT impacted loss in four freedoms of trending such as labour, capital, services and capital market. A significant drop of 13.6% is noticed from imports to EU which has affected the overall investment market in European states. A fragile investment is noticed to affect the sustainable growth of major firms and this has reduced rate of FDI significantly. According to McCann </w:t>
      </w:r>
      <w:r w:rsidRPr="00EC7AE8">
        <w:rPr>
          <w:rFonts w:ascii="Times New Roman" w:eastAsia="Times New Roman" w:hAnsi="Times New Roman" w:cs="Times New Roman"/>
          <w:i/>
          <w:sz w:val="24"/>
          <w:szCs w:val="24"/>
          <w:lang w:val="en-GB"/>
        </w:rPr>
        <w:t xml:space="preserve">et al. </w:t>
      </w:r>
      <w:r w:rsidRPr="00EC7AE8">
        <w:rPr>
          <w:rFonts w:ascii="Times New Roman" w:eastAsia="Times New Roman" w:hAnsi="Times New Roman" w:cs="Times New Roman"/>
          <w:sz w:val="24"/>
          <w:szCs w:val="24"/>
          <w:lang w:val="en-GB"/>
        </w:rPr>
        <w:t xml:space="preserve">(2021), since the referendum, Britain's GDP has risen which has successfully developed 3.8% of firms' development. European states had ensured bank funding and growth with a minimal interest rate and ensured progressive growth in overall market in Europe. </w:t>
      </w:r>
    </w:p>
    <w:p w14:paraId="24F95A8B" w14:textId="77777777" w:rsidR="00091FA8" w:rsidRPr="00EC7AE8" w:rsidRDefault="00091FA8" w:rsidP="00091FA8">
      <w:pPr>
        <w:pStyle w:val="Normal1"/>
        <w:spacing w:line="360" w:lineRule="auto"/>
        <w:jc w:val="both"/>
        <w:rPr>
          <w:rFonts w:ascii="Times New Roman" w:eastAsia="Times New Roman" w:hAnsi="Times New Roman" w:cs="Times New Roman"/>
          <w:sz w:val="24"/>
          <w:szCs w:val="24"/>
          <w:lang w:val="en-GB"/>
        </w:rPr>
      </w:pPr>
      <w:r w:rsidRPr="00EC7AE8">
        <w:rPr>
          <w:rFonts w:ascii="Times New Roman" w:eastAsia="Times New Roman" w:hAnsi="Times New Roman" w:cs="Times New Roman"/>
          <w:sz w:val="24"/>
          <w:szCs w:val="24"/>
          <w:lang w:val="en-GB"/>
        </w:rPr>
        <w:t xml:space="preserve">UK-based management was no longer to sustain a portfolio management service in European private equity funds. Political differences between UK and EU have triggered a sudden loss for companies. Gillies (2020) asserted that government authority has taken this responsibility and raised their initiation by reviving construction and automobile industry new forms of investments. Along with this, government took a plan as a coordinated approach for managing fiscal stimulus of companies and making sure an effective scope on falling demand rate and triggered investment further in such organisations. In such ways, European government body has taken a significant step to ensure coordination between companies' sustainable growth and bank funds. This has resulted in sufficient growth and development of company capital with much interest from potential investor base. Hence, government authority has preceded an important step in management of the post BREXIT situation on mainly start-up businesses and ensured investor engagement which has also attended bank funding significantly. </w:t>
      </w:r>
    </w:p>
    <w:p w14:paraId="0D133C13" w14:textId="77777777" w:rsidR="00091FA8" w:rsidRPr="00EC7AE8" w:rsidRDefault="00091FA8" w:rsidP="00091FA8">
      <w:pPr>
        <w:pStyle w:val="Normal1"/>
        <w:spacing w:line="360" w:lineRule="auto"/>
        <w:jc w:val="both"/>
        <w:rPr>
          <w:rFonts w:ascii="Times New Roman" w:eastAsia="Times New Roman" w:hAnsi="Times New Roman" w:cs="Times New Roman"/>
          <w:sz w:val="24"/>
          <w:szCs w:val="24"/>
          <w:highlight w:val="white"/>
          <w:lang w:val="en-GB"/>
        </w:rPr>
      </w:pPr>
      <w:r w:rsidRPr="00EC7AE8">
        <w:rPr>
          <w:rFonts w:ascii="Times New Roman" w:eastAsia="Times New Roman" w:hAnsi="Times New Roman" w:cs="Times New Roman"/>
          <w:sz w:val="24"/>
          <w:szCs w:val="24"/>
          <w:highlight w:val="white"/>
          <w:lang w:val="en-GB"/>
        </w:rPr>
        <w:t xml:space="preserve">Companies in European Union have been facing major challenges due to which operation management has been affected creating a major impact in operation management. However, assistance from strategic interpretation can assist companies in enhancing their success while operating in market. Detailed thematic analysis has highlighted that </w:t>
      </w:r>
      <w:r w:rsidRPr="00EC7AE8">
        <w:rPr>
          <w:rFonts w:ascii="Times New Roman" w:eastAsia="Times New Roman" w:hAnsi="Times New Roman" w:cs="Times New Roman"/>
          <w:i/>
          <w:sz w:val="24"/>
          <w:szCs w:val="24"/>
          <w:highlight w:val="white"/>
          <w:lang w:val="en-GB"/>
        </w:rPr>
        <w:t>“adequate support from government and financial units”</w:t>
      </w:r>
      <w:r w:rsidRPr="00EC7AE8">
        <w:rPr>
          <w:rFonts w:ascii="Times New Roman" w:eastAsia="Times New Roman" w:hAnsi="Times New Roman" w:cs="Times New Roman"/>
          <w:sz w:val="24"/>
          <w:szCs w:val="24"/>
          <w:highlight w:val="white"/>
          <w:lang w:val="en-GB"/>
        </w:rPr>
        <w:t xml:space="preserve"> can provide significant support to companies in enhancing success and sustainability. It has been identified that the contribution of government towards increasing car manufacturing and green technology initiation can reduce challenges successfully. As per the observation of Wójcik and Ioannou (2020), government organisations have a major impact in transaction control in an effective manner. Therefore, with an emphasis on this aspect of government assistance and fund management can lead towards success and sustainability.</w:t>
      </w:r>
    </w:p>
    <w:p w14:paraId="35F45382" w14:textId="77777777" w:rsidR="00091FA8" w:rsidRPr="00EC7AE8" w:rsidRDefault="00091FA8" w:rsidP="00091FA8">
      <w:pPr>
        <w:pStyle w:val="Normal1"/>
        <w:spacing w:line="360" w:lineRule="auto"/>
        <w:jc w:val="both"/>
        <w:rPr>
          <w:rFonts w:ascii="Times New Roman" w:eastAsia="Times New Roman" w:hAnsi="Times New Roman" w:cs="Times New Roman"/>
          <w:sz w:val="24"/>
          <w:szCs w:val="24"/>
          <w:lang w:val="en-GB"/>
        </w:rPr>
      </w:pPr>
      <w:r w:rsidRPr="00EC7AE8">
        <w:rPr>
          <w:rFonts w:ascii="Times New Roman" w:eastAsia="Times New Roman" w:hAnsi="Times New Roman" w:cs="Times New Roman"/>
          <w:sz w:val="24"/>
          <w:szCs w:val="24"/>
          <w:highlight w:val="white"/>
          <w:lang w:val="en-GB"/>
        </w:rPr>
        <w:t>In addition to this, banks in the financial sector by allotting adequate financing towards companies can also improve organisational success regarding finance management. Commencing investment in private equity financial organisations can assist companies in improving market value by reducing financial risks. Thus, it can be stated that owing to these aspects innovation can be witnessed incorporating value and sustainability in market. Wójcik and Ioannou (2020) have also stated that banks often control monetary policies that assist companies in reducing financial complexities. Thus, assistance from these strategies companies in the EU market can enhance and improve operation management successfully.</w:t>
      </w:r>
    </w:p>
    <w:p w14:paraId="79347B50" w14:textId="77777777" w:rsidR="00091FA8" w:rsidRPr="00EC7AE8" w:rsidRDefault="00091FA8" w:rsidP="00091FA8">
      <w:pPr>
        <w:rPr>
          <w:rFonts w:eastAsia="Times New Roman" w:cs="Times New Roman"/>
          <w:color w:val="auto"/>
          <w:szCs w:val="24"/>
        </w:rPr>
      </w:pPr>
      <w:r w:rsidRPr="00EC7AE8">
        <w:rPr>
          <w:rFonts w:eastAsia="Times New Roman" w:cs="Times New Roman"/>
          <w:color w:val="000000"/>
          <w:szCs w:val="24"/>
          <w:shd w:val="clear" w:color="auto" w:fill="FFFFFF"/>
        </w:rPr>
        <w:t xml:space="preserve">The modelling structure of private equity due to lack of artificially smooth returns and quality base data has been creating challenges for the private equity investors. Further the growing interest in the context of private equity must include the investors to carefully analyse its return and risk as stated by the authors. As per the observation of </w:t>
      </w:r>
      <w:r w:rsidRPr="00EC7AE8">
        <w:rPr>
          <w:rFonts w:eastAsia="Times New Roman" w:cs="Times New Roman"/>
          <w:color w:val="222222"/>
          <w:szCs w:val="24"/>
          <w:shd w:val="clear" w:color="auto" w:fill="FFFFFF"/>
        </w:rPr>
        <w:t xml:space="preserve">Ilmanen </w:t>
      </w:r>
      <w:r w:rsidRPr="00EC7AE8">
        <w:rPr>
          <w:rFonts w:eastAsia="Times New Roman" w:cs="Times New Roman"/>
          <w:i/>
          <w:iCs/>
          <w:color w:val="222222"/>
          <w:szCs w:val="24"/>
          <w:shd w:val="clear" w:color="auto" w:fill="FFFFFF"/>
        </w:rPr>
        <w:t xml:space="preserve">et al. </w:t>
      </w:r>
      <w:r w:rsidRPr="00EC7AE8">
        <w:rPr>
          <w:rFonts w:eastAsia="Times New Roman" w:cs="Times New Roman"/>
          <w:color w:val="222222"/>
          <w:szCs w:val="24"/>
          <w:shd w:val="clear" w:color="auto" w:fill="FFFFFF"/>
        </w:rPr>
        <w:t>(2019)</w:t>
      </w:r>
      <w:r w:rsidRPr="00EC7AE8">
        <w:rPr>
          <w:rFonts w:eastAsia="Times New Roman" w:cs="Times New Roman"/>
          <w:color w:val="000000"/>
          <w:szCs w:val="24"/>
          <w:shd w:val="clear" w:color="auto" w:fill="FFFFFF"/>
        </w:rPr>
        <w:t xml:space="preserve"> there are many researchers along with the recent service which suggest that the investors of private equity still carry high expectations of a proper PE return. For the public market counterparts the private equity does not offer an attractive return edge.</w:t>
      </w:r>
    </w:p>
    <w:p w14:paraId="6D6BAB23" w14:textId="77777777" w:rsidR="00091FA8" w:rsidRPr="00EC7AE8" w:rsidRDefault="00091FA8" w:rsidP="00091FA8">
      <w:pPr>
        <w:rPr>
          <w:rFonts w:eastAsia="Times New Roman" w:cs="Times New Roman"/>
          <w:color w:val="auto"/>
          <w:szCs w:val="24"/>
        </w:rPr>
      </w:pPr>
      <w:r w:rsidRPr="00EC7AE8">
        <w:rPr>
          <w:rFonts w:eastAsia="Times New Roman" w:cs="Times New Roman"/>
          <w:color w:val="000000"/>
          <w:szCs w:val="24"/>
          <w:shd w:val="clear" w:color="auto" w:fill="FFFFFF"/>
        </w:rPr>
        <w:t xml:space="preserve">The managers in the organisation of the UK have been creating an important and significant scope for the opportunities of their conducted business. This includes the regulation of their funds into another jurisdiction. The European Union had been facing an economic distress which significantly impacted the organisations from gaining both foreign and domestic capitals as observed by </w:t>
      </w:r>
      <w:r w:rsidRPr="00EC7AE8">
        <w:rPr>
          <w:rFonts w:eastAsia="Times New Roman" w:cs="Times New Roman"/>
          <w:color w:val="222222"/>
          <w:szCs w:val="24"/>
          <w:shd w:val="clear" w:color="auto" w:fill="FFFFFF"/>
        </w:rPr>
        <w:t xml:space="preserve">Stubbs </w:t>
      </w:r>
      <w:r w:rsidRPr="00EC7AE8">
        <w:rPr>
          <w:rFonts w:eastAsia="Times New Roman" w:cs="Times New Roman"/>
          <w:i/>
          <w:iCs/>
          <w:color w:val="222222"/>
          <w:szCs w:val="24"/>
          <w:shd w:val="clear" w:color="auto" w:fill="FFFFFF"/>
        </w:rPr>
        <w:t xml:space="preserve">et al. </w:t>
      </w:r>
      <w:r w:rsidRPr="00EC7AE8">
        <w:rPr>
          <w:rFonts w:eastAsia="Times New Roman" w:cs="Times New Roman"/>
          <w:color w:val="222222"/>
          <w:szCs w:val="24"/>
          <w:shd w:val="clear" w:color="auto" w:fill="FFFFFF"/>
        </w:rPr>
        <w:t>(2020)</w:t>
      </w:r>
      <w:r w:rsidRPr="00EC7AE8">
        <w:rPr>
          <w:rFonts w:eastAsia="Times New Roman" w:cs="Times New Roman"/>
          <w:color w:val="000000"/>
          <w:szCs w:val="24"/>
          <w:shd w:val="clear" w:color="auto" w:fill="FFFFFF"/>
        </w:rPr>
        <w:t>. The government was also not able to provide the adequate supply of resources due to the unreasonable pressure from the different entities inside the economy.There were many organisations which were not able to reduce the negative impact of Brexit as there was a loss of a large volume of capital. The organisations were also not able to generate the funds that can help them to sustain the negative impact. The investors had also to face the unequitable losses that had been moving them away from increasing their strength of capital.</w:t>
      </w:r>
    </w:p>
    <w:p w14:paraId="56916050" w14:textId="77777777" w:rsidR="00091FA8" w:rsidRPr="00EC7AE8" w:rsidRDefault="00091FA8" w:rsidP="00091FA8">
      <w:pPr>
        <w:rPr>
          <w:rFonts w:eastAsia="Times New Roman" w:cs="Times New Roman"/>
          <w:color w:val="auto"/>
          <w:szCs w:val="24"/>
        </w:rPr>
      </w:pPr>
      <w:r w:rsidRPr="00EC7AE8">
        <w:rPr>
          <w:rFonts w:eastAsia="Times New Roman" w:cs="Times New Roman"/>
          <w:color w:val="000000"/>
          <w:szCs w:val="24"/>
          <w:shd w:val="clear" w:color="auto" w:fill="FFFFFF"/>
        </w:rPr>
        <w:t xml:space="preserve">There are many factors that have been impacting the investment of the private equity investors which includes the competitive advantage inside the market along with the potential growth of a particular business as stated by </w:t>
      </w:r>
      <w:r w:rsidRPr="00EC7AE8">
        <w:rPr>
          <w:rFonts w:eastAsia="Times New Roman" w:cs="Times New Roman"/>
          <w:color w:val="222222"/>
          <w:szCs w:val="24"/>
          <w:shd w:val="clear" w:color="auto" w:fill="FFFFFF"/>
        </w:rPr>
        <w:t>Clapp, (2019)</w:t>
      </w:r>
      <w:r w:rsidRPr="00EC7AE8">
        <w:rPr>
          <w:rFonts w:eastAsia="Times New Roman" w:cs="Times New Roman"/>
          <w:color w:val="000000"/>
          <w:szCs w:val="24"/>
          <w:shd w:val="clear" w:color="auto" w:fill="FFFFFF"/>
        </w:rPr>
        <w:t>. The other factors included the potential of the value creation in which the private equity forms has been investing inside the organisation that carry the potentials of creating value. Further it has included the specific challenges faced by the private equity forms in which the challenges include a requirement of a front funding in which the impacted investors by making the private transactions has been accepting the financial returns which were much lower than the expected returns.</w:t>
      </w:r>
    </w:p>
    <w:p w14:paraId="2228CDFB" w14:textId="77777777" w:rsidR="00091FA8" w:rsidRPr="00EC7AE8" w:rsidRDefault="00091FA8" w:rsidP="00091FA8">
      <w:pPr>
        <w:jc w:val="left"/>
        <w:rPr>
          <w:rFonts w:eastAsia="Times New Roman" w:cs="Times New Roman"/>
          <w:color w:val="auto"/>
          <w:szCs w:val="24"/>
        </w:rPr>
      </w:pPr>
    </w:p>
    <w:p w14:paraId="1272E5C3" w14:textId="77777777" w:rsidR="00091FA8" w:rsidRPr="00EC7AE8" w:rsidRDefault="00091FA8" w:rsidP="00091FA8">
      <w:pPr>
        <w:pStyle w:val="Heading1"/>
      </w:pPr>
      <w:bookmarkStart w:id="119" w:name="_Toc114323542"/>
      <w:bookmarkStart w:id="120" w:name="_Toc114323859"/>
      <w:r w:rsidRPr="00EC7AE8">
        <w:rPr>
          <w:shd w:val="clear" w:color="auto" w:fill="FFFFFF"/>
        </w:rPr>
        <w:t>5.3 Summary</w:t>
      </w:r>
      <w:bookmarkEnd w:id="119"/>
      <w:bookmarkEnd w:id="120"/>
      <w:r w:rsidRPr="00EC7AE8">
        <w:rPr>
          <w:shd w:val="clear" w:color="auto" w:fill="FFFFFF"/>
        </w:rPr>
        <w:t xml:space="preserve"> </w:t>
      </w:r>
    </w:p>
    <w:p w14:paraId="5CE51991" w14:textId="77777777" w:rsidR="00091FA8" w:rsidRPr="00EC7AE8" w:rsidRDefault="00091FA8" w:rsidP="00091FA8">
      <w:pPr>
        <w:rPr>
          <w:rFonts w:eastAsia="Times New Roman" w:cs="Times New Roman"/>
          <w:color w:val="auto"/>
          <w:szCs w:val="24"/>
        </w:rPr>
      </w:pPr>
      <w:r w:rsidRPr="00EC7AE8">
        <w:rPr>
          <w:rFonts w:eastAsia="Times New Roman" w:cs="Times New Roman"/>
          <w:color w:val="000000"/>
          <w:szCs w:val="24"/>
          <w:shd w:val="clear" w:color="auto" w:fill="FFFFFF"/>
        </w:rPr>
        <w:t>The collective scheme of investment that is used for conducting the transaction in various equities along with the debt instruments can be referred to as the private equity fund. The private equity funds are not available to each and every investor but there is an inclusion of these usual investors who can afford to invest a lot of money for a long period of time. The current literature review has included the important aspect of the investments of the private equity firms in the European Union before brexit. The specific challenges that has been faced by the investors are analysed along with the methodological ways by which the appropriate strategy can be implemented by the investors for reducing the major drawbacks are also included.</w:t>
      </w:r>
    </w:p>
    <w:p w14:paraId="5C12C490" w14:textId="77777777" w:rsidR="00DC42DA" w:rsidRDefault="00DC42DA" w:rsidP="00DC42DA">
      <w:pPr>
        <w:pStyle w:val="Normal1"/>
        <w:spacing w:line="360" w:lineRule="auto"/>
        <w:jc w:val="both"/>
        <w:rPr>
          <w:rFonts w:ascii="Times New Roman" w:eastAsia="Times New Roman" w:hAnsi="Times New Roman" w:cs="Times New Roman"/>
          <w:sz w:val="24"/>
          <w:szCs w:val="24"/>
          <w:highlight w:val="white"/>
          <w:lang w:val="en-GB"/>
        </w:rPr>
      </w:pPr>
    </w:p>
    <w:p w14:paraId="570BAFF0" w14:textId="77777777" w:rsidR="00DC42DA" w:rsidRDefault="00DC42DA">
      <w:pPr>
        <w:spacing w:line="276" w:lineRule="auto"/>
        <w:jc w:val="left"/>
        <w:rPr>
          <w:rFonts w:eastAsia="Times New Roman" w:cs="Times New Roman"/>
          <w:color w:val="auto"/>
          <w:szCs w:val="24"/>
          <w:highlight w:val="white"/>
          <w:lang w:val="en-GB"/>
        </w:rPr>
      </w:pPr>
      <w:r>
        <w:rPr>
          <w:rFonts w:eastAsia="Times New Roman" w:cs="Times New Roman"/>
          <w:szCs w:val="24"/>
          <w:highlight w:val="white"/>
          <w:lang w:val="en-GB"/>
        </w:rPr>
        <w:br w:type="page"/>
      </w:r>
    </w:p>
    <w:p w14:paraId="76696C0A" w14:textId="77777777" w:rsidR="00DC42DA" w:rsidRPr="00DC11EF" w:rsidRDefault="00DC42DA" w:rsidP="00DC42DA">
      <w:pPr>
        <w:pStyle w:val="Heading1"/>
        <w:rPr>
          <w:highlight w:val="white"/>
        </w:rPr>
      </w:pPr>
      <w:bookmarkStart w:id="121" w:name="_Toc114323860"/>
      <w:r w:rsidRPr="00DC11EF">
        <w:rPr>
          <w:highlight w:val="white"/>
          <w:lang w:val="en-GB"/>
        </w:rPr>
        <w:t>Chapter 6: Conclusion</w:t>
      </w:r>
      <w:r>
        <w:rPr>
          <w:highlight w:val="white"/>
          <w:lang w:val="en-GB"/>
        </w:rPr>
        <w:t xml:space="preserve"> and Recommendations</w:t>
      </w:r>
      <w:bookmarkEnd w:id="121"/>
    </w:p>
    <w:p w14:paraId="4562C460" w14:textId="77777777" w:rsidR="00DC42DA" w:rsidRPr="00DC11EF" w:rsidRDefault="00DC42DA" w:rsidP="00DC42DA">
      <w:pPr>
        <w:pStyle w:val="Heading1"/>
        <w:rPr>
          <w:highlight w:val="white"/>
        </w:rPr>
      </w:pPr>
      <w:bookmarkStart w:id="122" w:name="_Toc114323861"/>
      <w:r>
        <w:rPr>
          <w:highlight w:val="white"/>
          <w:lang w:val="en-GB"/>
        </w:rPr>
        <w:t>6</w:t>
      </w:r>
      <w:r w:rsidRPr="00DC11EF">
        <w:rPr>
          <w:highlight w:val="white"/>
          <w:lang w:val="en-GB"/>
        </w:rPr>
        <w:t>.0 Conclusion</w:t>
      </w:r>
      <w:bookmarkEnd w:id="122"/>
    </w:p>
    <w:p w14:paraId="791483BE" w14:textId="77777777" w:rsidR="00DC42DA" w:rsidRPr="00DC11EF" w:rsidRDefault="00DC42DA" w:rsidP="00DC42DA">
      <w:pPr>
        <w:pStyle w:val="Normal1"/>
        <w:spacing w:line="360" w:lineRule="auto"/>
        <w:jc w:val="both"/>
        <w:rPr>
          <w:rFonts w:ascii="Times New Roman" w:eastAsia="Times New Roman" w:hAnsi="Times New Roman" w:cs="Times New Roman"/>
          <w:sz w:val="24"/>
          <w:szCs w:val="24"/>
          <w:highlight w:val="white"/>
          <w:lang w:val="en-GB"/>
        </w:rPr>
      </w:pPr>
      <w:r w:rsidRPr="00DC11EF">
        <w:rPr>
          <w:rFonts w:ascii="Times New Roman" w:eastAsia="Times New Roman" w:hAnsi="Times New Roman" w:cs="Times New Roman"/>
          <w:sz w:val="24"/>
          <w:szCs w:val="24"/>
          <w:highlight w:val="white"/>
          <w:lang w:val="en-GB"/>
        </w:rPr>
        <w:t xml:space="preserve">Private equity investment helps investors in getting a huge return at a short period of time creating a greater value towards companies. It has been identified that companies making use of this aspect successfully extend in the international market or in the domestic market. Extending organisational value and effectiveness companies brings in success and sustainability in an adequate manner. Assistance from this investment process, in a short amount of time companies can also obtain a greater return by reducing the possibility of potential loss. However, the post BREXIT situation has created major challenges towards companies as strategic investment has been affected. Losing a major control over operation management, most of the companies are unable to make effective decisions in terms of improving organisational progress. Thus, owing to the shift in market trend and sales, most of the time companies are facing major challenges in enhancing growth. Amidst this situation a negative impact on investors perception has created this major challenge towards companies. </w:t>
      </w:r>
    </w:p>
    <w:p w14:paraId="230F0D4E" w14:textId="77777777" w:rsidR="00DC42DA" w:rsidRPr="00DC11EF" w:rsidRDefault="00DC42DA" w:rsidP="00DC42DA">
      <w:pPr>
        <w:pStyle w:val="Normal1"/>
        <w:spacing w:line="360" w:lineRule="auto"/>
        <w:jc w:val="both"/>
        <w:rPr>
          <w:rFonts w:ascii="Times New Roman" w:eastAsia="Times New Roman" w:hAnsi="Times New Roman" w:cs="Times New Roman"/>
          <w:sz w:val="24"/>
          <w:szCs w:val="24"/>
          <w:highlight w:val="white"/>
          <w:lang w:val="en-GB"/>
        </w:rPr>
      </w:pPr>
      <w:r w:rsidRPr="00DC11EF">
        <w:rPr>
          <w:rFonts w:ascii="Times New Roman" w:eastAsia="Times New Roman" w:hAnsi="Times New Roman" w:cs="Times New Roman"/>
          <w:sz w:val="24"/>
          <w:szCs w:val="24"/>
          <w:highlight w:val="white"/>
          <w:lang w:val="en-GB"/>
        </w:rPr>
        <w:t xml:space="preserve">Underpinning the existing literature, it has been identified that due to low return on investment and low equity return from investment in banks has created these issues. Furthermore, as private investments do not get evaluated by banks, on making a loss, companies are unable to claim their position in the market. Thus, it can be stated that owing to these aspects companies have been facing major drawbacks towards development. Hence, with an emphasis on these aspects a detailed methodological approach has been developed to assist companies in reducing their challenges and developing effective strategies for enhancing organisational growth. </w:t>
      </w:r>
    </w:p>
    <w:p w14:paraId="137E37CA" w14:textId="77777777" w:rsidR="00DC42DA" w:rsidRPr="00DC11EF" w:rsidRDefault="00DC42DA" w:rsidP="00DC42DA">
      <w:pPr>
        <w:pStyle w:val="Normal1"/>
        <w:spacing w:line="360" w:lineRule="auto"/>
        <w:jc w:val="both"/>
        <w:rPr>
          <w:rFonts w:ascii="Times New Roman" w:eastAsia="Times New Roman" w:hAnsi="Times New Roman" w:cs="Times New Roman"/>
          <w:sz w:val="24"/>
          <w:szCs w:val="24"/>
          <w:highlight w:val="white"/>
          <w:lang w:val="en-GB"/>
        </w:rPr>
      </w:pPr>
      <w:r w:rsidRPr="00DC11EF">
        <w:rPr>
          <w:rFonts w:ascii="Times New Roman" w:eastAsia="Times New Roman" w:hAnsi="Times New Roman" w:cs="Times New Roman"/>
          <w:sz w:val="24"/>
          <w:szCs w:val="24"/>
          <w:highlight w:val="white"/>
          <w:lang w:val="en-GB"/>
        </w:rPr>
        <w:t xml:space="preserve">Methodological approach has highlighted the use of a mono method that segregates a singular way of analysing gathered data. Hence, developing themes has helped researcher to initiate themes by undergoing relevant data and resources related to BREXIT and its impact on EU based companies. Assistance from methodological approach, authenticity of this research process has been maintained creating a major impact towards succession. Moreover, by conducting a thematic analysis it has been identified that with assistance from  government organisations and financial sectors, can reduce these challenges enhancing organisational growth and development successfully. Furthermore, rate of loss can also be reduced enhancing organisational success and sustainability rate in market. It can be concluded that though companies as well as investors have been facing major challenges amidst the post BREXIT situation, these problems can be reduced successfully. Developing innovative strategies can assist companies in enhancing organisational growth and value in market successfully. </w:t>
      </w:r>
    </w:p>
    <w:p w14:paraId="6C2EFAAD" w14:textId="77777777" w:rsidR="00DC42DA" w:rsidRPr="00DC11EF" w:rsidRDefault="00DC42DA" w:rsidP="00DC42DA">
      <w:pPr>
        <w:pStyle w:val="Heading1"/>
        <w:rPr>
          <w:highlight w:val="white"/>
          <w:lang w:val="en-GB"/>
        </w:rPr>
      </w:pPr>
      <w:bookmarkStart w:id="123" w:name="_Toc114323862"/>
      <w:r>
        <w:rPr>
          <w:highlight w:val="white"/>
          <w:lang w:val="en-GB"/>
        </w:rPr>
        <w:t>6</w:t>
      </w:r>
      <w:r w:rsidRPr="00DC11EF">
        <w:rPr>
          <w:highlight w:val="white"/>
          <w:lang w:val="en-GB"/>
        </w:rPr>
        <w:t>.1 Linking with Objectives</w:t>
      </w:r>
      <w:bookmarkEnd w:id="123"/>
    </w:p>
    <w:p w14:paraId="6153A4D3" w14:textId="77777777" w:rsidR="00DC42DA" w:rsidRPr="00DC11EF" w:rsidRDefault="00DC42DA" w:rsidP="00DC42DA">
      <w:pPr>
        <w:pStyle w:val="Normal1"/>
        <w:spacing w:line="360" w:lineRule="auto"/>
        <w:jc w:val="both"/>
        <w:outlineLvl w:val="0"/>
        <w:rPr>
          <w:rFonts w:ascii="Times New Roman" w:eastAsia="Times New Roman" w:hAnsi="Times New Roman" w:cs="Times New Roman"/>
          <w:b/>
          <w:i/>
          <w:sz w:val="24"/>
          <w:szCs w:val="24"/>
          <w:highlight w:val="white"/>
          <w:lang w:val="en-GB"/>
        </w:rPr>
      </w:pPr>
      <w:r w:rsidRPr="00DC11EF">
        <w:rPr>
          <w:rFonts w:ascii="Times New Roman" w:eastAsia="Times New Roman" w:hAnsi="Times New Roman" w:cs="Times New Roman"/>
          <w:b/>
          <w:i/>
          <w:sz w:val="24"/>
          <w:szCs w:val="24"/>
          <w:highlight w:val="white"/>
          <w:lang w:val="en-GB"/>
        </w:rPr>
        <w:t>Objective 1: “To find out the perception of private equity investment”</w:t>
      </w:r>
    </w:p>
    <w:p w14:paraId="60E714BB" w14:textId="77777777" w:rsidR="00DC42DA" w:rsidRPr="00DC11EF" w:rsidRDefault="00DC42DA" w:rsidP="00DC42DA">
      <w:pPr>
        <w:pStyle w:val="Normal1"/>
        <w:spacing w:line="360" w:lineRule="auto"/>
        <w:jc w:val="both"/>
        <w:rPr>
          <w:rFonts w:ascii="Times New Roman" w:eastAsia="Times New Roman" w:hAnsi="Times New Roman" w:cs="Times New Roman"/>
          <w:sz w:val="24"/>
          <w:szCs w:val="24"/>
          <w:highlight w:val="white"/>
          <w:lang w:val="en-GB"/>
        </w:rPr>
      </w:pPr>
      <w:r w:rsidRPr="00DC11EF">
        <w:rPr>
          <w:rFonts w:ascii="Times New Roman" w:eastAsia="Times New Roman" w:hAnsi="Times New Roman" w:cs="Times New Roman"/>
          <w:sz w:val="24"/>
          <w:szCs w:val="24"/>
          <w:highlight w:val="white"/>
          <w:lang w:val="en-GB"/>
        </w:rPr>
        <w:t xml:space="preserve">Private equity investment is a process that assists companies in selling equity shares to private investors to reduce organisational financial risks. Financers in order to obtain greater return purchases equity funds from companies by providing them with sustainability. This objective has been linked in the second chapter and later got evaluated in the fourth chapter in theme 1 in a detailed way. </w:t>
      </w:r>
    </w:p>
    <w:p w14:paraId="1C134139" w14:textId="77777777" w:rsidR="00DC42DA" w:rsidRPr="00DC11EF" w:rsidRDefault="00DC42DA" w:rsidP="00DC42DA">
      <w:pPr>
        <w:pStyle w:val="Normal1"/>
        <w:spacing w:line="360" w:lineRule="auto"/>
        <w:jc w:val="both"/>
        <w:rPr>
          <w:rFonts w:ascii="Times New Roman" w:eastAsia="Times New Roman" w:hAnsi="Times New Roman" w:cs="Times New Roman"/>
          <w:b/>
          <w:i/>
          <w:sz w:val="24"/>
          <w:szCs w:val="24"/>
          <w:highlight w:val="white"/>
          <w:lang w:val="en-GB"/>
        </w:rPr>
      </w:pPr>
      <w:r w:rsidRPr="00DC11EF">
        <w:rPr>
          <w:rFonts w:ascii="Times New Roman" w:eastAsia="Times New Roman" w:hAnsi="Times New Roman" w:cs="Times New Roman"/>
          <w:b/>
          <w:i/>
          <w:sz w:val="24"/>
          <w:szCs w:val="24"/>
          <w:highlight w:val="white"/>
          <w:lang w:val="en-GB"/>
        </w:rPr>
        <w:t>Objective 2: “To figure out both advantages and disadvantages of private equity investment”</w:t>
      </w:r>
    </w:p>
    <w:p w14:paraId="29B9E1C7" w14:textId="77777777" w:rsidR="00DC42DA" w:rsidRPr="00DC11EF" w:rsidRDefault="00DC42DA" w:rsidP="00DC42DA">
      <w:pPr>
        <w:pStyle w:val="Normal1"/>
        <w:spacing w:line="360" w:lineRule="auto"/>
        <w:jc w:val="both"/>
        <w:rPr>
          <w:rFonts w:ascii="Times New Roman" w:eastAsia="Times New Roman" w:hAnsi="Times New Roman" w:cs="Times New Roman"/>
          <w:sz w:val="24"/>
          <w:szCs w:val="24"/>
          <w:highlight w:val="white"/>
          <w:lang w:val="en-GB"/>
        </w:rPr>
      </w:pPr>
      <w:r w:rsidRPr="00DC11EF">
        <w:rPr>
          <w:rFonts w:ascii="Times New Roman" w:eastAsia="Times New Roman" w:hAnsi="Times New Roman" w:cs="Times New Roman"/>
          <w:sz w:val="24"/>
          <w:szCs w:val="24"/>
          <w:highlight w:val="white"/>
          <w:lang w:val="en-GB"/>
        </w:rPr>
        <w:t xml:space="preserve">Private equity investment provides companies with effective growth and strategic value enhancing organisational rate of sustainability. However, lack of upfront funding has created major issues towards companies affecting its growth and success rate in an effective manner. Linking this objective in chapter 2 and later evaluating this in the 4th chapter theme 2 this study has been developed. </w:t>
      </w:r>
    </w:p>
    <w:p w14:paraId="5B17605D" w14:textId="77777777" w:rsidR="00DC42DA" w:rsidRPr="00DC11EF" w:rsidRDefault="00DC42DA" w:rsidP="00DC42DA">
      <w:pPr>
        <w:pStyle w:val="Normal1"/>
        <w:spacing w:line="360" w:lineRule="auto"/>
        <w:jc w:val="both"/>
        <w:rPr>
          <w:rFonts w:ascii="Times New Roman" w:eastAsia="Times New Roman" w:hAnsi="Times New Roman" w:cs="Times New Roman"/>
          <w:b/>
          <w:i/>
          <w:sz w:val="24"/>
          <w:szCs w:val="24"/>
          <w:highlight w:val="white"/>
          <w:lang w:val="en-GB"/>
        </w:rPr>
      </w:pPr>
      <w:r w:rsidRPr="00DC11EF">
        <w:rPr>
          <w:rFonts w:ascii="Times New Roman" w:eastAsia="Times New Roman" w:hAnsi="Times New Roman" w:cs="Times New Roman"/>
          <w:b/>
          <w:i/>
          <w:sz w:val="24"/>
          <w:szCs w:val="24"/>
          <w:highlight w:val="white"/>
          <w:lang w:val="en-GB"/>
        </w:rPr>
        <w:t>Objective 3: “To interpret the effect of equity investment in the EU post BREXIT condition”</w:t>
      </w:r>
    </w:p>
    <w:p w14:paraId="2AD8BE28" w14:textId="77777777" w:rsidR="00DC42DA" w:rsidRPr="00DC11EF" w:rsidRDefault="00DC42DA" w:rsidP="00DC42DA">
      <w:pPr>
        <w:pStyle w:val="Normal1"/>
        <w:spacing w:line="360" w:lineRule="auto"/>
        <w:jc w:val="both"/>
        <w:rPr>
          <w:lang w:val="en-GB"/>
        </w:rPr>
      </w:pPr>
      <w:r w:rsidRPr="00DC11EF">
        <w:rPr>
          <w:rFonts w:ascii="Times New Roman" w:eastAsia="Times New Roman" w:hAnsi="Times New Roman" w:cs="Times New Roman"/>
          <w:sz w:val="24"/>
          <w:szCs w:val="24"/>
          <w:highlight w:val="white"/>
          <w:lang w:val="en-GB"/>
        </w:rPr>
        <w:t xml:space="preserve">Lack of effective equity investment often creates barriers towards manufacturing companies admits the BREXIT situation. Impacting its growth and success, companies often face major challenges in enhancing success and sustainability management. Objective has been linked in the second chapter and later evaluating it in the fourth chapter both third and forth theme has been discussed accordingly. </w:t>
      </w:r>
    </w:p>
    <w:p w14:paraId="5803CD5C" w14:textId="77777777" w:rsidR="00DC42DA" w:rsidRPr="00DC11EF" w:rsidRDefault="00DC42DA" w:rsidP="00DC42DA">
      <w:pPr>
        <w:pStyle w:val="Normal1"/>
        <w:spacing w:line="360" w:lineRule="auto"/>
        <w:jc w:val="both"/>
        <w:rPr>
          <w:rFonts w:ascii="Times New Roman" w:eastAsia="Times New Roman" w:hAnsi="Times New Roman" w:cs="Times New Roman"/>
          <w:b/>
          <w:i/>
          <w:sz w:val="24"/>
          <w:szCs w:val="24"/>
          <w:highlight w:val="white"/>
          <w:lang w:val="en-GB"/>
        </w:rPr>
      </w:pPr>
      <w:r w:rsidRPr="00DC11EF">
        <w:rPr>
          <w:rFonts w:ascii="Times New Roman" w:eastAsia="Times New Roman" w:hAnsi="Times New Roman" w:cs="Times New Roman"/>
          <w:b/>
          <w:i/>
          <w:sz w:val="24"/>
          <w:szCs w:val="24"/>
          <w:highlight w:val="white"/>
          <w:lang w:val="en-GB"/>
        </w:rPr>
        <w:t>Objective 4: “To develop and recommend effective strategies for reducing challenges faced by private equity investors in the EU post BREXIT situation”</w:t>
      </w:r>
    </w:p>
    <w:p w14:paraId="24EA318B" w14:textId="77777777" w:rsidR="00DC42DA" w:rsidRPr="00DC11EF" w:rsidRDefault="00DC42DA" w:rsidP="00DC42DA">
      <w:pPr>
        <w:pStyle w:val="Normal1"/>
        <w:spacing w:line="360" w:lineRule="auto"/>
        <w:jc w:val="both"/>
        <w:rPr>
          <w:rFonts w:ascii="Times New Roman" w:eastAsia="Times New Roman" w:hAnsi="Times New Roman" w:cs="Times New Roman"/>
          <w:sz w:val="24"/>
          <w:szCs w:val="24"/>
          <w:highlight w:val="white"/>
          <w:lang w:val="en-GB"/>
        </w:rPr>
      </w:pPr>
      <w:r w:rsidRPr="00DC11EF">
        <w:rPr>
          <w:rFonts w:ascii="Times New Roman" w:eastAsia="Times New Roman" w:hAnsi="Times New Roman" w:cs="Times New Roman"/>
          <w:sz w:val="24"/>
          <w:szCs w:val="24"/>
          <w:highlight w:val="white"/>
          <w:lang w:val="en-GB"/>
        </w:rPr>
        <w:t xml:space="preserve">Strategies like assistance from financial sector and government sector can assist companies in enhancing their equity based success management. Linking this objective in the second chapter and later evaluating it in the fourth chapter theme five has been discussed  accordingly. </w:t>
      </w:r>
    </w:p>
    <w:p w14:paraId="477B6348" w14:textId="77777777" w:rsidR="00DC42DA" w:rsidRPr="00DC11EF" w:rsidRDefault="00DC42DA" w:rsidP="00DC42DA">
      <w:pPr>
        <w:pStyle w:val="Heading1"/>
        <w:rPr>
          <w:highlight w:val="white"/>
          <w:lang w:val="en-GB"/>
        </w:rPr>
      </w:pPr>
      <w:bookmarkStart w:id="124" w:name="_Toc114323863"/>
      <w:r>
        <w:rPr>
          <w:highlight w:val="white"/>
          <w:lang w:val="en-GB"/>
        </w:rPr>
        <w:t>6</w:t>
      </w:r>
      <w:r w:rsidRPr="00DC11EF">
        <w:rPr>
          <w:highlight w:val="white"/>
          <w:lang w:val="en-GB"/>
        </w:rPr>
        <w:t>.2 Recommendations</w:t>
      </w:r>
      <w:bookmarkEnd w:id="124"/>
    </w:p>
    <w:p w14:paraId="639CAD6D" w14:textId="77777777" w:rsidR="00DC42DA" w:rsidRPr="00DC11EF" w:rsidRDefault="00DC42DA" w:rsidP="00DC42DA">
      <w:pPr>
        <w:pStyle w:val="Normal1"/>
        <w:spacing w:line="360" w:lineRule="auto"/>
        <w:jc w:val="both"/>
        <w:outlineLvl w:val="0"/>
        <w:rPr>
          <w:rFonts w:ascii="Times New Roman" w:eastAsia="Times New Roman" w:hAnsi="Times New Roman" w:cs="Times New Roman"/>
          <w:b/>
          <w:i/>
          <w:sz w:val="24"/>
          <w:szCs w:val="24"/>
          <w:highlight w:val="white"/>
          <w:lang w:val="en-GB"/>
        </w:rPr>
      </w:pPr>
      <w:r w:rsidRPr="00DC11EF">
        <w:rPr>
          <w:rFonts w:ascii="Times New Roman" w:eastAsia="Times New Roman" w:hAnsi="Times New Roman" w:cs="Times New Roman"/>
          <w:b/>
          <w:i/>
          <w:sz w:val="24"/>
          <w:szCs w:val="24"/>
          <w:highlight w:val="white"/>
          <w:lang w:val="en-GB"/>
        </w:rPr>
        <w:t>Government Support</w:t>
      </w:r>
    </w:p>
    <w:p w14:paraId="0CB61A7F" w14:textId="77777777" w:rsidR="00DC42DA" w:rsidRPr="00DC11EF" w:rsidRDefault="00DC42DA" w:rsidP="00DC42DA">
      <w:pPr>
        <w:pStyle w:val="Normal1"/>
        <w:spacing w:line="360" w:lineRule="auto"/>
        <w:jc w:val="both"/>
        <w:rPr>
          <w:rFonts w:ascii="Times New Roman" w:eastAsia="Times New Roman" w:hAnsi="Times New Roman" w:cs="Times New Roman"/>
          <w:sz w:val="24"/>
          <w:szCs w:val="24"/>
          <w:highlight w:val="white"/>
          <w:lang w:val="en-GB"/>
        </w:rPr>
      </w:pPr>
      <w:r w:rsidRPr="00DC11EF">
        <w:rPr>
          <w:rFonts w:ascii="Times New Roman" w:eastAsia="Times New Roman" w:hAnsi="Times New Roman" w:cs="Times New Roman"/>
          <w:sz w:val="24"/>
          <w:szCs w:val="24"/>
          <w:highlight w:val="white"/>
          <w:lang w:val="en-GB"/>
        </w:rPr>
        <w:t xml:space="preserve">Companies in the EU have been facing major challenges because of ineffective equity share management creating a major challenge towards organisational success. Hence, with assistance from government support companies can enhance success. Governments purchasing equity shares at a low value can assist companies in expanding their growth in the international market successfully. Therefore, providing companies with financial shields effective operation management programmes can get witnessed bringing significant market value. As per the observation of Ionescu (2021), adopting zero commitment factors the government can develop a valuable investment in an organisation. Thus, by increasing the rate of importing and exporting processes, companies in EU market can bring in success and sustainability in an effective manner.  </w:t>
      </w:r>
    </w:p>
    <w:p w14:paraId="41234331" w14:textId="77777777" w:rsidR="00DC42DA" w:rsidRPr="00DC11EF" w:rsidRDefault="00DC42DA" w:rsidP="00DC42DA">
      <w:pPr>
        <w:pStyle w:val="Normal1"/>
        <w:spacing w:line="360" w:lineRule="auto"/>
        <w:jc w:val="both"/>
        <w:outlineLvl w:val="0"/>
        <w:rPr>
          <w:rFonts w:ascii="Times New Roman" w:eastAsia="Times New Roman" w:hAnsi="Times New Roman" w:cs="Times New Roman"/>
          <w:b/>
          <w:i/>
          <w:sz w:val="24"/>
          <w:szCs w:val="24"/>
          <w:highlight w:val="white"/>
          <w:lang w:val="en-GB"/>
        </w:rPr>
      </w:pPr>
      <w:r w:rsidRPr="00DC11EF">
        <w:rPr>
          <w:rFonts w:ascii="Times New Roman" w:eastAsia="Times New Roman" w:hAnsi="Times New Roman" w:cs="Times New Roman"/>
          <w:b/>
          <w:i/>
          <w:sz w:val="24"/>
          <w:szCs w:val="24"/>
          <w:highlight w:val="white"/>
          <w:lang w:val="en-GB"/>
        </w:rPr>
        <w:t>Financial Unit Support</w:t>
      </w:r>
    </w:p>
    <w:p w14:paraId="00D58C77" w14:textId="77777777" w:rsidR="00DC42DA" w:rsidRPr="00DC11EF" w:rsidRDefault="00DC42DA" w:rsidP="00DC42DA">
      <w:pPr>
        <w:pStyle w:val="Normal1"/>
        <w:spacing w:line="360" w:lineRule="auto"/>
        <w:jc w:val="both"/>
        <w:rPr>
          <w:rFonts w:ascii="Times New Roman" w:eastAsia="Times New Roman" w:hAnsi="Times New Roman" w:cs="Times New Roman"/>
          <w:sz w:val="24"/>
          <w:szCs w:val="24"/>
          <w:highlight w:val="white"/>
          <w:lang w:val="en-GB"/>
        </w:rPr>
      </w:pPr>
      <w:r w:rsidRPr="00DC11EF">
        <w:rPr>
          <w:rFonts w:ascii="Times New Roman" w:eastAsia="Times New Roman" w:hAnsi="Times New Roman" w:cs="Times New Roman"/>
          <w:sz w:val="24"/>
          <w:szCs w:val="24"/>
          <w:highlight w:val="white"/>
          <w:lang w:val="en-GB"/>
        </w:rPr>
        <w:t xml:space="preserve">Banks can also enhance organisational success by improving equity fund investment structure successfully. It can be stated that by issuing stocks and bonds, companies in financial sector can increase organisational value in market. Therefore, becoming a bridge between investors and invested banks can improve operating structure by reducing complexities successfully. As per the observation of Duffie (2019), in case of issued stocks and bonds from banks, companies might not face a major challenge. Deducing the rate of market debt they can retain its operation progress successfully. Thus, without getting controlled by financiers, companies can enhance and improve its progress and sustainability in market in an effective manner. </w:t>
      </w:r>
    </w:p>
    <w:p w14:paraId="1B7A66A8" w14:textId="77777777" w:rsidR="00DC42DA" w:rsidRPr="00DC11EF" w:rsidRDefault="00DC42DA" w:rsidP="00DC42DA">
      <w:pPr>
        <w:pStyle w:val="Heading1"/>
        <w:rPr>
          <w:highlight w:val="white"/>
          <w:lang w:val="en-GB"/>
        </w:rPr>
      </w:pPr>
      <w:bookmarkStart w:id="125" w:name="_Toc114323864"/>
      <w:r>
        <w:rPr>
          <w:highlight w:val="white"/>
          <w:lang w:val="en-GB"/>
        </w:rPr>
        <w:t>6</w:t>
      </w:r>
      <w:r w:rsidRPr="00DC11EF">
        <w:rPr>
          <w:highlight w:val="white"/>
          <w:lang w:val="en-GB"/>
        </w:rPr>
        <w:t>.3 Research Limitations</w:t>
      </w:r>
      <w:bookmarkEnd w:id="125"/>
    </w:p>
    <w:p w14:paraId="41C10211" w14:textId="77777777" w:rsidR="00DC42DA" w:rsidRPr="00DC11EF" w:rsidRDefault="00DC42DA" w:rsidP="00DC42DA">
      <w:pPr>
        <w:pStyle w:val="Normal1"/>
        <w:spacing w:line="360" w:lineRule="auto"/>
        <w:jc w:val="both"/>
        <w:rPr>
          <w:rFonts w:ascii="Times New Roman" w:eastAsia="Times New Roman" w:hAnsi="Times New Roman" w:cs="Times New Roman"/>
          <w:sz w:val="24"/>
          <w:szCs w:val="24"/>
          <w:highlight w:val="white"/>
          <w:lang w:val="en-GB"/>
        </w:rPr>
      </w:pPr>
      <w:r w:rsidRPr="00DC11EF">
        <w:rPr>
          <w:rFonts w:ascii="Times New Roman" w:eastAsia="Times New Roman" w:hAnsi="Times New Roman" w:cs="Times New Roman"/>
          <w:sz w:val="24"/>
          <w:szCs w:val="24"/>
          <w:highlight w:val="white"/>
          <w:lang w:val="en-GB"/>
        </w:rPr>
        <w:t>Conducting this research on merits and demerits of private equity investment post BREXIT situation in EU, apart from advantages, certain limitations has also been witnessed. Limitation of time and finance management has created a major effect on the quality of this research process. Due to lack of time, adequate information gathering became difficult and lack of finance has restricted in obtaining paid relevant information accordingly.</w:t>
      </w:r>
    </w:p>
    <w:p w14:paraId="24790CA6" w14:textId="77777777" w:rsidR="00DC42DA" w:rsidRPr="00DC11EF" w:rsidRDefault="00DC42DA" w:rsidP="00DC42DA">
      <w:pPr>
        <w:pStyle w:val="Heading1"/>
        <w:rPr>
          <w:highlight w:val="white"/>
          <w:lang w:val="en-GB"/>
        </w:rPr>
      </w:pPr>
      <w:bookmarkStart w:id="126" w:name="_Toc114323865"/>
      <w:r>
        <w:rPr>
          <w:highlight w:val="white"/>
          <w:lang w:val="en-GB"/>
        </w:rPr>
        <w:t>6</w:t>
      </w:r>
      <w:r w:rsidRPr="00DC11EF">
        <w:rPr>
          <w:highlight w:val="white"/>
          <w:lang w:val="en-GB"/>
        </w:rPr>
        <w:t>.4 Future Scope</w:t>
      </w:r>
      <w:bookmarkEnd w:id="126"/>
    </w:p>
    <w:p w14:paraId="52E6FC98" w14:textId="77777777" w:rsidR="008828EF" w:rsidRPr="00613ECA" w:rsidRDefault="00DC42DA" w:rsidP="00DC42DA">
      <w:pPr>
        <w:pStyle w:val="Normal1"/>
        <w:spacing w:line="360" w:lineRule="auto"/>
        <w:jc w:val="both"/>
        <w:rPr>
          <w:rFonts w:ascii="Times New Roman" w:eastAsia="Times New Roman" w:hAnsi="Times New Roman" w:cs="Times New Roman"/>
          <w:b/>
          <w:sz w:val="24"/>
          <w:szCs w:val="24"/>
          <w:lang w:val="en-GB"/>
        </w:rPr>
      </w:pPr>
      <w:r w:rsidRPr="00DC11EF">
        <w:rPr>
          <w:rFonts w:ascii="Times New Roman" w:eastAsia="Times New Roman" w:hAnsi="Times New Roman" w:cs="Times New Roman"/>
          <w:sz w:val="24"/>
          <w:szCs w:val="24"/>
          <w:highlight w:val="white"/>
          <w:lang w:val="en-GB"/>
        </w:rPr>
        <w:t>Companies selling private equity in the EU market have faced major challenges because of BREXIT and its ineffectiveness. Therefore, facing difficulty in managing operations most of the companies have faced ineffectiveness while managing operations. Thus, conducting this research in a detailed way might provide significant assistance to companies in the extended market. It can be stated that assistance from this detailed study has highlighted the major challenges that companies have been facing while operating in market. Therefore, reducing these challenges and initiating strategies might assist companies in reducing problems in an effective manner creating a major impact towards success and sustainability.</w:t>
      </w:r>
    </w:p>
    <w:p w14:paraId="02752738" w14:textId="77777777" w:rsidR="004B2F33" w:rsidRPr="00231FC2" w:rsidRDefault="004B2F33" w:rsidP="00231FC2">
      <w:pPr>
        <w:spacing w:before="240"/>
        <w:rPr>
          <w:rFonts w:eastAsia="Times New Roman" w:cs="Times New Roman"/>
          <w:szCs w:val="24"/>
          <w:highlight w:val="white"/>
          <w:lang w:val="en-GB"/>
        </w:rPr>
      </w:pPr>
      <w:r w:rsidRPr="00231FC2">
        <w:rPr>
          <w:rFonts w:eastAsia="Times New Roman" w:cs="Times New Roman"/>
          <w:szCs w:val="24"/>
          <w:highlight w:val="white"/>
          <w:lang w:val="en-GB"/>
        </w:rPr>
        <w:br w:type="page"/>
      </w:r>
    </w:p>
    <w:p w14:paraId="636E3435" w14:textId="77777777" w:rsidR="00091FA8" w:rsidRPr="00EC7AE8" w:rsidRDefault="004B2F33" w:rsidP="00091FA8">
      <w:pPr>
        <w:pStyle w:val="Heading1"/>
        <w:spacing w:before="240"/>
        <w:rPr>
          <w:color w:val="000000" w:themeColor="text1"/>
          <w:highlight w:val="white"/>
          <w:lang w:val="en-GB"/>
        </w:rPr>
      </w:pPr>
      <w:bookmarkStart w:id="127" w:name="_Toc114323866"/>
      <w:r w:rsidRPr="00231FC2">
        <w:rPr>
          <w:color w:val="000000" w:themeColor="text1"/>
          <w:highlight w:val="white"/>
          <w:lang w:val="en-GB"/>
        </w:rPr>
        <w:t>Reference list</w:t>
      </w:r>
      <w:bookmarkEnd w:id="127"/>
      <w:r w:rsidRPr="00231FC2">
        <w:rPr>
          <w:color w:val="000000" w:themeColor="text1"/>
          <w:highlight w:val="white"/>
          <w:lang w:val="en-GB"/>
        </w:rPr>
        <w:t xml:space="preserve"> </w:t>
      </w:r>
    </w:p>
    <w:p w14:paraId="15D5BD2F" w14:textId="77777777" w:rsidR="00091FA8" w:rsidRPr="002573CF" w:rsidRDefault="00091FA8" w:rsidP="00091FA8">
      <w:pPr>
        <w:spacing w:after="240"/>
        <w:rPr>
          <w:rFonts w:eastAsia="Times New Roman" w:cs="Times New Roman"/>
          <w:color w:val="auto"/>
          <w:szCs w:val="24"/>
        </w:rPr>
      </w:pPr>
      <w:r w:rsidRPr="002573CF">
        <w:rPr>
          <w:rFonts w:eastAsia="Times New Roman" w:cs="Times New Roman"/>
          <w:color w:val="000000"/>
          <w:szCs w:val="24"/>
          <w:shd w:val="clear" w:color="auto" w:fill="FFFFFF"/>
        </w:rPr>
        <w:t xml:space="preserve">Álvarez-Carretero, S., Tamuri, A.U., Battini, M., Nascimento, F.F., Carlisle, E., Asher, R.J., Yang, Z., Donoghue, P.C. and Dos Reis, M., (2022). A species-level timeline of mammal evolution integrating phylogenomic data. </w:t>
      </w:r>
      <w:r w:rsidRPr="002573CF">
        <w:rPr>
          <w:rFonts w:eastAsia="Times New Roman" w:cs="Times New Roman"/>
          <w:i/>
          <w:iCs/>
          <w:color w:val="000000"/>
          <w:szCs w:val="24"/>
          <w:shd w:val="clear" w:color="auto" w:fill="FFFFFF"/>
        </w:rPr>
        <w:t>Nature</w:t>
      </w:r>
      <w:r w:rsidRPr="002573CF">
        <w:rPr>
          <w:rFonts w:eastAsia="Times New Roman" w:cs="Times New Roman"/>
          <w:color w:val="000000"/>
          <w:szCs w:val="24"/>
          <w:shd w:val="clear" w:color="auto" w:fill="FFFFFF"/>
        </w:rPr>
        <w:t xml:space="preserve">, </w:t>
      </w:r>
      <w:r w:rsidRPr="002573CF">
        <w:rPr>
          <w:rFonts w:eastAsia="Times New Roman" w:cs="Times New Roman"/>
          <w:i/>
          <w:iCs/>
          <w:color w:val="000000"/>
          <w:szCs w:val="24"/>
          <w:shd w:val="clear" w:color="auto" w:fill="FFFFFF"/>
        </w:rPr>
        <w:t>602</w:t>
      </w:r>
      <w:r w:rsidRPr="002573CF">
        <w:rPr>
          <w:rFonts w:eastAsia="Times New Roman" w:cs="Times New Roman"/>
          <w:color w:val="000000"/>
          <w:szCs w:val="24"/>
          <w:shd w:val="clear" w:color="auto" w:fill="FFFFFF"/>
        </w:rPr>
        <w:t>(7896), pp.263-267.</w:t>
      </w:r>
    </w:p>
    <w:p w14:paraId="43C77C15" w14:textId="77777777" w:rsidR="00091FA8" w:rsidRPr="002573CF" w:rsidRDefault="00091FA8" w:rsidP="00091FA8">
      <w:pPr>
        <w:spacing w:after="240"/>
        <w:rPr>
          <w:rFonts w:eastAsia="Times New Roman" w:cs="Times New Roman"/>
          <w:szCs w:val="24"/>
          <w:lang w:val="en-GB"/>
        </w:rPr>
      </w:pPr>
      <w:r w:rsidRPr="002573CF">
        <w:rPr>
          <w:rFonts w:eastAsia="Times New Roman" w:cs="Times New Roman"/>
          <w:szCs w:val="24"/>
          <w:shd w:val="clear" w:color="auto" w:fill="FFFFFF"/>
          <w:lang w:val="en-GB"/>
        </w:rPr>
        <w:t xml:space="preserve">Anaya, K.L. and Pollitt, M.G., (2021). How to procure flexibility services within the electricity distribution system: Lessons from an international review of innovation projects. </w:t>
      </w:r>
      <w:r w:rsidRPr="002573CF">
        <w:rPr>
          <w:rFonts w:eastAsia="Times New Roman" w:cs="Times New Roman"/>
          <w:i/>
          <w:iCs/>
          <w:szCs w:val="24"/>
          <w:shd w:val="clear" w:color="auto" w:fill="FFFFFF"/>
          <w:lang w:val="en-GB"/>
        </w:rPr>
        <w:t>Energies</w:t>
      </w:r>
      <w:r w:rsidRPr="002573CF">
        <w:rPr>
          <w:rFonts w:eastAsia="Times New Roman" w:cs="Times New Roman"/>
          <w:szCs w:val="24"/>
          <w:shd w:val="clear" w:color="auto" w:fill="FFFFFF"/>
          <w:lang w:val="en-GB"/>
        </w:rPr>
        <w:t xml:space="preserve">, </w:t>
      </w:r>
      <w:r w:rsidRPr="002573CF">
        <w:rPr>
          <w:rFonts w:eastAsia="Times New Roman" w:cs="Times New Roman"/>
          <w:i/>
          <w:iCs/>
          <w:szCs w:val="24"/>
          <w:shd w:val="clear" w:color="auto" w:fill="FFFFFF"/>
          <w:lang w:val="en-GB"/>
        </w:rPr>
        <w:t>14</w:t>
      </w:r>
      <w:r w:rsidRPr="002573CF">
        <w:rPr>
          <w:rFonts w:eastAsia="Times New Roman" w:cs="Times New Roman"/>
          <w:szCs w:val="24"/>
          <w:shd w:val="clear" w:color="auto" w:fill="FFFFFF"/>
          <w:lang w:val="en-GB"/>
        </w:rPr>
        <w:t>(15), p.4475.</w:t>
      </w:r>
    </w:p>
    <w:p w14:paraId="56EFFA75" w14:textId="77777777" w:rsidR="00091FA8" w:rsidRPr="002573CF" w:rsidRDefault="00091FA8" w:rsidP="00091FA8">
      <w:pPr>
        <w:spacing w:after="240"/>
        <w:rPr>
          <w:rFonts w:eastAsia="Times New Roman" w:cs="Times New Roman"/>
          <w:szCs w:val="24"/>
          <w:lang w:val="en-GB"/>
        </w:rPr>
      </w:pPr>
      <w:r w:rsidRPr="002573CF">
        <w:rPr>
          <w:rFonts w:eastAsia="Times New Roman" w:cs="Times New Roman"/>
          <w:szCs w:val="24"/>
          <w:shd w:val="clear" w:color="auto" w:fill="FFFFFF"/>
          <w:lang w:val="en-GB"/>
        </w:rPr>
        <w:t xml:space="preserve">Anh, D.B.H. and Tien, N.H., (2021). QSPM matrix based strategic organizational diagnosis. A case of Nguyen Hoang Group in Vietnam. </w:t>
      </w:r>
      <w:r w:rsidRPr="002573CF">
        <w:rPr>
          <w:rFonts w:eastAsia="Times New Roman" w:cs="Times New Roman"/>
          <w:i/>
          <w:iCs/>
          <w:szCs w:val="24"/>
          <w:shd w:val="clear" w:color="auto" w:fill="FFFFFF"/>
          <w:lang w:val="en-GB"/>
        </w:rPr>
        <w:t>International journal multidisciplinary research and growth evaluation</w:t>
      </w:r>
      <w:r w:rsidRPr="002573CF">
        <w:rPr>
          <w:rFonts w:eastAsia="Times New Roman" w:cs="Times New Roman"/>
          <w:szCs w:val="24"/>
          <w:shd w:val="clear" w:color="auto" w:fill="FFFFFF"/>
          <w:lang w:val="en-GB"/>
        </w:rPr>
        <w:t xml:space="preserve">, </w:t>
      </w:r>
      <w:r w:rsidRPr="002573CF">
        <w:rPr>
          <w:rFonts w:eastAsia="Times New Roman" w:cs="Times New Roman"/>
          <w:i/>
          <w:iCs/>
          <w:szCs w:val="24"/>
          <w:shd w:val="clear" w:color="auto" w:fill="FFFFFF"/>
          <w:lang w:val="en-GB"/>
        </w:rPr>
        <w:t>2</w:t>
      </w:r>
      <w:r w:rsidRPr="002573CF">
        <w:rPr>
          <w:rFonts w:eastAsia="Times New Roman" w:cs="Times New Roman"/>
          <w:szCs w:val="24"/>
          <w:shd w:val="clear" w:color="auto" w:fill="FFFFFF"/>
          <w:lang w:val="en-GB"/>
        </w:rPr>
        <w:t>(4), pp.67-72.</w:t>
      </w:r>
    </w:p>
    <w:p w14:paraId="4F68499F" w14:textId="77777777" w:rsidR="00091FA8" w:rsidRDefault="00091FA8" w:rsidP="00091FA8">
      <w:pPr>
        <w:spacing w:after="240"/>
        <w:rPr>
          <w:rFonts w:eastAsia="Times New Roman" w:cs="Times New Roman"/>
          <w:color w:val="FF0000"/>
          <w:sz w:val="28"/>
          <w:szCs w:val="28"/>
        </w:rPr>
      </w:pPr>
      <w:r>
        <w:rPr>
          <w:rFonts w:eastAsia="Times New Roman" w:cs="Times New Roman"/>
          <w:color w:val="FF0000"/>
          <w:szCs w:val="24"/>
          <w:highlight w:val="white"/>
        </w:rPr>
        <w:t>Asimakopoulos, P., (2019). What Do EU Capital Markets Look Like on the Other Side of Brexit.</w:t>
      </w:r>
    </w:p>
    <w:p w14:paraId="6EDD40E9" w14:textId="77777777" w:rsidR="00091FA8" w:rsidRPr="00755B97" w:rsidRDefault="00091FA8" w:rsidP="00091FA8">
      <w:pPr>
        <w:spacing w:before="200" w:after="240"/>
        <w:rPr>
          <w:rFonts w:eastAsia="Times New Roman" w:cs="Times New Roman"/>
          <w:color w:val="auto"/>
          <w:szCs w:val="24"/>
        </w:rPr>
      </w:pPr>
      <w:r w:rsidRPr="00755B97">
        <w:rPr>
          <w:rFonts w:eastAsia="Times New Roman" w:cs="Times New Roman"/>
          <w:color w:val="000000"/>
          <w:szCs w:val="24"/>
        </w:rPr>
        <w:t>Bao, Z. and Lu, W., (2020). Developing efficient circularity for construction and demolition waste management in fast emerging economies: Lessons learned from Shenzhen, China. Science of the Total Environment, 724, p.138264.</w:t>
      </w:r>
    </w:p>
    <w:p w14:paraId="391016EB" w14:textId="77777777" w:rsidR="00091FA8" w:rsidRPr="002573CF" w:rsidRDefault="00091FA8" w:rsidP="00091FA8">
      <w:pPr>
        <w:shd w:val="clear" w:color="auto" w:fill="FFFFFF"/>
        <w:spacing w:after="240"/>
        <w:rPr>
          <w:rFonts w:eastAsia="Times New Roman" w:cs="Times New Roman"/>
          <w:spacing w:val="3"/>
          <w:szCs w:val="24"/>
          <w:lang w:val="en-GB"/>
        </w:rPr>
      </w:pPr>
      <w:r w:rsidRPr="002573CF">
        <w:rPr>
          <w:rFonts w:eastAsia="Times New Roman" w:cs="Times New Roman"/>
          <w:spacing w:val="3"/>
          <w:szCs w:val="24"/>
          <w:lang w:val="en-GB"/>
        </w:rPr>
        <w:t>Bishop, M.L. and Payne, A., (2021). The political economies of different globalizations: Theorizing reglobalization. Globalizations, 18(1), pp.1-21.</w:t>
      </w:r>
    </w:p>
    <w:p w14:paraId="394BFAFB" w14:textId="77777777" w:rsidR="00091FA8" w:rsidRPr="002573CF" w:rsidRDefault="00091FA8" w:rsidP="00091FA8">
      <w:pPr>
        <w:spacing w:after="240"/>
        <w:rPr>
          <w:rFonts w:eastAsia="Times New Roman" w:cs="Times New Roman"/>
          <w:szCs w:val="24"/>
          <w:lang w:val="en-GB"/>
        </w:rPr>
      </w:pPr>
      <w:r w:rsidRPr="002573CF">
        <w:rPr>
          <w:rFonts w:eastAsia="Times New Roman" w:cs="Times New Roman"/>
          <w:szCs w:val="24"/>
          <w:shd w:val="clear" w:color="auto" w:fill="FFFFFF"/>
          <w:lang w:val="en-GB"/>
        </w:rPr>
        <w:t xml:space="preserve">Block, J., Fisch, C., Vismara, S. and Andres, R., (2019). Private equity investment criteria: An experimental conjoint analysis of venture capital, business angels, and family offices. </w:t>
      </w:r>
      <w:r w:rsidRPr="002573CF">
        <w:rPr>
          <w:rFonts w:eastAsia="Times New Roman" w:cs="Times New Roman"/>
          <w:i/>
          <w:iCs/>
          <w:szCs w:val="24"/>
          <w:shd w:val="clear" w:color="auto" w:fill="FFFFFF"/>
          <w:lang w:val="en-GB"/>
        </w:rPr>
        <w:t>Journal of corporate finance</w:t>
      </w:r>
      <w:r w:rsidRPr="002573CF">
        <w:rPr>
          <w:rFonts w:eastAsia="Times New Roman" w:cs="Times New Roman"/>
          <w:szCs w:val="24"/>
          <w:shd w:val="clear" w:color="auto" w:fill="FFFFFF"/>
          <w:lang w:val="en-GB"/>
        </w:rPr>
        <w:t xml:space="preserve">, </w:t>
      </w:r>
      <w:r w:rsidRPr="002573CF">
        <w:rPr>
          <w:rFonts w:eastAsia="Times New Roman" w:cs="Times New Roman"/>
          <w:i/>
          <w:iCs/>
          <w:szCs w:val="24"/>
          <w:shd w:val="clear" w:color="auto" w:fill="FFFFFF"/>
          <w:lang w:val="en-GB"/>
        </w:rPr>
        <w:t>58</w:t>
      </w:r>
      <w:r w:rsidRPr="002573CF">
        <w:rPr>
          <w:rFonts w:eastAsia="Times New Roman" w:cs="Times New Roman"/>
          <w:szCs w:val="24"/>
          <w:shd w:val="clear" w:color="auto" w:fill="FFFFFF"/>
          <w:lang w:val="en-GB"/>
        </w:rPr>
        <w:t>, pp.329-352.</w:t>
      </w:r>
    </w:p>
    <w:p w14:paraId="32E83F35" w14:textId="77777777" w:rsidR="00091FA8" w:rsidRPr="00755B97" w:rsidRDefault="00091FA8" w:rsidP="00091FA8">
      <w:pPr>
        <w:spacing w:before="200" w:after="240"/>
        <w:rPr>
          <w:rFonts w:eastAsia="Times New Roman" w:cs="Times New Roman"/>
          <w:color w:val="auto"/>
          <w:szCs w:val="24"/>
        </w:rPr>
      </w:pPr>
      <w:r w:rsidRPr="00755B97">
        <w:rPr>
          <w:rFonts w:eastAsia="Times New Roman" w:cs="Times New Roman"/>
          <w:color w:val="000000"/>
          <w:szCs w:val="24"/>
        </w:rPr>
        <w:t>Block, J., Fisch, C., Vismara, S. and Andres, R., (2019). Private equity investment criteria: An experimental conjoint analysis of venture capital, business angels, and family offices. Journal of corporate finance, 58, pp.329-352.</w:t>
      </w:r>
    </w:p>
    <w:p w14:paraId="12CDADCC" w14:textId="77777777" w:rsidR="00091FA8" w:rsidRPr="002573CF" w:rsidRDefault="00091FA8" w:rsidP="00091FA8">
      <w:pPr>
        <w:spacing w:after="240"/>
        <w:rPr>
          <w:rFonts w:eastAsia="Times New Roman" w:cs="Times New Roman"/>
          <w:color w:val="auto"/>
          <w:szCs w:val="24"/>
        </w:rPr>
      </w:pPr>
      <w:r w:rsidRPr="002573CF">
        <w:rPr>
          <w:rFonts w:eastAsia="Times New Roman" w:cs="Times New Roman"/>
          <w:bCs/>
          <w:color w:val="000000"/>
          <w:szCs w:val="24"/>
          <w:shd w:val="clear" w:color="auto" w:fill="FFFFFF"/>
        </w:rPr>
        <w:t xml:space="preserve">Bloom, N., Bunn, P., Chen, S., Mizen, P., Smietanka, P., Thwaites, G. and Young, G., (2018). </w:t>
      </w:r>
      <w:r>
        <w:rPr>
          <w:rFonts w:eastAsia="Times New Roman" w:cs="Times New Roman"/>
          <w:bCs/>
          <w:color w:val="000000"/>
          <w:szCs w:val="24"/>
          <w:shd w:val="clear" w:color="auto" w:fill="FFFFFF"/>
        </w:rPr>
        <w:t>BREXIT</w:t>
      </w:r>
      <w:r w:rsidRPr="002573CF">
        <w:rPr>
          <w:rFonts w:eastAsia="Times New Roman" w:cs="Times New Roman"/>
          <w:bCs/>
          <w:color w:val="000000"/>
          <w:szCs w:val="24"/>
          <w:shd w:val="clear" w:color="auto" w:fill="FFFFFF"/>
        </w:rPr>
        <w:t xml:space="preserve"> and uncertainty: insights from the Decision Maker Panel. </w:t>
      </w:r>
      <w:r w:rsidRPr="002573CF">
        <w:rPr>
          <w:rFonts w:eastAsia="Times New Roman" w:cs="Times New Roman"/>
          <w:bCs/>
          <w:i/>
          <w:iCs/>
          <w:color w:val="000000"/>
          <w:szCs w:val="24"/>
          <w:shd w:val="clear" w:color="auto" w:fill="FFFFFF"/>
        </w:rPr>
        <w:t>Fiscal Studies</w:t>
      </w:r>
      <w:r w:rsidRPr="002573CF">
        <w:rPr>
          <w:rFonts w:eastAsia="Times New Roman" w:cs="Times New Roman"/>
          <w:bCs/>
          <w:color w:val="000000"/>
          <w:szCs w:val="24"/>
          <w:shd w:val="clear" w:color="auto" w:fill="FFFFFF"/>
        </w:rPr>
        <w:t xml:space="preserve">, </w:t>
      </w:r>
      <w:r w:rsidRPr="002573CF">
        <w:rPr>
          <w:rFonts w:eastAsia="Times New Roman" w:cs="Times New Roman"/>
          <w:bCs/>
          <w:i/>
          <w:iCs/>
          <w:color w:val="000000"/>
          <w:szCs w:val="24"/>
          <w:shd w:val="clear" w:color="auto" w:fill="FFFFFF"/>
        </w:rPr>
        <w:t>39</w:t>
      </w:r>
      <w:r w:rsidRPr="002573CF">
        <w:rPr>
          <w:rFonts w:eastAsia="Times New Roman" w:cs="Times New Roman"/>
          <w:bCs/>
          <w:color w:val="000000"/>
          <w:szCs w:val="24"/>
          <w:shd w:val="clear" w:color="auto" w:fill="FFFFFF"/>
        </w:rPr>
        <w:t>(4), pp.555-580.</w:t>
      </w:r>
    </w:p>
    <w:p w14:paraId="779120E8" w14:textId="77777777" w:rsidR="00091FA8" w:rsidRPr="002573CF" w:rsidRDefault="00091FA8" w:rsidP="00091FA8">
      <w:pPr>
        <w:shd w:val="clear" w:color="auto" w:fill="FFFFFF"/>
        <w:spacing w:after="240"/>
        <w:rPr>
          <w:rFonts w:eastAsia="Times New Roman" w:cs="Times New Roman"/>
          <w:spacing w:val="3"/>
          <w:szCs w:val="24"/>
          <w:lang w:val="en-GB"/>
        </w:rPr>
      </w:pPr>
      <w:r w:rsidRPr="002573CF">
        <w:rPr>
          <w:rFonts w:eastAsia="Times New Roman" w:cs="Times New Roman"/>
          <w:spacing w:val="3"/>
          <w:szCs w:val="24"/>
          <w:lang w:val="en-GB"/>
        </w:rPr>
        <w:t xml:space="preserve">Breinlich, H., Leromain, E., Novy, D. and Sampson, T., (2020). Voting with their money: </w:t>
      </w:r>
      <w:r>
        <w:rPr>
          <w:rFonts w:eastAsia="Times New Roman" w:cs="Times New Roman"/>
          <w:spacing w:val="3"/>
          <w:szCs w:val="24"/>
          <w:lang w:val="en-GB"/>
        </w:rPr>
        <w:t>BREXIT</w:t>
      </w:r>
      <w:r w:rsidRPr="002573CF">
        <w:rPr>
          <w:rFonts w:eastAsia="Times New Roman" w:cs="Times New Roman"/>
          <w:spacing w:val="3"/>
          <w:szCs w:val="24"/>
          <w:lang w:val="en-GB"/>
        </w:rPr>
        <w:t xml:space="preserve"> and outward investment by UK firms. European Economic Review, 124, p.103400.</w:t>
      </w:r>
    </w:p>
    <w:p w14:paraId="15A84E28" w14:textId="77777777" w:rsidR="00091FA8" w:rsidRPr="002573CF" w:rsidRDefault="00091FA8" w:rsidP="00091FA8">
      <w:pPr>
        <w:spacing w:after="240"/>
        <w:rPr>
          <w:rFonts w:eastAsia="Times New Roman" w:cs="Times New Roman"/>
          <w:szCs w:val="24"/>
          <w:lang w:val="en-GB"/>
        </w:rPr>
      </w:pPr>
      <w:r w:rsidRPr="002573CF">
        <w:rPr>
          <w:rFonts w:eastAsia="Times New Roman" w:cs="Times New Roman"/>
          <w:szCs w:val="24"/>
          <w:shd w:val="clear" w:color="auto" w:fill="FFFFFF"/>
          <w:lang w:val="en-GB"/>
        </w:rPr>
        <w:t xml:space="preserve">Brest, P., Gilson, R.J. and Wolfson, M.A., (2018). Essay: How investors can (and can't) create social value. </w:t>
      </w:r>
      <w:r w:rsidRPr="002573CF">
        <w:rPr>
          <w:rFonts w:eastAsia="Times New Roman" w:cs="Times New Roman"/>
          <w:i/>
          <w:iCs/>
          <w:szCs w:val="24"/>
          <w:shd w:val="clear" w:color="auto" w:fill="FFFFFF"/>
          <w:lang w:val="en-GB"/>
        </w:rPr>
        <w:t>J. Corp. L.</w:t>
      </w:r>
      <w:r w:rsidRPr="002573CF">
        <w:rPr>
          <w:rFonts w:eastAsia="Times New Roman" w:cs="Times New Roman"/>
          <w:szCs w:val="24"/>
          <w:shd w:val="clear" w:color="auto" w:fill="FFFFFF"/>
          <w:lang w:val="en-GB"/>
        </w:rPr>
        <w:t xml:space="preserve">, </w:t>
      </w:r>
      <w:r w:rsidRPr="002573CF">
        <w:rPr>
          <w:rFonts w:eastAsia="Times New Roman" w:cs="Times New Roman"/>
          <w:i/>
          <w:iCs/>
          <w:szCs w:val="24"/>
          <w:shd w:val="clear" w:color="auto" w:fill="FFFFFF"/>
          <w:lang w:val="en-GB"/>
        </w:rPr>
        <w:t>44</w:t>
      </w:r>
      <w:r w:rsidRPr="002573CF">
        <w:rPr>
          <w:rFonts w:eastAsia="Times New Roman" w:cs="Times New Roman"/>
          <w:szCs w:val="24"/>
          <w:shd w:val="clear" w:color="auto" w:fill="FFFFFF"/>
          <w:lang w:val="en-GB"/>
        </w:rPr>
        <w:t>, p.205.</w:t>
      </w:r>
    </w:p>
    <w:p w14:paraId="74CB2154" w14:textId="77777777" w:rsidR="00091FA8" w:rsidRPr="002573CF" w:rsidRDefault="00091FA8" w:rsidP="00091FA8">
      <w:pPr>
        <w:shd w:val="clear" w:color="auto" w:fill="FFFFFF"/>
        <w:spacing w:after="240"/>
        <w:rPr>
          <w:rFonts w:eastAsia="Times New Roman" w:cs="Times New Roman"/>
          <w:spacing w:val="3"/>
          <w:szCs w:val="24"/>
          <w:lang w:val="en-GB"/>
        </w:rPr>
      </w:pPr>
      <w:r w:rsidRPr="002573CF">
        <w:rPr>
          <w:rFonts w:eastAsia="Times New Roman" w:cs="Times New Roman"/>
          <w:spacing w:val="3"/>
          <w:szCs w:val="24"/>
          <w:lang w:val="en-GB"/>
        </w:rPr>
        <w:t>Breuer, W. and Pinkwart, A., (2018). Venture capital and private equity finance as key determinants of economic development. Journal of Business Economics, 88(3), pp.319-324.</w:t>
      </w:r>
    </w:p>
    <w:p w14:paraId="2FCA9AB0" w14:textId="77777777" w:rsidR="00091FA8" w:rsidRPr="002573CF" w:rsidRDefault="00091FA8" w:rsidP="00091FA8">
      <w:pPr>
        <w:pStyle w:val="NormalWeb"/>
        <w:spacing w:before="0" w:beforeAutospacing="0" w:after="240" w:afterAutospacing="0" w:line="360" w:lineRule="auto"/>
        <w:rPr>
          <w:lang w:val="en-GB"/>
        </w:rPr>
      </w:pPr>
      <w:r w:rsidRPr="002573CF">
        <w:rPr>
          <w:shd w:val="clear" w:color="auto" w:fill="FFFFFF"/>
          <w:lang w:val="en-GB"/>
        </w:rPr>
        <w:t xml:space="preserve">Chauvette, A., Schick-Makaroff, K. and Molzahn, A.E., (2019). Open data in qualitative research. </w:t>
      </w:r>
      <w:r w:rsidRPr="002573CF">
        <w:rPr>
          <w:i/>
          <w:iCs/>
          <w:shd w:val="clear" w:color="auto" w:fill="FFFFFF"/>
          <w:lang w:val="en-GB"/>
        </w:rPr>
        <w:t>International Journal of Qualitative Methods</w:t>
      </w:r>
      <w:r w:rsidRPr="002573CF">
        <w:rPr>
          <w:shd w:val="clear" w:color="auto" w:fill="FFFFFF"/>
          <w:lang w:val="en-GB"/>
        </w:rPr>
        <w:t xml:space="preserve">, </w:t>
      </w:r>
      <w:r w:rsidRPr="002573CF">
        <w:rPr>
          <w:i/>
          <w:iCs/>
          <w:shd w:val="clear" w:color="auto" w:fill="FFFFFF"/>
          <w:lang w:val="en-GB"/>
        </w:rPr>
        <w:t>18</w:t>
      </w:r>
      <w:r w:rsidRPr="002573CF">
        <w:rPr>
          <w:shd w:val="clear" w:color="auto" w:fill="FFFFFF"/>
          <w:lang w:val="en-GB"/>
        </w:rPr>
        <w:t>, p.1609406918823863.</w:t>
      </w:r>
    </w:p>
    <w:p w14:paraId="0A9D1F7E" w14:textId="77777777" w:rsidR="00091FA8" w:rsidRDefault="00091FA8" w:rsidP="00091FA8">
      <w:pPr>
        <w:spacing w:after="240"/>
        <w:rPr>
          <w:rFonts w:eastAsia="Times New Roman" w:cs="Times New Roman"/>
          <w:color w:val="FF0000"/>
          <w:szCs w:val="24"/>
        </w:rPr>
      </w:pPr>
      <w:r>
        <w:rPr>
          <w:rFonts w:eastAsia="Times New Roman" w:cs="Times New Roman"/>
          <w:color w:val="FF0000"/>
          <w:szCs w:val="24"/>
          <w:highlight w:val="white"/>
        </w:rPr>
        <w:t xml:space="preserve">Chen, Y. and Sivakumar, V., (2021). Investigation of finance industry on risk awareness model and digital economic growth. </w:t>
      </w:r>
      <w:r>
        <w:rPr>
          <w:rFonts w:eastAsia="Times New Roman" w:cs="Times New Roman"/>
          <w:i/>
          <w:color w:val="FF0000"/>
          <w:szCs w:val="24"/>
          <w:highlight w:val="white"/>
        </w:rPr>
        <w:t>Annals of Operations Research</w:t>
      </w:r>
      <w:r>
        <w:rPr>
          <w:rFonts w:eastAsia="Times New Roman" w:cs="Times New Roman"/>
          <w:color w:val="FF0000"/>
          <w:szCs w:val="24"/>
          <w:highlight w:val="white"/>
        </w:rPr>
        <w:t>, pp.1-22.</w:t>
      </w:r>
    </w:p>
    <w:p w14:paraId="48CDD82D" w14:textId="77777777" w:rsidR="00091FA8" w:rsidRDefault="00091FA8" w:rsidP="00091FA8">
      <w:pPr>
        <w:spacing w:after="240"/>
        <w:rPr>
          <w:rFonts w:eastAsia="Times New Roman" w:cs="Times New Roman"/>
          <w:color w:val="222222"/>
          <w:szCs w:val="24"/>
          <w:shd w:val="clear" w:color="auto" w:fill="FFFFFF"/>
        </w:rPr>
      </w:pPr>
      <w:r w:rsidRPr="00EC7AE8">
        <w:rPr>
          <w:rFonts w:eastAsia="Times New Roman" w:cs="Times New Roman"/>
          <w:color w:val="222222"/>
          <w:szCs w:val="24"/>
          <w:shd w:val="clear" w:color="auto" w:fill="FFFFFF"/>
        </w:rPr>
        <w:t xml:space="preserve">Clapp, J., (2019). The rise of financial investment and common ownership in global agrifood firms. </w:t>
      </w:r>
      <w:r w:rsidRPr="00EC7AE8">
        <w:rPr>
          <w:rFonts w:eastAsia="Times New Roman" w:cs="Times New Roman"/>
          <w:i/>
          <w:iCs/>
          <w:color w:val="222222"/>
          <w:szCs w:val="24"/>
          <w:shd w:val="clear" w:color="auto" w:fill="FFFFFF"/>
        </w:rPr>
        <w:t>Review of International Political Economy</w:t>
      </w:r>
      <w:r w:rsidRPr="00EC7AE8">
        <w:rPr>
          <w:rFonts w:eastAsia="Times New Roman" w:cs="Times New Roman"/>
          <w:color w:val="222222"/>
          <w:szCs w:val="24"/>
          <w:shd w:val="clear" w:color="auto" w:fill="FFFFFF"/>
        </w:rPr>
        <w:t xml:space="preserve">, </w:t>
      </w:r>
      <w:r w:rsidRPr="00EC7AE8">
        <w:rPr>
          <w:rFonts w:eastAsia="Times New Roman" w:cs="Times New Roman"/>
          <w:i/>
          <w:iCs/>
          <w:color w:val="222222"/>
          <w:szCs w:val="24"/>
          <w:shd w:val="clear" w:color="auto" w:fill="FFFFFF"/>
        </w:rPr>
        <w:t>26</w:t>
      </w:r>
      <w:r w:rsidRPr="00EC7AE8">
        <w:rPr>
          <w:rFonts w:eastAsia="Times New Roman" w:cs="Times New Roman"/>
          <w:color w:val="222222"/>
          <w:szCs w:val="24"/>
          <w:shd w:val="clear" w:color="auto" w:fill="FFFFFF"/>
        </w:rPr>
        <w:t>(4), pp.604-629.</w:t>
      </w:r>
    </w:p>
    <w:p w14:paraId="1BEB010E" w14:textId="77777777" w:rsidR="00091FA8" w:rsidRPr="00755B97" w:rsidRDefault="00091FA8" w:rsidP="00091FA8">
      <w:pPr>
        <w:spacing w:before="200" w:after="240"/>
        <w:rPr>
          <w:rFonts w:eastAsia="Times New Roman" w:cs="Times New Roman"/>
          <w:color w:val="auto"/>
          <w:szCs w:val="24"/>
        </w:rPr>
      </w:pPr>
      <w:r w:rsidRPr="00755B97">
        <w:rPr>
          <w:rFonts w:eastAsia="Times New Roman" w:cs="Times New Roman"/>
          <w:color w:val="000000"/>
          <w:szCs w:val="24"/>
        </w:rPr>
        <w:t>Conrad, C.A., (2019). The effects on investment behavior of zero interest rate policy, evidence from a roulette experiment. Applied Economics and Finance, 6(4), pp.18-27.</w:t>
      </w:r>
    </w:p>
    <w:p w14:paraId="21942D3C" w14:textId="77777777" w:rsidR="00091FA8" w:rsidRPr="002573CF" w:rsidRDefault="00091FA8" w:rsidP="00091FA8">
      <w:pPr>
        <w:spacing w:after="240"/>
        <w:rPr>
          <w:rFonts w:eastAsia="Times New Roman" w:cs="Times New Roman"/>
          <w:szCs w:val="24"/>
          <w:lang w:val="en-GB"/>
        </w:rPr>
      </w:pPr>
      <w:r w:rsidRPr="002573CF">
        <w:rPr>
          <w:rFonts w:eastAsia="Times New Roman" w:cs="Times New Roman"/>
          <w:szCs w:val="24"/>
          <w:shd w:val="clear" w:color="auto" w:fill="FFFFFF"/>
          <w:lang w:val="en-GB"/>
        </w:rPr>
        <w:t xml:space="preserve">Davies, C., McCarthy, H., Vey, J. and Benson, A., (2021). What do ‘Comfortable Leavers’ want from </w:t>
      </w:r>
      <w:r>
        <w:rPr>
          <w:rFonts w:eastAsia="Times New Roman" w:cs="Times New Roman"/>
          <w:szCs w:val="24"/>
          <w:shd w:val="clear" w:color="auto" w:fill="FFFFFF"/>
          <w:lang w:val="en-GB"/>
        </w:rPr>
        <w:t>BREXIT</w:t>
      </w:r>
      <w:r w:rsidRPr="002573CF">
        <w:rPr>
          <w:rFonts w:eastAsia="Times New Roman" w:cs="Times New Roman"/>
          <w:szCs w:val="24"/>
          <w:shd w:val="clear" w:color="auto" w:fill="FFFFFF"/>
          <w:lang w:val="en-GB"/>
        </w:rPr>
        <w:t>?: published April 2021.</w:t>
      </w:r>
    </w:p>
    <w:p w14:paraId="4C9824A6" w14:textId="77777777" w:rsidR="00091FA8" w:rsidRPr="002573CF" w:rsidRDefault="00091FA8" w:rsidP="00091FA8">
      <w:pPr>
        <w:shd w:val="clear" w:color="auto" w:fill="FFFFFF"/>
        <w:spacing w:after="240"/>
        <w:rPr>
          <w:rFonts w:eastAsia="Times New Roman" w:cs="Times New Roman"/>
          <w:spacing w:val="3"/>
          <w:szCs w:val="24"/>
          <w:lang w:val="en-GB"/>
        </w:rPr>
      </w:pPr>
      <w:r w:rsidRPr="002573CF">
        <w:rPr>
          <w:rFonts w:eastAsia="Times New Roman" w:cs="Times New Roman"/>
          <w:spacing w:val="3"/>
          <w:szCs w:val="24"/>
          <w:lang w:val="en-GB"/>
        </w:rPr>
        <w:t xml:space="preserve">Dhingra, S., (2019). </w:t>
      </w:r>
      <w:r>
        <w:rPr>
          <w:rFonts w:eastAsia="Times New Roman" w:cs="Times New Roman"/>
          <w:spacing w:val="3"/>
          <w:szCs w:val="24"/>
          <w:lang w:val="en-GB"/>
        </w:rPr>
        <w:t>BREXIT</w:t>
      </w:r>
      <w:r w:rsidRPr="002573CF">
        <w:rPr>
          <w:rFonts w:eastAsia="Times New Roman" w:cs="Times New Roman"/>
          <w:spacing w:val="3"/>
          <w:szCs w:val="24"/>
          <w:lang w:val="en-GB"/>
        </w:rPr>
        <w:t xml:space="preserve"> and the Future of Trade. Political Quarterly, 90(S2), pp.21-31.</w:t>
      </w:r>
    </w:p>
    <w:p w14:paraId="03C2C395" w14:textId="77777777" w:rsidR="00091FA8" w:rsidRPr="00755B97" w:rsidRDefault="00091FA8" w:rsidP="00091FA8">
      <w:pPr>
        <w:spacing w:before="200" w:after="240"/>
        <w:rPr>
          <w:rFonts w:eastAsia="Times New Roman" w:cs="Times New Roman"/>
          <w:color w:val="auto"/>
          <w:szCs w:val="24"/>
        </w:rPr>
      </w:pPr>
      <w:r w:rsidRPr="00755B97">
        <w:rPr>
          <w:rFonts w:eastAsia="Times New Roman" w:cs="Times New Roman"/>
          <w:color w:val="000000"/>
          <w:szCs w:val="24"/>
        </w:rPr>
        <w:t>Donnelly, S., (2022). Post-Brexit financial services in the EU. Journal of European Public Policy, 4(5), pp.1-20.</w:t>
      </w:r>
    </w:p>
    <w:p w14:paraId="61D5E559" w14:textId="77777777" w:rsidR="00091FA8" w:rsidRPr="00DC11EF" w:rsidRDefault="00091FA8" w:rsidP="00091FA8">
      <w:pPr>
        <w:pStyle w:val="Normal1"/>
        <w:spacing w:before="200" w:after="240" w:line="360" w:lineRule="auto"/>
        <w:jc w:val="both"/>
        <w:rPr>
          <w:rFonts w:ascii="Times New Roman" w:eastAsia="Times New Roman" w:hAnsi="Times New Roman" w:cs="Times New Roman"/>
          <w:sz w:val="24"/>
          <w:szCs w:val="24"/>
          <w:highlight w:val="white"/>
          <w:lang w:val="en-GB"/>
        </w:rPr>
      </w:pPr>
      <w:r w:rsidRPr="00DC11EF">
        <w:rPr>
          <w:rFonts w:ascii="Times New Roman" w:eastAsia="Times New Roman" w:hAnsi="Times New Roman" w:cs="Times New Roman"/>
          <w:sz w:val="24"/>
          <w:szCs w:val="24"/>
          <w:highlight w:val="white"/>
          <w:lang w:val="en-GB"/>
        </w:rPr>
        <w:t xml:space="preserve">Duffie, D., (2019). Prone to fail: The pre-crisis financial system. </w:t>
      </w:r>
      <w:r w:rsidRPr="00DC11EF">
        <w:rPr>
          <w:rFonts w:ascii="Times New Roman" w:eastAsia="Times New Roman" w:hAnsi="Times New Roman" w:cs="Times New Roman"/>
          <w:i/>
          <w:sz w:val="24"/>
          <w:szCs w:val="24"/>
          <w:highlight w:val="white"/>
          <w:lang w:val="en-GB"/>
        </w:rPr>
        <w:t>Journal of Economic Perspectives</w:t>
      </w:r>
      <w:r w:rsidRPr="00DC11EF">
        <w:rPr>
          <w:rFonts w:ascii="Times New Roman" w:eastAsia="Times New Roman" w:hAnsi="Times New Roman" w:cs="Times New Roman"/>
          <w:sz w:val="24"/>
          <w:szCs w:val="24"/>
          <w:highlight w:val="white"/>
          <w:lang w:val="en-GB"/>
        </w:rPr>
        <w:t xml:space="preserve">, </w:t>
      </w:r>
      <w:r w:rsidRPr="00DC11EF">
        <w:rPr>
          <w:rFonts w:ascii="Times New Roman" w:eastAsia="Times New Roman" w:hAnsi="Times New Roman" w:cs="Times New Roman"/>
          <w:i/>
          <w:sz w:val="24"/>
          <w:szCs w:val="24"/>
          <w:highlight w:val="white"/>
          <w:lang w:val="en-GB"/>
        </w:rPr>
        <w:t>33</w:t>
      </w:r>
      <w:r w:rsidRPr="00DC11EF">
        <w:rPr>
          <w:rFonts w:ascii="Times New Roman" w:eastAsia="Times New Roman" w:hAnsi="Times New Roman" w:cs="Times New Roman"/>
          <w:sz w:val="24"/>
          <w:szCs w:val="24"/>
          <w:highlight w:val="white"/>
          <w:lang w:val="en-GB"/>
        </w:rPr>
        <w:t>(1), pp.81-106.</w:t>
      </w:r>
    </w:p>
    <w:p w14:paraId="65CC6657" w14:textId="77777777" w:rsidR="00091FA8" w:rsidRPr="002573CF" w:rsidRDefault="00091FA8" w:rsidP="00091FA8">
      <w:pPr>
        <w:pStyle w:val="NormalWeb"/>
        <w:spacing w:before="0" w:beforeAutospacing="0" w:after="240" w:afterAutospacing="0" w:line="360" w:lineRule="auto"/>
        <w:rPr>
          <w:lang w:val="en-GB"/>
        </w:rPr>
      </w:pPr>
      <w:r w:rsidRPr="002573CF">
        <w:rPr>
          <w:shd w:val="clear" w:color="auto" w:fill="FFFFFF"/>
          <w:lang w:val="en-GB"/>
        </w:rPr>
        <w:t xml:space="preserve">Dufour, I.F. and Richard, M.C., (2019). Theorizing from secondary qualitative data: A comparison of two data analysis methods. </w:t>
      </w:r>
      <w:r w:rsidRPr="002573CF">
        <w:rPr>
          <w:i/>
          <w:iCs/>
          <w:shd w:val="clear" w:color="auto" w:fill="FFFFFF"/>
          <w:lang w:val="en-GB"/>
        </w:rPr>
        <w:t>Cogent Education</w:t>
      </w:r>
      <w:r w:rsidRPr="002573CF">
        <w:rPr>
          <w:shd w:val="clear" w:color="auto" w:fill="FFFFFF"/>
          <w:lang w:val="en-GB"/>
        </w:rPr>
        <w:t xml:space="preserve">, </w:t>
      </w:r>
      <w:r w:rsidRPr="002573CF">
        <w:rPr>
          <w:i/>
          <w:iCs/>
          <w:shd w:val="clear" w:color="auto" w:fill="FFFFFF"/>
          <w:lang w:val="en-GB"/>
        </w:rPr>
        <w:t>6</w:t>
      </w:r>
      <w:r w:rsidRPr="002573CF">
        <w:rPr>
          <w:shd w:val="clear" w:color="auto" w:fill="FFFFFF"/>
          <w:lang w:val="en-GB"/>
        </w:rPr>
        <w:t>(1), p.1690265.</w:t>
      </w:r>
    </w:p>
    <w:p w14:paraId="6D7EFDBB" w14:textId="77777777" w:rsidR="00091FA8" w:rsidRPr="002573CF" w:rsidRDefault="00C64F61" w:rsidP="00091FA8">
      <w:pPr>
        <w:shd w:val="clear" w:color="auto" w:fill="FFFFFF"/>
        <w:spacing w:after="240"/>
        <w:rPr>
          <w:rFonts w:eastAsia="Times New Roman" w:cs="Times New Roman"/>
          <w:spacing w:val="3"/>
          <w:szCs w:val="24"/>
          <w:lang w:val="en-GB"/>
        </w:rPr>
      </w:pPr>
      <w:hyperlink r:id="rId15" w:tgtFrame="_blank" w:history="1">
        <w:r w:rsidR="00091FA8" w:rsidRPr="002573CF">
          <w:rPr>
            <w:rFonts w:eastAsia="Times New Roman" w:cs="Times New Roman"/>
            <w:spacing w:val="3"/>
            <w:szCs w:val="24"/>
            <w:lang w:val="en-GB"/>
          </w:rPr>
          <w:t>Ec.europa.eu</w:t>
        </w:r>
      </w:hyperlink>
      <w:r w:rsidR="00091FA8" w:rsidRPr="002573CF">
        <w:rPr>
          <w:rFonts w:eastAsia="Times New Roman" w:cs="Times New Roman"/>
          <w:spacing w:val="3"/>
          <w:szCs w:val="24"/>
          <w:lang w:val="en-GB"/>
        </w:rPr>
        <w:t>, (2022). About strategies of rescheduling financial strength of EU. Available at: https://ec.europa.eu/economy_finance/articles/eu_economic_situation/article13502_en.htm [Accessed on 2.9.22]</w:t>
      </w:r>
    </w:p>
    <w:p w14:paraId="3BD8DEE1" w14:textId="77777777" w:rsidR="00091FA8" w:rsidRPr="002573CF" w:rsidRDefault="00091FA8" w:rsidP="00091FA8">
      <w:pPr>
        <w:shd w:val="clear" w:color="auto" w:fill="FFFFFF"/>
        <w:spacing w:after="240"/>
        <w:rPr>
          <w:rFonts w:eastAsia="Times New Roman" w:cs="Times New Roman"/>
          <w:spacing w:val="3"/>
          <w:szCs w:val="24"/>
          <w:lang w:val="en-GB"/>
        </w:rPr>
      </w:pPr>
      <w:r w:rsidRPr="002573CF">
        <w:rPr>
          <w:rFonts w:eastAsia="Times New Roman" w:cs="Times New Roman"/>
          <w:spacing w:val="3"/>
          <w:szCs w:val="24"/>
          <w:lang w:val="en-GB"/>
        </w:rPr>
        <w:t xml:space="preserve">Engel, A., (2019). The European Union and </w:t>
      </w:r>
      <w:r>
        <w:rPr>
          <w:rFonts w:eastAsia="Times New Roman" w:cs="Times New Roman"/>
          <w:spacing w:val="3"/>
          <w:szCs w:val="24"/>
          <w:lang w:val="en-GB"/>
        </w:rPr>
        <w:t>BREXIT</w:t>
      </w:r>
      <w:r w:rsidRPr="002573CF">
        <w:rPr>
          <w:rFonts w:eastAsia="Times New Roman" w:cs="Times New Roman"/>
          <w:spacing w:val="3"/>
          <w:szCs w:val="24"/>
          <w:lang w:val="en-GB"/>
        </w:rPr>
        <w:t xml:space="preserve"> Dilemma–A very British Problem?. Nordic Journal of European Law, 2(1), pp.24-37.</w:t>
      </w:r>
    </w:p>
    <w:p w14:paraId="09EB1F9B" w14:textId="77777777" w:rsidR="00091FA8" w:rsidRPr="002573CF" w:rsidRDefault="00091FA8" w:rsidP="00091FA8">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2573CF">
        <w:rPr>
          <w:rFonts w:ascii="Times New Roman" w:eastAsia="Times New Roman" w:hAnsi="Times New Roman" w:cs="Times New Roman"/>
          <w:color w:val="000000" w:themeColor="text1"/>
          <w:sz w:val="24"/>
          <w:szCs w:val="24"/>
          <w:highlight w:val="white"/>
          <w:lang w:val="en-GB"/>
        </w:rPr>
        <w:t>FT (2019),</w:t>
      </w:r>
      <w:r w:rsidRPr="002573CF">
        <w:rPr>
          <w:rFonts w:ascii="Times New Roman" w:eastAsia="Times New Roman" w:hAnsi="Times New Roman" w:cs="Times New Roman"/>
          <w:i/>
          <w:color w:val="000000" w:themeColor="text1"/>
          <w:sz w:val="24"/>
          <w:szCs w:val="24"/>
          <w:highlight w:val="white"/>
          <w:lang w:val="en-GB"/>
        </w:rPr>
        <w:t xml:space="preserve"> The </w:t>
      </w:r>
      <w:r>
        <w:rPr>
          <w:rFonts w:ascii="Times New Roman" w:eastAsia="Times New Roman" w:hAnsi="Times New Roman" w:cs="Times New Roman"/>
          <w:i/>
          <w:color w:val="000000" w:themeColor="text1"/>
          <w:sz w:val="24"/>
          <w:szCs w:val="24"/>
          <w:highlight w:val="white"/>
          <w:lang w:val="en-GB"/>
        </w:rPr>
        <w:t>BREXIT</w:t>
      </w:r>
      <w:r w:rsidRPr="002573CF">
        <w:rPr>
          <w:rFonts w:ascii="Times New Roman" w:eastAsia="Times New Roman" w:hAnsi="Times New Roman" w:cs="Times New Roman"/>
          <w:i/>
          <w:color w:val="000000" w:themeColor="text1"/>
          <w:sz w:val="24"/>
          <w:szCs w:val="24"/>
          <w:highlight w:val="white"/>
          <w:lang w:val="en-GB"/>
        </w:rPr>
        <w:t xml:space="preserve"> effect: private equity firms shun UK for Europe,</w:t>
      </w:r>
      <w:r w:rsidRPr="002573CF">
        <w:rPr>
          <w:rFonts w:ascii="Times New Roman" w:eastAsia="Times New Roman" w:hAnsi="Times New Roman" w:cs="Times New Roman"/>
          <w:color w:val="000000" w:themeColor="text1"/>
          <w:sz w:val="24"/>
          <w:szCs w:val="24"/>
          <w:highlight w:val="white"/>
          <w:lang w:val="en-GB"/>
        </w:rPr>
        <w:t xml:space="preserve"> Available at: https://www.ft.com/content/7dbefce0-6d92-11e9-80c7-60ee53e6681d [Accessed on: 14th September 2022]</w:t>
      </w:r>
    </w:p>
    <w:p w14:paraId="1C2823D3" w14:textId="77777777" w:rsidR="00091FA8" w:rsidRPr="002573CF" w:rsidRDefault="00091FA8" w:rsidP="00091FA8">
      <w:pPr>
        <w:pStyle w:val="NormalWeb"/>
        <w:spacing w:before="0" w:beforeAutospacing="0" w:after="240" w:afterAutospacing="0" w:line="360" w:lineRule="auto"/>
        <w:rPr>
          <w:lang w:val="en-GB"/>
        </w:rPr>
      </w:pPr>
      <w:r w:rsidRPr="002573CF">
        <w:rPr>
          <w:shd w:val="clear" w:color="auto" w:fill="FFFFFF"/>
          <w:lang w:val="en-GB"/>
        </w:rPr>
        <w:t xml:space="preserve">Gee, B., Hodgekins, J., Lavis, A., Notley, C., Birchwood, M., Everard, L., Freemantle, N., Jones, P.B., Singh, S.P., Amos, T. and Marshall, M., (2019). Lived experiences of negative symptoms in first‐episode psychosis: A qualitative secondary analysis. </w:t>
      </w:r>
      <w:r w:rsidRPr="002573CF">
        <w:rPr>
          <w:i/>
          <w:iCs/>
          <w:shd w:val="clear" w:color="auto" w:fill="FFFFFF"/>
          <w:lang w:val="en-GB"/>
        </w:rPr>
        <w:t>Early Intervention in Psychiatry</w:t>
      </w:r>
      <w:r w:rsidRPr="002573CF">
        <w:rPr>
          <w:shd w:val="clear" w:color="auto" w:fill="FFFFFF"/>
          <w:lang w:val="en-GB"/>
        </w:rPr>
        <w:t xml:space="preserve">, </w:t>
      </w:r>
      <w:r w:rsidRPr="002573CF">
        <w:rPr>
          <w:i/>
          <w:iCs/>
          <w:shd w:val="clear" w:color="auto" w:fill="FFFFFF"/>
          <w:lang w:val="en-GB"/>
        </w:rPr>
        <w:t>13</w:t>
      </w:r>
      <w:r w:rsidRPr="002573CF">
        <w:rPr>
          <w:shd w:val="clear" w:color="auto" w:fill="FFFFFF"/>
          <w:lang w:val="en-GB"/>
        </w:rPr>
        <w:t>(4), pp.773-779.</w:t>
      </w:r>
    </w:p>
    <w:p w14:paraId="4AF31710" w14:textId="77777777" w:rsidR="00091FA8" w:rsidRPr="00755B97" w:rsidRDefault="00091FA8" w:rsidP="00091FA8">
      <w:pPr>
        <w:spacing w:before="200" w:after="240"/>
        <w:rPr>
          <w:rFonts w:eastAsia="Times New Roman" w:cs="Times New Roman"/>
          <w:color w:val="auto"/>
          <w:szCs w:val="24"/>
        </w:rPr>
      </w:pPr>
      <w:r w:rsidRPr="00755B97">
        <w:rPr>
          <w:rFonts w:eastAsia="Times New Roman" w:cs="Times New Roman"/>
          <w:color w:val="000000"/>
          <w:szCs w:val="24"/>
        </w:rPr>
        <w:t>George, G., Merrill, R.K. and Schillebeeckx, S.J., (2021). Digital sustainability and entrepreneurship: How digital innovations are helping tackle climate change and sustainable development. Entrepreneurship Theory and Practice, 45(5), pp.999-1027.</w:t>
      </w:r>
    </w:p>
    <w:p w14:paraId="6AC8B09A" w14:textId="77777777" w:rsidR="00091FA8" w:rsidRPr="002573CF" w:rsidRDefault="00091FA8" w:rsidP="00091FA8">
      <w:pPr>
        <w:spacing w:after="240"/>
        <w:rPr>
          <w:rFonts w:eastAsia="Times New Roman" w:cs="Times New Roman"/>
          <w:color w:val="auto"/>
          <w:szCs w:val="24"/>
        </w:rPr>
      </w:pPr>
      <w:r w:rsidRPr="002573CF">
        <w:rPr>
          <w:rFonts w:eastAsia="Times New Roman" w:cs="Times New Roman"/>
          <w:bCs/>
          <w:color w:val="000000"/>
          <w:szCs w:val="24"/>
          <w:shd w:val="clear" w:color="auto" w:fill="FFFFFF"/>
        </w:rPr>
        <w:t xml:space="preserve">Gillies, L., (2020). Appropriate adjustments post </w:t>
      </w:r>
      <w:r>
        <w:rPr>
          <w:rFonts w:eastAsia="Times New Roman" w:cs="Times New Roman"/>
          <w:bCs/>
          <w:color w:val="000000"/>
          <w:szCs w:val="24"/>
          <w:shd w:val="clear" w:color="auto" w:fill="FFFFFF"/>
        </w:rPr>
        <w:t>BREXIT</w:t>
      </w:r>
      <w:r w:rsidRPr="002573CF">
        <w:rPr>
          <w:rFonts w:eastAsia="Times New Roman" w:cs="Times New Roman"/>
          <w:bCs/>
          <w:color w:val="000000"/>
          <w:szCs w:val="24"/>
          <w:shd w:val="clear" w:color="auto" w:fill="FFFFFF"/>
        </w:rPr>
        <w:t xml:space="preserve">: residual jurisdiction and forum non conveniens in UK courts. </w:t>
      </w:r>
      <w:r w:rsidRPr="002573CF">
        <w:rPr>
          <w:rFonts w:eastAsia="Times New Roman" w:cs="Times New Roman"/>
          <w:bCs/>
          <w:i/>
          <w:iCs/>
          <w:color w:val="000000"/>
          <w:szCs w:val="24"/>
          <w:shd w:val="clear" w:color="auto" w:fill="FFFFFF"/>
        </w:rPr>
        <w:t>Journal of Business Law</w:t>
      </w:r>
      <w:r w:rsidRPr="002573CF">
        <w:rPr>
          <w:rFonts w:eastAsia="Times New Roman" w:cs="Times New Roman"/>
          <w:bCs/>
          <w:color w:val="000000"/>
          <w:szCs w:val="24"/>
          <w:shd w:val="clear" w:color="auto" w:fill="FFFFFF"/>
        </w:rPr>
        <w:t xml:space="preserve">, </w:t>
      </w:r>
      <w:r w:rsidRPr="002573CF">
        <w:rPr>
          <w:rFonts w:eastAsia="Times New Roman" w:cs="Times New Roman"/>
          <w:bCs/>
          <w:i/>
          <w:iCs/>
          <w:color w:val="000000"/>
          <w:szCs w:val="24"/>
          <w:shd w:val="clear" w:color="auto" w:fill="FFFFFF"/>
        </w:rPr>
        <w:t>2020</w:t>
      </w:r>
      <w:r w:rsidRPr="002573CF">
        <w:rPr>
          <w:rFonts w:eastAsia="Times New Roman" w:cs="Times New Roman"/>
          <w:bCs/>
          <w:color w:val="000000"/>
          <w:szCs w:val="24"/>
          <w:shd w:val="clear" w:color="auto" w:fill="FFFFFF"/>
        </w:rPr>
        <w:t>(3), pp.161-183.</w:t>
      </w:r>
    </w:p>
    <w:p w14:paraId="302C0473" w14:textId="77777777" w:rsidR="00091FA8" w:rsidRPr="00755B97" w:rsidRDefault="00091FA8" w:rsidP="00091FA8">
      <w:pPr>
        <w:spacing w:before="200" w:after="240"/>
        <w:rPr>
          <w:rFonts w:eastAsia="Times New Roman" w:cs="Times New Roman"/>
          <w:color w:val="auto"/>
          <w:szCs w:val="24"/>
        </w:rPr>
      </w:pPr>
      <w:r w:rsidRPr="00755B97">
        <w:rPr>
          <w:rFonts w:eastAsia="Times New Roman" w:cs="Times New Roman"/>
          <w:color w:val="000000"/>
          <w:szCs w:val="24"/>
        </w:rPr>
        <w:t>Glencross, A., (2021). Managing differentiated disintegration: Insights from comparative federalism on post-Brexit EU–UK relations. The British Journal of Politics and International Relations, 23(4), pp.593-608.</w:t>
      </w:r>
    </w:p>
    <w:p w14:paraId="23B37709" w14:textId="77777777" w:rsidR="00091FA8" w:rsidRPr="002573CF" w:rsidRDefault="00091FA8" w:rsidP="00091FA8">
      <w:pPr>
        <w:pStyle w:val="NormalWeb"/>
        <w:spacing w:before="0" w:beforeAutospacing="0" w:after="240" w:afterAutospacing="0" w:line="360" w:lineRule="auto"/>
        <w:rPr>
          <w:lang w:val="en-GB"/>
        </w:rPr>
      </w:pPr>
      <w:r w:rsidRPr="002573CF">
        <w:rPr>
          <w:shd w:val="clear" w:color="auto" w:fill="FFFFFF"/>
          <w:lang w:val="en-GB"/>
        </w:rPr>
        <w:t>Greening, N., (2019). Phenomenological research methodology. Scientific Research Journal, 7(5), pp.88-92.</w:t>
      </w:r>
    </w:p>
    <w:p w14:paraId="36EA6425" w14:textId="77777777" w:rsidR="00091FA8" w:rsidRPr="002573CF" w:rsidRDefault="00091FA8" w:rsidP="00091FA8">
      <w:pPr>
        <w:shd w:val="clear" w:color="auto" w:fill="FFFFFF"/>
        <w:spacing w:after="240"/>
        <w:rPr>
          <w:rFonts w:eastAsia="Times New Roman" w:cs="Times New Roman"/>
          <w:spacing w:val="3"/>
          <w:szCs w:val="24"/>
          <w:lang w:val="en-GB"/>
        </w:rPr>
      </w:pPr>
      <w:r w:rsidRPr="002573CF">
        <w:rPr>
          <w:rFonts w:eastAsia="Times New Roman" w:cs="Times New Roman"/>
          <w:spacing w:val="3"/>
          <w:szCs w:val="24"/>
          <w:lang w:val="en-GB"/>
        </w:rPr>
        <w:t>Guay, R. and Birch, K., (2022). A comparative analysis of data governance: Socio-technical imaginaries of digital personal data in the USA and EU (2008–2016). Big Data &amp; Society, 9(2), p.20539517221112925.</w:t>
      </w:r>
    </w:p>
    <w:p w14:paraId="5910AB0B" w14:textId="77777777" w:rsidR="00091FA8" w:rsidRPr="002573CF" w:rsidRDefault="00091FA8" w:rsidP="00091FA8">
      <w:pPr>
        <w:shd w:val="clear" w:color="auto" w:fill="FFFFFF"/>
        <w:spacing w:after="240"/>
        <w:rPr>
          <w:rFonts w:eastAsia="Times New Roman" w:cs="Times New Roman"/>
          <w:spacing w:val="3"/>
          <w:szCs w:val="24"/>
          <w:lang w:val="en-GB"/>
        </w:rPr>
      </w:pPr>
      <w:r w:rsidRPr="002573CF">
        <w:rPr>
          <w:rFonts w:eastAsia="Times New Roman" w:cs="Times New Roman"/>
          <w:spacing w:val="3"/>
          <w:szCs w:val="24"/>
          <w:lang w:val="en-GB"/>
        </w:rPr>
        <w:t>Hagan, J.M. and Thomas Wassink, J., (2020). Return migration around the world: An integrated agenda for future research. Annual Review of Sociology, 46(1), p.56.</w:t>
      </w:r>
    </w:p>
    <w:p w14:paraId="6F7EA966" w14:textId="77777777" w:rsidR="00091FA8" w:rsidRPr="002573CF" w:rsidRDefault="00091FA8" w:rsidP="00091FA8">
      <w:pPr>
        <w:spacing w:after="240"/>
        <w:rPr>
          <w:rFonts w:eastAsia="Times New Roman" w:cs="Times New Roman"/>
          <w:szCs w:val="24"/>
          <w:lang w:val="en-GB"/>
        </w:rPr>
      </w:pPr>
      <w:r w:rsidRPr="002573CF">
        <w:rPr>
          <w:rFonts w:eastAsia="Times New Roman" w:cs="Times New Roman"/>
          <w:szCs w:val="24"/>
          <w:shd w:val="clear" w:color="auto" w:fill="FFFFFF"/>
          <w:lang w:val="en-GB"/>
        </w:rPr>
        <w:t xml:space="preserve">Hall, S.M., (2022). Waiting for </w:t>
      </w:r>
      <w:r>
        <w:rPr>
          <w:rFonts w:eastAsia="Times New Roman" w:cs="Times New Roman"/>
          <w:szCs w:val="24"/>
          <w:shd w:val="clear" w:color="auto" w:fill="FFFFFF"/>
          <w:lang w:val="en-GB"/>
        </w:rPr>
        <w:t>BREXIT</w:t>
      </w:r>
      <w:r w:rsidRPr="002573CF">
        <w:rPr>
          <w:rFonts w:eastAsia="Times New Roman" w:cs="Times New Roman"/>
          <w:szCs w:val="24"/>
          <w:shd w:val="clear" w:color="auto" w:fill="FFFFFF"/>
          <w:lang w:val="en-GB"/>
        </w:rPr>
        <w:t xml:space="preserve">: Crisis, conjuncture, method. </w:t>
      </w:r>
      <w:r w:rsidRPr="002573CF">
        <w:rPr>
          <w:rFonts w:eastAsia="Times New Roman" w:cs="Times New Roman"/>
          <w:i/>
          <w:iCs/>
          <w:szCs w:val="24"/>
          <w:shd w:val="clear" w:color="auto" w:fill="FFFFFF"/>
          <w:lang w:val="en-GB"/>
        </w:rPr>
        <w:t>Transactions of the Institute of British Geographers</w:t>
      </w:r>
      <w:r w:rsidRPr="002573CF">
        <w:rPr>
          <w:rFonts w:eastAsia="Times New Roman" w:cs="Times New Roman"/>
          <w:szCs w:val="24"/>
          <w:shd w:val="clear" w:color="auto" w:fill="FFFFFF"/>
          <w:lang w:val="en-GB"/>
        </w:rPr>
        <w:t xml:space="preserve">, </w:t>
      </w:r>
      <w:r w:rsidRPr="002573CF">
        <w:rPr>
          <w:rFonts w:eastAsia="Times New Roman" w:cs="Times New Roman"/>
          <w:i/>
          <w:iCs/>
          <w:szCs w:val="24"/>
          <w:shd w:val="clear" w:color="auto" w:fill="FFFFFF"/>
          <w:lang w:val="en-GB"/>
        </w:rPr>
        <w:t>47</w:t>
      </w:r>
      <w:r w:rsidRPr="002573CF">
        <w:rPr>
          <w:rFonts w:eastAsia="Times New Roman" w:cs="Times New Roman"/>
          <w:szCs w:val="24"/>
          <w:shd w:val="clear" w:color="auto" w:fill="FFFFFF"/>
          <w:lang w:val="en-GB"/>
        </w:rPr>
        <w:t>(1), pp.200-213.</w:t>
      </w:r>
    </w:p>
    <w:p w14:paraId="6935972D" w14:textId="77777777" w:rsidR="00091FA8" w:rsidRPr="002573CF" w:rsidRDefault="00091FA8" w:rsidP="00091FA8">
      <w:pPr>
        <w:spacing w:after="240"/>
        <w:rPr>
          <w:rFonts w:eastAsia="Times New Roman" w:cs="Times New Roman"/>
          <w:szCs w:val="24"/>
          <w:lang w:val="en-GB"/>
        </w:rPr>
      </w:pPr>
      <w:r w:rsidRPr="002573CF">
        <w:rPr>
          <w:rFonts w:eastAsia="Times New Roman" w:cs="Times New Roman"/>
          <w:szCs w:val="24"/>
          <w:shd w:val="clear" w:color="auto" w:fill="FFFFFF"/>
          <w:lang w:val="en-GB"/>
        </w:rPr>
        <w:t xml:space="preserve">Hegeman, P.D. and Sørheim, R., (2021). Why do they do it? Corporate venture capital investments in cleantech startups. </w:t>
      </w:r>
      <w:r w:rsidRPr="002573CF">
        <w:rPr>
          <w:rFonts w:eastAsia="Times New Roman" w:cs="Times New Roman"/>
          <w:i/>
          <w:iCs/>
          <w:szCs w:val="24"/>
          <w:shd w:val="clear" w:color="auto" w:fill="FFFFFF"/>
          <w:lang w:val="en-GB"/>
        </w:rPr>
        <w:t>Journal of Cleaner Production</w:t>
      </w:r>
      <w:r w:rsidRPr="002573CF">
        <w:rPr>
          <w:rFonts w:eastAsia="Times New Roman" w:cs="Times New Roman"/>
          <w:szCs w:val="24"/>
          <w:shd w:val="clear" w:color="auto" w:fill="FFFFFF"/>
          <w:lang w:val="en-GB"/>
        </w:rPr>
        <w:t xml:space="preserve">, </w:t>
      </w:r>
      <w:r w:rsidRPr="002573CF">
        <w:rPr>
          <w:rFonts w:eastAsia="Times New Roman" w:cs="Times New Roman"/>
          <w:i/>
          <w:iCs/>
          <w:szCs w:val="24"/>
          <w:shd w:val="clear" w:color="auto" w:fill="FFFFFF"/>
          <w:lang w:val="en-GB"/>
        </w:rPr>
        <w:t>294</w:t>
      </w:r>
      <w:r w:rsidRPr="002573CF">
        <w:rPr>
          <w:rFonts w:eastAsia="Times New Roman" w:cs="Times New Roman"/>
          <w:szCs w:val="24"/>
          <w:shd w:val="clear" w:color="auto" w:fill="FFFFFF"/>
          <w:lang w:val="en-GB"/>
        </w:rPr>
        <w:t>, p.126315.</w:t>
      </w:r>
    </w:p>
    <w:p w14:paraId="47F5938E" w14:textId="77777777" w:rsidR="00091FA8" w:rsidRPr="00755B97" w:rsidRDefault="00091FA8" w:rsidP="00091FA8">
      <w:pPr>
        <w:spacing w:before="200" w:after="240"/>
        <w:rPr>
          <w:rFonts w:eastAsia="Times New Roman" w:cs="Times New Roman"/>
          <w:color w:val="auto"/>
          <w:szCs w:val="24"/>
        </w:rPr>
      </w:pPr>
      <w:r w:rsidRPr="00755B97">
        <w:rPr>
          <w:rFonts w:eastAsia="Times New Roman" w:cs="Times New Roman"/>
          <w:color w:val="000000"/>
          <w:szCs w:val="24"/>
        </w:rPr>
        <w:t>Hendrikse, R., Van Meeteren, M. and Bassens, D., (2020). Strategic coupling between finance, technology and the state: Cultivating a Fintech ecosystem for incumbent finance. Environment and Planning A: Economy and Space, 52(8), pp.1516-1538.</w:t>
      </w:r>
    </w:p>
    <w:p w14:paraId="332A923E" w14:textId="77777777" w:rsidR="00091FA8" w:rsidRPr="002573CF" w:rsidRDefault="00091FA8" w:rsidP="00091FA8">
      <w:pPr>
        <w:spacing w:after="240"/>
        <w:rPr>
          <w:rFonts w:eastAsia="Times New Roman" w:cs="Times New Roman"/>
          <w:color w:val="auto"/>
          <w:szCs w:val="24"/>
        </w:rPr>
      </w:pPr>
      <w:r w:rsidRPr="002573CF">
        <w:rPr>
          <w:rFonts w:eastAsia="Times New Roman" w:cs="Times New Roman"/>
          <w:bCs/>
          <w:color w:val="000000"/>
          <w:szCs w:val="24"/>
          <w:shd w:val="clear" w:color="auto" w:fill="FFFFFF"/>
        </w:rPr>
        <w:t xml:space="preserve">Hoffmann, T., (2018). The </w:t>
      </w:r>
      <w:r>
        <w:rPr>
          <w:rFonts w:eastAsia="Times New Roman" w:cs="Times New Roman"/>
          <w:bCs/>
          <w:color w:val="000000"/>
          <w:szCs w:val="24"/>
          <w:shd w:val="clear" w:color="auto" w:fill="FFFFFF"/>
        </w:rPr>
        <w:t>BREXIT</w:t>
      </w:r>
      <w:r w:rsidRPr="002573CF">
        <w:rPr>
          <w:rFonts w:eastAsia="Times New Roman" w:cs="Times New Roman"/>
          <w:bCs/>
          <w:color w:val="000000"/>
          <w:szCs w:val="24"/>
          <w:shd w:val="clear" w:color="auto" w:fill="FFFFFF"/>
        </w:rPr>
        <w:t xml:space="preserve"> and private international law: an outlook from the consumer insolvency perspective. In </w:t>
      </w:r>
      <w:r>
        <w:rPr>
          <w:rFonts w:eastAsia="Times New Roman" w:cs="Times New Roman"/>
          <w:bCs/>
          <w:i/>
          <w:iCs/>
          <w:color w:val="000000"/>
          <w:szCs w:val="24"/>
          <w:shd w:val="clear" w:color="auto" w:fill="FFFFFF"/>
        </w:rPr>
        <w:t>BREXIT</w:t>
      </w:r>
      <w:r w:rsidRPr="002573CF">
        <w:rPr>
          <w:rFonts w:eastAsia="Times New Roman" w:cs="Times New Roman"/>
          <w:bCs/>
          <w:color w:val="000000"/>
          <w:szCs w:val="24"/>
          <w:shd w:val="clear" w:color="auto" w:fill="FFFFFF"/>
        </w:rPr>
        <w:t xml:space="preserve"> (pp. 237-248). Springer, Cham.</w:t>
      </w:r>
    </w:p>
    <w:p w14:paraId="03391E55" w14:textId="77777777" w:rsidR="00091FA8" w:rsidRPr="002573CF" w:rsidRDefault="00091FA8" w:rsidP="00091FA8">
      <w:pPr>
        <w:spacing w:after="240"/>
        <w:rPr>
          <w:rFonts w:eastAsia="Times New Roman" w:cs="Times New Roman"/>
          <w:szCs w:val="24"/>
          <w:lang w:val="en-GB"/>
        </w:rPr>
      </w:pPr>
      <w:r w:rsidRPr="002573CF">
        <w:rPr>
          <w:rFonts w:eastAsia="Times New Roman" w:cs="Times New Roman"/>
          <w:szCs w:val="24"/>
          <w:shd w:val="clear" w:color="auto" w:fill="FFFFFF"/>
          <w:lang w:val="en-GB"/>
        </w:rPr>
        <w:t xml:space="preserve">Hohlmeier, M. and Fahrholz, C., (2018). The impact of </w:t>
      </w:r>
      <w:r>
        <w:rPr>
          <w:rFonts w:eastAsia="Times New Roman" w:cs="Times New Roman"/>
          <w:szCs w:val="24"/>
          <w:shd w:val="clear" w:color="auto" w:fill="FFFFFF"/>
          <w:lang w:val="en-GB"/>
        </w:rPr>
        <w:t>BREXIT</w:t>
      </w:r>
      <w:r w:rsidRPr="002573CF">
        <w:rPr>
          <w:rFonts w:eastAsia="Times New Roman" w:cs="Times New Roman"/>
          <w:szCs w:val="24"/>
          <w:shd w:val="clear" w:color="auto" w:fill="FFFFFF"/>
          <w:lang w:val="en-GB"/>
        </w:rPr>
        <w:t xml:space="preserve"> on financial markets—Taking stock. </w:t>
      </w:r>
      <w:r w:rsidRPr="002573CF">
        <w:rPr>
          <w:rFonts w:eastAsia="Times New Roman" w:cs="Times New Roman"/>
          <w:i/>
          <w:iCs/>
          <w:szCs w:val="24"/>
          <w:shd w:val="clear" w:color="auto" w:fill="FFFFFF"/>
          <w:lang w:val="en-GB"/>
        </w:rPr>
        <w:t>International Journal of Financial Studies</w:t>
      </w:r>
      <w:r w:rsidRPr="002573CF">
        <w:rPr>
          <w:rFonts w:eastAsia="Times New Roman" w:cs="Times New Roman"/>
          <w:szCs w:val="24"/>
          <w:shd w:val="clear" w:color="auto" w:fill="FFFFFF"/>
          <w:lang w:val="en-GB"/>
        </w:rPr>
        <w:t xml:space="preserve">, </w:t>
      </w:r>
      <w:r w:rsidRPr="002573CF">
        <w:rPr>
          <w:rFonts w:eastAsia="Times New Roman" w:cs="Times New Roman"/>
          <w:i/>
          <w:iCs/>
          <w:szCs w:val="24"/>
          <w:shd w:val="clear" w:color="auto" w:fill="FFFFFF"/>
          <w:lang w:val="en-GB"/>
        </w:rPr>
        <w:t>6</w:t>
      </w:r>
      <w:r w:rsidRPr="002573CF">
        <w:rPr>
          <w:rFonts w:eastAsia="Times New Roman" w:cs="Times New Roman"/>
          <w:szCs w:val="24"/>
          <w:shd w:val="clear" w:color="auto" w:fill="FFFFFF"/>
          <w:lang w:val="en-GB"/>
        </w:rPr>
        <w:t>(3), p.65.</w:t>
      </w:r>
    </w:p>
    <w:p w14:paraId="414D5322" w14:textId="77777777" w:rsidR="00091FA8" w:rsidRPr="002573CF" w:rsidRDefault="00091FA8" w:rsidP="00091FA8">
      <w:pPr>
        <w:pStyle w:val="NormalWeb"/>
        <w:spacing w:before="0" w:beforeAutospacing="0" w:after="240" w:afterAutospacing="0" w:line="360" w:lineRule="auto"/>
        <w:rPr>
          <w:lang w:val="en-GB"/>
        </w:rPr>
      </w:pPr>
      <w:r w:rsidRPr="002573CF">
        <w:rPr>
          <w:shd w:val="clear" w:color="auto" w:fill="FFFFFF"/>
          <w:lang w:val="en-GB"/>
        </w:rPr>
        <w:t xml:space="preserve">Hughes, K., Hughes, J. and Tarrant, A., (2020). Re-approaching interview data through qualitative secondary analysis: Interviews with internet gamblers. </w:t>
      </w:r>
      <w:r w:rsidRPr="002573CF">
        <w:rPr>
          <w:i/>
          <w:iCs/>
          <w:shd w:val="clear" w:color="auto" w:fill="FFFFFF"/>
          <w:lang w:val="en-GB"/>
        </w:rPr>
        <w:t>International Journal of Social Research Methodology</w:t>
      </w:r>
      <w:r w:rsidRPr="002573CF">
        <w:rPr>
          <w:shd w:val="clear" w:color="auto" w:fill="FFFFFF"/>
          <w:lang w:val="en-GB"/>
        </w:rPr>
        <w:t xml:space="preserve">, </w:t>
      </w:r>
      <w:r w:rsidRPr="002573CF">
        <w:rPr>
          <w:i/>
          <w:iCs/>
          <w:shd w:val="clear" w:color="auto" w:fill="FFFFFF"/>
          <w:lang w:val="en-GB"/>
        </w:rPr>
        <w:t>23</w:t>
      </w:r>
      <w:r w:rsidRPr="002573CF">
        <w:rPr>
          <w:shd w:val="clear" w:color="auto" w:fill="FFFFFF"/>
          <w:lang w:val="en-GB"/>
        </w:rPr>
        <w:t>(5), pp.565-579.</w:t>
      </w:r>
    </w:p>
    <w:p w14:paraId="4E7B184B" w14:textId="77777777" w:rsidR="00091FA8" w:rsidRPr="00EC7AE8" w:rsidRDefault="00091FA8" w:rsidP="00091FA8">
      <w:pPr>
        <w:spacing w:after="240"/>
        <w:rPr>
          <w:rFonts w:eastAsia="Times New Roman" w:cs="Times New Roman"/>
          <w:color w:val="auto"/>
          <w:szCs w:val="24"/>
        </w:rPr>
      </w:pPr>
      <w:r w:rsidRPr="00EC7AE8">
        <w:rPr>
          <w:rFonts w:eastAsia="Times New Roman" w:cs="Times New Roman"/>
          <w:color w:val="222222"/>
          <w:szCs w:val="24"/>
          <w:shd w:val="clear" w:color="auto" w:fill="FFFFFF"/>
        </w:rPr>
        <w:t xml:space="preserve">Ilmanen, A., Chandra, S. and McQuinn, N., (2019). Demystifying Illiquid Assets: Expected Returns for Private Equity. </w:t>
      </w:r>
      <w:r w:rsidRPr="00EC7AE8">
        <w:rPr>
          <w:rFonts w:eastAsia="Times New Roman" w:cs="Times New Roman"/>
          <w:i/>
          <w:iCs/>
          <w:color w:val="222222"/>
          <w:szCs w:val="24"/>
          <w:shd w:val="clear" w:color="auto" w:fill="FFFFFF"/>
        </w:rPr>
        <w:t>The Journal of Alternative Investments</w:t>
      </w:r>
      <w:r w:rsidRPr="00EC7AE8">
        <w:rPr>
          <w:rFonts w:eastAsia="Times New Roman" w:cs="Times New Roman"/>
          <w:color w:val="222222"/>
          <w:szCs w:val="24"/>
          <w:shd w:val="clear" w:color="auto" w:fill="FFFFFF"/>
        </w:rPr>
        <w:t xml:space="preserve">, </w:t>
      </w:r>
      <w:r w:rsidRPr="00EC7AE8">
        <w:rPr>
          <w:rFonts w:eastAsia="Times New Roman" w:cs="Times New Roman"/>
          <w:i/>
          <w:iCs/>
          <w:color w:val="222222"/>
          <w:szCs w:val="24"/>
          <w:shd w:val="clear" w:color="auto" w:fill="FFFFFF"/>
        </w:rPr>
        <w:t>22</w:t>
      </w:r>
      <w:r w:rsidRPr="00EC7AE8">
        <w:rPr>
          <w:rFonts w:eastAsia="Times New Roman" w:cs="Times New Roman"/>
          <w:color w:val="222222"/>
          <w:szCs w:val="24"/>
          <w:shd w:val="clear" w:color="auto" w:fill="FFFFFF"/>
        </w:rPr>
        <w:t>(3), pp.8-22</w:t>
      </w:r>
      <w:r w:rsidRPr="00EC7AE8">
        <w:rPr>
          <w:rFonts w:eastAsia="Times New Roman" w:cs="Times New Roman"/>
          <w:b/>
          <w:bCs/>
          <w:color w:val="222222"/>
          <w:sz w:val="20"/>
          <w:szCs w:val="20"/>
          <w:shd w:val="clear" w:color="auto" w:fill="FFFFFF"/>
        </w:rPr>
        <w:t>.</w:t>
      </w:r>
    </w:p>
    <w:p w14:paraId="635FD707" w14:textId="77777777" w:rsidR="00091FA8" w:rsidRPr="00DC11EF" w:rsidRDefault="00091FA8" w:rsidP="00091FA8">
      <w:pPr>
        <w:pStyle w:val="Normal1"/>
        <w:spacing w:before="200" w:after="240" w:line="360" w:lineRule="auto"/>
        <w:jc w:val="both"/>
        <w:rPr>
          <w:rFonts w:ascii="Times New Roman" w:eastAsia="Times New Roman" w:hAnsi="Times New Roman" w:cs="Times New Roman"/>
          <w:sz w:val="24"/>
          <w:szCs w:val="24"/>
          <w:highlight w:val="white"/>
          <w:lang w:val="en-GB"/>
        </w:rPr>
      </w:pPr>
      <w:r w:rsidRPr="00DC11EF">
        <w:rPr>
          <w:rFonts w:ascii="Times New Roman" w:eastAsia="Times New Roman" w:hAnsi="Times New Roman" w:cs="Times New Roman"/>
          <w:sz w:val="24"/>
          <w:szCs w:val="24"/>
          <w:highlight w:val="white"/>
          <w:lang w:val="en-GB"/>
        </w:rPr>
        <w:t xml:space="preserve">Ionescu, L., (2021). Corporate environmental performance, climate change mitigation, and green innovation behavior in sustainable finance. </w:t>
      </w:r>
      <w:r w:rsidRPr="00DC11EF">
        <w:rPr>
          <w:rFonts w:ascii="Times New Roman" w:eastAsia="Times New Roman" w:hAnsi="Times New Roman" w:cs="Times New Roman"/>
          <w:i/>
          <w:sz w:val="24"/>
          <w:szCs w:val="24"/>
          <w:highlight w:val="white"/>
          <w:lang w:val="en-GB"/>
        </w:rPr>
        <w:t>Economics, Management and Financial Markets</w:t>
      </w:r>
      <w:r w:rsidRPr="00DC11EF">
        <w:rPr>
          <w:rFonts w:ascii="Times New Roman" w:eastAsia="Times New Roman" w:hAnsi="Times New Roman" w:cs="Times New Roman"/>
          <w:sz w:val="24"/>
          <w:szCs w:val="24"/>
          <w:highlight w:val="white"/>
          <w:lang w:val="en-GB"/>
        </w:rPr>
        <w:t xml:space="preserve">, </w:t>
      </w:r>
      <w:r w:rsidRPr="00DC11EF">
        <w:rPr>
          <w:rFonts w:ascii="Times New Roman" w:eastAsia="Times New Roman" w:hAnsi="Times New Roman" w:cs="Times New Roman"/>
          <w:i/>
          <w:sz w:val="24"/>
          <w:szCs w:val="24"/>
          <w:highlight w:val="white"/>
          <w:lang w:val="en-GB"/>
        </w:rPr>
        <w:t>16</w:t>
      </w:r>
      <w:r w:rsidRPr="00DC11EF">
        <w:rPr>
          <w:rFonts w:ascii="Times New Roman" w:eastAsia="Times New Roman" w:hAnsi="Times New Roman" w:cs="Times New Roman"/>
          <w:sz w:val="24"/>
          <w:szCs w:val="24"/>
          <w:highlight w:val="white"/>
          <w:lang w:val="en-GB"/>
        </w:rPr>
        <w:t>(3), pp.94-106.</w:t>
      </w:r>
    </w:p>
    <w:p w14:paraId="6EC902F4" w14:textId="77777777" w:rsidR="00091FA8" w:rsidRPr="002573CF" w:rsidRDefault="00091FA8" w:rsidP="00091FA8">
      <w:pPr>
        <w:spacing w:after="240"/>
        <w:rPr>
          <w:rFonts w:cs="Times New Roman"/>
          <w:szCs w:val="24"/>
          <w:lang w:val="en-GB"/>
        </w:rPr>
      </w:pPr>
      <w:r w:rsidRPr="002573CF">
        <w:rPr>
          <w:rFonts w:eastAsia="Times New Roman" w:cs="Times New Roman"/>
          <w:spacing w:val="3"/>
          <w:szCs w:val="24"/>
          <w:lang w:val="en-GB"/>
        </w:rPr>
        <w:t>Javid, M., (2019). Public and private infrastructure investment and economic growth in Asia: An aggregate and disaggregate analysis. Sustainability, 11(12), p.3359.</w:t>
      </w:r>
      <w:r w:rsidRPr="002573CF">
        <w:rPr>
          <w:rFonts w:eastAsia="Times New Roman" w:cs="Times New Roman"/>
          <w:szCs w:val="24"/>
          <w:lang w:val="en-GB"/>
        </w:rPr>
        <w:br/>
      </w:r>
      <w:r w:rsidRPr="002573CF">
        <w:rPr>
          <w:rFonts w:eastAsia="Times New Roman" w:cs="Times New Roman"/>
          <w:szCs w:val="24"/>
          <w:shd w:val="clear" w:color="auto" w:fill="FFFFFF"/>
          <w:lang w:val="en-GB"/>
        </w:rPr>
        <w:t xml:space="preserve">Brown, R. and Rocha, A., (2020). Entrepreneurial uncertainty during the Covid-19 crisis: Mapping the temporal dynamics of entrepreneurial finance. </w:t>
      </w:r>
      <w:r w:rsidRPr="002573CF">
        <w:rPr>
          <w:rFonts w:eastAsia="Times New Roman" w:cs="Times New Roman"/>
          <w:i/>
          <w:iCs/>
          <w:szCs w:val="24"/>
          <w:shd w:val="clear" w:color="auto" w:fill="FFFFFF"/>
          <w:lang w:val="en-GB"/>
        </w:rPr>
        <w:t>Journal of Business Venturing Insights</w:t>
      </w:r>
      <w:r w:rsidRPr="002573CF">
        <w:rPr>
          <w:rFonts w:eastAsia="Times New Roman" w:cs="Times New Roman"/>
          <w:szCs w:val="24"/>
          <w:shd w:val="clear" w:color="auto" w:fill="FFFFFF"/>
          <w:lang w:val="en-GB"/>
        </w:rPr>
        <w:t xml:space="preserve">, </w:t>
      </w:r>
      <w:r w:rsidRPr="002573CF">
        <w:rPr>
          <w:rFonts w:eastAsia="Times New Roman" w:cs="Times New Roman"/>
          <w:i/>
          <w:iCs/>
          <w:szCs w:val="24"/>
          <w:shd w:val="clear" w:color="auto" w:fill="FFFFFF"/>
          <w:lang w:val="en-GB"/>
        </w:rPr>
        <w:t>14</w:t>
      </w:r>
      <w:r w:rsidRPr="002573CF">
        <w:rPr>
          <w:rFonts w:eastAsia="Times New Roman" w:cs="Times New Roman"/>
          <w:szCs w:val="24"/>
          <w:shd w:val="clear" w:color="auto" w:fill="FFFFFF"/>
          <w:lang w:val="en-GB"/>
        </w:rPr>
        <w:t>, p.e00174.</w:t>
      </w:r>
    </w:p>
    <w:p w14:paraId="30833B8F" w14:textId="77777777" w:rsidR="00091FA8" w:rsidRPr="002573CF" w:rsidRDefault="00091FA8" w:rsidP="00091FA8">
      <w:pPr>
        <w:shd w:val="clear" w:color="auto" w:fill="FFFFFF"/>
        <w:spacing w:after="240"/>
        <w:rPr>
          <w:rFonts w:eastAsia="Times New Roman" w:cs="Times New Roman"/>
          <w:spacing w:val="3"/>
          <w:szCs w:val="24"/>
          <w:lang w:val="en-GB"/>
        </w:rPr>
      </w:pPr>
      <w:r w:rsidRPr="002573CF">
        <w:rPr>
          <w:rFonts w:eastAsia="Times New Roman" w:cs="Times New Roman"/>
          <w:spacing w:val="3"/>
          <w:szCs w:val="24"/>
          <w:lang w:val="en-GB"/>
        </w:rPr>
        <w:t xml:space="preserve">Jessop, B., (2018). Neoliberalization, uneven development, and </w:t>
      </w:r>
      <w:r>
        <w:rPr>
          <w:rFonts w:eastAsia="Times New Roman" w:cs="Times New Roman"/>
          <w:spacing w:val="3"/>
          <w:szCs w:val="24"/>
          <w:lang w:val="en-GB"/>
        </w:rPr>
        <w:t>BREXIT</w:t>
      </w:r>
      <w:r w:rsidRPr="002573CF">
        <w:rPr>
          <w:rFonts w:eastAsia="Times New Roman" w:cs="Times New Roman"/>
          <w:spacing w:val="3"/>
          <w:szCs w:val="24"/>
          <w:lang w:val="en-GB"/>
        </w:rPr>
        <w:t>: further reflections on the organic crisis of the British state and society. European planning studies, 26(9), pp.1728-1746.</w:t>
      </w:r>
    </w:p>
    <w:p w14:paraId="3590AC99" w14:textId="77777777" w:rsidR="00091FA8" w:rsidRDefault="00091FA8" w:rsidP="00091FA8">
      <w:pPr>
        <w:spacing w:after="240"/>
        <w:rPr>
          <w:rFonts w:eastAsia="Times New Roman" w:cs="Times New Roman"/>
          <w:color w:val="FF0000"/>
          <w:sz w:val="28"/>
          <w:szCs w:val="28"/>
          <w:highlight w:val="white"/>
        </w:rPr>
      </w:pPr>
      <w:r>
        <w:rPr>
          <w:rFonts w:eastAsia="Times New Roman" w:cs="Times New Roman"/>
          <w:color w:val="FF0000"/>
          <w:szCs w:val="24"/>
          <w:highlight w:val="white"/>
        </w:rPr>
        <w:t xml:space="preserve">Jouffray, J.B., Crona, B., Wassénius, E., Bebbington, J. and Scholtens, B., (2019). Leverage points in the financial sector for seafood sustainability. </w:t>
      </w:r>
      <w:r>
        <w:rPr>
          <w:rFonts w:eastAsia="Times New Roman" w:cs="Times New Roman"/>
          <w:i/>
          <w:color w:val="FF0000"/>
          <w:szCs w:val="24"/>
          <w:highlight w:val="white"/>
        </w:rPr>
        <w:t>Science Advances</w:t>
      </w:r>
      <w:r>
        <w:rPr>
          <w:rFonts w:eastAsia="Times New Roman" w:cs="Times New Roman"/>
          <w:color w:val="FF0000"/>
          <w:szCs w:val="24"/>
          <w:highlight w:val="white"/>
        </w:rPr>
        <w:t xml:space="preserve">, </w:t>
      </w:r>
      <w:r>
        <w:rPr>
          <w:rFonts w:eastAsia="Times New Roman" w:cs="Times New Roman"/>
          <w:i/>
          <w:color w:val="FF0000"/>
          <w:szCs w:val="24"/>
          <w:highlight w:val="white"/>
        </w:rPr>
        <w:t>5</w:t>
      </w:r>
      <w:r>
        <w:rPr>
          <w:rFonts w:eastAsia="Times New Roman" w:cs="Times New Roman"/>
          <w:color w:val="FF0000"/>
          <w:szCs w:val="24"/>
          <w:highlight w:val="white"/>
        </w:rPr>
        <w:t>(10), p.eaax3324.</w:t>
      </w:r>
    </w:p>
    <w:p w14:paraId="0A3A46A6" w14:textId="77777777" w:rsidR="00091FA8" w:rsidRPr="00755B97" w:rsidRDefault="00091FA8" w:rsidP="00091FA8">
      <w:pPr>
        <w:spacing w:before="200" w:after="240"/>
        <w:rPr>
          <w:rFonts w:eastAsia="Times New Roman" w:cs="Times New Roman"/>
          <w:color w:val="auto"/>
          <w:szCs w:val="24"/>
        </w:rPr>
      </w:pPr>
      <w:r w:rsidRPr="00755B97">
        <w:rPr>
          <w:rFonts w:eastAsia="Times New Roman" w:cs="Times New Roman"/>
          <w:color w:val="000000"/>
          <w:szCs w:val="24"/>
        </w:rPr>
        <w:t>Kalaitzake, M., (2021). Brexit for finance? Structural interdependence as a source of financial political power within UK-EU withdrawal negotiations. Review of International Political Economy, 28(3), pp.479-504.</w:t>
      </w:r>
    </w:p>
    <w:p w14:paraId="78B4F258" w14:textId="77777777" w:rsidR="00091FA8" w:rsidRPr="002573CF" w:rsidRDefault="00091FA8" w:rsidP="00091FA8">
      <w:pPr>
        <w:spacing w:after="240"/>
        <w:rPr>
          <w:rFonts w:eastAsia="Times New Roman" w:cs="Times New Roman"/>
          <w:color w:val="auto"/>
          <w:szCs w:val="24"/>
        </w:rPr>
      </w:pPr>
      <w:r w:rsidRPr="002573CF">
        <w:rPr>
          <w:rFonts w:eastAsia="Times New Roman" w:cs="Times New Roman"/>
          <w:color w:val="000000"/>
          <w:szCs w:val="24"/>
          <w:shd w:val="clear" w:color="auto" w:fill="FFFFFF"/>
        </w:rPr>
        <w:t xml:space="preserve">Kalaitzake, M., (2022). Resilience in the City of London: the fate of UK financial services after </w:t>
      </w:r>
      <w:r>
        <w:rPr>
          <w:rFonts w:eastAsia="Times New Roman" w:cs="Times New Roman"/>
          <w:color w:val="000000"/>
          <w:szCs w:val="24"/>
          <w:shd w:val="clear" w:color="auto" w:fill="FFFFFF"/>
        </w:rPr>
        <w:t>BREXIT</w:t>
      </w:r>
      <w:r w:rsidRPr="002573CF">
        <w:rPr>
          <w:rFonts w:eastAsia="Times New Roman" w:cs="Times New Roman"/>
          <w:color w:val="000000"/>
          <w:szCs w:val="24"/>
          <w:shd w:val="clear" w:color="auto" w:fill="FFFFFF"/>
        </w:rPr>
        <w:t xml:space="preserve">. </w:t>
      </w:r>
      <w:r w:rsidRPr="002573CF">
        <w:rPr>
          <w:rFonts w:eastAsia="Times New Roman" w:cs="Times New Roman"/>
          <w:i/>
          <w:iCs/>
          <w:color w:val="000000"/>
          <w:szCs w:val="24"/>
          <w:shd w:val="clear" w:color="auto" w:fill="FFFFFF"/>
        </w:rPr>
        <w:t>New Political Economy</w:t>
      </w:r>
      <w:r w:rsidRPr="002573CF">
        <w:rPr>
          <w:rFonts w:eastAsia="Times New Roman" w:cs="Times New Roman"/>
          <w:color w:val="000000"/>
          <w:szCs w:val="24"/>
          <w:shd w:val="clear" w:color="auto" w:fill="FFFFFF"/>
        </w:rPr>
        <w:t xml:space="preserve">, </w:t>
      </w:r>
      <w:r w:rsidRPr="002573CF">
        <w:rPr>
          <w:rFonts w:eastAsia="Times New Roman" w:cs="Times New Roman"/>
          <w:i/>
          <w:iCs/>
          <w:color w:val="000000"/>
          <w:szCs w:val="24"/>
          <w:shd w:val="clear" w:color="auto" w:fill="FFFFFF"/>
        </w:rPr>
        <w:t>27</w:t>
      </w:r>
      <w:r w:rsidRPr="002573CF">
        <w:rPr>
          <w:rFonts w:eastAsia="Times New Roman" w:cs="Times New Roman"/>
          <w:color w:val="000000"/>
          <w:szCs w:val="24"/>
          <w:shd w:val="clear" w:color="auto" w:fill="FFFFFF"/>
        </w:rPr>
        <w:t>(4), pp.610-628.</w:t>
      </w:r>
    </w:p>
    <w:p w14:paraId="50C201F8" w14:textId="77777777" w:rsidR="00091FA8" w:rsidRPr="002573CF" w:rsidRDefault="00091FA8" w:rsidP="00091FA8">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2573CF">
        <w:rPr>
          <w:rFonts w:ascii="Times New Roman" w:eastAsia="Times New Roman" w:hAnsi="Times New Roman" w:cs="Times New Roman"/>
          <w:color w:val="000000" w:themeColor="text1"/>
          <w:sz w:val="24"/>
          <w:szCs w:val="24"/>
          <w:highlight w:val="white"/>
          <w:lang w:val="en-GB"/>
        </w:rPr>
        <w:t xml:space="preserve">Kaluva, M.A.H.E.S.H. and Degala, S., (2019). P. A Theoretical Perspective of the Importance of Strategic Human Resource management in the 21st Century. </w:t>
      </w:r>
      <w:r w:rsidRPr="002573CF">
        <w:rPr>
          <w:rFonts w:ascii="Times New Roman" w:eastAsia="Times New Roman" w:hAnsi="Times New Roman" w:cs="Times New Roman"/>
          <w:i/>
          <w:color w:val="000000" w:themeColor="text1"/>
          <w:sz w:val="24"/>
          <w:szCs w:val="24"/>
          <w:highlight w:val="white"/>
          <w:lang w:val="en-GB"/>
        </w:rPr>
        <w:t>International Journal of Human Resource Management and Research</w:t>
      </w:r>
      <w:r w:rsidRPr="002573CF">
        <w:rPr>
          <w:rFonts w:ascii="Times New Roman" w:eastAsia="Times New Roman" w:hAnsi="Times New Roman" w:cs="Times New Roman"/>
          <w:color w:val="000000" w:themeColor="text1"/>
          <w:sz w:val="24"/>
          <w:szCs w:val="24"/>
          <w:highlight w:val="white"/>
          <w:lang w:val="en-GB"/>
        </w:rPr>
        <w:t xml:space="preserve">, </w:t>
      </w:r>
      <w:r w:rsidRPr="002573CF">
        <w:rPr>
          <w:rFonts w:ascii="Times New Roman" w:eastAsia="Times New Roman" w:hAnsi="Times New Roman" w:cs="Times New Roman"/>
          <w:i/>
          <w:color w:val="000000" w:themeColor="text1"/>
          <w:sz w:val="24"/>
          <w:szCs w:val="24"/>
          <w:highlight w:val="white"/>
          <w:lang w:val="en-GB"/>
        </w:rPr>
        <w:t>9</w:t>
      </w:r>
      <w:r w:rsidRPr="002573CF">
        <w:rPr>
          <w:rFonts w:ascii="Times New Roman" w:eastAsia="Times New Roman" w:hAnsi="Times New Roman" w:cs="Times New Roman"/>
          <w:color w:val="000000" w:themeColor="text1"/>
          <w:sz w:val="24"/>
          <w:szCs w:val="24"/>
          <w:highlight w:val="white"/>
          <w:lang w:val="en-GB"/>
        </w:rPr>
        <w:t>(1), pp.1-10.</w:t>
      </w:r>
    </w:p>
    <w:p w14:paraId="3DD2656E" w14:textId="77777777" w:rsidR="00091FA8" w:rsidRPr="002573CF" w:rsidRDefault="00091FA8" w:rsidP="00091FA8">
      <w:pPr>
        <w:spacing w:after="240"/>
        <w:rPr>
          <w:rFonts w:eastAsia="Times New Roman" w:cs="Times New Roman"/>
          <w:szCs w:val="24"/>
          <w:lang w:val="en-GB"/>
        </w:rPr>
      </w:pPr>
      <w:r w:rsidRPr="002573CF">
        <w:rPr>
          <w:rFonts w:eastAsia="Times New Roman" w:cs="Times New Roman"/>
          <w:szCs w:val="24"/>
          <w:shd w:val="clear" w:color="auto" w:fill="FFFFFF"/>
          <w:lang w:val="en-GB"/>
        </w:rPr>
        <w:t xml:space="preserve">Kellard, N.M., Kontonikas, A., Lamla, M. and Maiani, S., (2022). Deal or no deal? Modelling the impact of </w:t>
      </w:r>
      <w:r>
        <w:rPr>
          <w:rFonts w:eastAsia="Times New Roman" w:cs="Times New Roman"/>
          <w:szCs w:val="24"/>
          <w:shd w:val="clear" w:color="auto" w:fill="FFFFFF"/>
          <w:lang w:val="en-GB"/>
        </w:rPr>
        <w:t>BREXIT</w:t>
      </w:r>
      <w:r w:rsidRPr="002573CF">
        <w:rPr>
          <w:rFonts w:eastAsia="Times New Roman" w:cs="Times New Roman"/>
          <w:szCs w:val="24"/>
          <w:shd w:val="clear" w:color="auto" w:fill="FFFFFF"/>
          <w:lang w:val="en-GB"/>
        </w:rPr>
        <w:t xml:space="preserve"> uncertainty on UK private equity activity. </w:t>
      </w:r>
      <w:r w:rsidRPr="002573CF">
        <w:rPr>
          <w:rFonts w:eastAsia="Times New Roman" w:cs="Times New Roman"/>
          <w:i/>
          <w:iCs/>
          <w:szCs w:val="24"/>
          <w:shd w:val="clear" w:color="auto" w:fill="FFFFFF"/>
          <w:lang w:val="en-GB"/>
        </w:rPr>
        <w:t>British Journal of Management</w:t>
      </w:r>
      <w:r w:rsidRPr="002573CF">
        <w:rPr>
          <w:rFonts w:eastAsia="Times New Roman" w:cs="Times New Roman"/>
          <w:szCs w:val="24"/>
          <w:shd w:val="clear" w:color="auto" w:fill="FFFFFF"/>
          <w:lang w:val="en-GB"/>
        </w:rPr>
        <w:t xml:space="preserve">, </w:t>
      </w:r>
      <w:r w:rsidRPr="002573CF">
        <w:rPr>
          <w:rFonts w:eastAsia="Times New Roman" w:cs="Times New Roman"/>
          <w:i/>
          <w:iCs/>
          <w:szCs w:val="24"/>
          <w:shd w:val="clear" w:color="auto" w:fill="FFFFFF"/>
          <w:lang w:val="en-GB"/>
        </w:rPr>
        <w:t>33</w:t>
      </w:r>
      <w:r w:rsidRPr="002573CF">
        <w:rPr>
          <w:rFonts w:eastAsia="Times New Roman" w:cs="Times New Roman"/>
          <w:szCs w:val="24"/>
          <w:shd w:val="clear" w:color="auto" w:fill="FFFFFF"/>
          <w:lang w:val="en-GB"/>
        </w:rPr>
        <w:t>(1), pp.46-68.</w:t>
      </w:r>
    </w:p>
    <w:p w14:paraId="4B89FABC" w14:textId="77777777" w:rsidR="00091FA8" w:rsidRPr="002573CF" w:rsidRDefault="00091FA8" w:rsidP="00091FA8">
      <w:pPr>
        <w:shd w:val="clear" w:color="auto" w:fill="FFFFFF"/>
        <w:spacing w:after="240"/>
        <w:rPr>
          <w:rFonts w:eastAsia="Times New Roman" w:cs="Times New Roman"/>
          <w:spacing w:val="3"/>
          <w:szCs w:val="24"/>
          <w:lang w:val="en-GB"/>
        </w:rPr>
      </w:pPr>
      <w:r w:rsidRPr="002573CF">
        <w:rPr>
          <w:rFonts w:eastAsia="Times New Roman" w:cs="Times New Roman"/>
          <w:spacing w:val="3"/>
          <w:szCs w:val="24"/>
          <w:lang w:val="en-GB"/>
        </w:rPr>
        <w:t>Lake, D.A., Martin, L.L. and Risse, T., (2021). Challenges to the liberal order: Reflections on international organization. International Organization, 75(2), pp.225-257.</w:t>
      </w:r>
    </w:p>
    <w:p w14:paraId="0764ECF8" w14:textId="77777777" w:rsidR="00091FA8" w:rsidRPr="002573CF" w:rsidRDefault="00091FA8" w:rsidP="00091FA8">
      <w:pPr>
        <w:spacing w:after="240"/>
        <w:rPr>
          <w:rFonts w:eastAsia="Times New Roman" w:cs="Times New Roman"/>
          <w:color w:val="auto"/>
          <w:szCs w:val="24"/>
        </w:rPr>
      </w:pPr>
      <w:r w:rsidRPr="002573CF">
        <w:rPr>
          <w:rFonts w:eastAsia="Times New Roman" w:cs="Times New Roman"/>
          <w:color w:val="000000"/>
          <w:szCs w:val="24"/>
          <w:shd w:val="clear" w:color="auto" w:fill="FFFFFF"/>
        </w:rPr>
        <w:t xml:space="preserve">Langan, M., (2020). A New Scramble for EurAfrica? Challenges for European Development Finance and Trade Policy in the Event of </w:t>
      </w:r>
      <w:r>
        <w:rPr>
          <w:rFonts w:eastAsia="Times New Roman" w:cs="Times New Roman"/>
          <w:color w:val="000000"/>
          <w:szCs w:val="24"/>
          <w:shd w:val="clear" w:color="auto" w:fill="FFFFFF"/>
        </w:rPr>
        <w:t>BREXIT</w:t>
      </w:r>
      <w:r w:rsidRPr="002573CF">
        <w:rPr>
          <w:rFonts w:eastAsia="Times New Roman" w:cs="Times New Roman"/>
          <w:color w:val="000000"/>
          <w:szCs w:val="24"/>
          <w:shd w:val="clear" w:color="auto" w:fill="FFFFFF"/>
        </w:rPr>
        <w:t xml:space="preserve">. </w:t>
      </w:r>
      <w:r w:rsidRPr="002573CF">
        <w:rPr>
          <w:rFonts w:eastAsia="Times New Roman" w:cs="Times New Roman"/>
          <w:i/>
          <w:iCs/>
          <w:color w:val="000000"/>
          <w:szCs w:val="24"/>
          <w:shd w:val="clear" w:color="auto" w:fill="FFFFFF"/>
        </w:rPr>
        <w:t>Journal of Contemporary European Research</w:t>
      </w:r>
      <w:r w:rsidRPr="002573CF">
        <w:rPr>
          <w:rFonts w:eastAsia="Times New Roman" w:cs="Times New Roman"/>
          <w:color w:val="000000"/>
          <w:szCs w:val="24"/>
          <w:shd w:val="clear" w:color="auto" w:fill="FFFFFF"/>
        </w:rPr>
        <w:t xml:space="preserve">, </w:t>
      </w:r>
      <w:r w:rsidRPr="002573CF">
        <w:rPr>
          <w:rFonts w:eastAsia="Times New Roman" w:cs="Times New Roman"/>
          <w:i/>
          <w:iCs/>
          <w:color w:val="000000"/>
          <w:szCs w:val="24"/>
          <w:shd w:val="clear" w:color="auto" w:fill="FFFFFF"/>
        </w:rPr>
        <w:t>16</w:t>
      </w:r>
      <w:r w:rsidRPr="002573CF">
        <w:rPr>
          <w:rFonts w:eastAsia="Times New Roman" w:cs="Times New Roman"/>
          <w:color w:val="000000"/>
          <w:szCs w:val="24"/>
          <w:shd w:val="clear" w:color="auto" w:fill="FFFFFF"/>
        </w:rPr>
        <w:t>(2).</w:t>
      </w:r>
    </w:p>
    <w:p w14:paraId="45E3A46F" w14:textId="77777777" w:rsidR="00091FA8" w:rsidRPr="002573CF" w:rsidRDefault="00091FA8" w:rsidP="00091FA8">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2573CF">
        <w:rPr>
          <w:rFonts w:ascii="Times New Roman" w:eastAsia="Times New Roman" w:hAnsi="Times New Roman" w:cs="Times New Roman"/>
          <w:color w:val="000000" w:themeColor="text1"/>
          <w:sz w:val="24"/>
          <w:szCs w:val="24"/>
          <w:highlight w:val="white"/>
          <w:lang w:val="en-GB"/>
        </w:rPr>
        <w:t xml:space="preserve">Lerner, J. and Nanda, R., (2020). Venture capital's role in financing innovation: What we know and how much we still need to learn. </w:t>
      </w:r>
      <w:r w:rsidRPr="002573CF">
        <w:rPr>
          <w:rFonts w:ascii="Times New Roman" w:eastAsia="Times New Roman" w:hAnsi="Times New Roman" w:cs="Times New Roman"/>
          <w:i/>
          <w:color w:val="000000" w:themeColor="text1"/>
          <w:sz w:val="24"/>
          <w:szCs w:val="24"/>
          <w:highlight w:val="white"/>
          <w:lang w:val="en-GB"/>
        </w:rPr>
        <w:t>Journal of Economic Perspectives</w:t>
      </w:r>
      <w:r w:rsidRPr="002573CF">
        <w:rPr>
          <w:rFonts w:ascii="Times New Roman" w:eastAsia="Times New Roman" w:hAnsi="Times New Roman" w:cs="Times New Roman"/>
          <w:color w:val="000000" w:themeColor="text1"/>
          <w:sz w:val="24"/>
          <w:szCs w:val="24"/>
          <w:highlight w:val="white"/>
          <w:lang w:val="en-GB"/>
        </w:rPr>
        <w:t xml:space="preserve">, </w:t>
      </w:r>
      <w:r w:rsidRPr="002573CF">
        <w:rPr>
          <w:rFonts w:ascii="Times New Roman" w:eastAsia="Times New Roman" w:hAnsi="Times New Roman" w:cs="Times New Roman"/>
          <w:i/>
          <w:color w:val="000000" w:themeColor="text1"/>
          <w:sz w:val="24"/>
          <w:szCs w:val="24"/>
          <w:highlight w:val="white"/>
          <w:lang w:val="en-GB"/>
        </w:rPr>
        <w:t>34</w:t>
      </w:r>
      <w:r w:rsidRPr="002573CF">
        <w:rPr>
          <w:rFonts w:ascii="Times New Roman" w:eastAsia="Times New Roman" w:hAnsi="Times New Roman" w:cs="Times New Roman"/>
          <w:color w:val="000000" w:themeColor="text1"/>
          <w:sz w:val="24"/>
          <w:szCs w:val="24"/>
          <w:highlight w:val="white"/>
          <w:lang w:val="en-GB"/>
        </w:rPr>
        <w:t>(3), pp.237-61.</w:t>
      </w:r>
    </w:p>
    <w:p w14:paraId="492814F5" w14:textId="77777777" w:rsidR="00091FA8" w:rsidRPr="002573CF" w:rsidRDefault="00091FA8" w:rsidP="00091FA8">
      <w:pPr>
        <w:shd w:val="clear" w:color="auto" w:fill="FFFFFF"/>
        <w:spacing w:after="240"/>
        <w:rPr>
          <w:rFonts w:eastAsia="Times New Roman" w:cs="Times New Roman"/>
          <w:spacing w:val="3"/>
          <w:szCs w:val="24"/>
          <w:lang w:val="en-GB"/>
        </w:rPr>
      </w:pPr>
      <w:r w:rsidRPr="002573CF">
        <w:rPr>
          <w:rFonts w:eastAsia="Times New Roman" w:cs="Times New Roman"/>
          <w:spacing w:val="3"/>
          <w:szCs w:val="24"/>
          <w:lang w:val="en-GB"/>
        </w:rPr>
        <w:t>Lloyd, C. and Payne, J., (2019). Rethinking country effects: Robotics, AI and work futures in Norway and the UK. New Technology, Work and Employment, 34(3), pp.208-225.</w:t>
      </w:r>
    </w:p>
    <w:p w14:paraId="21B8E4A8" w14:textId="77777777" w:rsidR="00091FA8" w:rsidRPr="002573CF" w:rsidRDefault="00091FA8" w:rsidP="00091FA8">
      <w:pPr>
        <w:spacing w:after="240"/>
        <w:rPr>
          <w:rFonts w:eastAsia="Times New Roman" w:cs="Times New Roman"/>
          <w:szCs w:val="24"/>
          <w:lang w:val="en-GB"/>
        </w:rPr>
      </w:pPr>
      <w:r w:rsidRPr="002573CF">
        <w:rPr>
          <w:rFonts w:eastAsia="Times New Roman" w:cs="Times New Roman"/>
          <w:szCs w:val="24"/>
          <w:shd w:val="clear" w:color="auto" w:fill="FFFFFF"/>
          <w:lang w:val="en-GB"/>
        </w:rPr>
        <w:t xml:space="preserve">Lotfi, M., Yousefi, A. and Jafari, S., (2018). The effect of emerging green market on green entrepreneurship and sustainable development in knowledge-based companies. </w:t>
      </w:r>
      <w:r w:rsidRPr="002573CF">
        <w:rPr>
          <w:rFonts w:eastAsia="Times New Roman" w:cs="Times New Roman"/>
          <w:i/>
          <w:iCs/>
          <w:szCs w:val="24"/>
          <w:shd w:val="clear" w:color="auto" w:fill="FFFFFF"/>
          <w:lang w:val="en-GB"/>
        </w:rPr>
        <w:t>Sustainability</w:t>
      </w:r>
      <w:r w:rsidRPr="002573CF">
        <w:rPr>
          <w:rFonts w:eastAsia="Times New Roman" w:cs="Times New Roman"/>
          <w:szCs w:val="24"/>
          <w:shd w:val="clear" w:color="auto" w:fill="FFFFFF"/>
          <w:lang w:val="en-GB"/>
        </w:rPr>
        <w:t xml:space="preserve">, </w:t>
      </w:r>
      <w:r w:rsidRPr="002573CF">
        <w:rPr>
          <w:rFonts w:eastAsia="Times New Roman" w:cs="Times New Roman"/>
          <w:i/>
          <w:iCs/>
          <w:szCs w:val="24"/>
          <w:shd w:val="clear" w:color="auto" w:fill="FFFFFF"/>
          <w:lang w:val="en-GB"/>
        </w:rPr>
        <w:t>10</w:t>
      </w:r>
      <w:r w:rsidRPr="002573CF">
        <w:rPr>
          <w:rFonts w:eastAsia="Times New Roman" w:cs="Times New Roman"/>
          <w:szCs w:val="24"/>
          <w:shd w:val="clear" w:color="auto" w:fill="FFFFFF"/>
          <w:lang w:val="en-GB"/>
        </w:rPr>
        <w:t>(7), p.2308.</w:t>
      </w:r>
    </w:p>
    <w:p w14:paraId="4D28B8DA" w14:textId="77777777" w:rsidR="00091FA8" w:rsidRPr="002573CF" w:rsidRDefault="00091FA8" w:rsidP="00091FA8">
      <w:pPr>
        <w:pStyle w:val="NormalWeb"/>
        <w:spacing w:before="0" w:beforeAutospacing="0" w:after="240" w:afterAutospacing="0" w:line="360" w:lineRule="auto"/>
        <w:rPr>
          <w:lang w:val="en-GB"/>
        </w:rPr>
      </w:pPr>
      <w:r w:rsidRPr="002573CF">
        <w:rPr>
          <w:shd w:val="clear" w:color="auto" w:fill="FFFFFF"/>
          <w:lang w:val="en-GB"/>
        </w:rPr>
        <w:t xml:space="preserve">Martins, F.S., da Cunha, J.A.C. and Serra, F.A.R., (2018). Secondary data in research–uses and opportunities. </w:t>
      </w:r>
      <w:r w:rsidRPr="002573CF">
        <w:rPr>
          <w:i/>
          <w:iCs/>
          <w:shd w:val="clear" w:color="auto" w:fill="FFFFFF"/>
          <w:lang w:val="en-GB"/>
        </w:rPr>
        <w:t>PODIUM sport, leisure and tourism review</w:t>
      </w:r>
      <w:r w:rsidRPr="002573CF">
        <w:rPr>
          <w:shd w:val="clear" w:color="auto" w:fill="FFFFFF"/>
          <w:lang w:val="en-GB"/>
        </w:rPr>
        <w:t xml:space="preserve">, </w:t>
      </w:r>
      <w:r w:rsidRPr="002573CF">
        <w:rPr>
          <w:i/>
          <w:iCs/>
          <w:shd w:val="clear" w:color="auto" w:fill="FFFFFF"/>
          <w:lang w:val="en-GB"/>
        </w:rPr>
        <w:t>7</w:t>
      </w:r>
      <w:r w:rsidRPr="002573CF">
        <w:rPr>
          <w:shd w:val="clear" w:color="auto" w:fill="FFFFFF"/>
          <w:lang w:val="en-GB"/>
        </w:rPr>
        <w:t>(3).</w:t>
      </w:r>
    </w:p>
    <w:p w14:paraId="2E486966" w14:textId="77777777" w:rsidR="00091FA8" w:rsidRPr="002573CF" w:rsidRDefault="00091FA8" w:rsidP="00091FA8">
      <w:pPr>
        <w:spacing w:after="240"/>
        <w:rPr>
          <w:rFonts w:eastAsia="Times New Roman" w:cs="Times New Roman"/>
          <w:color w:val="auto"/>
          <w:szCs w:val="24"/>
        </w:rPr>
      </w:pPr>
      <w:r w:rsidRPr="002573CF">
        <w:rPr>
          <w:rFonts w:eastAsia="Times New Roman" w:cs="Times New Roman"/>
          <w:color w:val="000000"/>
          <w:szCs w:val="24"/>
          <w:shd w:val="clear" w:color="auto" w:fill="FFFFFF"/>
        </w:rPr>
        <w:t xml:space="preserve">Martin‐Willett, R., Helmuth, T., Abraha, M., Bryan, A.D., Hitchcock, L., Lee, K. and Bidwell, L.C., (2020). Validation of a multisubstance online Timeline Followback assessment. </w:t>
      </w:r>
      <w:r w:rsidRPr="002573CF">
        <w:rPr>
          <w:rFonts w:eastAsia="Times New Roman" w:cs="Times New Roman"/>
          <w:i/>
          <w:iCs/>
          <w:color w:val="000000"/>
          <w:szCs w:val="24"/>
          <w:shd w:val="clear" w:color="auto" w:fill="FFFFFF"/>
        </w:rPr>
        <w:t>Brain and behavior</w:t>
      </w:r>
      <w:r w:rsidRPr="002573CF">
        <w:rPr>
          <w:rFonts w:eastAsia="Times New Roman" w:cs="Times New Roman"/>
          <w:color w:val="000000"/>
          <w:szCs w:val="24"/>
          <w:shd w:val="clear" w:color="auto" w:fill="FFFFFF"/>
        </w:rPr>
        <w:t xml:space="preserve">, </w:t>
      </w:r>
      <w:r w:rsidRPr="002573CF">
        <w:rPr>
          <w:rFonts w:eastAsia="Times New Roman" w:cs="Times New Roman"/>
          <w:i/>
          <w:iCs/>
          <w:color w:val="000000"/>
          <w:szCs w:val="24"/>
          <w:shd w:val="clear" w:color="auto" w:fill="FFFFFF"/>
        </w:rPr>
        <w:t>10</w:t>
      </w:r>
      <w:r w:rsidRPr="002573CF">
        <w:rPr>
          <w:rFonts w:eastAsia="Times New Roman" w:cs="Times New Roman"/>
          <w:color w:val="000000"/>
          <w:szCs w:val="24"/>
          <w:shd w:val="clear" w:color="auto" w:fill="FFFFFF"/>
        </w:rPr>
        <w:t>(1), p.e01486.</w:t>
      </w:r>
    </w:p>
    <w:p w14:paraId="2B003E9B" w14:textId="77777777" w:rsidR="00091FA8" w:rsidRPr="002573CF" w:rsidRDefault="00091FA8" w:rsidP="00091FA8">
      <w:pPr>
        <w:spacing w:after="240"/>
        <w:rPr>
          <w:rFonts w:eastAsia="Times New Roman" w:cs="Times New Roman"/>
          <w:color w:val="auto"/>
          <w:szCs w:val="24"/>
        </w:rPr>
      </w:pPr>
      <w:r w:rsidRPr="002573CF">
        <w:rPr>
          <w:rFonts w:eastAsia="Times New Roman" w:cs="Times New Roman"/>
          <w:bCs/>
          <w:color w:val="000000"/>
          <w:szCs w:val="24"/>
          <w:shd w:val="clear" w:color="auto" w:fill="FFFFFF"/>
        </w:rPr>
        <w:t>McCann, P., Ortega-Argilés, R., Sevinc, D. and Cepeda-Zorrilla, M., (2021). Rebalancing UK regional and industrial policy post-</w:t>
      </w:r>
      <w:r>
        <w:rPr>
          <w:rFonts w:eastAsia="Times New Roman" w:cs="Times New Roman"/>
          <w:bCs/>
          <w:color w:val="000000"/>
          <w:szCs w:val="24"/>
          <w:shd w:val="clear" w:color="auto" w:fill="FFFFFF"/>
        </w:rPr>
        <w:t>BREXIT</w:t>
      </w:r>
      <w:r w:rsidRPr="002573CF">
        <w:rPr>
          <w:rFonts w:eastAsia="Times New Roman" w:cs="Times New Roman"/>
          <w:bCs/>
          <w:color w:val="000000"/>
          <w:szCs w:val="24"/>
          <w:shd w:val="clear" w:color="auto" w:fill="FFFFFF"/>
        </w:rPr>
        <w:t xml:space="preserve"> and post-Covid-19: lessons learned and priorities for the future. </w:t>
      </w:r>
      <w:r w:rsidRPr="002573CF">
        <w:rPr>
          <w:rFonts w:eastAsia="Times New Roman" w:cs="Times New Roman"/>
          <w:bCs/>
          <w:i/>
          <w:iCs/>
          <w:color w:val="000000"/>
          <w:szCs w:val="24"/>
          <w:shd w:val="clear" w:color="auto" w:fill="FFFFFF"/>
        </w:rPr>
        <w:t>Regional Studies</w:t>
      </w:r>
      <w:r w:rsidRPr="002573CF">
        <w:rPr>
          <w:rFonts w:eastAsia="Times New Roman" w:cs="Times New Roman"/>
          <w:bCs/>
          <w:color w:val="000000"/>
          <w:szCs w:val="24"/>
          <w:shd w:val="clear" w:color="auto" w:fill="FFFFFF"/>
        </w:rPr>
        <w:t>, pp.1-13.</w:t>
      </w:r>
    </w:p>
    <w:p w14:paraId="436E7DE6" w14:textId="77777777" w:rsidR="00091FA8" w:rsidRPr="002573CF" w:rsidRDefault="00091FA8" w:rsidP="00091FA8">
      <w:pPr>
        <w:spacing w:after="240"/>
        <w:rPr>
          <w:rFonts w:eastAsia="Times New Roman" w:cs="Times New Roman"/>
          <w:szCs w:val="24"/>
          <w:lang w:val="en-GB"/>
        </w:rPr>
      </w:pPr>
      <w:r w:rsidRPr="002573CF">
        <w:rPr>
          <w:rFonts w:eastAsia="Times New Roman" w:cs="Times New Roman"/>
          <w:szCs w:val="24"/>
          <w:shd w:val="clear" w:color="auto" w:fill="FFFFFF"/>
          <w:lang w:val="en-GB"/>
        </w:rPr>
        <w:t xml:space="preserve">Miyamoto, H., Mejia, C. and Kajikawa, Y., (2022). A Study of Private Equity Rounds of Entrepreneurial Finance in EU: Are Buyout Funds Uninvited Guests for Startup Ecosystems?. </w:t>
      </w:r>
      <w:r w:rsidRPr="002573CF">
        <w:rPr>
          <w:rFonts w:eastAsia="Times New Roman" w:cs="Times New Roman"/>
          <w:i/>
          <w:iCs/>
          <w:szCs w:val="24"/>
          <w:shd w:val="clear" w:color="auto" w:fill="FFFFFF"/>
          <w:lang w:val="en-GB"/>
        </w:rPr>
        <w:t>Journal of Risk and Financial Management</w:t>
      </w:r>
      <w:r w:rsidRPr="002573CF">
        <w:rPr>
          <w:rFonts w:eastAsia="Times New Roman" w:cs="Times New Roman"/>
          <w:szCs w:val="24"/>
          <w:shd w:val="clear" w:color="auto" w:fill="FFFFFF"/>
          <w:lang w:val="en-GB"/>
        </w:rPr>
        <w:t xml:space="preserve">, </w:t>
      </w:r>
      <w:r w:rsidRPr="002573CF">
        <w:rPr>
          <w:rFonts w:eastAsia="Times New Roman" w:cs="Times New Roman"/>
          <w:i/>
          <w:iCs/>
          <w:szCs w:val="24"/>
          <w:shd w:val="clear" w:color="auto" w:fill="FFFFFF"/>
          <w:lang w:val="en-GB"/>
        </w:rPr>
        <w:t>15</w:t>
      </w:r>
      <w:r w:rsidRPr="002573CF">
        <w:rPr>
          <w:rFonts w:eastAsia="Times New Roman" w:cs="Times New Roman"/>
          <w:szCs w:val="24"/>
          <w:shd w:val="clear" w:color="auto" w:fill="FFFFFF"/>
          <w:lang w:val="en-GB"/>
        </w:rPr>
        <w:t>(6), p.236.</w:t>
      </w:r>
    </w:p>
    <w:p w14:paraId="00E0C63D" w14:textId="77777777" w:rsidR="00091FA8" w:rsidRPr="002573CF" w:rsidRDefault="00091FA8" w:rsidP="00091FA8">
      <w:pPr>
        <w:pStyle w:val="NormalWeb"/>
        <w:spacing w:before="0" w:beforeAutospacing="0" w:after="240" w:afterAutospacing="0" w:line="360" w:lineRule="auto"/>
        <w:rPr>
          <w:lang w:val="en-GB"/>
        </w:rPr>
      </w:pPr>
      <w:r w:rsidRPr="002573CF">
        <w:rPr>
          <w:shd w:val="clear" w:color="auto" w:fill="FFFFFF"/>
          <w:lang w:val="en-GB"/>
        </w:rPr>
        <w:t>Mohajan, H.K., (2018). Qualitative research methodology in social sciences and related subjects. Journal of Economic Development, Environment and People, 7(1), pp.23-48.</w:t>
      </w:r>
    </w:p>
    <w:p w14:paraId="4A21B1EE" w14:textId="77777777" w:rsidR="00091FA8" w:rsidRPr="002573CF" w:rsidRDefault="00091FA8" w:rsidP="00091FA8">
      <w:pPr>
        <w:shd w:val="clear" w:color="auto" w:fill="FFFFFF"/>
        <w:spacing w:after="240"/>
        <w:rPr>
          <w:rFonts w:eastAsia="Times New Roman" w:cs="Times New Roman"/>
          <w:spacing w:val="3"/>
          <w:szCs w:val="24"/>
          <w:lang w:val="en-GB"/>
        </w:rPr>
      </w:pPr>
      <w:r w:rsidRPr="002573CF">
        <w:rPr>
          <w:rFonts w:eastAsia="Times New Roman" w:cs="Times New Roman"/>
          <w:spacing w:val="3"/>
          <w:szCs w:val="24"/>
          <w:lang w:val="en-GB"/>
        </w:rPr>
        <w:t>Mohammed Badr, M.A. and Wadi, W.A., (2021). Standard analysis of factors affecting oil prices in the world market under the theory of rational expectations. International Journal of Nonlinear Analysis and Applications, 12(Special Issue), pp.1913-1935.</w:t>
      </w:r>
    </w:p>
    <w:p w14:paraId="09B3D1E7" w14:textId="77777777" w:rsidR="00091FA8" w:rsidRPr="002573CF" w:rsidRDefault="00091FA8" w:rsidP="00091FA8">
      <w:pPr>
        <w:shd w:val="clear" w:color="auto" w:fill="FFFFFF"/>
        <w:spacing w:after="240"/>
        <w:rPr>
          <w:rFonts w:eastAsia="Times New Roman" w:cs="Times New Roman"/>
          <w:spacing w:val="3"/>
          <w:szCs w:val="24"/>
          <w:lang w:val="en-GB"/>
        </w:rPr>
      </w:pPr>
      <w:r w:rsidRPr="002573CF">
        <w:rPr>
          <w:rFonts w:eastAsia="Times New Roman" w:cs="Times New Roman"/>
          <w:spacing w:val="3"/>
          <w:szCs w:val="24"/>
          <w:lang w:val="en-GB"/>
        </w:rPr>
        <w:t>Odhiambo, O.N. and Mokori, D., (2019). Financial Risks and Financial Performance of Commercial Banks in Kenya. International Journal of Scientific and Education Research, 3 (4), 1, 15.</w:t>
      </w:r>
    </w:p>
    <w:p w14:paraId="52885313" w14:textId="77777777" w:rsidR="00091FA8" w:rsidRPr="002573CF" w:rsidRDefault="00091FA8" w:rsidP="00091FA8">
      <w:pPr>
        <w:shd w:val="clear" w:color="auto" w:fill="FFFFFF"/>
        <w:spacing w:after="240"/>
        <w:rPr>
          <w:rFonts w:eastAsia="Times New Roman" w:cs="Times New Roman"/>
          <w:spacing w:val="3"/>
          <w:szCs w:val="24"/>
          <w:lang w:val="en-GB"/>
        </w:rPr>
      </w:pPr>
      <w:r w:rsidRPr="002573CF">
        <w:rPr>
          <w:rFonts w:eastAsia="Times New Roman" w:cs="Times New Roman"/>
          <w:spacing w:val="3"/>
          <w:szCs w:val="24"/>
          <w:lang w:val="en-GB"/>
        </w:rPr>
        <w:t>Oyewola, D.O., Ibrahim, A., Kwanamu, J.A. and Dada, E.G., (2021). A new auditory algorithm in stock market prediction on oil and gas sector in Nigerian stock exchange. Soft computing letters, 3, p.100013.</w:t>
      </w:r>
    </w:p>
    <w:p w14:paraId="52E7D6AB" w14:textId="77777777" w:rsidR="00091FA8" w:rsidRPr="002573CF" w:rsidRDefault="00091FA8" w:rsidP="00091FA8">
      <w:pPr>
        <w:spacing w:after="240"/>
        <w:rPr>
          <w:rFonts w:eastAsia="Times New Roman" w:cs="Times New Roman"/>
          <w:szCs w:val="24"/>
          <w:lang w:val="en-GB"/>
        </w:rPr>
      </w:pPr>
      <w:r w:rsidRPr="002573CF">
        <w:rPr>
          <w:rFonts w:eastAsia="Times New Roman" w:cs="Times New Roman"/>
          <w:szCs w:val="24"/>
          <w:shd w:val="clear" w:color="auto" w:fill="FFFFFF"/>
          <w:lang w:val="en-GB"/>
        </w:rPr>
        <w:t xml:space="preserve">Palmié, M., Wincent, J., Parida, V. and Caglar, U., (2020). The evolution of the financial technology ecosystem: An introduction and agenda for future research on disruptive innovations in ecosystems. </w:t>
      </w:r>
      <w:r w:rsidRPr="002573CF">
        <w:rPr>
          <w:rFonts w:eastAsia="Times New Roman" w:cs="Times New Roman"/>
          <w:i/>
          <w:iCs/>
          <w:szCs w:val="24"/>
          <w:shd w:val="clear" w:color="auto" w:fill="FFFFFF"/>
          <w:lang w:val="en-GB"/>
        </w:rPr>
        <w:t>Technological Forecasting and Social Change</w:t>
      </w:r>
      <w:r w:rsidRPr="002573CF">
        <w:rPr>
          <w:rFonts w:eastAsia="Times New Roman" w:cs="Times New Roman"/>
          <w:szCs w:val="24"/>
          <w:shd w:val="clear" w:color="auto" w:fill="FFFFFF"/>
          <w:lang w:val="en-GB"/>
        </w:rPr>
        <w:t xml:space="preserve">, </w:t>
      </w:r>
      <w:r w:rsidRPr="002573CF">
        <w:rPr>
          <w:rFonts w:eastAsia="Times New Roman" w:cs="Times New Roman"/>
          <w:i/>
          <w:iCs/>
          <w:szCs w:val="24"/>
          <w:shd w:val="clear" w:color="auto" w:fill="FFFFFF"/>
          <w:lang w:val="en-GB"/>
        </w:rPr>
        <w:t>151</w:t>
      </w:r>
      <w:r w:rsidRPr="002573CF">
        <w:rPr>
          <w:rFonts w:eastAsia="Times New Roman" w:cs="Times New Roman"/>
          <w:szCs w:val="24"/>
          <w:shd w:val="clear" w:color="auto" w:fill="FFFFFF"/>
          <w:lang w:val="en-GB"/>
        </w:rPr>
        <w:t>, p.119779.</w:t>
      </w:r>
    </w:p>
    <w:p w14:paraId="23234500" w14:textId="77777777" w:rsidR="00091FA8" w:rsidRPr="00755B97" w:rsidRDefault="00091FA8" w:rsidP="00091FA8">
      <w:pPr>
        <w:spacing w:before="200" w:after="240"/>
        <w:rPr>
          <w:rFonts w:eastAsia="Times New Roman" w:cs="Times New Roman"/>
          <w:color w:val="auto"/>
          <w:szCs w:val="24"/>
        </w:rPr>
      </w:pPr>
      <w:r w:rsidRPr="00755B97">
        <w:rPr>
          <w:rFonts w:eastAsia="Times New Roman" w:cs="Times New Roman"/>
          <w:color w:val="000000"/>
          <w:szCs w:val="24"/>
        </w:rPr>
        <w:t>Panitz, R. and Glückler, J., (2022). Relocation Decisions in Uncertain Times: Brexit and Financial Services. Economic Geography, 98(2), pp.119-144.</w:t>
      </w:r>
    </w:p>
    <w:p w14:paraId="1B1AD38A" w14:textId="77777777" w:rsidR="00091FA8" w:rsidRPr="002573CF" w:rsidRDefault="00091FA8" w:rsidP="00091FA8">
      <w:pPr>
        <w:spacing w:after="240"/>
        <w:rPr>
          <w:rFonts w:eastAsia="Times New Roman" w:cs="Times New Roman"/>
          <w:szCs w:val="24"/>
          <w:lang w:val="en-GB"/>
        </w:rPr>
      </w:pPr>
      <w:r w:rsidRPr="002573CF">
        <w:rPr>
          <w:rFonts w:eastAsia="Times New Roman" w:cs="Times New Roman"/>
          <w:szCs w:val="24"/>
          <w:shd w:val="clear" w:color="auto" w:fill="FFFFFF"/>
          <w:lang w:val="en-GB"/>
        </w:rPr>
        <w:t xml:space="preserve">Phalippou, L., (2020). An inconvenient fact: Private equity returns and the billionaire factory. </w:t>
      </w:r>
      <w:r w:rsidRPr="002573CF">
        <w:rPr>
          <w:rFonts w:eastAsia="Times New Roman" w:cs="Times New Roman"/>
          <w:i/>
          <w:iCs/>
          <w:szCs w:val="24"/>
          <w:shd w:val="clear" w:color="auto" w:fill="FFFFFF"/>
          <w:lang w:val="en-GB"/>
        </w:rPr>
        <w:t>The Journal of Investing</w:t>
      </w:r>
      <w:r w:rsidRPr="002573CF">
        <w:rPr>
          <w:rFonts w:eastAsia="Times New Roman" w:cs="Times New Roman"/>
          <w:szCs w:val="24"/>
          <w:shd w:val="clear" w:color="auto" w:fill="FFFFFF"/>
          <w:lang w:val="en-GB"/>
        </w:rPr>
        <w:t xml:space="preserve">, </w:t>
      </w:r>
      <w:r w:rsidRPr="002573CF">
        <w:rPr>
          <w:rFonts w:eastAsia="Times New Roman" w:cs="Times New Roman"/>
          <w:i/>
          <w:iCs/>
          <w:szCs w:val="24"/>
          <w:shd w:val="clear" w:color="auto" w:fill="FFFFFF"/>
          <w:lang w:val="en-GB"/>
        </w:rPr>
        <w:t>30</w:t>
      </w:r>
      <w:r w:rsidRPr="002573CF">
        <w:rPr>
          <w:rFonts w:eastAsia="Times New Roman" w:cs="Times New Roman"/>
          <w:szCs w:val="24"/>
          <w:shd w:val="clear" w:color="auto" w:fill="FFFFFF"/>
          <w:lang w:val="en-GB"/>
        </w:rPr>
        <w:t>(1), pp.11-39.</w:t>
      </w:r>
    </w:p>
    <w:p w14:paraId="6F3213FF" w14:textId="77777777" w:rsidR="00091FA8" w:rsidRPr="002573CF" w:rsidRDefault="00091FA8" w:rsidP="00091FA8">
      <w:pPr>
        <w:spacing w:after="240"/>
        <w:rPr>
          <w:rFonts w:eastAsia="Times New Roman" w:cs="Times New Roman"/>
          <w:szCs w:val="24"/>
          <w:lang w:val="en-GB"/>
        </w:rPr>
      </w:pPr>
      <w:r w:rsidRPr="002573CF">
        <w:rPr>
          <w:rFonts w:eastAsia="Times New Roman" w:cs="Times New Roman"/>
          <w:szCs w:val="24"/>
          <w:shd w:val="clear" w:color="auto" w:fill="FFFFFF"/>
          <w:lang w:val="en-GB"/>
        </w:rPr>
        <w:t xml:space="preserve">Popp, J., Olah, J., Machova, V. and Jachowicz, A., (2018). Private equity market of the Visegrad group. </w:t>
      </w:r>
      <w:r w:rsidRPr="002573CF">
        <w:rPr>
          <w:rFonts w:eastAsia="Times New Roman" w:cs="Times New Roman"/>
          <w:i/>
          <w:iCs/>
          <w:szCs w:val="24"/>
          <w:shd w:val="clear" w:color="auto" w:fill="FFFFFF"/>
          <w:lang w:val="en-GB"/>
        </w:rPr>
        <w:t>Ekonomicko-manazerske spektrum</w:t>
      </w:r>
      <w:r w:rsidRPr="002573CF">
        <w:rPr>
          <w:rFonts w:eastAsia="Times New Roman" w:cs="Times New Roman"/>
          <w:szCs w:val="24"/>
          <w:shd w:val="clear" w:color="auto" w:fill="FFFFFF"/>
          <w:lang w:val="en-GB"/>
        </w:rPr>
        <w:t xml:space="preserve">, </w:t>
      </w:r>
      <w:r w:rsidRPr="002573CF">
        <w:rPr>
          <w:rFonts w:eastAsia="Times New Roman" w:cs="Times New Roman"/>
          <w:i/>
          <w:iCs/>
          <w:szCs w:val="24"/>
          <w:shd w:val="clear" w:color="auto" w:fill="FFFFFF"/>
          <w:lang w:val="en-GB"/>
        </w:rPr>
        <w:t>12</w:t>
      </w:r>
      <w:r w:rsidRPr="002573CF">
        <w:rPr>
          <w:rFonts w:eastAsia="Times New Roman" w:cs="Times New Roman"/>
          <w:szCs w:val="24"/>
          <w:shd w:val="clear" w:color="auto" w:fill="FFFFFF"/>
          <w:lang w:val="en-GB"/>
        </w:rPr>
        <w:t>(1), pp.1-15.</w:t>
      </w:r>
    </w:p>
    <w:p w14:paraId="6F3606AF" w14:textId="77777777" w:rsidR="00091FA8" w:rsidRPr="002573CF" w:rsidRDefault="00091FA8" w:rsidP="00091FA8">
      <w:pPr>
        <w:pStyle w:val="NormalWeb"/>
        <w:spacing w:before="0" w:beforeAutospacing="0" w:after="240" w:afterAutospacing="0" w:line="360" w:lineRule="auto"/>
        <w:rPr>
          <w:lang w:val="en-GB"/>
        </w:rPr>
      </w:pPr>
      <w:r w:rsidRPr="002573CF">
        <w:rPr>
          <w:shd w:val="clear" w:color="auto" w:fill="FFFFFF"/>
          <w:lang w:val="en-GB"/>
        </w:rPr>
        <w:t xml:space="preserve">Purcell, C., Maxwell, K., Bloomer, F., Rowlands, S. and Hoggart, L., (2020). Toward normalising abortion: findings from a qualitative secondary analysis study. </w:t>
      </w:r>
      <w:r w:rsidRPr="002573CF">
        <w:rPr>
          <w:i/>
          <w:iCs/>
          <w:shd w:val="clear" w:color="auto" w:fill="FFFFFF"/>
          <w:lang w:val="en-GB"/>
        </w:rPr>
        <w:t>Culture, health &amp; sexuality</w:t>
      </w:r>
      <w:r w:rsidRPr="002573CF">
        <w:rPr>
          <w:shd w:val="clear" w:color="auto" w:fill="FFFFFF"/>
          <w:lang w:val="en-GB"/>
        </w:rPr>
        <w:t xml:space="preserve">, </w:t>
      </w:r>
      <w:r w:rsidRPr="002573CF">
        <w:rPr>
          <w:i/>
          <w:iCs/>
          <w:shd w:val="clear" w:color="auto" w:fill="FFFFFF"/>
          <w:lang w:val="en-GB"/>
        </w:rPr>
        <w:t>22</w:t>
      </w:r>
      <w:r w:rsidRPr="002573CF">
        <w:rPr>
          <w:shd w:val="clear" w:color="auto" w:fill="FFFFFF"/>
          <w:lang w:val="en-GB"/>
        </w:rPr>
        <w:t>(12), pp.1349-1364.</w:t>
      </w:r>
    </w:p>
    <w:p w14:paraId="06AB5AE5" w14:textId="77777777" w:rsidR="00091FA8" w:rsidRPr="00755B97" w:rsidRDefault="00091FA8" w:rsidP="00091FA8">
      <w:pPr>
        <w:spacing w:before="200" w:after="240"/>
        <w:rPr>
          <w:rFonts w:eastAsia="Times New Roman" w:cs="Times New Roman"/>
          <w:color w:val="auto"/>
          <w:szCs w:val="24"/>
        </w:rPr>
      </w:pPr>
      <w:r w:rsidRPr="00755B97">
        <w:rPr>
          <w:rFonts w:eastAsia="Times New Roman" w:cs="Times New Roman"/>
          <w:color w:val="000000"/>
          <w:szCs w:val="24"/>
        </w:rPr>
        <w:t>Repiquet, M.D., (2018). Regulatory competition in European partnership law: A case of alternative investment funds. Amsterdam LF, 10, p.4.</w:t>
      </w:r>
    </w:p>
    <w:p w14:paraId="76CAA548" w14:textId="77777777" w:rsidR="00091FA8" w:rsidRPr="002573CF" w:rsidRDefault="00091FA8" w:rsidP="00091FA8">
      <w:pPr>
        <w:spacing w:after="240"/>
        <w:rPr>
          <w:rFonts w:eastAsia="Times New Roman" w:cs="Times New Roman"/>
          <w:szCs w:val="24"/>
          <w:lang w:val="en-GB"/>
        </w:rPr>
      </w:pPr>
      <w:r w:rsidRPr="002573CF">
        <w:rPr>
          <w:rFonts w:eastAsia="Times New Roman" w:cs="Times New Roman"/>
          <w:szCs w:val="24"/>
          <w:shd w:val="clear" w:color="auto" w:fill="FFFFFF"/>
          <w:lang w:val="en-GB"/>
        </w:rPr>
        <w:t xml:space="preserve">Rounaghi, M.M., Jarrar, H. and Dana, L.P., (2021). Implementation of strategic cost management in manufacturing companies: overcoming costs stickiness and increasing corporate sustainability. </w:t>
      </w:r>
      <w:r w:rsidRPr="002573CF">
        <w:rPr>
          <w:rFonts w:eastAsia="Times New Roman" w:cs="Times New Roman"/>
          <w:i/>
          <w:iCs/>
          <w:szCs w:val="24"/>
          <w:shd w:val="clear" w:color="auto" w:fill="FFFFFF"/>
          <w:lang w:val="en-GB"/>
        </w:rPr>
        <w:t>Future Business Journal</w:t>
      </w:r>
      <w:r w:rsidRPr="002573CF">
        <w:rPr>
          <w:rFonts w:eastAsia="Times New Roman" w:cs="Times New Roman"/>
          <w:szCs w:val="24"/>
          <w:shd w:val="clear" w:color="auto" w:fill="FFFFFF"/>
          <w:lang w:val="en-GB"/>
        </w:rPr>
        <w:t xml:space="preserve">, </w:t>
      </w:r>
      <w:r w:rsidRPr="002573CF">
        <w:rPr>
          <w:rFonts w:eastAsia="Times New Roman" w:cs="Times New Roman"/>
          <w:i/>
          <w:iCs/>
          <w:szCs w:val="24"/>
          <w:shd w:val="clear" w:color="auto" w:fill="FFFFFF"/>
          <w:lang w:val="en-GB"/>
        </w:rPr>
        <w:t>7</w:t>
      </w:r>
      <w:r w:rsidRPr="002573CF">
        <w:rPr>
          <w:rFonts w:eastAsia="Times New Roman" w:cs="Times New Roman"/>
          <w:szCs w:val="24"/>
          <w:shd w:val="clear" w:color="auto" w:fill="FFFFFF"/>
          <w:lang w:val="en-GB"/>
        </w:rPr>
        <w:t>(1), pp.1-8.</w:t>
      </w:r>
    </w:p>
    <w:p w14:paraId="5733ADCC" w14:textId="77777777" w:rsidR="00091FA8" w:rsidRPr="002573CF" w:rsidRDefault="00091FA8" w:rsidP="00091FA8">
      <w:pPr>
        <w:shd w:val="clear" w:color="auto" w:fill="FFFFFF"/>
        <w:spacing w:after="240"/>
        <w:rPr>
          <w:rFonts w:eastAsia="Times New Roman" w:cs="Times New Roman"/>
          <w:spacing w:val="3"/>
          <w:szCs w:val="24"/>
          <w:lang w:val="en-GB"/>
        </w:rPr>
      </w:pPr>
      <w:r w:rsidRPr="002573CF">
        <w:rPr>
          <w:rFonts w:eastAsia="Times New Roman" w:cs="Times New Roman"/>
          <w:spacing w:val="3"/>
          <w:szCs w:val="24"/>
          <w:lang w:val="en-GB"/>
        </w:rPr>
        <w:t>Ruggeri, K., Alí, S., Berge, M.L., Bertoldo, G., Bjørndal, L.D., Cortijos-Bernabeu, A., Davison, C., Demić, E., Esteban-Serna, C., Friedemann, M. and Gibson, S.P., (2020). Replicating patterns of prospect theory for decision under risk. Nature human behaviour, 4(6), pp.622-633.</w:t>
      </w:r>
    </w:p>
    <w:p w14:paraId="749F41A6" w14:textId="77777777" w:rsidR="00091FA8" w:rsidRPr="002573CF" w:rsidRDefault="00091FA8" w:rsidP="00091FA8">
      <w:pPr>
        <w:pStyle w:val="NormalWeb"/>
        <w:spacing w:before="0" w:beforeAutospacing="0" w:after="240" w:afterAutospacing="0" w:line="360" w:lineRule="auto"/>
        <w:rPr>
          <w:lang w:val="en-GB"/>
        </w:rPr>
      </w:pPr>
      <w:r w:rsidRPr="002573CF">
        <w:rPr>
          <w:shd w:val="clear" w:color="auto" w:fill="FFFFFF"/>
          <w:lang w:val="en-GB"/>
        </w:rPr>
        <w:t xml:space="preserve">Ruggiano, N. and Perry, T.E., (2019). Conducting secondary analysis of qualitative data: Should we, can we, and how?. </w:t>
      </w:r>
      <w:r w:rsidRPr="002573CF">
        <w:rPr>
          <w:i/>
          <w:iCs/>
          <w:shd w:val="clear" w:color="auto" w:fill="FFFFFF"/>
          <w:lang w:val="en-GB"/>
        </w:rPr>
        <w:t>Qualitative Social Work</w:t>
      </w:r>
      <w:r w:rsidRPr="002573CF">
        <w:rPr>
          <w:shd w:val="clear" w:color="auto" w:fill="FFFFFF"/>
          <w:lang w:val="en-GB"/>
        </w:rPr>
        <w:t xml:space="preserve">, </w:t>
      </w:r>
      <w:r w:rsidRPr="002573CF">
        <w:rPr>
          <w:i/>
          <w:iCs/>
          <w:shd w:val="clear" w:color="auto" w:fill="FFFFFF"/>
          <w:lang w:val="en-GB"/>
        </w:rPr>
        <w:t>18</w:t>
      </w:r>
      <w:r w:rsidRPr="002573CF">
        <w:rPr>
          <w:shd w:val="clear" w:color="auto" w:fill="FFFFFF"/>
          <w:lang w:val="en-GB"/>
        </w:rPr>
        <w:t>(1), pp.81-97.</w:t>
      </w:r>
    </w:p>
    <w:p w14:paraId="1CA675A4" w14:textId="77777777" w:rsidR="00091FA8" w:rsidRPr="002573CF" w:rsidRDefault="00091FA8" w:rsidP="00091FA8">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2573CF">
        <w:rPr>
          <w:rFonts w:ascii="Times New Roman" w:eastAsia="Times New Roman" w:hAnsi="Times New Roman" w:cs="Times New Roman"/>
          <w:color w:val="000000" w:themeColor="text1"/>
          <w:sz w:val="24"/>
          <w:szCs w:val="24"/>
          <w:highlight w:val="white"/>
          <w:lang w:val="en-GB"/>
        </w:rPr>
        <w:t xml:space="preserve">Sadeghloo, T., Qeidari, H.S., Salehi, M. and Jalali, A.F., (2018). Analysis of risk and return on investment of local entrepreneurs in Iran. </w:t>
      </w:r>
      <w:r w:rsidRPr="002573CF">
        <w:rPr>
          <w:rFonts w:ascii="Times New Roman" w:eastAsia="Times New Roman" w:hAnsi="Times New Roman" w:cs="Times New Roman"/>
          <w:i/>
          <w:color w:val="000000" w:themeColor="text1"/>
          <w:sz w:val="24"/>
          <w:szCs w:val="24"/>
          <w:highlight w:val="white"/>
          <w:lang w:val="en-GB"/>
        </w:rPr>
        <w:t>Journal of Rural Development</w:t>
      </w:r>
      <w:r w:rsidRPr="002573CF">
        <w:rPr>
          <w:rFonts w:ascii="Times New Roman" w:eastAsia="Times New Roman" w:hAnsi="Times New Roman" w:cs="Times New Roman"/>
          <w:color w:val="000000" w:themeColor="text1"/>
          <w:sz w:val="24"/>
          <w:szCs w:val="24"/>
          <w:highlight w:val="white"/>
          <w:lang w:val="en-GB"/>
        </w:rPr>
        <w:t xml:space="preserve">, </w:t>
      </w:r>
      <w:r w:rsidRPr="002573CF">
        <w:rPr>
          <w:rFonts w:ascii="Times New Roman" w:eastAsia="Times New Roman" w:hAnsi="Times New Roman" w:cs="Times New Roman"/>
          <w:i/>
          <w:color w:val="000000" w:themeColor="text1"/>
          <w:sz w:val="24"/>
          <w:szCs w:val="24"/>
          <w:highlight w:val="white"/>
          <w:lang w:val="en-GB"/>
        </w:rPr>
        <w:t>37</w:t>
      </w:r>
      <w:r w:rsidRPr="002573CF">
        <w:rPr>
          <w:rFonts w:ascii="Times New Roman" w:eastAsia="Times New Roman" w:hAnsi="Times New Roman" w:cs="Times New Roman"/>
          <w:color w:val="000000" w:themeColor="text1"/>
          <w:sz w:val="24"/>
          <w:szCs w:val="24"/>
          <w:highlight w:val="white"/>
          <w:lang w:val="en-GB"/>
        </w:rPr>
        <w:t>(3), pp.539-564.</w:t>
      </w:r>
    </w:p>
    <w:p w14:paraId="38FBE3A1" w14:textId="77777777" w:rsidR="00091FA8" w:rsidRPr="002573CF" w:rsidRDefault="00091FA8" w:rsidP="00091FA8">
      <w:pPr>
        <w:pStyle w:val="NormalWeb"/>
        <w:spacing w:before="0" w:beforeAutospacing="0" w:after="240" w:afterAutospacing="0" w:line="360" w:lineRule="auto"/>
        <w:rPr>
          <w:lang w:val="en-GB"/>
        </w:rPr>
      </w:pPr>
      <w:r w:rsidRPr="002573CF">
        <w:rPr>
          <w:shd w:val="clear" w:color="auto" w:fill="FFFFFF"/>
          <w:lang w:val="en-GB"/>
        </w:rPr>
        <w:t>Saunders, M., Lewis, P. and Thornhill, A., (2019). Research Onion. Research methods for business students.</w:t>
      </w:r>
    </w:p>
    <w:p w14:paraId="3258632B" w14:textId="77777777" w:rsidR="00091FA8" w:rsidRPr="002573CF" w:rsidRDefault="00091FA8" w:rsidP="00091FA8">
      <w:pPr>
        <w:spacing w:after="240"/>
        <w:rPr>
          <w:rFonts w:eastAsia="Times New Roman" w:cs="Times New Roman"/>
          <w:szCs w:val="24"/>
          <w:lang w:val="en-GB"/>
        </w:rPr>
      </w:pPr>
      <w:r w:rsidRPr="002573CF">
        <w:rPr>
          <w:rFonts w:eastAsia="Times New Roman" w:cs="Times New Roman"/>
          <w:szCs w:val="24"/>
          <w:shd w:val="clear" w:color="auto" w:fill="FFFFFF"/>
          <w:lang w:val="en-GB"/>
        </w:rPr>
        <w:t xml:space="preserve">Schoenmaker, D. and Schramade, W., (2019). Investing for long-term value creation. </w:t>
      </w:r>
      <w:r w:rsidRPr="002573CF">
        <w:rPr>
          <w:rFonts w:eastAsia="Times New Roman" w:cs="Times New Roman"/>
          <w:i/>
          <w:iCs/>
          <w:szCs w:val="24"/>
          <w:shd w:val="clear" w:color="auto" w:fill="FFFFFF"/>
          <w:lang w:val="en-GB"/>
        </w:rPr>
        <w:t>Journal of Sustainable Finance &amp; Investment</w:t>
      </w:r>
      <w:r w:rsidRPr="002573CF">
        <w:rPr>
          <w:rFonts w:eastAsia="Times New Roman" w:cs="Times New Roman"/>
          <w:szCs w:val="24"/>
          <w:shd w:val="clear" w:color="auto" w:fill="FFFFFF"/>
          <w:lang w:val="en-GB"/>
        </w:rPr>
        <w:t xml:space="preserve">, </w:t>
      </w:r>
      <w:r w:rsidRPr="002573CF">
        <w:rPr>
          <w:rFonts w:eastAsia="Times New Roman" w:cs="Times New Roman"/>
          <w:i/>
          <w:iCs/>
          <w:szCs w:val="24"/>
          <w:shd w:val="clear" w:color="auto" w:fill="FFFFFF"/>
          <w:lang w:val="en-GB"/>
        </w:rPr>
        <w:t>9</w:t>
      </w:r>
      <w:r w:rsidRPr="002573CF">
        <w:rPr>
          <w:rFonts w:eastAsia="Times New Roman" w:cs="Times New Roman"/>
          <w:szCs w:val="24"/>
          <w:shd w:val="clear" w:color="auto" w:fill="FFFFFF"/>
          <w:lang w:val="en-GB"/>
        </w:rPr>
        <w:t>(4), pp.356-377.</w:t>
      </w:r>
    </w:p>
    <w:p w14:paraId="03E12DA2" w14:textId="77777777" w:rsidR="00091FA8" w:rsidRPr="00755B97" w:rsidRDefault="00091FA8" w:rsidP="00091FA8">
      <w:pPr>
        <w:spacing w:before="200" w:after="240"/>
        <w:rPr>
          <w:rFonts w:eastAsia="Times New Roman" w:cs="Times New Roman"/>
          <w:color w:val="auto"/>
          <w:szCs w:val="24"/>
        </w:rPr>
      </w:pPr>
      <w:r w:rsidRPr="00755B97">
        <w:rPr>
          <w:rFonts w:eastAsia="Times New Roman" w:cs="Times New Roman"/>
          <w:color w:val="000000"/>
          <w:szCs w:val="24"/>
        </w:rPr>
        <w:t>Singham, S. and McBride, C., (2018). Improving Global Financial Services Regulation. Institute of Economic Affairs Discussion Paper, 88, p.4.</w:t>
      </w:r>
    </w:p>
    <w:p w14:paraId="70A05E7D" w14:textId="77777777" w:rsidR="00091FA8" w:rsidRPr="002573CF" w:rsidRDefault="00091FA8" w:rsidP="00091FA8">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2573CF">
        <w:rPr>
          <w:rFonts w:ascii="Times New Roman" w:eastAsia="Times New Roman" w:hAnsi="Times New Roman" w:cs="Times New Roman"/>
          <w:color w:val="000000" w:themeColor="text1"/>
          <w:sz w:val="24"/>
          <w:szCs w:val="24"/>
          <w:highlight w:val="white"/>
          <w:lang w:val="en-GB"/>
        </w:rPr>
        <w:t>STATISTA (2022).</w:t>
      </w:r>
      <w:r w:rsidRPr="002573CF">
        <w:rPr>
          <w:rFonts w:ascii="Times New Roman" w:eastAsia="Times New Roman" w:hAnsi="Times New Roman" w:cs="Times New Roman"/>
          <w:i/>
          <w:color w:val="000000" w:themeColor="text1"/>
          <w:sz w:val="24"/>
          <w:szCs w:val="24"/>
          <w:highlight w:val="white"/>
          <w:lang w:val="en-GB"/>
        </w:rPr>
        <w:t xml:space="preserve"> Value of private equity investment in the United Kingdom 2015-2020,</w:t>
      </w:r>
      <w:r w:rsidRPr="002573CF">
        <w:rPr>
          <w:rFonts w:ascii="Times New Roman" w:eastAsia="Times New Roman" w:hAnsi="Times New Roman" w:cs="Times New Roman"/>
          <w:color w:val="000000" w:themeColor="text1"/>
          <w:sz w:val="24"/>
          <w:szCs w:val="24"/>
          <w:highlight w:val="white"/>
          <w:lang w:val="en-GB"/>
        </w:rPr>
        <w:t xml:space="preserve"> Available at: https://www.statista.com/statistics/1114845/total-value-of-private-equity-investment-in-the-united-kingdom-by-stage/ [Accessed on: 12th September 2022]</w:t>
      </w:r>
    </w:p>
    <w:p w14:paraId="5355DBEB" w14:textId="77777777" w:rsidR="00091FA8" w:rsidRPr="00EC7AE8" w:rsidRDefault="00091FA8" w:rsidP="00091FA8">
      <w:pPr>
        <w:spacing w:after="240"/>
        <w:rPr>
          <w:rFonts w:eastAsia="Times New Roman" w:cs="Times New Roman"/>
          <w:color w:val="auto"/>
          <w:szCs w:val="24"/>
        </w:rPr>
      </w:pPr>
      <w:r w:rsidRPr="00EC7AE8">
        <w:rPr>
          <w:rFonts w:eastAsia="Times New Roman" w:cs="Times New Roman"/>
          <w:color w:val="222222"/>
          <w:szCs w:val="24"/>
          <w:shd w:val="clear" w:color="auto" w:fill="FFFFFF"/>
        </w:rPr>
        <w:t xml:space="preserve">Stubbs, P. and Lendvai‐Bainton, N., (2020). Authoritarian neoliberalism, radical conservatism and social policy within the European Union: Croatia, Hungary and Poland. </w:t>
      </w:r>
      <w:r w:rsidRPr="00EC7AE8">
        <w:rPr>
          <w:rFonts w:eastAsia="Times New Roman" w:cs="Times New Roman"/>
          <w:i/>
          <w:iCs/>
          <w:color w:val="222222"/>
          <w:szCs w:val="24"/>
          <w:shd w:val="clear" w:color="auto" w:fill="FFFFFF"/>
        </w:rPr>
        <w:t>Development and Change</w:t>
      </w:r>
      <w:r w:rsidRPr="00EC7AE8">
        <w:rPr>
          <w:rFonts w:eastAsia="Times New Roman" w:cs="Times New Roman"/>
          <w:color w:val="222222"/>
          <w:szCs w:val="24"/>
          <w:shd w:val="clear" w:color="auto" w:fill="FFFFFF"/>
        </w:rPr>
        <w:t xml:space="preserve">, </w:t>
      </w:r>
      <w:r w:rsidRPr="00EC7AE8">
        <w:rPr>
          <w:rFonts w:eastAsia="Times New Roman" w:cs="Times New Roman"/>
          <w:i/>
          <w:iCs/>
          <w:color w:val="222222"/>
          <w:szCs w:val="24"/>
          <w:shd w:val="clear" w:color="auto" w:fill="FFFFFF"/>
        </w:rPr>
        <w:t>51</w:t>
      </w:r>
      <w:r w:rsidRPr="00EC7AE8">
        <w:rPr>
          <w:rFonts w:eastAsia="Times New Roman" w:cs="Times New Roman"/>
          <w:color w:val="222222"/>
          <w:szCs w:val="24"/>
          <w:shd w:val="clear" w:color="auto" w:fill="FFFFFF"/>
        </w:rPr>
        <w:t>(2), pp.540-560.</w:t>
      </w:r>
    </w:p>
    <w:p w14:paraId="1FE29F9D" w14:textId="77777777" w:rsidR="00091FA8" w:rsidRDefault="00091FA8" w:rsidP="00091FA8">
      <w:pPr>
        <w:spacing w:before="200" w:after="240"/>
        <w:rPr>
          <w:shd w:val="clear" w:color="auto" w:fill="FFFFFF"/>
          <w:lang w:val="en-GB"/>
        </w:rPr>
      </w:pPr>
      <w:r w:rsidRPr="00755B97">
        <w:rPr>
          <w:rFonts w:eastAsia="Times New Roman" w:cs="Times New Roman"/>
          <w:color w:val="000000"/>
          <w:szCs w:val="24"/>
        </w:rPr>
        <w:t>Sweeney, S. and Winn, N., (2020). EU security and defence cooperation in times of dissent: analysing PESCO, the European Defence Fund and the European Intervention Initiative (EI2) in the shadow of Brexit. Defence Studies, 20(3), pp.224-249.</w:t>
      </w:r>
    </w:p>
    <w:p w14:paraId="54120A53" w14:textId="77777777" w:rsidR="00091FA8" w:rsidRPr="00755B97" w:rsidRDefault="00091FA8" w:rsidP="00091FA8">
      <w:pPr>
        <w:spacing w:before="200" w:after="240"/>
        <w:rPr>
          <w:rFonts w:eastAsia="Times New Roman" w:cs="Times New Roman"/>
          <w:color w:val="auto"/>
          <w:szCs w:val="24"/>
        </w:rPr>
      </w:pPr>
      <w:r w:rsidRPr="002573CF">
        <w:rPr>
          <w:rFonts w:eastAsia="Times New Roman" w:cs="Times New Roman"/>
          <w:spacing w:val="3"/>
          <w:szCs w:val="24"/>
          <w:lang w:val="en-GB"/>
        </w:rPr>
        <w:t>Tamara, D. and Budiman, F., (2022). New Index ESG Leaders &amp; Investment Decisions in Indonesia Relating to ESG Principles. J. Mgmt. &amp; Sustainability, 12, p.64.</w:t>
      </w:r>
    </w:p>
    <w:p w14:paraId="5322E625" w14:textId="77777777" w:rsidR="00091FA8" w:rsidRPr="002573CF" w:rsidRDefault="00091FA8" w:rsidP="00091FA8">
      <w:pPr>
        <w:pStyle w:val="NormalWeb"/>
        <w:spacing w:before="0" w:beforeAutospacing="0" w:after="240" w:afterAutospacing="0" w:line="360" w:lineRule="auto"/>
        <w:rPr>
          <w:lang w:val="en-GB"/>
        </w:rPr>
      </w:pPr>
      <w:r w:rsidRPr="002573CF">
        <w:rPr>
          <w:shd w:val="clear" w:color="auto" w:fill="FFFFFF"/>
          <w:lang w:val="en-GB"/>
        </w:rPr>
        <w:t xml:space="preserve">Tarrant, A. and Hughes, K., (2019). Qualitative secondary analysis: building longitudinal samples to understand men’s generational identities in low income contexts. </w:t>
      </w:r>
      <w:r w:rsidRPr="002573CF">
        <w:rPr>
          <w:i/>
          <w:iCs/>
          <w:shd w:val="clear" w:color="auto" w:fill="FFFFFF"/>
          <w:lang w:val="en-GB"/>
        </w:rPr>
        <w:t>Sociology</w:t>
      </w:r>
      <w:r w:rsidRPr="002573CF">
        <w:rPr>
          <w:shd w:val="clear" w:color="auto" w:fill="FFFFFF"/>
          <w:lang w:val="en-GB"/>
        </w:rPr>
        <w:t xml:space="preserve">, </w:t>
      </w:r>
      <w:r w:rsidRPr="002573CF">
        <w:rPr>
          <w:i/>
          <w:iCs/>
          <w:shd w:val="clear" w:color="auto" w:fill="FFFFFF"/>
          <w:lang w:val="en-GB"/>
        </w:rPr>
        <w:t>53</w:t>
      </w:r>
      <w:r w:rsidRPr="002573CF">
        <w:rPr>
          <w:shd w:val="clear" w:color="auto" w:fill="FFFFFF"/>
          <w:lang w:val="en-GB"/>
        </w:rPr>
        <w:t>(3), pp.538-553.</w:t>
      </w:r>
    </w:p>
    <w:p w14:paraId="7CE40B08" w14:textId="77777777" w:rsidR="00091FA8" w:rsidRPr="002573CF" w:rsidRDefault="00091FA8" w:rsidP="00091FA8">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2573CF">
        <w:rPr>
          <w:rFonts w:ascii="Times New Roman" w:eastAsia="Times New Roman" w:hAnsi="Times New Roman" w:cs="Times New Roman"/>
          <w:color w:val="000000" w:themeColor="text1"/>
          <w:sz w:val="24"/>
          <w:szCs w:val="24"/>
          <w:highlight w:val="white"/>
          <w:lang w:val="en-GB"/>
        </w:rPr>
        <w:t xml:space="preserve">Terlaak, A., Kim, S. and Roh, T., (2018). Not good, not bad: The effect of family control on environmental performance disclosure by business group firms. </w:t>
      </w:r>
      <w:r w:rsidRPr="002573CF">
        <w:rPr>
          <w:rFonts w:ascii="Times New Roman" w:eastAsia="Times New Roman" w:hAnsi="Times New Roman" w:cs="Times New Roman"/>
          <w:i/>
          <w:color w:val="000000" w:themeColor="text1"/>
          <w:sz w:val="24"/>
          <w:szCs w:val="24"/>
          <w:highlight w:val="white"/>
          <w:lang w:val="en-GB"/>
        </w:rPr>
        <w:t>Journal of Business Ethics</w:t>
      </w:r>
      <w:r w:rsidRPr="002573CF">
        <w:rPr>
          <w:rFonts w:ascii="Times New Roman" w:eastAsia="Times New Roman" w:hAnsi="Times New Roman" w:cs="Times New Roman"/>
          <w:color w:val="000000" w:themeColor="text1"/>
          <w:sz w:val="24"/>
          <w:szCs w:val="24"/>
          <w:highlight w:val="white"/>
          <w:lang w:val="en-GB"/>
        </w:rPr>
        <w:t xml:space="preserve">, </w:t>
      </w:r>
      <w:r w:rsidRPr="002573CF">
        <w:rPr>
          <w:rFonts w:ascii="Times New Roman" w:eastAsia="Times New Roman" w:hAnsi="Times New Roman" w:cs="Times New Roman"/>
          <w:i/>
          <w:color w:val="000000" w:themeColor="text1"/>
          <w:sz w:val="24"/>
          <w:szCs w:val="24"/>
          <w:highlight w:val="white"/>
          <w:lang w:val="en-GB"/>
        </w:rPr>
        <w:t>153</w:t>
      </w:r>
      <w:r w:rsidRPr="002573CF">
        <w:rPr>
          <w:rFonts w:ascii="Times New Roman" w:eastAsia="Times New Roman" w:hAnsi="Times New Roman" w:cs="Times New Roman"/>
          <w:color w:val="000000" w:themeColor="text1"/>
          <w:sz w:val="24"/>
          <w:szCs w:val="24"/>
          <w:highlight w:val="white"/>
          <w:lang w:val="en-GB"/>
        </w:rPr>
        <w:t>(4), pp.977-996.</w:t>
      </w:r>
    </w:p>
    <w:p w14:paraId="538819D5" w14:textId="77777777" w:rsidR="00091FA8" w:rsidRPr="002573CF" w:rsidRDefault="00091FA8" w:rsidP="00091FA8">
      <w:pPr>
        <w:shd w:val="clear" w:color="auto" w:fill="FFFFFF"/>
        <w:spacing w:after="240"/>
        <w:rPr>
          <w:rFonts w:eastAsia="Times New Roman" w:cs="Times New Roman"/>
          <w:spacing w:val="3"/>
          <w:szCs w:val="24"/>
          <w:lang w:val="en-GB"/>
        </w:rPr>
      </w:pPr>
      <w:r w:rsidRPr="002573CF">
        <w:rPr>
          <w:rFonts w:eastAsia="Times New Roman" w:cs="Times New Roman"/>
          <w:spacing w:val="3"/>
          <w:szCs w:val="24"/>
          <w:lang w:val="en-GB"/>
        </w:rPr>
        <w:t xml:space="preserve">Thissen, M., van Oort, F., McCann, P., Ortega-Argilés, R. and Husby, T., (2020). The implications of </w:t>
      </w:r>
      <w:r>
        <w:rPr>
          <w:rFonts w:eastAsia="Times New Roman" w:cs="Times New Roman"/>
          <w:spacing w:val="3"/>
          <w:szCs w:val="24"/>
          <w:lang w:val="en-GB"/>
        </w:rPr>
        <w:t>BREXIT</w:t>
      </w:r>
      <w:r w:rsidRPr="002573CF">
        <w:rPr>
          <w:rFonts w:eastAsia="Times New Roman" w:cs="Times New Roman"/>
          <w:spacing w:val="3"/>
          <w:szCs w:val="24"/>
          <w:lang w:val="en-GB"/>
        </w:rPr>
        <w:t xml:space="preserve"> for UK and EU regional competitiveness. Economic Geography, 96(5), pp.397-421.</w:t>
      </w:r>
    </w:p>
    <w:p w14:paraId="2753D7D2" w14:textId="77777777" w:rsidR="00091FA8" w:rsidRPr="002573CF" w:rsidRDefault="00091FA8" w:rsidP="00091FA8">
      <w:pPr>
        <w:pStyle w:val="NormalWeb"/>
        <w:spacing w:before="0" w:beforeAutospacing="0" w:after="240" w:afterAutospacing="0" w:line="360" w:lineRule="auto"/>
        <w:rPr>
          <w:lang w:val="en-GB"/>
        </w:rPr>
      </w:pPr>
      <w:r w:rsidRPr="002573CF">
        <w:rPr>
          <w:shd w:val="clear" w:color="auto" w:fill="FFFFFF"/>
          <w:lang w:val="en-GB"/>
        </w:rPr>
        <w:t xml:space="preserve">Umanailo, M.C., Hamid, I., Hamiru, H., Assagaf, S.S.F., Bula, M., Nawawi, M., Pulhehe, S., Yusuf, S. and Bon, A.T., (2019). Utilization of qualitative methods in research universities. </w:t>
      </w:r>
      <w:r w:rsidRPr="002573CF">
        <w:rPr>
          <w:i/>
          <w:iCs/>
          <w:shd w:val="clear" w:color="auto" w:fill="FFFFFF"/>
          <w:lang w:val="en-GB"/>
        </w:rPr>
        <w:t>Education science</w:t>
      </w:r>
      <w:r w:rsidRPr="002573CF">
        <w:rPr>
          <w:shd w:val="clear" w:color="auto" w:fill="FFFFFF"/>
          <w:lang w:val="en-GB"/>
        </w:rPr>
        <w:t xml:space="preserve">, </w:t>
      </w:r>
      <w:r w:rsidRPr="002573CF">
        <w:rPr>
          <w:i/>
          <w:iCs/>
          <w:shd w:val="clear" w:color="auto" w:fill="FFFFFF"/>
          <w:lang w:val="en-GB"/>
        </w:rPr>
        <w:t>20</w:t>
      </w:r>
      <w:r w:rsidRPr="002573CF">
        <w:rPr>
          <w:shd w:val="clear" w:color="auto" w:fill="FFFFFF"/>
          <w:lang w:val="en-GB"/>
        </w:rPr>
        <w:t>.</w:t>
      </w:r>
    </w:p>
    <w:p w14:paraId="568B6C27" w14:textId="77777777" w:rsidR="00091FA8" w:rsidRPr="002573CF" w:rsidRDefault="00091FA8" w:rsidP="00091FA8">
      <w:pPr>
        <w:pStyle w:val="NormalWeb"/>
        <w:spacing w:before="0" w:beforeAutospacing="0" w:after="240" w:afterAutospacing="0" w:line="360" w:lineRule="auto"/>
        <w:rPr>
          <w:lang w:val="en-GB"/>
        </w:rPr>
      </w:pPr>
      <w:r w:rsidRPr="002573CF">
        <w:rPr>
          <w:shd w:val="clear" w:color="auto" w:fill="FFFFFF"/>
          <w:lang w:val="en-GB"/>
        </w:rPr>
        <w:t xml:space="preserve">Wei, CHEAH, C. and Yeik, KOAY, K., (2022). Knowing the unknown: Application of qualitative-vignette method in the social-political sensitive business environment. </w:t>
      </w:r>
      <w:r w:rsidRPr="002573CF">
        <w:rPr>
          <w:i/>
          <w:iCs/>
          <w:shd w:val="clear" w:color="auto" w:fill="FFFFFF"/>
          <w:lang w:val="en-GB"/>
        </w:rPr>
        <w:t>International Journal of Qualitative Methods</w:t>
      </w:r>
      <w:r w:rsidRPr="002573CF">
        <w:rPr>
          <w:shd w:val="clear" w:color="auto" w:fill="FFFFFF"/>
          <w:lang w:val="en-GB"/>
        </w:rPr>
        <w:t xml:space="preserve">, </w:t>
      </w:r>
      <w:r w:rsidRPr="002573CF">
        <w:rPr>
          <w:i/>
          <w:iCs/>
          <w:shd w:val="clear" w:color="auto" w:fill="FFFFFF"/>
          <w:lang w:val="en-GB"/>
        </w:rPr>
        <w:t>21</w:t>
      </w:r>
      <w:r w:rsidRPr="002573CF">
        <w:rPr>
          <w:shd w:val="clear" w:color="auto" w:fill="FFFFFF"/>
          <w:lang w:val="en-GB"/>
        </w:rPr>
        <w:t>, p.16094069221074495.</w:t>
      </w:r>
    </w:p>
    <w:p w14:paraId="3DC0FE58" w14:textId="77777777" w:rsidR="00091FA8" w:rsidRPr="00DC11EF" w:rsidRDefault="00091FA8" w:rsidP="00091FA8">
      <w:pPr>
        <w:pStyle w:val="Normal1"/>
        <w:spacing w:before="200" w:after="240" w:line="360" w:lineRule="auto"/>
        <w:jc w:val="both"/>
        <w:rPr>
          <w:rFonts w:ascii="Times New Roman" w:eastAsia="Times New Roman" w:hAnsi="Times New Roman" w:cs="Times New Roman"/>
          <w:sz w:val="24"/>
          <w:szCs w:val="24"/>
          <w:highlight w:val="white"/>
          <w:lang w:val="en-GB"/>
        </w:rPr>
      </w:pPr>
      <w:r w:rsidRPr="00DC11EF">
        <w:rPr>
          <w:rFonts w:ascii="Times New Roman" w:eastAsia="Times New Roman" w:hAnsi="Times New Roman" w:cs="Times New Roman"/>
          <w:sz w:val="24"/>
          <w:szCs w:val="24"/>
          <w:highlight w:val="white"/>
          <w:lang w:val="en-GB"/>
        </w:rPr>
        <w:t xml:space="preserve">Wójcik, D. and Ioannou, S., (2020). COVID‐19 and finance: market developments so far and potential impacts on the financial sector and centres. </w:t>
      </w:r>
      <w:r w:rsidRPr="00DC11EF">
        <w:rPr>
          <w:rFonts w:ascii="Times New Roman" w:eastAsia="Times New Roman" w:hAnsi="Times New Roman" w:cs="Times New Roman"/>
          <w:i/>
          <w:sz w:val="24"/>
          <w:szCs w:val="24"/>
          <w:highlight w:val="white"/>
          <w:lang w:val="en-GB"/>
        </w:rPr>
        <w:t>Tijdschrift voor economische en sociale geografie</w:t>
      </w:r>
      <w:r w:rsidRPr="00DC11EF">
        <w:rPr>
          <w:rFonts w:ascii="Times New Roman" w:eastAsia="Times New Roman" w:hAnsi="Times New Roman" w:cs="Times New Roman"/>
          <w:sz w:val="24"/>
          <w:szCs w:val="24"/>
          <w:highlight w:val="white"/>
          <w:lang w:val="en-GB"/>
        </w:rPr>
        <w:t xml:space="preserve">, </w:t>
      </w:r>
      <w:r w:rsidRPr="00DC11EF">
        <w:rPr>
          <w:rFonts w:ascii="Times New Roman" w:eastAsia="Times New Roman" w:hAnsi="Times New Roman" w:cs="Times New Roman"/>
          <w:i/>
          <w:sz w:val="24"/>
          <w:szCs w:val="24"/>
          <w:highlight w:val="white"/>
          <w:lang w:val="en-GB"/>
        </w:rPr>
        <w:t>111</w:t>
      </w:r>
      <w:r w:rsidRPr="00DC11EF">
        <w:rPr>
          <w:rFonts w:ascii="Times New Roman" w:eastAsia="Times New Roman" w:hAnsi="Times New Roman" w:cs="Times New Roman"/>
          <w:sz w:val="24"/>
          <w:szCs w:val="24"/>
          <w:highlight w:val="white"/>
          <w:lang w:val="en-GB"/>
        </w:rPr>
        <w:t>(3), pp.387-400.</w:t>
      </w:r>
    </w:p>
    <w:p w14:paraId="2FEA3835" w14:textId="77777777" w:rsidR="00091FA8" w:rsidRPr="002573CF" w:rsidRDefault="00091FA8" w:rsidP="00091FA8">
      <w:pPr>
        <w:pStyle w:val="Normal1"/>
        <w:spacing w:after="240" w:line="360" w:lineRule="auto"/>
        <w:jc w:val="both"/>
        <w:rPr>
          <w:rFonts w:ascii="Times New Roman" w:eastAsia="Times New Roman" w:hAnsi="Times New Roman" w:cs="Times New Roman"/>
          <w:color w:val="000000" w:themeColor="text1"/>
          <w:sz w:val="24"/>
          <w:szCs w:val="24"/>
          <w:highlight w:val="white"/>
          <w:lang w:val="en-GB"/>
        </w:rPr>
      </w:pPr>
      <w:r w:rsidRPr="002573CF">
        <w:rPr>
          <w:rFonts w:ascii="Times New Roman" w:eastAsia="Times New Roman" w:hAnsi="Times New Roman" w:cs="Times New Roman"/>
          <w:color w:val="000000" w:themeColor="text1"/>
          <w:sz w:val="24"/>
          <w:szCs w:val="24"/>
          <w:highlight w:val="white"/>
          <w:lang w:val="en-GB"/>
        </w:rPr>
        <w:t xml:space="preserve">Yu, A., Lumpkin, G.T., Praveen Parboteeah, K. and Stambaugh, J.E., (2019). Autonomy and family business performance: The joint effect of environmental dynamism and national culture. </w:t>
      </w:r>
      <w:r w:rsidRPr="002573CF">
        <w:rPr>
          <w:rFonts w:ascii="Times New Roman" w:eastAsia="Times New Roman" w:hAnsi="Times New Roman" w:cs="Times New Roman"/>
          <w:i/>
          <w:color w:val="000000" w:themeColor="text1"/>
          <w:sz w:val="24"/>
          <w:szCs w:val="24"/>
          <w:highlight w:val="white"/>
          <w:lang w:val="en-GB"/>
        </w:rPr>
        <w:t>International Small Business Journal</w:t>
      </w:r>
      <w:r w:rsidRPr="002573CF">
        <w:rPr>
          <w:rFonts w:ascii="Times New Roman" w:eastAsia="Times New Roman" w:hAnsi="Times New Roman" w:cs="Times New Roman"/>
          <w:color w:val="000000" w:themeColor="text1"/>
          <w:sz w:val="24"/>
          <w:szCs w:val="24"/>
          <w:highlight w:val="white"/>
          <w:lang w:val="en-GB"/>
        </w:rPr>
        <w:t xml:space="preserve">, </w:t>
      </w:r>
      <w:r w:rsidRPr="002573CF">
        <w:rPr>
          <w:rFonts w:ascii="Times New Roman" w:eastAsia="Times New Roman" w:hAnsi="Times New Roman" w:cs="Times New Roman"/>
          <w:i/>
          <w:color w:val="000000" w:themeColor="text1"/>
          <w:sz w:val="24"/>
          <w:szCs w:val="24"/>
          <w:highlight w:val="white"/>
          <w:lang w:val="en-GB"/>
        </w:rPr>
        <w:t>37</w:t>
      </w:r>
      <w:r w:rsidRPr="002573CF">
        <w:rPr>
          <w:rFonts w:ascii="Times New Roman" w:eastAsia="Times New Roman" w:hAnsi="Times New Roman" w:cs="Times New Roman"/>
          <w:color w:val="000000" w:themeColor="text1"/>
          <w:sz w:val="24"/>
          <w:szCs w:val="24"/>
          <w:highlight w:val="white"/>
          <w:lang w:val="en-GB"/>
        </w:rPr>
        <w:t>(2), pp.153-185.</w:t>
      </w:r>
    </w:p>
    <w:p w14:paraId="477B129C" w14:textId="77777777" w:rsidR="00091FA8" w:rsidRDefault="00091FA8" w:rsidP="00091FA8">
      <w:pPr>
        <w:pStyle w:val="NormalWeb"/>
        <w:spacing w:before="0" w:beforeAutospacing="0" w:after="240" w:afterAutospacing="0" w:line="360" w:lineRule="auto"/>
        <w:rPr>
          <w:shd w:val="clear" w:color="auto" w:fill="FFFFFF"/>
          <w:lang w:val="en-GB"/>
        </w:rPr>
      </w:pPr>
      <w:r w:rsidRPr="002573CF">
        <w:rPr>
          <w:shd w:val="clear" w:color="auto" w:fill="FFFFFF"/>
          <w:lang w:val="en-GB"/>
        </w:rPr>
        <w:t>Zangirolami-Raimundo, J., Echeimberg, J.D.O. and Leone, C., (2018). Research methodology topics: Cross-sectional studies. Journal of Human Growth and Development, 28(3), pp.356-360.</w:t>
      </w:r>
    </w:p>
    <w:p w14:paraId="5785BDD7" w14:textId="77777777" w:rsidR="00091FA8" w:rsidRPr="00EC7AE8" w:rsidRDefault="00091FA8" w:rsidP="00091FA8">
      <w:pPr>
        <w:spacing w:after="240"/>
        <w:rPr>
          <w:rFonts w:eastAsia="Times New Roman" w:cs="Times New Roman"/>
          <w:color w:val="auto"/>
          <w:szCs w:val="24"/>
        </w:rPr>
      </w:pPr>
    </w:p>
    <w:p w14:paraId="40D0D2C6" w14:textId="77777777" w:rsidR="00091FA8" w:rsidRDefault="00091FA8" w:rsidP="002573CF">
      <w:pPr>
        <w:pStyle w:val="NormalWeb"/>
        <w:spacing w:before="0" w:beforeAutospacing="0" w:after="240" w:afterAutospacing="0" w:line="360" w:lineRule="auto"/>
        <w:rPr>
          <w:shd w:val="clear" w:color="auto" w:fill="FFFFFF"/>
          <w:lang w:val="en-GB"/>
        </w:rPr>
      </w:pPr>
    </w:p>
    <w:p w14:paraId="2632BE76" w14:textId="77777777" w:rsidR="00DC42DA" w:rsidRDefault="00DC42DA">
      <w:pPr>
        <w:spacing w:line="276" w:lineRule="auto"/>
        <w:jc w:val="left"/>
        <w:rPr>
          <w:shd w:val="clear" w:color="auto" w:fill="FFFFFF"/>
          <w:lang w:val="en-GB"/>
        </w:rPr>
      </w:pPr>
    </w:p>
    <w:p w14:paraId="03C1881E" w14:textId="77777777" w:rsidR="00755B97" w:rsidRDefault="00755B97">
      <w:pPr>
        <w:spacing w:line="276" w:lineRule="auto"/>
        <w:jc w:val="left"/>
        <w:rPr>
          <w:rFonts w:eastAsia="Times New Roman" w:cs="Times New Roman"/>
          <w:b/>
          <w:color w:val="auto"/>
          <w:szCs w:val="24"/>
          <w:shd w:val="clear" w:color="auto" w:fill="FFFFFF"/>
          <w:lang w:val="en-GB"/>
        </w:rPr>
      </w:pPr>
      <w:r>
        <w:rPr>
          <w:shd w:val="clear" w:color="auto" w:fill="FFFFFF"/>
          <w:lang w:val="en-GB"/>
        </w:rPr>
        <w:br w:type="page"/>
      </w:r>
    </w:p>
    <w:p w14:paraId="328F92CF" w14:textId="77777777" w:rsidR="00BF1B35" w:rsidRDefault="00AB7208" w:rsidP="00AB7208">
      <w:pPr>
        <w:pStyle w:val="Heading1"/>
        <w:rPr>
          <w:shd w:val="clear" w:color="auto" w:fill="FFFFFF"/>
          <w:lang w:val="en-GB"/>
        </w:rPr>
      </w:pPr>
      <w:bookmarkStart w:id="128" w:name="_Toc114323867"/>
      <w:r>
        <w:rPr>
          <w:shd w:val="clear" w:color="auto" w:fill="FFFFFF"/>
          <w:lang w:val="en-GB"/>
        </w:rPr>
        <w:t>Appendix: Gantt chart</w:t>
      </w:r>
      <w:bookmarkEnd w:id="128"/>
      <w:r>
        <w:rPr>
          <w:shd w:val="clear" w:color="auto" w:fill="FFFFFF"/>
          <w:lang w:val="en-GB"/>
        </w:rPr>
        <w:t xml:space="preserve"> </w:t>
      </w:r>
    </w:p>
    <w:tbl>
      <w:tblPr>
        <w:tblW w:w="9330" w:type="dxa"/>
        <w:jc w:val="center"/>
        <w:tblBorders>
          <w:top w:val="nil"/>
          <w:left w:val="nil"/>
          <w:bottom w:val="nil"/>
          <w:right w:val="nil"/>
          <w:insideH w:val="nil"/>
          <w:insideV w:val="nil"/>
        </w:tblBorders>
        <w:tblLayout w:type="fixed"/>
        <w:tblLook w:val="0600" w:firstRow="0" w:lastRow="0" w:firstColumn="0" w:lastColumn="0" w:noHBand="1" w:noVBand="1"/>
      </w:tblPr>
      <w:tblGrid>
        <w:gridCol w:w="2340"/>
        <w:gridCol w:w="1140"/>
        <w:gridCol w:w="1215"/>
        <w:gridCol w:w="1230"/>
        <w:gridCol w:w="1155"/>
        <w:gridCol w:w="1125"/>
        <w:gridCol w:w="1125"/>
      </w:tblGrid>
      <w:tr w:rsidR="00BF1B35" w:rsidRPr="00BF1B35" w14:paraId="19EDD1B4" w14:textId="77777777" w:rsidTr="00BF1B35">
        <w:trPr>
          <w:trHeight w:val="240"/>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48FFD39C" w14:textId="77777777" w:rsidR="00BF1B35" w:rsidRPr="00BF1B35" w:rsidRDefault="00BF1B35" w:rsidP="00BF1B35">
            <w:pPr>
              <w:spacing w:line="240" w:lineRule="auto"/>
              <w:ind w:left="140"/>
              <w:rPr>
                <w:rFonts w:eastAsia="Times New Roman" w:cs="Times New Roman"/>
                <w:b/>
                <w:szCs w:val="24"/>
              </w:rPr>
            </w:pPr>
            <w:r w:rsidRPr="00BF1B35">
              <w:rPr>
                <w:rFonts w:eastAsia="Times New Roman" w:cs="Times New Roman"/>
                <w:b/>
                <w:szCs w:val="24"/>
              </w:rPr>
              <w:t>Main Activities</w:t>
            </w:r>
          </w:p>
        </w:tc>
        <w:tc>
          <w:tcPr>
            <w:tcW w:w="1140" w:type="dxa"/>
            <w:tcBorders>
              <w:top w:val="single" w:sz="8" w:space="0" w:color="000000"/>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1965DB4B" w14:textId="77777777" w:rsidR="00BF1B35" w:rsidRPr="00BF1B35" w:rsidRDefault="00BF1B35" w:rsidP="00BF1B35">
            <w:pPr>
              <w:spacing w:line="240" w:lineRule="auto"/>
              <w:ind w:left="140"/>
              <w:rPr>
                <w:rFonts w:eastAsia="Times New Roman" w:cs="Times New Roman"/>
                <w:b/>
                <w:szCs w:val="24"/>
              </w:rPr>
            </w:pPr>
            <w:r w:rsidRPr="00BF1B35">
              <w:rPr>
                <w:rFonts w:eastAsia="Times New Roman" w:cs="Times New Roman"/>
                <w:b/>
                <w:szCs w:val="24"/>
              </w:rPr>
              <w:t>1st to 2nd week</w:t>
            </w:r>
          </w:p>
        </w:tc>
        <w:tc>
          <w:tcPr>
            <w:tcW w:w="1215" w:type="dxa"/>
            <w:tcBorders>
              <w:top w:val="single" w:sz="8" w:space="0" w:color="000000"/>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739A9AFE" w14:textId="77777777" w:rsidR="00BF1B35" w:rsidRPr="00BF1B35" w:rsidRDefault="00BF1B35" w:rsidP="00BF1B35">
            <w:pPr>
              <w:spacing w:line="240" w:lineRule="auto"/>
              <w:ind w:left="140"/>
              <w:rPr>
                <w:rFonts w:eastAsia="Times New Roman" w:cs="Times New Roman"/>
                <w:b/>
                <w:szCs w:val="24"/>
              </w:rPr>
            </w:pPr>
            <w:r w:rsidRPr="00BF1B35">
              <w:rPr>
                <w:rFonts w:eastAsia="Times New Roman" w:cs="Times New Roman"/>
                <w:b/>
                <w:szCs w:val="24"/>
              </w:rPr>
              <w:t>3rd to 4th weeks</w:t>
            </w:r>
          </w:p>
        </w:tc>
        <w:tc>
          <w:tcPr>
            <w:tcW w:w="1230" w:type="dxa"/>
            <w:tcBorders>
              <w:top w:val="single" w:sz="8" w:space="0" w:color="000000"/>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0D38FECF" w14:textId="77777777" w:rsidR="00BF1B35" w:rsidRPr="00BF1B35" w:rsidRDefault="00BF1B35" w:rsidP="00BF1B35">
            <w:pPr>
              <w:spacing w:line="240" w:lineRule="auto"/>
              <w:ind w:left="140"/>
              <w:rPr>
                <w:rFonts w:eastAsia="Times New Roman" w:cs="Times New Roman"/>
                <w:b/>
                <w:szCs w:val="24"/>
              </w:rPr>
            </w:pPr>
            <w:r w:rsidRPr="00BF1B35">
              <w:rPr>
                <w:rFonts w:eastAsia="Times New Roman" w:cs="Times New Roman"/>
                <w:b/>
                <w:szCs w:val="24"/>
              </w:rPr>
              <w:t>5th to 6th weeks</w:t>
            </w:r>
          </w:p>
        </w:tc>
        <w:tc>
          <w:tcPr>
            <w:tcW w:w="1155" w:type="dxa"/>
            <w:tcBorders>
              <w:top w:val="single" w:sz="8" w:space="0" w:color="000000"/>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5E93FA7A" w14:textId="77777777" w:rsidR="00BF1B35" w:rsidRPr="00BF1B35" w:rsidRDefault="00BF1B35" w:rsidP="00BF1B35">
            <w:pPr>
              <w:spacing w:line="240" w:lineRule="auto"/>
              <w:ind w:left="140"/>
              <w:rPr>
                <w:rFonts w:eastAsia="Times New Roman" w:cs="Times New Roman"/>
                <w:b/>
                <w:szCs w:val="24"/>
              </w:rPr>
            </w:pPr>
            <w:r w:rsidRPr="00BF1B35">
              <w:rPr>
                <w:rFonts w:eastAsia="Times New Roman" w:cs="Times New Roman"/>
                <w:b/>
                <w:szCs w:val="24"/>
              </w:rPr>
              <w:t>7th to 8th week</w:t>
            </w:r>
          </w:p>
        </w:tc>
        <w:tc>
          <w:tcPr>
            <w:tcW w:w="1125" w:type="dxa"/>
            <w:tcBorders>
              <w:top w:val="single" w:sz="8" w:space="0" w:color="000000"/>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6DFD0BC2" w14:textId="77777777" w:rsidR="00BF1B35" w:rsidRPr="00BF1B35" w:rsidRDefault="00BF1B35" w:rsidP="00BF1B35">
            <w:pPr>
              <w:spacing w:line="240" w:lineRule="auto"/>
              <w:ind w:left="140"/>
              <w:rPr>
                <w:rFonts w:eastAsia="Times New Roman" w:cs="Times New Roman"/>
                <w:b/>
                <w:szCs w:val="24"/>
              </w:rPr>
            </w:pPr>
            <w:r w:rsidRPr="00BF1B35">
              <w:rPr>
                <w:rFonts w:eastAsia="Times New Roman" w:cs="Times New Roman"/>
                <w:b/>
                <w:szCs w:val="24"/>
              </w:rPr>
              <w:t>9th to 10th week</w:t>
            </w:r>
          </w:p>
        </w:tc>
        <w:tc>
          <w:tcPr>
            <w:tcW w:w="1125" w:type="dxa"/>
            <w:tcBorders>
              <w:top w:val="single" w:sz="8" w:space="0" w:color="000000"/>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1FB911D5" w14:textId="77777777" w:rsidR="00BF1B35" w:rsidRPr="00BF1B35" w:rsidRDefault="00BF1B35" w:rsidP="00BF1B35">
            <w:pPr>
              <w:spacing w:line="240" w:lineRule="auto"/>
              <w:ind w:left="140"/>
              <w:rPr>
                <w:rFonts w:eastAsia="Times New Roman" w:cs="Times New Roman"/>
                <w:b/>
                <w:szCs w:val="24"/>
              </w:rPr>
            </w:pPr>
            <w:r w:rsidRPr="00BF1B35">
              <w:rPr>
                <w:rFonts w:eastAsia="Times New Roman" w:cs="Times New Roman"/>
                <w:b/>
                <w:szCs w:val="24"/>
              </w:rPr>
              <w:t>11th week</w:t>
            </w:r>
          </w:p>
        </w:tc>
      </w:tr>
      <w:tr w:rsidR="00BF1B35" w:rsidRPr="00BF1B35" w14:paraId="3109C563" w14:textId="77777777" w:rsidTr="00BF1B35">
        <w:trPr>
          <w:trHeight w:val="152"/>
          <w:jc w:val="center"/>
        </w:trPr>
        <w:tc>
          <w:tcPr>
            <w:tcW w:w="2340" w:type="dxa"/>
            <w:tcBorders>
              <w:top w:val="nil"/>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53929824" w14:textId="77777777" w:rsidR="00BF1B35" w:rsidRPr="00BF1B35" w:rsidRDefault="00BF1B35" w:rsidP="00BF1B35">
            <w:pPr>
              <w:spacing w:line="240" w:lineRule="auto"/>
              <w:ind w:left="140"/>
              <w:rPr>
                <w:rFonts w:eastAsia="Times New Roman" w:cs="Times New Roman"/>
                <w:b/>
                <w:szCs w:val="24"/>
              </w:rPr>
            </w:pPr>
            <w:r w:rsidRPr="00BF1B35">
              <w:rPr>
                <w:rFonts w:eastAsia="Times New Roman" w:cs="Times New Roman"/>
                <w:b/>
                <w:szCs w:val="24"/>
              </w:rPr>
              <w:t>Selection of the topic</w:t>
            </w:r>
          </w:p>
        </w:tc>
        <w:tc>
          <w:tcPr>
            <w:tcW w:w="1140"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39E38E4C" w14:textId="77777777" w:rsidR="00BF1B35" w:rsidRPr="00BF1B35" w:rsidRDefault="00BF1B35" w:rsidP="00BF1B35">
            <w:pPr>
              <w:spacing w:line="240" w:lineRule="auto"/>
              <w:ind w:left="-100"/>
              <w:rPr>
                <w:rFonts w:eastAsia="Times New Roman" w:cs="Times New Roman"/>
                <w:color w:val="4F81BD"/>
                <w:szCs w:val="24"/>
              </w:rPr>
            </w:pP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14:paraId="69D6BEB1" w14:textId="77777777" w:rsidR="00BF1B35" w:rsidRPr="00BF1B35" w:rsidRDefault="00BF1B35" w:rsidP="00BF1B35">
            <w:pPr>
              <w:spacing w:line="240" w:lineRule="auto"/>
              <w:ind w:left="140"/>
              <w:rPr>
                <w:rFonts w:eastAsia="Times New Roman" w:cs="Times New Roman"/>
                <w:color w:val="4F81BD"/>
                <w:szCs w:val="24"/>
              </w:rPr>
            </w:pP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6E5E7845" w14:textId="77777777" w:rsidR="00BF1B35" w:rsidRPr="00BF1B35" w:rsidRDefault="00BF1B35" w:rsidP="00BF1B35">
            <w:pPr>
              <w:spacing w:line="240" w:lineRule="auto"/>
              <w:ind w:left="140"/>
              <w:rPr>
                <w:rFonts w:eastAsia="Times New Roman" w:cs="Times New Roman"/>
                <w:color w:val="4F81BD"/>
                <w:szCs w:val="24"/>
              </w:rPr>
            </w:pP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3938E574" w14:textId="77777777" w:rsidR="00BF1B35" w:rsidRPr="00BF1B35" w:rsidRDefault="00BF1B35" w:rsidP="00BF1B35">
            <w:pPr>
              <w:spacing w:line="240" w:lineRule="auto"/>
              <w:ind w:left="140"/>
              <w:rPr>
                <w:rFonts w:eastAsia="Times New Roman" w:cs="Times New Roman"/>
                <w:color w:val="4F81BD"/>
                <w:szCs w:val="24"/>
              </w:rPr>
            </w:pPr>
          </w:p>
        </w:tc>
        <w:tc>
          <w:tcPr>
            <w:tcW w:w="1125" w:type="dxa"/>
            <w:tcBorders>
              <w:top w:val="nil"/>
              <w:left w:val="nil"/>
              <w:bottom w:val="single" w:sz="8" w:space="0" w:color="000000"/>
              <w:right w:val="single" w:sz="8" w:space="0" w:color="000000"/>
            </w:tcBorders>
            <w:tcMar>
              <w:top w:w="100" w:type="dxa"/>
              <w:left w:w="100" w:type="dxa"/>
              <w:bottom w:w="100" w:type="dxa"/>
              <w:right w:w="100" w:type="dxa"/>
            </w:tcMar>
          </w:tcPr>
          <w:p w14:paraId="56C76CAE" w14:textId="77777777" w:rsidR="00BF1B35" w:rsidRPr="00BF1B35" w:rsidRDefault="00BF1B35" w:rsidP="00BF1B35">
            <w:pPr>
              <w:spacing w:line="240" w:lineRule="auto"/>
              <w:ind w:left="140"/>
              <w:rPr>
                <w:rFonts w:eastAsia="Times New Roman" w:cs="Times New Roman"/>
                <w:color w:val="4F81BD"/>
                <w:szCs w:val="24"/>
              </w:rPr>
            </w:pPr>
          </w:p>
        </w:tc>
        <w:tc>
          <w:tcPr>
            <w:tcW w:w="1125" w:type="dxa"/>
            <w:tcBorders>
              <w:top w:val="nil"/>
              <w:left w:val="nil"/>
              <w:bottom w:val="single" w:sz="8" w:space="0" w:color="000000"/>
              <w:right w:val="single" w:sz="8" w:space="0" w:color="000000"/>
            </w:tcBorders>
            <w:tcMar>
              <w:top w:w="100" w:type="dxa"/>
              <w:left w:w="100" w:type="dxa"/>
              <w:bottom w:w="100" w:type="dxa"/>
              <w:right w:w="100" w:type="dxa"/>
            </w:tcMar>
          </w:tcPr>
          <w:p w14:paraId="3BA12B60" w14:textId="77777777" w:rsidR="00BF1B35" w:rsidRPr="00BF1B35" w:rsidRDefault="00BF1B35" w:rsidP="00BF1B35">
            <w:pPr>
              <w:spacing w:line="240" w:lineRule="auto"/>
              <w:ind w:left="140"/>
              <w:rPr>
                <w:rFonts w:eastAsia="Times New Roman" w:cs="Times New Roman"/>
                <w:color w:val="4F81BD"/>
                <w:szCs w:val="24"/>
              </w:rPr>
            </w:pPr>
          </w:p>
        </w:tc>
      </w:tr>
      <w:tr w:rsidR="00BF1B35" w:rsidRPr="00BF1B35" w14:paraId="461BDAC3" w14:textId="77777777" w:rsidTr="00BF1B35">
        <w:trPr>
          <w:trHeight w:val="287"/>
          <w:jc w:val="center"/>
        </w:trPr>
        <w:tc>
          <w:tcPr>
            <w:tcW w:w="2340" w:type="dxa"/>
            <w:tcBorders>
              <w:top w:val="nil"/>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5EE633B1" w14:textId="77777777" w:rsidR="00BF1B35" w:rsidRPr="00BF1B35" w:rsidRDefault="00BF1B35" w:rsidP="00BF1B35">
            <w:pPr>
              <w:spacing w:line="240" w:lineRule="auto"/>
              <w:ind w:left="140"/>
              <w:rPr>
                <w:rFonts w:eastAsia="Times New Roman" w:cs="Times New Roman"/>
                <w:b/>
                <w:szCs w:val="24"/>
              </w:rPr>
            </w:pPr>
            <w:r w:rsidRPr="00BF1B35">
              <w:rPr>
                <w:rFonts w:eastAsia="Times New Roman" w:cs="Times New Roman"/>
                <w:b/>
                <w:szCs w:val="24"/>
              </w:rPr>
              <w:t>Composition of the literature review</w:t>
            </w: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14:paraId="4059E724" w14:textId="77777777" w:rsidR="00BF1B35" w:rsidRPr="00BF1B35" w:rsidRDefault="00BF1B35" w:rsidP="00BF1B35">
            <w:pPr>
              <w:spacing w:line="240" w:lineRule="auto"/>
              <w:ind w:left="140"/>
              <w:rPr>
                <w:rFonts w:eastAsia="Times New Roman" w:cs="Times New Roman"/>
                <w:color w:val="4F81BD"/>
                <w:szCs w:val="24"/>
              </w:rPr>
            </w:pPr>
          </w:p>
        </w:tc>
        <w:tc>
          <w:tcPr>
            <w:tcW w:w="1215"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540521C0" w14:textId="77777777" w:rsidR="00BF1B35" w:rsidRPr="00BF1B35" w:rsidRDefault="00BF1B35" w:rsidP="00BF1B35">
            <w:pPr>
              <w:spacing w:line="240" w:lineRule="auto"/>
              <w:ind w:left="-100"/>
              <w:rPr>
                <w:rFonts w:eastAsia="Times New Roman" w:cs="Times New Roman"/>
                <w:color w:val="4F81BD"/>
                <w:szCs w:val="24"/>
              </w:rPr>
            </w:pP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63EC9C23" w14:textId="77777777" w:rsidR="00BF1B35" w:rsidRPr="00BF1B35" w:rsidRDefault="00BF1B35" w:rsidP="00BF1B35">
            <w:pPr>
              <w:spacing w:line="240" w:lineRule="auto"/>
              <w:ind w:left="140"/>
              <w:rPr>
                <w:rFonts w:eastAsia="Times New Roman" w:cs="Times New Roman"/>
                <w:color w:val="4F81BD"/>
                <w:szCs w:val="24"/>
              </w:rPr>
            </w:pP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072EDF4F" w14:textId="77777777" w:rsidR="00BF1B35" w:rsidRPr="00BF1B35" w:rsidRDefault="00BF1B35" w:rsidP="00BF1B35">
            <w:pPr>
              <w:spacing w:line="240" w:lineRule="auto"/>
              <w:ind w:left="140"/>
              <w:rPr>
                <w:rFonts w:eastAsia="Times New Roman" w:cs="Times New Roman"/>
                <w:color w:val="4F81BD"/>
                <w:szCs w:val="24"/>
              </w:rPr>
            </w:pPr>
          </w:p>
        </w:tc>
        <w:tc>
          <w:tcPr>
            <w:tcW w:w="1125" w:type="dxa"/>
            <w:tcBorders>
              <w:top w:val="nil"/>
              <w:left w:val="nil"/>
              <w:bottom w:val="single" w:sz="8" w:space="0" w:color="000000"/>
              <w:right w:val="single" w:sz="8" w:space="0" w:color="000000"/>
            </w:tcBorders>
            <w:tcMar>
              <w:top w:w="100" w:type="dxa"/>
              <w:left w:w="100" w:type="dxa"/>
              <w:bottom w:w="100" w:type="dxa"/>
              <w:right w:w="100" w:type="dxa"/>
            </w:tcMar>
          </w:tcPr>
          <w:p w14:paraId="2C397F17" w14:textId="77777777" w:rsidR="00BF1B35" w:rsidRPr="00BF1B35" w:rsidRDefault="00BF1B35" w:rsidP="00BF1B35">
            <w:pPr>
              <w:spacing w:line="240" w:lineRule="auto"/>
              <w:ind w:left="140"/>
              <w:rPr>
                <w:rFonts w:eastAsia="Times New Roman" w:cs="Times New Roman"/>
                <w:color w:val="4F81BD"/>
                <w:szCs w:val="24"/>
              </w:rPr>
            </w:pPr>
          </w:p>
        </w:tc>
        <w:tc>
          <w:tcPr>
            <w:tcW w:w="1125" w:type="dxa"/>
            <w:tcBorders>
              <w:top w:val="nil"/>
              <w:left w:val="nil"/>
              <w:bottom w:val="single" w:sz="8" w:space="0" w:color="000000"/>
              <w:right w:val="single" w:sz="8" w:space="0" w:color="000000"/>
            </w:tcBorders>
            <w:tcMar>
              <w:top w:w="100" w:type="dxa"/>
              <w:left w:w="100" w:type="dxa"/>
              <w:bottom w:w="100" w:type="dxa"/>
              <w:right w:w="100" w:type="dxa"/>
            </w:tcMar>
          </w:tcPr>
          <w:p w14:paraId="34CD6155" w14:textId="77777777" w:rsidR="00BF1B35" w:rsidRPr="00BF1B35" w:rsidRDefault="00BF1B35" w:rsidP="00BF1B35">
            <w:pPr>
              <w:spacing w:line="240" w:lineRule="auto"/>
              <w:ind w:left="140"/>
              <w:rPr>
                <w:rFonts w:eastAsia="Times New Roman" w:cs="Times New Roman"/>
                <w:color w:val="4F81BD"/>
                <w:szCs w:val="24"/>
              </w:rPr>
            </w:pPr>
          </w:p>
        </w:tc>
      </w:tr>
      <w:tr w:rsidR="00BF1B35" w:rsidRPr="00BF1B35" w14:paraId="62843AE0" w14:textId="77777777" w:rsidTr="00BF1B35">
        <w:trPr>
          <w:trHeight w:val="485"/>
          <w:jc w:val="center"/>
        </w:trPr>
        <w:tc>
          <w:tcPr>
            <w:tcW w:w="2340" w:type="dxa"/>
            <w:tcBorders>
              <w:top w:val="nil"/>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35A43F5C" w14:textId="77777777" w:rsidR="00BF1B35" w:rsidRPr="00BF1B35" w:rsidRDefault="00BF1B35" w:rsidP="00BF1B35">
            <w:pPr>
              <w:spacing w:line="240" w:lineRule="auto"/>
              <w:ind w:left="140"/>
              <w:rPr>
                <w:rFonts w:eastAsia="Times New Roman" w:cs="Times New Roman"/>
                <w:b/>
                <w:szCs w:val="24"/>
              </w:rPr>
            </w:pPr>
            <w:r w:rsidRPr="00BF1B35">
              <w:rPr>
                <w:rFonts w:eastAsia="Times New Roman" w:cs="Times New Roman"/>
                <w:b/>
                <w:szCs w:val="24"/>
              </w:rPr>
              <w:t>Research methodology</w:t>
            </w: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14:paraId="791F8210" w14:textId="77777777" w:rsidR="00BF1B35" w:rsidRPr="00BF1B35" w:rsidRDefault="00BF1B35" w:rsidP="00BF1B35">
            <w:pPr>
              <w:spacing w:line="240" w:lineRule="auto"/>
              <w:ind w:left="140"/>
              <w:rPr>
                <w:rFonts w:eastAsia="Times New Roman" w:cs="Times New Roman"/>
                <w:color w:val="4F81BD"/>
                <w:szCs w:val="24"/>
              </w:rPr>
            </w:pP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14:paraId="48CD9141" w14:textId="77777777" w:rsidR="00BF1B35" w:rsidRPr="00BF1B35" w:rsidRDefault="00BF1B35" w:rsidP="00BF1B35">
            <w:pPr>
              <w:spacing w:line="240" w:lineRule="auto"/>
              <w:ind w:left="140"/>
              <w:rPr>
                <w:rFonts w:eastAsia="Times New Roman" w:cs="Times New Roman"/>
                <w:color w:val="4F81BD"/>
                <w:szCs w:val="24"/>
              </w:rPr>
            </w:pPr>
          </w:p>
        </w:tc>
        <w:tc>
          <w:tcPr>
            <w:tcW w:w="1230" w:type="dxa"/>
            <w:tcBorders>
              <w:top w:val="nil"/>
              <w:left w:val="nil"/>
              <w:bottom w:val="single" w:sz="8" w:space="0" w:color="000000"/>
              <w:right w:val="single" w:sz="8" w:space="0" w:color="000000"/>
            </w:tcBorders>
            <w:shd w:val="clear" w:color="auto" w:fill="4F81BD"/>
            <w:tcMar>
              <w:top w:w="100" w:type="dxa"/>
              <w:left w:w="100" w:type="dxa"/>
              <w:bottom w:w="100" w:type="dxa"/>
              <w:right w:w="100" w:type="dxa"/>
            </w:tcMar>
          </w:tcPr>
          <w:p w14:paraId="114A44C1" w14:textId="77777777" w:rsidR="00BF1B35" w:rsidRPr="00BF1B35" w:rsidRDefault="00BF1B35" w:rsidP="00BF1B35">
            <w:pPr>
              <w:spacing w:line="240" w:lineRule="auto"/>
              <w:ind w:left="-100"/>
              <w:rPr>
                <w:rFonts w:eastAsia="Times New Roman" w:cs="Times New Roman"/>
                <w:color w:val="4F81BD"/>
                <w:szCs w:val="24"/>
              </w:rPr>
            </w:pP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693C674B" w14:textId="77777777" w:rsidR="00BF1B35" w:rsidRPr="00BF1B35" w:rsidRDefault="00BF1B35" w:rsidP="00BF1B35">
            <w:pPr>
              <w:spacing w:line="240" w:lineRule="auto"/>
              <w:ind w:left="140"/>
              <w:rPr>
                <w:rFonts w:eastAsia="Times New Roman" w:cs="Times New Roman"/>
                <w:color w:val="4F81BD"/>
                <w:szCs w:val="24"/>
              </w:rPr>
            </w:pPr>
          </w:p>
        </w:tc>
        <w:tc>
          <w:tcPr>
            <w:tcW w:w="1125" w:type="dxa"/>
            <w:tcBorders>
              <w:top w:val="nil"/>
              <w:left w:val="nil"/>
              <w:bottom w:val="single" w:sz="8" w:space="0" w:color="000000"/>
              <w:right w:val="single" w:sz="8" w:space="0" w:color="000000"/>
            </w:tcBorders>
            <w:tcMar>
              <w:top w:w="100" w:type="dxa"/>
              <w:left w:w="100" w:type="dxa"/>
              <w:bottom w:w="100" w:type="dxa"/>
              <w:right w:w="100" w:type="dxa"/>
            </w:tcMar>
          </w:tcPr>
          <w:p w14:paraId="4D539784" w14:textId="77777777" w:rsidR="00BF1B35" w:rsidRPr="00BF1B35" w:rsidRDefault="00BF1B35" w:rsidP="00BF1B35">
            <w:pPr>
              <w:spacing w:line="240" w:lineRule="auto"/>
              <w:ind w:left="140"/>
              <w:rPr>
                <w:rFonts w:eastAsia="Times New Roman" w:cs="Times New Roman"/>
                <w:color w:val="4F81BD"/>
                <w:szCs w:val="24"/>
              </w:rPr>
            </w:pPr>
          </w:p>
        </w:tc>
        <w:tc>
          <w:tcPr>
            <w:tcW w:w="1125" w:type="dxa"/>
            <w:tcBorders>
              <w:top w:val="nil"/>
              <w:left w:val="nil"/>
              <w:bottom w:val="single" w:sz="8" w:space="0" w:color="000000"/>
              <w:right w:val="single" w:sz="8" w:space="0" w:color="000000"/>
            </w:tcBorders>
            <w:tcMar>
              <w:top w:w="100" w:type="dxa"/>
              <w:left w:w="100" w:type="dxa"/>
              <w:bottom w:w="100" w:type="dxa"/>
              <w:right w:w="100" w:type="dxa"/>
            </w:tcMar>
          </w:tcPr>
          <w:p w14:paraId="1AE872AE" w14:textId="77777777" w:rsidR="00BF1B35" w:rsidRPr="00BF1B35" w:rsidRDefault="00BF1B35" w:rsidP="00BF1B35">
            <w:pPr>
              <w:spacing w:line="240" w:lineRule="auto"/>
              <w:ind w:left="140"/>
              <w:rPr>
                <w:rFonts w:eastAsia="Times New Roman" w:cs="Times New Roman"/>
                <w:color w:val="4F81BD"/>
                <w:szCs w:val="24"/>
              </w:rPr>
            </w:pPr>
          </w:p>
        </w:tc>
      </w:tr>
      <w:tr w:rsidR="00BF1B35" w:rsidRPr="00BF1B35" w14:paraId="1ACBF79E" w14:textId="77777777" w:rsidTr="00BF1B35">
        <w:trPr>
          <w:trHeight w:val="332"/>
          <w:jc w:val="center"/>
        </w:trPr>
        <w:tc>
          <w:tcPr>
            <w:tcW w:w="2340" w:type="dxa"/>
            <w:tcBorders>
              <w:top w:val="nil"/>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05D39006" w14:textId="77777777" w:rsidR="00BF1B35" w:rsidRPr="00BF1B35" w:rsidRDefault="00BF1B35" w:rsidP="00BF1B35">
            <w:pPr>
              <w:spacing w:line="240" w:lineRule="auto"/>
              <w:ind w:left="140"/>
              <w:rPr>
                <w:rFonts w:eastAsia="Times New Roman" w:cs="Times New Roman"/>
                <w:b/>
                <w:szCs w:val="24"/>
              </w:rPr>
            </w:pPr>
            <w:r w:rsidRPr="00BF1B35">
              <w:rPr>
                <w:rFonts w:eastAsia="Times New Roman" w:cs="Times New Roman"/>
                <w:b/>
                <w:szCs w:val="24"/>
              </w:rPr>
              <w:t>Collection of Secondary data</w:t>
            </w: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14:paraId="2048F832" w14:textId="77777777" w:rsidR="00BF1B35" w:rsidRPr="00BF1B35" w:rsidRDefault="00BF1B35" w:rsidP="00BF1B35">
            <w:pPr>
              <w:spacing w:line="240" w:lineRule="auto"/>
              <w:ind w:left="140"/>
              <w:rPr>
                <w:rFonts w:eastAsia="Times New Roman" w:cs="Times New Roman"/>
                <w:color w:val="4F81BD"/>
                <w:szCs w:val="24"/>
              </w:rPr>
            </w:pP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14:paraId="2A664A9E" w14:textId="77777777" w:rsidR="00BF1B35" w:rsidRPr="00BF1B35" w:rsidRDefault="00BF1B35" w:rsidP="00BF1B35">
            <w:pPr>
              <w:spacing w:line="240" w:lineRule="auto"/>
              <w:ind w:left="140"/>
              <w:rPr>
                <w:rFonts w:eastAsia="Times New Roman" w:cs="Times New Roman"/>
                <w:color w:val="4F81BD"/>
                <w:szCs w:val="24"/>
              </w:rPr>
            </w:pP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31494892" w14:textId="77777777" w:rsidR="00BF1B35" w:rsidRPr="00BF1B35" w:rsidRDefault="00BF1B35" w:rsidP="00BF1B35">
            <w:pPr>
              <w:spacing w:line="240" w:lineRule="auto"/>
              <w:ind w:left="140"/>
              <w:rPr>
                <w:rFonts w:eastAsia="Times New Roman" w:cs="Times New Roman"/>
                <w:color w:val="4F81BD"/>
                <w:szCs w:val="24"/>
              </w:rPr>
            </w:pPr>
          </w:p>
        </w:tc>
        <w:tc>
          <w:tcPr>
            <w:tcW w:w="1155" w:type="dxa"/>
            <w:tcBorders>
              <w:top w:val="nil"/>
              <w:left w:val="nil"/>
              <w:bottom w:val="single" w:sz="8" w:space="0" w:color="000000"/>
              <w:right w:val="single" w:sz="8" w:space="0" w:color="000000"/>
            </w:tcBorders>
            <w:shd w:val="clear" w:color="auto" w:fill="9BBB59"/>
            <w:tcMar>
              <w:top w:w="100" w:type="dxa"/>
              <w:left w:w="100" w:type="dxa"/>
              <w:bottom w:w="100" w:type="dxa"/>
              <w:right w:w="100" w:type="dxa"/>
            </w:tcMar>
          </w:tcPr>
          <w:p w14:paraId="6371D337" w14:textId="77777777" w:rsidR="00BF1B35" w:rsidRPr="00BF1B35" w:rsidRDefault="00BF1B35" w:rsidP="00BF1B35">
            <w:pPr>
              <w:spacing w:line="240" w:lineRule="auto"/>
              <w:ind w:left="-100"/>
              <w:rPr>
                <w:rFonts w:eastAsia="Times New Roman" w:cs="Times New Roman"/>
                <w:color w:val="4F81BD"/>
                <w:szCs w:val="24"/>
              </w:rPr>
            </w:pPr>
          </w:p>
        </w:tc>
        <w:tc>
          <w:tcPr>
            <w:tcW w:w="1125" w:type="dxa"/>
            <w:tcBorders>
              <w:top w:val="nil"/>
              <w:left w:val="nil"/>
              <w:bottom w:val="single" w:sz="8" w:space="0" w:color="000000"/>
              <w:right w:val="single" w:sz="8" w:space="0" w:color="000000"/>
            </w:tcBorders>
            <w:tcMar>
              <w:top w:w="100" w:type="dxa"/>
              <w:left w:w="100" w:type="dxa"/>
              <w:bottom w:w="100" w:type="dxa"/>
              <w:right w:w="100" w:type="dxa"/>
            </w:tcMar>
          </w:tcPr>
          <w:p w14:paraId="20C0DE71" w14:textId="77777777" w:rsidR="00BF1B35" w:rsidRPr="00BF1B35" w:rsidRDefault="00BF1B35" w:rsidP="00BF1B35">
            <w:pPr>
              <w:spacing w:line="240" w:lineRule="auto"/>
              <w:ind w:left="140"/>
              <w:rPr>
                <w:rFonts w:eastAsia="Times New Roman" w:cs="Times New Roman"/>
                <w:color w:val="4F81BD"/>
                <w:szCs w:val="24"/>
              </w:rPr>
            </w:pPr>
          </w:p>
        </w:tc>
        <w:tc>
          <w:tcPr>
            <w:tcW w:w="1125" w:type="dxa"/>
            <w:tcBorders>
              <w:top w:val="nil"/>
              <w:left w:val="nil"/>
              <w:bottom w:val="single" w:sz="8" w:space="0" w:color="000000"/>
              <w:right w:val="single" w:sz="8" w:space="0" w:color="000000"/>
            </w:tcBorders>
            <w:tcMar>
              <w:top w:w="100" w:type="dxa"/>
              <w:left w:w="100" w:type="dxa"/>
              <w:bottom w:w="100" w:type="dxa"/>
              <w:right w:w="100" w:type="dxa"/>
            </w:tcMar>
          </w:tcPr>
          <w:p w14:paraId="22225963" w14:textId="77777777" w:rsidR="00BF1B35" w:rsidRPr="00BF1B35" w:rsidRDefault="00BF1B35" w:rsidP="00BF1B35">
            <w:pPr>
              <w:spacing w:line="240" w:lineRule="auto"/>
              <w:ind w:left="140"/>
              <w:rPr>
                <w:rFonts w:eastAsia="Times New Roman" w:cs="Times New Roman"/>
                <w:color w:val="4F81BD"/>
                <w:szCs w:val="24"/>
              </w:rPr>
            </w:pPr>
          </w:p>
        </w:tc>
      </w:tr>
      <w:tr w:rsidR="00BF1B35" w:rsidRPr="00BF1B35" w14:paraId="4A279D90" w14:textId="77777777" w:rsidTr="00BF1B35">
        <w:trPr>
          <w:trHeight w:val="467"/>
          <w:jc w:val="center"/>
        </w:trPr>
        <w:tc>
          <w:tcPr>
            <w:tcW w:w="2340" w:type="dxa"/>
            <w:tcBorders>
              <w:top w:val="nil"/>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1DE73B46" w14:textId="77777777" w:rsidR="00BF1B35" w:rsidRPr="00BF1B35" w:rsidRDefault="00BF1B35" w:rsidP="00BF1B35">
            <w:pPr>
              <w:spacing w:line="240" w:lineRule="auto"/>
              <w:ind w:left="140"/>
              <w:rPr>
                <w:rFonts w:eastAsia="Times New Roman" w:cs="Times New Roman"/>
                <w:b/>
                <w:szCs w:val="24"/>
              </w:rPr>
            </w:pPr>
            <w:r w:rsidRPr="00BF1B35">
              <w:rPr>
                <w:rFonts w:eastAsia="Times New Roman" w:cs="Times New Roman"/>
                <w:b/>
                <w:szCs w:val="24"/>
              </w:rPr>
              <w:t>Analysis and interpretation of data</w:t>
            </w: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14:paraId="4AD99BDC" w14:textId="77777777" w:rsidR="00BF1B35" w:rsidRPr="00BF1B35" w:rsidRDefault="00BF1B35" w:rsidP="00BF1B35">
            <w:pPr>
              <w:spacing w:line="240" w:lineRule="auto"/>
              <w:ind w:left="140"/>
              <w:rPr>
                <w:rFonts w:eastAsia="Times New Roman" w:cs="Times New Roman"/>
                <w:color w:val="4F81BD"/>
                <w:szCs w:val="24"/>
              </w:rPr>
            </w:pP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14:paraId="193D1FF0" w14:textId="77777777" w:rsidR="00BF1B35" w:rsidRPr="00BF1B35" w:rsidRDefault="00BF1B35" w:rsidP="00BF1B35">
            <w:pPr>
              <w:spacing w:line="240" w:lineRule="auto"/>
              <w:ind w:left="140"/>
              <w:rPr>
                <w:rFonts w:eastAsia="Times New Roman" w:cs="Times New Roman"/>
                <w:color w:val="4F81BD"/>
                <w:szCs w:val="24"/>
              </w:rPr>
            </w:pP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58FF0BEF" w14:textId="77777777" w:rsidR="00BF1B35" w:rsidRPr="00BF1B35" w:rsidRDefault="00BF1B35" w:rsidP="00BF1B35">
            <w:pPr>
              <w:spacing w:line="240" w:lineRule="auto"/>
              <w:ind w:left="140"/>
              <w:rPr>
                <w:rFonts w:eastAsia="Times New Roman" w:cs="Times New Roman"/>
                <w:color w:val="4F81BD"/>
                <w:szCs w:val="24"/>
              </w:rPr>
            </w:pP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4B79B02E" w14:textId="77777777" w:rsidR="00BF1B35" w:rsidRPr="00BF1B35" w:rsidRDefault="00BF1B35" w:rsidP="00BF1B35">
            <w:pPr>
              <w:spacing w:line="240" w:lineRule="auto"/>
              <w:ind w:left="-100"/>
              <w:rPr>
                <w:rFonts w:eastAsia="Times New Roman" w:cs="Times New Roman"/>
                <w:color w:val="4F81BD"/>
                <w:szCs w:val="24"/>
              </w:rPr>
            </w:pPr>
          </w:p>
        </w:tc>
        <w:tc>
          <w:tcPr>
            <w:tcW w:w="1125" w:type="dxa"/>
            <w:tcBorders>
              <w:top w:val="nil"/>
              <w:left w:val="nil"/>
              <w:bottom w:val="single" w:sz="8" w:space="0" w:color="000000"/>
              <w:right w:val="single" w:sz="8" w:space="0" w:color="000000"/>
            </w:tcBorders>
            <w:shd w:val="clear" w:color="auto" w:fill="F79646"/>
            <w:tcMar>
              <w:top w:w="100" w:type="dxa"/>
              <w:left w:w="100" w:type="dxa"/>
              <w:bottom w:w="100" w:type="dxa"/>
              <w:right w:w="100" w:type="dxa"/>
            </w:tcMar>
          </w:tcPr>
          <w:p w14:paraId="1668C52E" w14:textId="77777777" w:rsidR="00BF1B35" w:rsidRPr="00BF1B35" w:rsidRDefault="00BF1B35" w:rsidP="00BF1B35">
            <w:pPr>
              <w:spacing w:line="240" w:lineRule="auto"/>
              <w:ind w:left="140"/>
              <w:rPr>
                <w:rFonts w:eastAsia="Times New Roman" w:cs="Times New Roman"/>
                <w:color w:val="4F81BD"/>
                <w:szCs w:val="24"/>
              </w:rPr>
            </w:pPr>
          </w:p>
        </w:tc>
        <w:tc>
          <w:tcPr>
            <w:tcW w:w="1125" w:type="dxa"/>
            <w:tcBorders>
              <w:top w:val="nil"/>
              <w:left w:val="nil"/>
              <w:bottom w:val="single" w:sz="8" w:space="0" w:color="000000"/>
              <w:right w:val="single" w:sz="8" w:space="0" w:color="000000"/>
            </w:tcBorders>
            <w:tcMar>
              <w:top w:w="100" w:type="dxa"/>
              <w:left w:w="100" w:type="dxa"/>
              <w:bottom w:w="100" w:type="dxa"/>
              <w:right w:w="100" w:type="dxa"/>
            </w:tcMar>
          </w:tcPr>
          <w:p w14:paraId="4C6141D6" w14:textId="77777777" w:rsidR="00BF1B35" w:rsidRPr="00BF1B35" w:rsidRDefault="00BF1B35" w:rsidP="00BF1B35">
            <w:pPr>
              <w:spacing w:line="240" w:lineRule="auto"/>
              <w:ind w:left="140"/>
              <w:rPr>
                <w:rFonts w:eastAsia="Times New Roman" w:cs="Times New Roman"/>
                <w:color w:val="4F81BD"/>
                <w:szCs w:val="24"/>
              </w:rPr>
            </w:pPr>
          </w:p>
        </w:tc>
      </w:tr>
      <w:tr w:rsidR="00BF1B35" w:rsidRPr="00BF1B35" w14:paraId="60F3FC6E" w14:textId="77777777" w:rsidTr="00BF1B35">
        <w:trPr>
          <w:trHeight w:val="260"/>
          <w:jc w:val="center"/>
        </w:trPr>
        <w:tc>
          <w:tcPr>
            <w:tcW w:w="2340" w:type="dxa"/>
            <w:tcBorders>
              <w:top w:val="nil"/>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6CD46996" w14:textId="77777777" w:rsidR="00BF1B35" w:rsidRPr="00BF1B35" w:rsidRDefault="00BF1B35" w:rsidP="00BF1B35">
            <w:pPr>
              <w:spacing w:line="240" w:lineRule="auto"/>
              <w:ind w:left="140"/>
              <w:rPr>
                <w:rFonts w:eastAsia="Times New Roman" w:cs="Times New Roman"/>
                <w:b/>
                <w:szCs w:val="24"/>
              </w:rPr>
            </w:pPr>
            <w:r w:rsidRPr="00BF1B35">
              <w:rPr>
                <w:rFonts w:eastAsia="Times New Roman" w:cs="Times New Roman"/>
                <w:b/>
                <w:szCs w:val="24"/>
              </w:rPr>
              <w:t>Findings</w:t>
            </w: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14:paraId="2BE39C40" w14:textId="77777777" w:rsidR="00BF1B35" w:rsidRPr="00BF1B35" w:rsidRDefault="00BF1B35" w:rsidP="00BF1B35">
            <w:pPr>
              <w:spacing w:line="240" w:lineRule="auto"/>
              <w:ind w:left="140"/>
              <w:rPr>
                <w:rFonts w:eastAsia="Times New Roman" w:cs="Times New Roman"/>
                <w:color w:val="4F81BD"/>
                <w:szCs w:val="24"/>
              </w:rPr>
            </w:pP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14:paraId="55EE075C" w14:textId="77777777" w:rsidR="00BF1B35" w:rsidRPr="00BF1B35" w:rsidRDefault="00BF1B35" w:rsidP="00BF1B35">
            <w:pPr>
              <w:spacing w:line="240" w:lineRule="auto"/>
              <w:ind w:left="140"/>
              <w:rPr>
                <w:rFonts w:eastAsia="Times New Roman" w:cs="Times New Roman"/>
                <w:color w:val="4F81BD"/>
                <w:szCs w:val="24"/>
              </w:rPr>
            </w:pP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279D3289" w14:textId="77777777" w:rsidR="00BF1B35" w:rsidRPr="00BF1B35" w:rsidRDefault="00BF1B35" w:rsidP="00BF1B35">
            <w:pPr>
              <w:spacing w:line="240" w:lineRule="auto"/>
              <w:ind w:left="140"/>
              <w:rPr>
                <w:rFonts w:eastAsia="Times New Roman" w:cs="Times New Roman"/>
                <w:color w:val="4F81BD"/>
                <w:szCs w:val="24"/>
              </w:rPr>
            </w:pP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54A86AA4" w14:textId="77777777" w:rsidR="00BF1B35" w:rsidRPr="00BF1B35" w:rsidRDefault="00BF1B35" w:rsidP="00BF1B35">
            <w:pPr>
              <w:spacing w:line="240" w:lineRule="auto"/>
              <w:ind w:left="140"/>
              <w:rPr>
                <w:rFonts w:eastAsia="Times New Roman" w:cs="Times New Roman"/>
                <w:color w:val="4F81BD"/>
                <w:szCs w:val="24"/>
              </w:rPr>
            </w:pPr>
          </w:p>
        </w:tc>
        <w:tc>
          <w:tcPr>
            <w:tcW w:w="1125" w:type="dxa"/>
            <w:tcBorders>
              <w:top w:val="nil"/>
              <w:left w:val="nil"/>
              <w:bottom w:val="single" w:sz="8" w:space="0" w:color="000000"/>
              <w:right w:val="single" w:sz="8" w:space="0" w:color="000000"/>
            </w:tcBorders>
            <w:shd w:val="clear" w:color="auto" w:fill="984806"/>
            <w:tcMar>
              <w:top w:w="100" w:type="dxa"/>
              <w:left w:w="100" w:type="dxa"/>
              <w:bottom w:w="100" w:type="dxa"/>
              <w:right w:w="100" w:type="dxa"/>
            </w:tcMar>
          </w:tcPr>
          <w:p w14:paraId="5C0FEA3F" w14:textId="77777777" w:rsidR="00BF1B35" w:rsidRPr="00BF1B35" w:rsidRDefault="00BF1B35" w:rsidP="00BF1B35">
            <w:pPr>
              <w:spacing w:line="240" w:lineRule="auto"/>
              <w:ind w:left="-100"/>
              <w:rPr>
                <w:rFonts w:eastAsia="Times New Roman" w:cs="Times New Roman"/>
                <w:color w:val="4F81BD"/>
                <w:szCs w:val="24"/>
              </w:rPr>
            </w:pPr>
          </w:p>
        </w:tc>
        <w:tc>
          <w:tcPr>
            <w:tcW w:w="1125" w:type="dxa"/>
            <w:tcBorders>
              <w:top w:val="nil"/>
              <w:left w:val="nil"/>
              <w:bottom w:val="single" w:sz="8" w:space="0" w:color="000000"/>
              <w:right w:val="single" w:sz="8" w:space="0" w:color="000000"/>
            </w:tcBorders>
            <w:tcMar>
              <w:top w:w="100" w:type="dxa"/>
              <w:left w:w="100" w:type="dxa"/>
              <w:bottom w:w="100" w:type="dxa"/>
              <w:right w:w="100" w:type="dxa"/>
            </w:tcMar>
          </w:tcPr>
          <w:p w14:paraId="699A5677" w14:textId="77777777" w:rsidR="00BF1B35" w:rsidRPr="00BF1B35" w:rsidRDefault="00BF1B35" w:rsidP="00BF1B35">
            <w:pPr>
              <w:spacing w:line="240" w:lineRule="auto"/>
              <w:ind w:left="260"/>
              <w:rPr>
                <w:rFonts w:eastAsia="Times New Roman" w:cs="Times New Roman"/>
                <w:color w:val="4F81BD"/>
                <w:szCs w:val="24"/>
              </w:rPr>
            </w:pPr>
          </w:p>
        </w:tc>
      </w:tr>
      <w:tr w:rsidR="00BF1B35" w:rsidRPr="00BF1B35" w14:paraId="5325D10A" w14:textId="77777777" w:rsidTr="00BF1B35">
        <w:trPr>
          <w:trHeight w:val="422"/>
          <w:jc w:val="center"/>
        </w:trPr>
        <w:tc>
          <w:tcPr>
            <w:tcW w:w="2340" w:type="dxa"/>
            <w:tcBorders>
              <w:top w:val="nil"/>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0B27E2B4" w14:textId="77777777" w:rsidR="00BF1B35" w:rsidRPr="00BF1B35" w:rsidRDefault="00BF1B35" w:rsidP="00BF1B35">
            <w:pPr>
              <w:spacing w:line="240" w:lineRule="auto"/>
              <w:ind w:left="140"/>
              <w:rPr>
                <w:rFonts w:eastAsia="Times New Roman" w:cs="Times New Roman"/>
                <w:b/>
                <w:szCs w:val="24"/>
              </w:rPr>
            </w:pPr>
            <w:r w:rsidRPr="00BF1B35">
              <w:rPr>
                <w:rFonts w:eastAsia="Times New Roman" w:cs="Times New Roman"/>
                <w:b/>
                <w:szCs w:val="24"/>
              </w:rPr>
              <w:t>Conclusion and Recommendation</w:t>
            </w: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14:paraId="1430C598" w14:textId="77777777" w:rsidR="00BF1B35" w:rsidRPr="00BF1B35" w:rsidRDefault="00BF1B35" w:rsidP="00BF1B35">
            <w:pPr>
              <w:spacing w:line="240" w:lineRule="auto"/>
              <w:ind w:left="140"/>
              <w:rPr>
                <w:rFonts w:eastAsia="Times New Roman" w:cs="Times New Roman"/>
                <w:color w:val="4F81BD"/>
                <w:szCs w:val="24"/>
              </w:rPr>
            </w:pP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14:paraId="2E192685" w14:textId="77777777" w:rsidR="00BF1B35" w:rsidRPr="00BF1B35" w:rsidRDefault="00BF1B35" w:rsidP="00BF1B35">
            <w:pPr>
              <w:spacing w:line="240" w:lineRule="auto"/>
              <w:ind w:left="140"/>
              <w:rPr>
                <w:rFonts w:eastAsia="Times New Roman" w:cs="Times New Roman"/>
                <w:color w:val="4F81BD"/>
                <w:szCs w:val="24"/>
              </w:rPr>
            </w:pP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15E78F0A" w14:textId="77777777" w:rsidR="00BF1B35" w:rsidRPr="00BF1B35" w:rsidRDefault="00BF1B35" w:rsidP="00BF1B35">
            <w:pPr>
              <w:spacing w:line="240" w:lineRule="auto"/>
              <w:ind w:left="140"/>
              <w:rPr>
                <w:rFonts w:eastAsia="Times New Roman" w:cs="Times New Roman"/>
                <w:color w:val="4F81BD"/>
                <w:szCs w:val="24"/>
              </w:rPr>
            </w:pP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6F673A7D" w14:textId="77777777" w:rsidR="00BF1B35" w:rsidRPr="00BF1B35" w:rsidRDefault="00BF1B35" w:rsidP="00BF1B35">
            <w:pPr>
              <w:spacing w:line="240" w:lineRule="auto"/>
              <w:ind w:left="140"/>
              <w:rPr>
                <w:rFonts w:eastAsia="Times New Roman" w:cs="Times New Roman"/>
                <w:color w:val="4F81BD"/>
                <w:szCs w:val="24"/>
              </w:rPr>
            </w:pPr>
          </w:p>
        </w:tc>
        <w:tc>
          <w:tcPr>
            <w:tcW w:w="1125" w:type="dxa"/>
            <w:tcBorders>
              <w:top w:val="nil"/>
              <w:left w:val="nil"/>
              <w:bottom w:val="single" w:sz="8" w:space="0" w:color="000000"/>
              <w:right w:val="single" w:sz="8" w:space="0" w:color="000000"/>
            </w:tcBorders>
            <w:shd w:val="clear" w:color="auto" w:fill="FBD4B4"/>
            <w:tcMar>
              <w:top w:w="100" w:type="dxa"/>
              <w:left w:w="100" w:type="dxa"/>
              <w:bottom w:w="100" w:type="dxa"/>
              <w:right w:w="100" w:type="dxa"/>
            </w:tcMar>
          </w:tcPr>
          <w:p w14:paraId="663BAEAA" w14:textId="77777777" w:rsidR="00BF1B35" w:rsidRPr="00BF1B35" w:rsidRDefault="00BF1B35" w:rsidP="00BF1B35">
            <w:pPr>
              <w:spacing w:line="240" w:lineRule="auto"/>
              <w:ind w:left="-100"/>
              <w:rPr>
                <w:rFonts w:eastAsia="Times New Roman" w:cs="Times New Roman"/>
                <w:color w:val="4F81BD"/>
                <w:szCs w:val="24"/>
              </w:rPr>
            </w:pPr>
          </w:p>
        </w:tc>
        <w:tc>
          <w:tcPr>
            <w:tcW w:w="1125" w:type="dxa"/>
            <w:tcBorders>
              <w:top w:val="nil"/>
              <w:left w:val="nil"/>
              <w:bottom w:val="single" w:sz="8" w:space="0" w:color="000000"/>
              <w:right w:val="single" w:sz="8" w:space="0" w:color="000000"/>
            </w:tcBorders>
            <w:tcMar>
              <w:top w:w="100" w:type="dxa"/>
              <w:left w:w="100" w:type="dxa"/>
              <w:bottom w:w="100" w:type="dxa"/>
              <w:right w:w="100" w:type="dxa"/>
            </w:tcMar>
          </w:tcPr>
          <w:p w14:paraId="1AA8A745" w14:textId="77777777" w:rsidR="00BF1B35" w:rsidRPr="00BF1B35" w:rsidRDefault="00BF1B35" w:rsidP="00BF1B35">
            <w:pPr>
              <w:spacing w:line="240" w:lineRule="auto"/>
              <w:ind w:left="260"/>
              <w:rPr>
                <w:rFonts w:eastAsia="Times New Roman" w:cs="Times New Roman"/>
                <w:color w:val="4F81BD"/>
                <w:szCs w:val="24"/>
              </w:rPr>
            </w:pPr>
          </w:p>
        </w:tc>
      </w:tr>
      <w:tr w:rsidR="00BF1B35" w:rsidRPr="00BF1B35" w14:paraId="696FBFA5" w14:textId="77777777" w:rsidTr="00BF1B35">
        <w:trPr>
          <w:trHeight w:val="530"/>
          <w:jc w:val="center"/>
        </w:trPr>
        <w:tc>
          <w:tcPr>
            <w:tcW w:w="2340" w:type="dxa"/>
            <w:tcBorders>
              <w:top w:val="nil"/>
              <w:left w:val="single" w:sz="8" w:space="0" w:color="000000"/>
              <w:bottom w:val="single" w:sz="8" w:space="0" w:color="000000"/>
              <w:right w:val="single" w:sz="8" w:space="0" w:color="000000"/>
            </w:tcBorders>
            <w:shd w:val="clear" w:color="auto" w:fill="FFFFFF" w:themeFill="background1"/>
            <w:tcMar>
              <w:top w:w="100" w:type="dxa"/>
              <w:left w:w="100" w:type="dxa"/>
              <w:bottom w:w="100" w:type="dxa"/>
              <w:right w:w="100" w:type="dxa"/>
            </w:tcMar>
          </w:tcPr>
          <w:p w14:paraId="6CD157B4" w14:textId="77777777" w:rsidR="00BF1B35" w:rsidRPr="00BF1B35" w:rsidRDefault="00BF1B35" w:rsidP="00BF1B35">
            <w:pPr>
              <w:spacing w:line="240" w:lineRule="auto"/>
              <w:ind w:left="140"/>
              <w:rPr>
                <w:rFonts w:eastAsia="Times New Roman" w:cs="Times New Roman"/>
                <w:b/>
                <w:szCs w:val="24"/>
              </w:rPr>
            </w:pPr>
            <w:r w:rsidRPr="00BF1B35">
              <w:rPr>
                <w:rFonts w:eastAsia="Times New Roman" w:cs="Times New Roman"/>
                <w:b/>
                <w:szCs w:val="24"/>
              </w:rPr>
              <w:t>Final submission</w:t>
            </w: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14:paraId="361E83E3" w14:textId="77777777" w:rsidR="00BF1B35" w:rsidRPr="00BF1B35" w:rsidRDefault="00BF1B35" w:rsidP="00BF1B35">
            <w:pPr>
              <w:spacing w:line="240" w:lineRule="auto"/>
              <w:ind w:left="140"/>
              <w:rPr>
                <w:rFonts w:eastAsia="Times New Roman" w:cs="Times New Roman"/>
                <w:color w:val="4F81BD"/>
                <w:szCs w:val="24"/>
              </w:rPr>
            </w:pP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14:paraId="4BB659BB" w14:textId="77777777" w:rsidR="00BF1B35" w:rsidRPr="00BF1B35" w:rsidRDefault="00BF1B35" w:rsidP="00BF1B35">
            <w:pPr>
              <w:spacing w:line="240" w:lineRule="auto"/>
              <w:ind w:left="140"/>
              <w:rPr>
                <w:rFonts w:eastAsia="Times New Roman" w:cs="Times New Roman"/>
                <w:color w:val="4F81BD"/>
                <w:szCs w:val="24"/>
              </w:rPr>
            </w:pPr>
          </w:p>
        </w:tc>
        <w:tc>
          <w:tcPr>
            <w:tcW w:w="1230" w:type="dxa"/>
            <w:tcBorders>
              <w:top w:val="nil"/>
              <w:left w:val="nil"/>
              <w:bottom w:val="single" w:sz="8" w:space="0" w:color="000000"/>
              <w:right w:val="single" w:sz="8" w:space="0" w:color="000000"/>
            </w:tcBorders>
            <w:tcMar>
              <w:top w:w="100" w:type="dxa"/>
              <w:left w:w="100" w:type="dxa"/>
              <w:bottom w:w="100" w:type="dxa"/>
              <w:right w:w="100" w:type="dxa"/>
            </w:tcMar>
          </w:tcPr>
          <w:p w14:paraId="2D9D329A" w14:textId="77777777" w:rsidR="00BF1B35" w:rsidRPr="00BF1B35" w:rsidRDefault="00BF1B35" w:rsidP="00BF1B35">
            <w:pPr>
              <w:spacing w:line="240" w:lineRule="auto"/>
              <w:ind w:left="140"/>
              <w:rPr>
                <w:rFonts w:eastAsia="Times New Roman" w:cs="Times New Roman"/>
                <w:color w:val="4F81BD"/>
                <w:szCs w:val="24"/>
              </w:rPr>
            </w:pP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02AB055B" w14:textId="77777777" w:rsidR="00BF1B35" w:rsidRPr="00BF1B35" w:rsidRDefault="00BF1B35" w:rsidP="00BF1B35">
            <w:pPr>
              <w:spacing w:line="240" w:lineRule="auto"/>
              <w:ind w:left="140"/>
              <w:rPr>
                <w:rFonts w:eastAsia="Times New Roman" w:cs="Times New Roman"/>
                <w:color w:val="4F81BD"/>
                <w:szCs w:val="24"/>
              </w:rPr>
            </w:pPr>
          </w:p>
        </w:tc>
        <w:tc>
          <w:tcPr>
            <w:tcW w:w="1125" w:type="dxa"/>
            <w:tcBorders>
              <w:top w:val="nil"/>
              <w:left w:val="nil"/>
              <w:bottom w:val="single" w:sz="8" w:space="0" w:color="000000"/>
              <w:right w:val="single" w:sz="8" w:space="0" w:color="000000"/>
            </w:tcBorders>
            <w:shd w:val="clear" w:color="auto" w:fill="00B0F0"/>
            <w:tcMar>
              <w:top w:w="100" w:type="dxa"/>
              <w:left w:w="100" w:type="dxa"/>
              <w:bottom w:w="100" w:type="dxa"/>
              <w:right w:w="100" w:type="dxa"/>
            </w:tcMar>
          </w:tcPr>
          <w:p w14:paraId="75F92B81" w14:textId="77777777" w:rsidR="00BF1B35" w:rsidRPr="00BF1B35" w:rsidRDefault="00BF1B35" w:rsidP="00BF1B35">
            <w:pPr>
              <w:spacing w:line="240" w:lineRule="auto"/>
              <w:ind w:left="140"/>
              <w:rPr>
                <w:rFonts w:eastAsia="Times New Roman" w:cs="Times New Roman"/>
                <w:color w:val="4F81BD"/>
                <w:szCs w:val="24"/>
              </w:rPr>
            </w:pPr>
          </w:p>
        </w:tc>
        <w:tc>
          <w:tcPr>
            <w:tcW w:w="1125" w:type="dxa"/>
            <w:tcBorders>
              <w:top w:val="nil"/>
              <w:left w:val="nil"/>
              <w:bottom w:val="single" w:sz="8" w:space="0" w:color="000000"/>
              <w:right w:val="single" w:sz="8" w:space="0" w:color="000000"/>
            </w:tcBorders>
            <w:shd w:val="clear" w:color="auto" w:fill="00B0F0"/>
            <w:tcMar>
              <w:top w:w="100" w:type="dxa"/>
              <w:left w:w="100" w:type="dxa"/>
              <w:bottom w:w="100" w:type="dxa"/>
              <w:right w:w="100" w:type="dxa"/>
            </w:tcMar>
          </w:tcPr>
          <w:p w14:paraId="7306DD96" w14:textId="77777777" w:rsidR="00BF1B35" w:rsidRPr="00BF1B35" w:rsidRDefault="00BF1B35" w:rsidP="00BF1B35">
            <w:pPr>
              <w:spacing w:line="240" w:lineRule="auto"/>
              <w:ind w:left="-100"/>
              <w:rPr>
                <w:rFonts w:eastAsia="Times New Roman" w:cs="Times New Roman"/>
                <w:color w:val="4F81BD"/>
                <w:szCs w:val="24"/>
              </w:rPr>
            </w:pPr>
          </w:p>
        </w:tc>
      </w:tr>
    </w:tbl>
    <w:p w14:paraId="7F181C64" w14:textId="77777777" w:rsidR="002573CF" w:rsidRDefault="002573CF" w:rsidP="00BF1B35">
      <w:pPr>
        <w:pStyle w:val="Heading1"/>
        <w:spacing w:before="0" w:after="0"/>
        <w:jc w:val="center"/>
        <w:rPr>
          <w:shd w:val="clear" w:color="auto" w:fill="FFFFFF"/>
          <w:lang w:val="en-GB"/>
        </w:rPr>
      </w:pPr>
    </w:p>
    <w:p w14:paraId="5B062768" w14:textId="77777777" w:rsidR="00AB7208" w:rsidRPr="002573CF" w:rsidRDefault="00AB7208" w:rsidP="002573CF">
      <w:pPr>
        <w:pStyle w:val="NormalWeb"/>
        <w:spacing w:before="0" w:beforeAutospacing="0" w:after="240" w:afterAutospacing="0" w:line="360" w:lineRule="auto"/>
        <w:rPr>
          <w:shd w:val="clear" w:color="auto" w:fill="FFFFFF"/>
          <w:lang w:val="en-GB"/>
        </w:rPr>
      </w:pPr>
    </w:p>
    <w:p w14:paraId="16229D05" w14:textId="77777777" w:rsidR="002573CF" w:rsidRPr="00231FC2" w:rsidRDefault="002573CF" w:rsidP="002573CF">
      <w:pPr>
        <w:pStyle w:val="NormalWeb"/>
        <w:spacing w:before="0" w:beforeAutospacing="0" w:after="240" w:afterAutospacing="0" w:line="360" w:lineRule="auto"/>
        <w:rPr>
          <w:shd w:val="clear" w:color="auto" w:fill="FFFFFF"/>
          <w:lang w:val="en-GB"/>
        </w:rPr>
      </w:pPr>
      <w:r w:rsidRPr="002573CF">
        <w:rPr>
          <w:color w:val="auto"/>
        </w:rPr>
        <w:br/>
      </w:r>
    </w:p>
    <w:p w14:paraId="48EE934B" w14:textId="77777777" w:rsidR="004B2F33" w:rsidRPr="00231FC2" w:rsidRDefault="004B2F33" w:rsidP="00231FC2">
      <w:pPr>
        <w:pStyle w:val="Normal1"/>
        <w:spacing w:before="240" w:line="360" w:lineRule="auto"/>
        <w:jc w:val="both"/>
        <w:rPr>
          <w:rFonts w:ascii="Times New Roman" w:eastAsia="Times New Roman" w:hAnsi="Times New Roman" w:cs="Times New Roman"/>
          <w:color w:val="000000" w:themeColor="text1"/>
          <w:sz w:val="24"/>
          <w:szCs w:val="24"/>
          <w:highlight w:val="white"/>
          <w:lang w:val="en-GB"/>
        </w:rPr>
      </w:pPr>
      <w:r w:rsidRPr="00231FC2">
        <w:rPr>
          <w:color w:val="000000" w:themeColor="text1"/>
          <w:lang w:val="en-GB"/>
        </w:rPr>
        <w:br/>
      </w:r>
      <w:r w:rsidRPr="00231FC2">
        <w:rPr>
          <w:color w:val="000000" w:themeColor="text1"/>
          <w:lang w:val="en-GB"/>
        </w:rPr>
        <w:br/>
      </w:r>
      <w:r w:rsidRPr="00231FC2">
        <w:rPr>
          <w:color w:val="000000" w:themeColor="text1"/>
          <w:lang w:val="en-GB"/>
        </w:rPr>
        <w:br/>
      </w:r>
    </w:p>
    <w:sectPr w:rsidR="004B2F33" w:rsidRPr="00231FC2" w:rsidSect="00B46AD5">
      <w:footerReference w:type="defaul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332BB1" w14:textId="77777777" w:rsidR="0025383E" w:rsidRDefault="0025383E" w:rsidP="00B46AD5">
      <w:pPr>
        <w:spacing w:line="240" w:lineRule="auto"/>
      </w:pPr>
      <w:r>
        <w:separator/>
      </w:r>
    </w:p>
  </w:endnote>
  <w:endnote w:type="continuationSeparator" w:id="0">
    <w:p w14:paraId="709ABBA1" w14:textId="77777777" w:rsidR="0025383E" w:rsidRDefault="0025383E" w:rsidP="00B46A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98641"/>
      <w:docPartObj>
        <w:docPartGallery w:val="Page Numbers (Bottom of Page)"/>
        <w:docPartUnique/>
      </w:docPartObj>
    </w:sdtPr>
    <w:sdtEndPr/>
    <w:sdtContent>
      <w:p w14:paraId="25B34241" w14:textId="77777777" w:rsidR="00755B97" w:rsidRDefault="002337D4" w:rsidP="00B46AD5">
        <w:pPr>
          <w:pStyle w:val="Footer"/>
          <w:spacing w:line="360" w:lineRule="auto"/>
          <w:jc w:val="right"/>
        </w:pPr>
        <w:r w:rsidRPr="00B46AD5">
          <w:rPr>
            <w:rFonts w:cs="Times New Roman"/>
            <w:sz w:val="20"/>
          </w:rPr>
          <w:fldChar w:fldCharType="begin"/>
        </w:r>
        <w:r w:rsidR="00755B97" w:rsidRPr="00B46AD5">
          <w:rPr>
            <w:rFonts w:cs="Times New Roman"/>
            <w:sz w:val="20"/>
          </w:rPr>
          <w:instrText xml:space="preserve"> PAGE   \* MERGEFORMAT </w:instrText>
        </w:r>
        <w:r w:rsidRPr="00B46AD5">
          <w:rPr>
            <w:rFonts w:cs="Times New Roman"/>
            <w:sz w:val="20"/>
          </w:rPr>
          <w:fldChar w:fldCharType="separate"/>
        </w:r>
        <w:r w:rsidR="000D6B73">
          <w:rPr>
            <w:rFonts w:cs="Times New Roman"/>
            <w:noProof/>
            <w:sz w:val="20"/>
          </w:rPr>
          <w:t>35</w:t>
        </w:r>
        <w:r w:rsidRPr="00B46AD5">
          <w:rPr>
            <w:rFonts w:cs="Times New Roman"/>
            <w:sz w:val="20"/>
          </w:rPr>
          <w:fldChar w:fldCharType="end"/>
        </w:r>
      </w:p>
    </w:sdtContent>
  </w:sdt>
  <w:p w14:paraId="69018C5B" w14:textId="77777777" w:rsidR="00755B97" w:rsidRDefault="00755B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E7AAE8" w14:textId="77777777" w:rsidR="0025383E" w:rsidRDefault="0025383E" w:rsidP="00B46AD5">
      <w:pPr>
        <w:spacing w:line="240" w:lineRule="auto"/>
      </w:pPr>
      <w:r>
        <w:separator/>
      </w:r>
    </w:p>
  </w:footnote>
  <w:footnote w:type="continuationSeparator" w:id="0">
    <w:p w14:paraId="16BF9C5E" w14:textId="77777777" w:rsidR="0025383E" w:rsidRDefault="0025383E" w:rsidP="00B46AD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502DE"/>
    <w:multiLevelType w:val="hybridMultilevel"/>
    <w:tmpl w:val="5A4C9FF8"/>
    <w:numStyleLink w:val="1"/>
  </w:abstractNum>
  <w:abstractNum w:abstractNumId="1" w15:restartNumberingAfterBreak="0">
    <w:nsid w:val="1ACF3071"/>
    <w:multiLevelType w:val="hybridMultilevel"/>
    <w:tmpl w:val="5A4C9FF8"/>
    <w:styleLink w:val="1"/>
    <w:lvl w:ilvl="0" w:tplc="72A46A9E">
      <w:start w:val="1"/>
      <w:numFmt w:val="decimal"/>
      <w:lvlText w:val="%1."/>
      <w:lvlJc w:val="left"/>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BA501254">
      <w:start w:val="1"/>
      <w:numFmt w:val="decimal"/>
      <w:lvlText w:val="%2."/>
      <w:lvlJc w:val="left"/>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8466CD76">
      <w:start w:val="1"/>
      <w:numFmt w:val="decimal"/>
      <w:lvlText w:val="%3."/>
      <w:lvlJc w:val="left"/>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B42EC35C">
      <w:start w:val="1"/>
      <w:numFmt w:val="decimal"/>
      <w:lvlText w:val="%4."/>
      <w:lvlJc w:val="left"/>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3D20849E">
      <w:start w:val="1"/>
      <w:numFmt w:val="decimal"/>
      <w:lvlText w:val="%5."/>
      <w:lvlJc w:val="left"/>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48348AD4">
      <w:start w:val="1"/>
      <w:numFmt w:val="decimal"/>
      <w:lvlText w:val="%6."/>
      <w:lvlJc w:val="left"/>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8308476A">
      <w:start w:val="1"/>
      <w:numFmt w:val="decimal"/>
      <w:lvlText w:val="%7."/>
      <w:lvlJc w:val="left"/>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453C83C4">
      <w:start w:val="1"/>
      <w:numFmt w:val="decimal"/>
      <w:lvlText w:val="%8."/>
      <w:lvlJc w:val="left"/>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689CA57E">
      <w:start w:val="1"/>
      <w:numFmt w:val="decimal"/>
      <w:lvlText w:val="%9."/>
      <w:lvlJc w:val="left"/>
      <w:rPr>
        <w:rFonts w:hAnsi="Arial Unicode M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 w15:restartNumberingAfterBreak="0">
    <w:nsid w:val="359F61B9"/>
    <w:multiLevelType w:val="hybridMultilevel"/>
    <w:tmpl w:val="8B6E67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56B25B3"/>
    <w:multiLevelType w:val="multilevel"/>
    <w:tmpl w:val="5A189F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8A315BA"/>
    <w:multiLevelType w:val="multilevel"/>
    <w:tmpl w:val="672A39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62083428">
    <w:abstractNumId w:val="3"/>
  </w:num>
  <w:num w:numId="2" w16cid:durableId="1045446784">
    <w:abstractNumId w:val="4"/>
  </w:num>
  <w:num w:numId="3" w16cid:durableId="73599984">
    <w:abstractNumId w:val="2"/>
  </w:num>
  <w:num w:numId="4" w16cid:durableId="1695500944">
    <w:abstractNumId w:val="1"/>
  </w:num>
  <w:num w:numId="5" w16cid:durableId="874076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4"/>
  <w:removePersonalInformation/>
  <w:removeDateAndTime/>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F5A"/>
    <w:rsid w:val="000334DE"/>
    <w:rsid w:val="00034744"/>
    <w:rsid w:val="00091FA8"/>
    <w:rsid w:val="000D4BAE"/>
    <w:rsid w:val="000D6B73"/>
    <w:rsid w:val="000D7594"/>
    <w:rsid w:val="00115F5A"/>
    <w:rsid w:val="001A407D"/>
    <w:rsid w:val="001C1547"/>
    <w:rsid w:val="00211886"/>
    <w:rsid w:val="00231FC2"/>
    <w:rsid w:val="002337D4"/>
    <w:rsid w:val="0025383E"/>
    <w:rsid w:val="00253D2B"/>
    <w:rsid w:val="002573CF"/>
    <w:rsid w:val="002F7EE4"/>
    <w:rsid w:val="00306B44"/>
    <w:rsid w:val="003577FD"/>
    <w:rsid w:val="003D535A"/>
    <w:rsid w:val="0046700D"/>
    <w:rsid w:val="0046710C"/>
    <w:rsid w:val="004B2F33"/>
    <w:rsid w:val="005026F7"/>
    <w:rsid w:val="00513E14"/>
    <w:rsid w:val="00575AF6"/>
    <w:rsid w:val="0064030A"/>
    <w:rsid w:val="006711BA"/>
    <w:rsid w:val="006C3A27"/>
    <w:rsid w:val="006E4246"/>
    <w:rsid w:val="00755B97"/>
    <w:rsid w:val="00811E43"/>
    <w:rsid w:val="008828EF"/>
    <w:rsid w:val="008A263E"/>
    <w:rsid w:val="008D546E"/>
    <w:rsid w:val="008F12D3"/>
    <w:rsid w:val="009577D1"/>
    <w:rsid w:val="00957A0F"/>
    <w:rsid w:val="00A439E4"/>
    <w:rsid w:val="00AA3E71"/>
    <w:rsid w:val="00AB7208"/>
    <w:rsid w:val="00AE0A8E"/>
    <w:rsid w:val="00AF2A08"/>
    <w:rsid w:val="00B40C28"/>
    <w:rsid w:val="00B46AD5"/>
    <w:rsid w:val="00B80996"/>
    <w:rsid w:val="00B92D34"/>
    <w:rsid w:val="00BE5DA6"/>
    <w:rsid w:val="00BF1B35"/>
    <w:rsid w:val="00C413C0"/>
    <w:rsid w:val="00C64F61"/>
    <w:rsid w:val="00D77452"/>
    <w:rsid w:val="00DB0F43"/>
    <w:rsid w:val="00DC42DA"/>
    <w:rsid w:val="00E03D01"/>
    <w:rsid w:val="00E04FE2"/>
    <w:rsid w:val="00E8101E"/>
    <w:rsid w:val="00EA03A2"/>
    <w:rsid w:val="00F02529"/>
    <w:rsid w:val="00F84DAF"/>
    <w:rsid w:val="00FA168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0A78D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FC2"/>
    <w:pPr>
      <w:spacing w:line="360" w:lineRule="auto"/>
      <w:jc w:val="both"/>
    </w:pPr>
    <w:rPr>
      <w:rFonts w:ascii="Times New Roman" w:hAnsi="Times New Roman"/>
      <w:color w:val="000000" w:themeColor="text1"/>
      <w:sz w:val="24"/>
    </w:rPr>
  </w:style>
  <w:style w:type="paragraph" w:styleId="Heading1">
    <w:name w:val="heading 1"/>
    <w:basedOn w:val="Normal1"/>
    <w:next w:val="Normal1"/>
    <w:rsid w:val="008F12D3"/>
    <w:pPr>
      <w:spacing w:before="120" w:after="120" w:line="360" w:lineRule="auto"/>
      <w:jc w:val="both"/>
      <w:outlineLvl w:val="0"/>
    </w:pPr>
    <w:rPr>
      <w:rFonts w:ascii="Times New Roman" w:eastAsia="Times New Roman" w:hAnsi="Times New Roman" w:cs="Times New Roman"/>
      <w:b/>
      <w:sz w:val="24"/>
      <w:szCs w:val="24"/>
    </w:rPr>
  </w:style>
  <w:style w:type="paragraph" w:styleId="Heading2">
    <w:name w:val="heading 2"/>
    <w:aliases w:val="figure"/>
    <w:basedOn w:val="Heading3"/>
    <w:next w:val="Normal1"/>
    <w:rsid w:val="00B46AD5"/>
    <w:pPr>
      <w:outlineLvl w:val="1"/>
    </w:pPr>
  </w:style>
  <w:style w:type="paragraph" w:styleId="Heading3">
    <w:name w:val="heading 3"/>
    <w:aliases w:val="Table"/>
    <w:basedOn w:val="Normal1"/>
    <w:next w:val="Normal1"/>
    <w:rsid w:val="00B46AD5"/>
    <w:pPr>
      <w:spacing w:line="360" w:lineRule="auto"/>
      <w:jc w:val="center"/>
      <w:outlineLvl w:val="2"/>
    </w:pPr>
    <w:rPr>
      <w:rFonts w:ascii="Times New Roman" w:eastAsia="Times New Roman" w:hAnsi="Times New Roman" w:cs="Times New Roman"/>
      <w:b/>
      <w:sz w:val="24"/>
      <w:szCs w:val="24"/>
    </w:rPr>
  </w:style>
  <w:style w:type="paragraph" w:styleId="Heading4">
    <w:name w:val="heading 4"/>
    <w:basedOn w:val="Normal1"/>
    <w:next w:val="Normal1"/>
    <w:rsid w:val="00115F5A"/>
    <w:pPr>
      <w:keepNext/>
      <w:keepLines/>
      <w:spacing w:before="280" w:after="80"/>
      <w:outlineLvl w:val="3"/>
    </w:pPr>
    <w:rPr>
      <w:color w:val="666666"/>
      <w:sz w:val="24"/>
      <w:szCs w:val="24"/>
    </w:rPr>
  </w:style>
  <w:style w:type="paragraph" w:styleId="Heading5">
    <w:name w:val="heading 5"/>
    <w:basedOn w:val="Normal1"/>
    <w:next w:val="Normal1"/>
    <w:rsid w:val="00115F5A"/>
    <w:pPr>
      <w:keepNext/>
      <w:keepLines/>
      <w:spacing w:before="240" w:after="80"/>
      <w:outlineLvl w:val="4"/>
    </w:pPr>
    <w:rPr>
      <w:color w:val="666666"/>
    </w:rPr>
  </w:style>
  <w:style w:type="paragraph" w:styleId="Heading6">
    <w:name w:val="heading 6"/>
    <w:basedOn w:val="Normal1"/>
    <w:next w:val="Normal1"/>
    <w:rsid w:val="00115F5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15F5A"/>
  </w:style>
  <w:style w:type="paragraph" w:styleId="Title">
    <w:name w:val="Title"/>
    <w:basedOn w:val="Normal1"/>
    <w:next w:val="Normal1"/>
    <w:rsid w:val="00115F5A"/>
    <w:pPr>
      <w:keepNext/>
      <w:keepLines/>
      <w:spacing w:after="60"/>
    </w:pPr>
    <w:rPr>
      <w:sz w:val="52"/>
      <w:szCs w:val="52"/>
    </w:rPr>
  </w:style>
  <w:style w:type="paragraph" w:styleId="Subtitle">
    <w:name w:val="Subtitle"/>
    <w:basedOn w:val="Normal1"/>
    <w:next w:val="Normal1"/>
    <w:rsid w:val="00115F5A"/>
    <w:pPr>
      <w:keepNext/>
      <w:keepLines/>
      <w:spacing w:after="320"/>
    </w:pPr>
    <w:rPr>
      <w:color w:val="666666"/>
      <w:sz w:val="30"/>
      <w:szCs w:val="30"/>
    </w:rPr>
  </w:style>
  <w:style w:type="table" w:customStyle="1" w:styleId="a">
    <w:basedOn w:val="TableNormal"/>
    <w:rsid w:val="00115F5A"/>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8F12D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12D3"/>
    <w:rPr>
      <w:rFonts w:ascii="Tahoma" w:hAnsi="Tahoma" w:cs="Tahoma"/>
      <w:sz w:val="16"/>
      <w:szCs w:val="16"/>
    </w:rPr>
  </w:style>
  <w:style w:type="paragraph" w:styleId="NormalWeb">
    <w:name w:val="Normal (Web)"/>
    <w:basedOn w:val="Normal"/>
    <w:uiPriority w:val="99"/>
    <w:unhideWhenUsed/>
    <w:rsid w:val="004B2F33"/>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semiHidden/>
    <w:unhideWhenUsed/>
    <w:rsid w:val="00B46AD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46AD5"/>
  </w:style>
  <w:style w:type="paragraph" w:styleId="Footer">
    <w:name w:val="footer"/>
    <w:basedOn w:val="Normal"/>
    <w:link w:val="FooterChar"/>
    <w:uiPriority w:val="99"/>
    <w:unhideWhenUsed/>
    <w:rsid w:val="00B46AD5"/>
    <w:pPr>
      <w:tabs>
        <w:tab w:val="center" w:pos="4680"/>
        <w:tab w:val="right" w:pos="9360"/>
      </w:tabs>
      <w:spacing w:line="240" w:lineRule="auto"/>
    </w:pPr>
  </w:style>
  <w:style w:type="character" w:customStyle="1" w:styleId="FooterChar">
    <w:name w:val="Footer Char"/>
    <w:basedOn w:val="DefaultParagraphFont"/>
    <w:link w:val="Footer"/>
    <w:uiPriority w:val="99"/>
    <w:rsid w:val="00B46AD5"/>
  </w:style>
  <w:style w:type="character" w:styleId="Hyperlink">
    <w:name w:val="Hyperlink"/>
    <w:basedOn w:val="DefaultParagraphFont"/>
    <w:uiPriority w:val="99"/>
    <w:unhideWhenUsed/>
    <w:rsid w:val="00B46AD5"/>
    <w:rPr>
      <w:color w:val="0000FF" w:themeColor="hyperlink"/>
      <w:u w:val="single"/>
    </w:rPr>
  </w:style>
  <w:style w:type="paragraph" w:styleId="TableofFigures">
    <w:name w:val="table of figures"/>
    <w:basedOn w:val="Normal"/>
    <w:next w:val="Normal"/>
    <w:uiPriority w:val="99"/>
    <w:unhideWhenUsed/>
    <w:rsid w:val="00B46AD5"/>
  </w:style>
  <w:style w:type="paragraph" w:styleId="DocumentMap">
    <w:name w:val="Document Map"/>
    <w:basedOn w:val="Normal"/>
    <w:link w:val="DocumentMapChar"/>
    <w:uiPriority w:val="99"/>
    <w:semiHidden/>
    <w:unhideWhenUsed/>
    <w:rsid w:val="0064030A"/>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64030A"/>
    <w:rPr>
      <w:rFonts w:ascii="Tahoma" w:hAnsi="Tahoma" w:cs="Tahoma"/>
      <w:sz w:val="16"/>
      <w:szCs w:val="16"/>
    </w:rPr>
  </w:style>
  <w:style w:type="paragraph" w:styleId="ListParagraph">
    <w:name w:val="List Paragraph"/>
    <w:basedOn w:val="Normal"/>
    <w:uiPriority w:val="34"/>
    <w:qFormat/>
    <w:rsid w:val="00091FA8"/>
    <w:pPr>
      <w:spacing w:after="200"/>
      <w:ind w:left="720"/>
      <w:contextualSpacing/>
    </w:pPr>
    <w:rPr>
      <w:rFonts w:eastAsiaTheme="minorHAnsi" w:cstheme="minorBidi"/>
    </w:rPr>
  </w:style>
  <w:style w:type="numbering" w:customStyle="1" w:styleId="1">
    <w:name w:val="Εισήχθηκε το στιλ 1"/>
    <w:rsid w:val="003577FD"/>
    <w:pPr>
      <w:numPr>
        <w:numId w:val="4"/>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451067">
      <w:bodyDiv w:val="1"/>
      <w:marLeft w:val="0"/>
      <w:marRight w:val="0"/>
      <w:marTop w:val="0"/>
      <w:marBottom w:val="0"/>
      <w:divBdr>
        <w:top w:val="none" w:sz="0" w:space="0" w:color="auto"/>
        <w:left w:val="none" w:sz="0" w:space="0" w:color="auto"/>
        <w:bottom w:val="none" w:sz="0" w:space="0" w:color="auto"/>
        <w:right w:val="none" w:sz="0" w:space="0" w:color="auto"/>
      </w:divBdr>
    </w:div>
    <w:div w:id="1145394713">
      <w:bodyDiv w:val="1"/>
      <w:marLeft w:val="0"/>
      <w:marRight w:val="0"/>
      <w:marTop w:val="0"/>
      <w:marBottom w:val="0"/>
      <w:divBdr>
        <w:top w:val="none" w:sz="0" w:space="0" w:color="auto"/>
        <w:left w:val="none" w:sz="0" w:space="0" w:color="auto"/>
        <w:bottom w:val="none" w:sz="0" w:space="0" w:color="auto"/>
        <w:right w:val="none" w:sz="0" w:space="0" w:color="auto"/>
      </w:divBdr>
    </w:div>
    <w:div w:id="1525630127">
      <w:bodyDiv w:val="1"/>
      <w:marLeft w:val="0"/>
      <w:marRight w:val="0"/>
      <w:marTop w:val="0"/>
      <w:marBottom w:val="0"/>
      <w:divBdr>
        <w:top w:val="none" w:sz="0" w:space="0" w:color="auto"/>
        <w:left w:val="none" w:sz="0" w:space="0" w:color="auto"/>
        <w:bottom w:val="none" w:sz="0" w:space="0" w:color="auto"/>
        <w:right w:val="none" w:sz="0" w:space="0" w:color="auto"/>
      </w:divBdr>
    </w:div>
    <w:div w:id="1589381579">
      <w:bodyDiv w:val="1"/>
      <w:marLeft w:val="0"/>
      <w:marRight w:val="0"/>
      <w:marTop w:val="0"/>
      <w:marBottom w:val="0"/>
      <w:divBdr>
        <w:top w:val="none" w:sz="0" w:space="0" w:color="auto"/>
        <w:left w:val="none" w:sz="0" w:space="0" w:color="auto"/>
        <w:bottom w:val="none" w:sz="0" w:space="0" w:color="auto"/>
        <w:right w:val="none" w:sz="0" w:space="0" w:color="auto"/>
      </w:divBdr>
    </w:div>
    <w:div w:id="1677346975">
      <w:bodyDiv w:val="1"/>
      <w:marLeft w:val="0"/>
      <w:marRight w:val="0"/>
      <w:marTop w:val="0"/>
      <w:marBottom w:val="0"/>
      <w:divBdr>
        <w:top w:val="none" w:sz="0" w:space="0" w:color="auto"/>
        <w:left w:val="none" w:sz="0" w:space="0" w:color="auto"/>
        <w:bottom w:val="none" w:sz="0" w:space="0" w:color="auto"/>
        <w:right w:val="none" w:sz="0" w:space="0" w:color="auto"/>
      </w:divBdr>
    </w:div>
    <w:div w:id="1872104168">
      <w:bodyDiv w:val="1"/>
      <w:marLeft w:val="0"/>
      <w:marRight w:val="0"/>
      <w:marTop w:val="0"/>
      <w:marBottom w:val="0"/>
      <w:divBdr>
        <w:top w:val="none" w:sz="0" w:space="0" w:color="auto"/>
        <w:left w:val="none" w:sz="0" w:space="0" w:color="auto"/>
        <w:bottom w:val="none" w:sz="0" w:space="0" w:color="auto"/>
        <w:right w:val="none" w:sz="0" w:space="0" w:color="auto"/>
      </w:divBdr>
    </w:div>
    <w:div w:id="2019236383">
      <w:bodyDiv w:val="1"/>
      <w:marLeft w:val="0"/>
      <w:marRight w:val="0"/>
      <w:marTop w:val="0"/>
      <w:marBottom w:val="0"/>
      <w:divBdr>
        <w:top w:val="none" w:sz="0" w:space="0" w:color="auto"/>
        <w:left w:val="none" w:sz="0" w:space="0" w:color="auto"/>
        <w:bottom w:val="none" w:sz="0" w:space="0" w:color="auto"/>
        <w:right w:val="none" w:sz="0" w:space="0" w:color="auto"/>
      </w:divBdr>
    </w:div>
    <w:div w:id="2048918149">
      <w:bodyDiv w:val="1"/>
      <w:marLeft w:val="0"/>
      <w:marRight w:val="0"/>
      <w:marTop w:val="0"/>
      <w:marBottom w:val="0"/>
      <w:divBdr>
        <w:top w:val="none" w:sz="0" w:space="0" w:color="auto"/>
        <w:left w:val="none" w:sz="0" w:space="0" w:color="auto"/>
        <w:bottom w:val="none" w:sz="0" w:space="0" w:color="auto"/>
        <w:right w:val="none" w:sz="0" w:space="0" w:color="auto"/>
      </w:divBdr>
    </w:div>
    <w:div w:id="20547685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www.google.com/url?q=http://Ec.europa.eu&amp;sa=D&amp;source=docs&amp;ust=1663332588975314&amp;usg=AOvVaw3zD8PwEIsiFhFwVI_Fseqg" TargetMode="Externa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10252A3-8EC8-426A-86AB-651324CDA258}" type="doc">
      <dgm:prSet loTypeId="urn:microsoft.com/office/officeart/2005/8/layout/list1" loCatId="list" qsTypeId="urn:microsoft.com/office/officeart/2005/8/quickstyle/simple3" qsCatId="simple" csTypeId="urn:microsoft.com/office/officeart/2005/8/colors/colorful5" csCatId="colorful" phldr="1"/>
      <dgm:spPr/>
      <dgm:t>
        <a:bodyPr/>
        <a:lstStyle/>
        <a:p>
          <a:endParaRPr lang="en-US"/>
        </a:p>
      </dgm:t>
    </dgm:pt>
    <dgm:pt modelId="{72F8E145-215E-4851-AFD6-1AB1DF5071B3}">
      <dgm:prSet phldrT="[Text]"/>
      <dgm:spPr/>
      <dgm:t>
        <a:bodyPr/>
        <a:lstStyle/>
        <a:p>
          <a:pPr algn="ctr"/>
          <a:r>
            <a:rPr lang="en-US" b="1" i="1">
              <a:latin typeface="Times New Roman" pitchFamily="18" charset="0"/>
              <a:cs typeface="Times New Roman" pitchFamily="18" charset="0"/>
            </a:rPr>
            <a:t>Chapter 1: Introduction</a:t>
          </a:r>
        </a:p>
      </dgm:t>
    </dgm:pt>
    <dgm:pt modelId="{D1CAEA29-1312-4EC7-8999-7BD37E64B463}" type="parTrans" cxnId="{86D2A270-F68E-483C-B1C6-BA74B930EA59}">
      <dgm:prSet/>
      <dgm:spPr/>
      <dgm:t>
        <a:bodyPr/>
        <a:lstStyle/>
        <a:p>
          <a:endParaRPr lang="en-US"/>
        </a:p>
      </dgm:t>
    </dgm:pt>
    <dgm:pt modelId="{9112996C-619E-4D73-8CA5-FC526AE7DBBC}" type="sibTrans" cxnId="{86D2A270-F68E-483C-B1C6-BA74B930EA59}">
      <dgm:prSet/>
      <dgm:spPr/>
      <dgm:t>
        <a:bodyPr/>
        <a:lstStyle/>
        <a:p>
          <a:endParaRPr lang="en-US"/>
        </a:p>
      </dgm:t>
    </dgm:pt>
    <dgm:pt modelId="{CBB47558-0E34-48B6-B841-9EE53E873F58}">
      <dgm:prSet phldrT="[Text]"/>
      <dgm:spPr/>
      <dgm:t>
        <a:bodyPr/>
        <a:lstStyle/>
        <a:p>
          <a:pPr algn="ctr"/>
          <a:r>
            <a:rPr lang="en-US" b="1" i="1">
              <a:latin typeface="Times New Roman" pitchFamily="18" charset="0"/>
              <a:cs typeface="Times New Roman" pitchFamily="18" charset="0"/>
            </a:rPr>
            <a:t>Chapter 2: Literature Review</a:t>
          </a:r>
        </a:p>
      </dgm:t>
    </dgm:pt>
    <dgm:pt modelId="{0E3E93C6-089A-44C3-A7BD-A6986D7E3FEA}" type="parTrans" cxnId="{A0BDF79D-0463-4765-B641-F5D99165FF4F}">
      <dgm:prSet/>
      <dgm:spPr/>
      <dgm:t>
        <a:bodyPr/>
        <a:lstStyle/>
        <a:p>
          <a:endParaRPr lang="en-US"/>
        </a:p>
      </dgm:t>
    </dgm:pt>
    <dgm:pt modelId="{DA8F7FE7-6CC8-4E75-A153-982D2EF84371}" type="sibTrans" cxnId="{A0BDF79D-0463-4765-B641-F5D99165FF4F}">
      <dgm:prSet/>
      <dgm:spPr/>
      <dgm:t>
        <a:bodyPr/>
        <a:lstStyle/>
        <a:p>
          <a:endParaRPr lang="en-US"/>
        </a:p>
      </dgm:t>
    </dgm:pt>
    <dgm:pt modelId="{0C00B72B-0C9E-4E05-B637-3989B051480A}">
      <dgm:prSet phldrT="[Text]"/>
      <dgm:spPr/>
      <dgm:t>
        <a:bodyPr/>
        <a:lstStyle/>
        <a:p>
          <a:pPr algn="ctr"/>
          <a:r>
            <a:rPr lang="en-US" b="1" i="1">
              <a:latin typeface="Times New Roman" pitchFamily="18" charset="0"/>
              <a:cs typeface="Times New Roman" pitchFamily="18" charset="0"/>
            </a:rPr>
            <a:t>Chapter 3: Research Methodology</a:t>
          </a:r>
        </a:p>
      </dgm:t>
    </dgm:pt>
    <dgm:pt modelId="{5FF8CFED-8902-4D96-BCF4-EAD7BAF2D988}" type="parTrans" cxnId="{B6AA7914-D19D-4FED-AB7F-2F4DCA2B376A}">
      <dgm:prSet/>
      <dgm:spPr/>
      <dgm:t>
        <a:bodyPr/>
        <a:lstStyle/>
        <a:p>
          <a:endParaRPr lang="en-US"/>
        </a:p>
      </dgm:t>
    </dgm:pt>
    <dgm:pt modelId="{CB16FD96-D43B-42B2-AF53-570FB1DC9372}" type="sibTrans" cxnId="{B6AA7914-D19D-4FED-AB7F-2F4DCA2B376A}">
      <dgm:prSet/>
      <dgm:spPr/>
      <dgm:t>
        <a:bodyPr/>
        <a:lstStyle/>
        <a:p>
          <a:endParaRPr lang="en-US"/>
        </a:p>
      </dgm:t>
    </dgm:pt>
    <dgm:pt modelId="{16B3A011-C388-4CA2-B375-1529C3541DB4}">
      <dgm:prSet phldrT="[Text]"/>
      <dgm:spPr/>
      <dgm:t>
        <a:bodyPr/>
        <a:lstStyle/>
        <a:p>
          <a:pPr algn="ctr"/>
          <a:r>
            <a:rPr lang="en-US" b="1" i="1">
              <a:latin typeface="Times New Roman" pitchFamily="18" charset="0"/>
              <a:cs typeface="Times New Roman" pitchFamily="18" charset="0"/>
            </a:rPr>
            <a:t>Chapter 4: Data Analysis and Findings</a:t>
          </a:r>
        </a:p>
      </dgm:t>
    </dgm:pt>
    <dgm:pt modelId="{B2B84991-F5D2-4A20-A066-28460129291F}" type="parTrans" cxnId="{86A9294B-BDC8-4847-8A69-B92908BD7E23}">
      <dgm:prSet/>
      <dgm:spPr/>
    </dgm:pt>
    <dgm:pt modelId="{8C9094B0-E79E-45A9-ABD4-24B2A567AF08}" type="sibTrans" cxnId="{86A9294B-BDC8-4847-8A69-B92908BD7E23}">
      <dgm:prSet/>
      <dgm:spPr/>
    </dgm:pt>
    <dgm:pt modelId="{AC341B6F-27B0-4EE5-A1F7-6E4243052607}">
      <dgm:prSet phldrT="[Text]"/>
      <dgm:spPr/>
      <dgm:t>
        <a:bodyPr/>
        <a:lstStyle/>
        <a:p>
          <a:pPr algn="ctr"/>
          <a:r>
            <a:rPr lang="en-US" b="1" i="1">
              <a:latin typeface="Times New Roman" pitchFamily="18" charset="0"/>
              <a:cs typeface="Times New Roman" pitchFamily="18" charset="0"/>
            </a:rPr>
            <a:t>Chapter 5: Conclusion and Recommendations</a:t>
          </a:r>
        </a:p>
      </dgm:t>
    </dgm:pt>
    <dgm:pt modelId="{6E41BDA0-FFF1-41F4-ADD0-25196693CADD}" type="parTrans" cxnId="{D8F7F9A5-3DA0-4F79-AA5E-C185BEBC93C6}">
      <dgm:prSet/>
      <dgm:spPr/>
    </dgm:pt>
    <dgm:pt modelId="{91161436-D506-43CE-B895-EF5B9E060153}" type="sibTrans" cxnId="{D8F7F9A5-3DA0-4F79-AA5E-C185BEBC93C6}">
      <dgm:prSet/>
      <dgm:spPr/>
    </dgm:pt>
    <dgm:pt modelId="{C6D41138-5DF5-49CA-823D-5B66AB3DDF13}" type="pres">
      <dgm:prSet presAssocID="{510252A3-8EC8-426A-86AB-651324CDA258}" presName="linear" presStyleCnt="0">
        <dgm:presLayoutVars>
          <dgm:dir/>
          <dgm:animLvl val="lvl"/>
          <dgm:resizeHandles val="exact"/>
        </dgm:presLayoutVars>
      </dgm:prSet>
      <dgm:spPr/>
    </dgm:pt>
    <dgm:pt modelId="{355597E5-A66B-46EA-8ED1-F22C243D36C8}" type="pres">
      <dgm:prSet presAssocID="{72F8E145-215E-4851-AFD6-1AB1DF5071B3}" presName="parentLin" presStyleCnt="0"/>
      <dgm:spPr/>
    </dgm:pt>
    <dgm:pt modelId="{347325C9-7D1A-4B7E-B0FC-8B163B83FDE1}" type="pres">
      <dgm:prSet presAssocID="{72F8E145-215E-4851-AFD6-1AB1DF5071B3}" presName="parentLeftMargin" presStyleLbl="node1" presStyleIdx="0" presStyleCnt="5"/>
      <dgm:spPr/>
    </dgm:pt>
    <dgm:pt modelId="{A4E99370-69F2-4A8E-A440-0CFA915395B0}" type="pres">
      <dgm:prSet presAssocID="{72F8E145-215E-4851-AFD6-1AB1DF5071B3}" presName="parentText" presStyleLbl="node1" presStyleIdx="0" presStyleCnt="5">
        <dgm:presLayoutVars>
          <dgm:chMax val="0"/>
          <dgm:bulletEnabled val="1"/>
        </dgm:presLayoutVars>
      </dgm:prSet>
      <dgm:spPr/>
    </dgm:pt>
    <dgm:pt modelId="{5CE31185-E7F4-4728-949B-15383B426DB4}" type="pres">
      <dgm:prSet presAssocID="{72F8E145-215E-4851-AFD6-1AB1DF5071B3}" presName="negativeSpace" presStyleCnt="0"/>
      <dgm:spPr/>
    </dgm:pt>
    <dgm:pt modelId="{36B18DE4-FCE8-4B38-82ED-FF385265E6C6}" type="pres">
      <dgm:prSet presAssocID="{72F8E145-215E-4851-AFD6-1AB1DF5071B3}" presName="childText" presStyleLbl="conFgAcc1" presStyleIdx="0" presStyleCnt="5">
        <dgm:presLayoutVars>
          <dgm:bulletEnabled val="1"/>
        </dgm:presLayoutVars>
      </dgm:prSet>
      <dgm:spPr/>
    </dgm:pt>
    <dgm:pt modelId="{36D38D74-A8A5-4482-A547-C9235EC931B5}" type="pres">
      <dgm:prSet presAssocID="{9112996C-619E-4D73-8CA5-FC526AE7DBBC}" presName="spaceBetweenRectangles" presStyleCnt="0"/>
      <dgm:spPr/>
    </dgm:pt>
    <dgm:pt modelId="{781BD8B7-81E1-4718-ADE1-57FF628FA2E5}" type="pres">
      <dgm:prSet presAssocID="{CBB47558-0E34-48B6-B841-9EE53E873F58}" presName="parentLin" presStyleCnt="0"/>
      <dgm:spPr/>
    </dgm:pt>
    <dgm:pt modelId="{7D0E60D9-534D-4304-AB76-D2EA7A2E09E4}" type="pres">
      <dgm:prSet presAssocID="{CBB47558-0E34-48B6-B841-9EE53E873F58}" presName="parentLeftMargin" presStyleLbl="node1" presStyleIdx="0" presStyleCnt="5"/>
      <dgm:spPr/>
    </dgm:pt>
    <dgm:pt modelId="{ED832506-D6C1-4A64-AD0C-CCBDA37811FC}" type="pres">
      <dgm:prSet presAssocID="{CBB47558-0E34-48B6-B841-9EE53E873F58}" presName="parentText" presStyleLbl="node1" presStyleIdx="1" presStyleCnt="5">
        <dgm:presLayoutVars>
          <dgm:chMax val="0"/>
          <dgm:bulletEnabled val="1"/>
        </dgm:presLayoutVars>
      </dgm:prSet>
      <dgm:spPr/>
    </dgm:pt>
    <dgm:pt modelId="{3E9A5846-5EB4-4997-BDEA-0EB216A81AAC}" type="pres">
      <dgm:prSet presAssocID="{CBB47558-0E34-48B6-B841-9EE53E873F58}" presName="negativeSpace" presStyleCnt="0"/>
      <dgm:spPr/>
    </dgm:pt>
    <dgm:pt modelId="{57CFC406-0787-4109-9F02-195E0B7BAB36}" type="pres">
      <dgm:prSet presAssocID="{CBB47558-0E34-48B6-B841-9EE53E873F58}" presName="childText" presStyleLbl="conFgAcc1" presStyleIdx="1" presStyleCnt="5">
        <dgm:presLayoutVars>
          <dgm:bulletEnabled val="1"/>
        </dgm:presLayoutVars>
      </dgm:prSet>
      <dgm:spPr/>
    </dgm:pt>
    <dgm:pt modelId="{80F6B17C-D8A4-4A08-87D2-253F4A495090}" type="pres">
      <dgm:prSet presAssocID="{DA8F7FE7-6CC8-4E75-A153-982D2EF84371}" presName="spaceBetweenRectangles" presStyleCnt="0"/>
      <dgm:spPr/>
    </dgm:pt>
    <dgm:pt modelId="{8A0C0B61-E0C3-45DF-A5D5-11F46F920128}" type="pres">
      <dgm:prSet presAssocID="{0C00B72B-0C9E-4E05-B637-3989B051480A}" presName="parentLin" presStyleCnt="0"/>
      <dgm:spPr/>
    </dgm:pt>
    <dgm:pt modelId="{32F7891E-323F-4BE6-8D1E-544F0E9A3469}" type="pres">
      <dgm:prSet presAssocID="{0C00B72B-0C9E-4E05-B637-3989B051480A}" presName="parentLeftMargin" presStyleLbl="node1" presStyleIdx="1" presStyleCnt="5"/>
      <dgm:spPr/>
    </dgm:pt>
    <dgm:pt modelId="{27263AEE-F779-432A-8E39-29C374AC663E}" type="pres">
      <dgm:prSet presAssocID="{0C00B72B-0C9E-4E05-B637-3989B051480A}" presName="parentText" presStyleLbl="node1" presStyleIdx="2" presStyleCnt="5">
        <dgm:presLayoutVars>
          <dgm:chMax val="0"/>
          <dgm:bulletEnabled val="1"/>
        </dgm:presLayoutVars>
      </dgm:prSet>
      <dgm:spPr/>
    </dgm:pt>
    <dgm:pt modelId="{47628108-D521-4C22-A2EC-0FE5D4192D28}" type="pres">
      <dgm:prSet presAssocID="{0C00B72B-0C9E-4E05-B637-3989B051480A}" presName="negativeSpace" presStyleCnt="0"/>
      <dgm:spPr/>
    </dgm:pt>
    <dgm:pt modelId="{FE4AC0AA-D2BD-479D-9A6E-43E5D735BDD9}" type="pres">
      <dgm:prSet presAssocID="{0C00B72B-0C9E-4E05-B637-3989B051480A}" presName="childText" presStyleLbl="conFgAcc1" presStyleIdx="2" presStyleCnt="5">
        <dgm:presLayoutVars>
          <dgm:bulletEnabled val="1"/>
        </dgm:presLayoutVars>
      </dgm:prSet>
      <dgm:spPr/>
    </dgm:pt>
    <dgm:pt modelId="{6A1A6BBA-9C1B-4EF6-8091-B1E0AA7EB6D4}" type="pres">
      <dgm:prSet presAssocID="{CB16FD96-D43B-42B2-AF53-570FB1DC9372}" presName="spaceBetweenRectangles" presStyleCnt="0"/>
      <dgm:spPr/>
    </dgm:pt>
    <dgm:pt modelId="{EBF616BC-3D86-4345-9368-274EC8ADE52D}" type="pres">
      <dgm:prSet presAssocID="{16B3A011-C388-4CA2-B375-1529C3541DB4}" presName="parentLin" presStyleCnt="0"/>
      <dgm:spPr/>
    </dgm:pt>
    <dgm:pt modelId="{3413F9FB-7868-4B26-9B52-599350ED42A1}" type="pres">
      <dgm:prSet presAssocID="{16B3A011-C388-4CA2-B375-1529C3541DB4}" presName="parentLeftMargin" presStyleLbl="node1" presStyleIdx="2" presStyleCnt="5"/>
      <dgm:spPr/>
    </dgm:pt>
    <dgm:pt modelId="{E43ED7E6-EC13-4C7F-8794-74C2D30BD3C3}" type="pres">
      <dgm:prSet presAssocID="{16B3A011-C388-4CA2-B375-1529C3541DB4}" presName="parentText" presStyleLbl="node1" presStyleIdx="3" presStyleCnt="5">
        <dgm:presLayoutVars>
          <dgm:chMax val="0"/>
          <dgm:bulletEnabled val="1"/>
        </dgm:presLayoutVars>
      </dgm:prSet>
      <dgm:spPr/>
    </dgm:pt>
    <dgm:pt modelId="{BECD4E0B-C773-470B-BCD8-B1041577B152}" type="pres">
      <dgm:prSet presAssocID="{16B3A011-C388-4CA2-B375-1529C3541DB4}" presName="negativeSpace" presStyleCnt="0"/>
      <dgm:spPr/>
    </dgm:pt>
    <dgm:pt modelId="{4DADAD59-E164-46AA-8110-C78FBE186C00}" type="pres">
      <dgm:prSet presAssocID="{16B3A011-C388-4CA2-B375-1529C3541DB4}" presName="childText" presStyleLbl="conFgAcc1" presStyleIdx="3" presStyleCnt="5">
        <dgm:presLayoutVars>
          <dgm:bulletEnabled val="1"/>
        </dgm:presLayoutVars>
      </dgm:prSet>
      <dgm:spPr/>
    </dgm:pt>
    <dgm:pt modelId="{2DA4E2F4-5F01-4A27-B291-E6AF0FC91EC6}" type="pres">
      <dgm:prSet presAssocID="{8C9094B0-E79E-45A9-ABD4-24B2A567AF08}" presName="spaceBetweenRectangles" presStyleCnt="0"/>
      <dgm:spPr/>
    </dgm:pt>
    <dgm:pt modelId="{78698035-4BBB-456A-B859-0197AE510F5C}" type="pres">
      <dgm:prSet presAssocID="{AC341B6F-27B0-4EE5-A1F7-6E4243052607}" presName="parentLin" presStyleCnt="0"/>
      <dgm:spPr/>
    </dgm:pt>
    <dgm:pt modelId="{532122AA-B297-4E66-83F9-3A5C06567E32}" type="pres">
      <dgm:prSet presAssocID="{AC341B6F-27B0-4EE5-A1F7-6E4243052607}" presName="parentLeftMargin" presStyleLbl="node1" presStyleIdx="3" presStyleCnt="5"/>
      <dgm:spPr/>
    </dgm:pt>
    <dgm:pt modelId="{0608A406-B2E5-4C42-8430-1B932B674926}" type="pres">
      <dgm:prSet presAssocID="{AC341B6F-27B0-4EE5-A1F7-6E4243052607}" presName="parentText" presStyleLbl="node1" presStyleIdx="4" presStyleCnt="5">
        <dgm:presLayoutVars>
          <dgm:chMax val="0"/>
          <dgm:bulletEnabled val="1"/>
        </dgm:presLayoutVars>
      </dgm:prSet>
      <dgm:spPr/>
    </dgm:pt>
    <dgm:pt modelId="{C4FDB7D3-A3A5-41A7-8702-281BF6215C54}" type="pres">
      <dgm:prSet presAssocID="{AC341B6F-27B0-4EE5-A1F7-6E4243052607}" presName="negativeSpace" presStyleCnt="0"/>
      <dgm:spPr/>
    </dgm:pt>
    <dgm:pt modelId="{B81C561E-DD06-4E4B-9C60-395F06AB2CFB}" type="pres">
      <dgm:prSet presAssocID="{AC341B6F-27B0-4EE5-A1F7-6E4243052607}" presName="childText" presStyleLbl="conFgAcc1" presStyleIdx="4" presStyleCnt="5">
        <dgm:presLayoutVars>
          <dgm:bulletEnabled val="1"/>
        </dgm:presLayoutVars>
      </dgm:prSet>
      <dgm:spPr/>
    </dgm:pt>
  </dgm:ptLst>
  <dgm:cxnLst>
    <dgm:cxn modelId="{B4AB0E12-A63F-48FA-81DF-60F8C654D897}" type="presOf" srcId="{CBB47558-0E34-48B6-B841-9EE53E873F58}" destId="{7D0E60D9-534D-4304-AB76-D2EA7A2E09E4}" srcOrd="0" destOrd="0" presId="urn:microsoft.com/office/officeart/2005/8/layout/list1"/>
    <dgm:cxn modelId="{B6AA7914-D19D-4FED-AB7F-2F4DCA2B376A}" srcId="{510252A3-8EC8-426A-86AB-651324CDA258}" destId="{0C00B72B-0C9E-4E05-B637-3989B051480A}" srcOrd="2" destOrd="0" parTransId="{5FF8CFED-8902-4D96-BCF4-EAD7BAF2D988}" sibTransId="{CB16FD96-D43B-42B2-AF53-570FB1DC9372}"/>
    <dgm:cxn modelId="{EDAC281B-FFEE-4E98-94D2-8CB47D4E682C}" type="presOf" srcId="{CBB47558-0E34-48B6-B841-9EE53E873F58}" destId="{ED832506-D6C1-4A64-AD0C-CCBDA37811FC}" srcOrd="1" destOrd="0" presId="urn:microsoft.com/office/officeart/2005/8/layout/list1"/>
    <dgm:cxn modelId="{2E94CC2B-ABCA-470A-8422-D42BD283CF1E}" type="presOf" srcId="{0C00B72B-0C9E-4E05-B637-3989B051480A}" destId="{32F7891E-323F-4BE6-8D1E-544F0E9A3469}" srcOrd="0" destOrd="0" presId="urn:microsoft.com/office/officeart/2005/8/layout/list1"/>
    <dgm:cxn modelId="{2238DA35-8C82-4D6D-B214-56220E6FBC83}" type="presOf" srcId="{16B3A011-C388-4CA2-B375-1529C3541DB4}" destId="{3413F9FB-7868-4B26-9B52-599350ED42A1}" srcOrd="0" destOrd="0" presId="urn:microsoft.com/office/officeart/2005/8/layout/list1"/>
    <dgm:cxn modelId="{03FAD66A-80E7-459E-B8E9-A72AA3FAB4DD}" type="presOf" srcId="{0C00B72B-0C9E-4E05-B637-3989B051480A}" destId="{27263AEE-F779-432A-8E39-29C374AC663E}" srcOrd="1" destOrd="0" presId="urn:microsoft.com/office/officeart/2005/8/layout/list1"/>
    <dgm:cxn modelId="{86A9294B-BDC8-4847-8A69-B92908BD7E23}" srcId="{510252A3-8EC8-426A-86AB-651324CDA258}" destId="{16B3A011-C388-4CA2-B375-1529C3541DB4}" srcOrd="3" destOrd="0" parTransId="{B2B84991-F5D2-4A20-A066-28460129291F}" sibTransId="{8C9094B0-E79E-45A9-ABD4-24B2A567AF08}"/>
    <dgm:cxn modelId="{86D2A270-F68E-483C-B1C6-BA74B930EA59}" srcId="{510252A3-8EC8-426A-86AB-651324CDA258}" destId="{72F8E145-215E-4851-AFD6-1AB1DF5071B3}" srcOrd="0" destOrd="0" parTransId="{D1CAEA29-1312-4EC7-8999-7BD37E64B463}" sibTransId="{9112996C-619E-4D73-8CA5-FC526AE7DBBC}"/>
    <dgm:cxn modelId="{58FF9180-F8A6-4D8B-B218-04A8BE2C79D3}" type="presOf" srcId="{16B3A011-C388-4CA2-B375-1529C3541DB4}" destId="{E43ED7E6-EC13-4C7F-8794-74C2D30BD3C3}" srcOrd="1" destOrd="0" presId="urn:microsoft.com/office/officeart/2005/8/layout/list1"/>
    <dgm:cxn modelId="{1E532B84-FD6D-4D1E-AD8E-459DB8130174}" type="presOf" srcId="{AC341B6F-27B0-4EE5-A1F7-6E4243052607}" destId="{532122AA-B297-4E66-83F9-3A5C06567E32}" srcOrd="0" destOrd="0" presId="urn:microsoft.com/office/officeart/2005/8/layout/list1"/>
    <dgm:cxn modelId="{80752E9C-02F1-48BD-A085-9A8A012BA585}" type="presOf" srcId="{72F8E145-215E-4851-AFD6-1AB1DF5071B3}" destId="{347325C9-7D1A-4B7E-B0FC-8B163B83FDE1}" srcOrd="0" destOrd="0" presId="urn:microsoft.com/office/officeart/2005/8/layout/list1"/>
    <dgm:cxn modelId="{A0BDF79D-0463-4765-B641-F5D99165FF4F}" srcId="{510252A3-8EC8-426A-86AB-651324CDA258}" destId="{CBB47558-0E34-48B6-B841-9EE53E873F58}" srcOrd="1" destOrd="0" parTransId="{0E3E93C6-089A-44C3-A7BD-A6986D7E3FEA}" sibTransId="{DA8F7FE7-6CC8-4E75-A153-982D2EF84371}"/>
    <dgm:cxn modelId="{D8F7F9A5-3DA0-4F79-AA5E-C185BEBC93C6}" srcId="{510252A3-8EC8-426A-86AB-651324CDA258}" destId="{AC341B6F-27B0-4EE5-A1F7-6E4243052607}" srcOrd="4" destOrd="0" parTransId="{6E41BDA0-FFF1-41F4-ADD0-25196693CADD}" sibTransId="{91161436-D506-43CE-B895-EF5B9E060153}"/>
    <dgm:cxn modelId="{C63F4DB2-27B3-4CAF-BAF9-CEFCDFDF3567}" type="presOf" srcId="{72F8E145-215E-4851-AFD6-1AB1DF5071B3}" destId="{A4E99370-69F2-4A8E-A440-0CFA915395B0}" srcOrd="1" destOrd="0" presId="urn:microsoft.com/office/officeart/2005/8/layout/list1"/>
    <dgm:cxn modelId="{9E8D97F0-70DC-4A6F-BF26-6650203C9BB0}" type="presOf" srcId="{510252A3-8EC8-426A-86AB-651324CDA258}" destId="{C6D41138-5DF5-49CA-823D-5B66AB3DDF13}" srcOrd="0" destOrd="0" presId="urn:microsoft.com/office/officeart/2005/8/layout/list1"/>
    <dgm:cxn modelId="{DF0E7CF9-D3A4-47A9-AD0F-DFB4E6DC7779}" type="presOf" srcId="{AC341B6F-27B0-4EE5-A1F7-6E4243052607}" destId="{0608A406-B2E5-4C42-8430-1B932B674926}" srcOrd="1" destOrd="0" presId="urn:microsoft.com/office/officeart/2005/8/layout/list1"/>
    <dgm:cxn modelId="{CCD624D0-BF83-4DA3-B1BD-2EA4010F409C}" type="presParOf" srcId="{C6D41138-5DF5-49CA-823D-5B66AB3DDF13}" destId="{355597E5-A66B-46EA-8ED1-F22C243D36C8}" srcOrd="0" destOrd="0" presId="urn:microsoft.com/office/officeart/2005/8/layout/list1"/>
    <dgm:cxn modelId="{8270C03C-F82B-4AE7-8C26-A105B03EAA8C}" type="presParOf" srcId="{355597E5-A66B-46EA-8ED1-F22C243D36C8}" destId="{347325C9-7D1A-4B7E-B0FC-8B163B83FDE1}" srcOrd="0" destOrd="0" presId="urn:microsoft.com/office/officeart/2005/8/layout/list1"/>
    <dgm:cxn modelId="{FCC8E223-A2CD-43EF-8403-83C434108AD2}" type="presParOf" srcId="{355597E5-A66B-46EA-8ED1-F22C243D36C8}" destId="{A4E99370-69F2-4A8E-A440-0CFA915395B0}" srcOrd="1" destOrd="0" presId="urn:microsoft.com/office/officeart/2005/8/layout/list1"/>
    <dgm:cxn modelId="{7E6C78D6-4339-4215-9FCB-6E44DB69675F}" type="presParOf" srcId="{C6D41138-5DF5-49CA-823D-5B66AB3DDF13}" destId="{5CE31185-E7F4-4728-949B-15383B426DB4}" srcOrd="1" destOrd="0" presId="urn:microsoft.com/office/officeart/2005/8/layout/list1"/>
    <dgm:cxn modelId="{6B484483-BDD5-4E5F-9BB7-2553299B3C65}" type="presParOf" srcId="{C6D41138-5DF5-49CA-823D-5B66AB3DDF13}" destId="{36B18DE4-FCE8-4B38-82ED-FF385265E6C6}" srcOrd="2" destOrd="0" presId="urn:microsoft.com/office/officeart/2005/8/layout/list1"/>
    <dgm:cxn modelId="{702B1814-F43F-45A0-8FF0-ED4BEE4D3C0D}" type="presParOf" srcId="{C6D41138-5DF5-49CA-823D-5B66AB3DDF13}" destId="{36D38D74-A8A5-4482-A547-C9235EC931B5}" srcOrd="3" destOrd="0" presId="urn:microsoft.com/office/officeart/2005/8/layout/list1"/>
    <dgm:cxn modelId="{11F3D4C9-9A8E-4EA8-A7CC-2CB2B45ED625}" type="presParOf" srcId="{C6D41138-5DF5-49CA-823D-5B66AB3DDF13}" destId="{781BD8B7-81E1-4718-ADE1-57FF628FA2E5}" srcOrd="4" destOrd="0" presId="urn:microsoft.com/office/officeart/2005/8/layout/list1"/>
    <dgm:cxn modelId="{1AE62851-2A4D-454B-8A62-AA2D30BBE28D}" type="presParOf" srcId="{781BD8B7-81E1-4718-ADE1-57FF628FA2E5}" destId="{7D0E60D9-534D-4304-AB76-D2EA7A2E09E4}" srcOrd="0" destOrd="0" presId="urn:microsoft.com/office/officeart/2005/8/layout/list1"/>
    <dgm:cxn modelId="{0FDC36DC-25F3-4B90-B91F-C6E2DC9D76EF}" type="presParOf" srcId="{781BD8B7-81E1-4718-ADE1-57FF628FA2E5}" destId="{ED832506-D6C1-4A64-AD0C-CCBDA37811FC}" srcOrd="1" destOrd="0" presId="urn:microsoft.com/office/officeart/2005/8/layout/list1"/>
    <dgm:cxn modelId="{5D8F96EE-D0F5-4007-BC6F-D2695399C117}" type="presParOf" srcId="{C6D41138-5DF5-49CA-823D-5B66AB3DDF13}" destId="{3E9A5846-5EB4-4997-BDEA-0EB216A81AAC}" srcOrd="5" destOrd="0" presId="urn:microsoft.com/office/officeart/2005/8/layout/list1"/>
    <dgm:cxn modelId="{83FA0EA6-EA2C-4B06-AFD3-A7AC6CCEAAB1}" type="presParOf" srcId="{C6D41138-5DF5-49CA-823D-5B66AB3DDF13}" destId="{57CFC406-0787-4109-9F02-195E0B7BAB36}" srcOrd="6" destOrd="0" presId="urn:microsoft.com/office/officeart/2005/8/layout/list1"/>
    <dgm:cxn modelId="{5645DFFD-E7FC-4CA7-9DFC-530D20ABC4D2}" type="presParOf" srcId="{C6D41138-5DF5-49CA-823D-5B66AB3DDF13}" destId="{80F6B17C-D8A4-4A08-87D2-253F4A495090}" srcOrd="7" destOrd="0" presId="urn:microsoft.com/office/officeart/2005/8/layout/list1"/>
    <dgm:cxn modelId="{6727BBFD-6E92-4A75-BB84-EFD5226A33E6}" type="presParOf" srcId="{C6D41138-5DF5-49CA-823D-5B66AB3DDF13}" destId="{8A0C0B61-E0C3-45DF-A5D5-11F46F920128}" srcOrd="8" destOrd="0" presId="urn:microsoft.com/office/officeart/2005/8/layout/list1"/>
    <dgm:cxn modelId="{5E5FB2B7-0C04-4C1E-B422-45BC3861B13F}" type="presParOf" srcId="{8A0C0B61-E0C3-45DF-A5D5-11F46F920128}" destId="{32F7891E-323F-4BE6-8D1E-544F0E9A3469}" srcOrd="0" destOrd="0" presId="urn:microsoft.com/office/officeart/2005/8/layout/list1"/>
    <dgm:cxn modelId="{44EF2FB0-BAF4-47B7-9837-1FA5AB2829AA}" type="presParOf" srcId="{8A0C0B61-E0C3-45DF-A5D5-11F46F920128}" destId="{27263AEE-F779-432A-8E39-29C374AC663E}" srcOrd="1" destOrd="0" presId="urn:microsoft.com/office/officeart/2005/8/layout/list1"/>
    <dgm:cxn modelId="{312A56F0-DAEF-4E55-AADC-35BA9061ADD8}" type="presParOf" srcId="{C6D41138-5DF5-49CA-823D-5B66AB3DDF13}" destId="{47628108-D521-4C22-A2EC-0FE5D4192D28}" srcOrd="9" destOrd="0" presId="urn:microsoft.com/office/officeart/2005/8/layout/list1"/>
    <dgm:cxn modelId="{3E830E2F-7A2A-4C62-98E6-D28BCAAADBB1}" type="presParOf" srcId="{C6D41138-5DF5-49CA-823D-5B66AB3DDF13}" destId="{FE4AC0AA-D2BD-479D-9A6E-43E5D735BDD9}" srcOrd="10" destOrd="0" presId="urn:microsoft.com/office/officeart/2005/8/layout/list1"/>
    <dgm:cxn modelId="{EE459140-BC62-43C0-AA27-5A84127A2982}" type="presParOf" srcId="{C6D41138-5DF5-49CA-823D-5B66AB3DDF13}" destId="{6A1A6BBA-9C1B-4EF6-8091-B1E0AA7EB6D4}" srcOrd="11" destOrd="0" presId="urn:microsoft.com/office/officeart/2005/8/layout/list1"/>
    <dgm:cxn modelId="{0D1AD38A-7BEE-4A91-91C7-E2F8BB4F1129}" type="presParOf" srcId="{C6D41138-5DF5-49CA-823D-5B66AB3DDF13}" destId="{EBF616BC-3D86-4345-9368-274EC8ADE52D}" srcOrd="12" destOrd="0" presId="urn:microsoft.com/office/officeart/2005/8/layout/list1"/>
    <dgm:cxn modelId="{A1DC295E-AC5E-46D8-86F4-58BC0AF13B2B}" type="presParOf" srcId="{EBF616BC-3D86-4345-9368-274EC8ADE52D}" destId="{3413F9FB-7868-4B26-9B52-599350ED42A1}" srcOrd="0" destOrd="0" presId="urn:microsoft.com/office/officeart/2005/8/layout/list1"/>
    <dgm:cxn modelId="{4A70469B-837E-4177-A539-FA5BCA6A51E3}" type="presParOf" srcId="{EBF616BC-3D86-4345-9368-274EC8ADE52D}" destId="{E43ED7E6-EC13-4C7F-8794-74C2D30BD3C3}" srcOrd="1" destOrd="0" presId="urn:microsoft.com/office/officeart/2005/8/layout/list1"/>
    <dgm:cxn modelId="{8B216B0A-D90D-4381-8519-A20638DD86FA}" type="presParOf" srcId="{C6D41138-5DF5-49CA-823D-5B66AB3DDF13}" destId="{BECD4E0B-C773-470B-BCD8-B1041577B152}" srcOrd="13" destOrd="0" presId="urn:microsoft.com/office/officeart/2005/8/layout/list1"/>
    <dgm:cxn modelId="{C61C8F14-E890-48F9-8164-50497A475362}" type="presParOf" srcId="{C6D41138-5DF5-49CA-823D-5B66AB3DDF13}" destId="{4DADAD59-E164-46AA-8110-C78FBE186C00}" srcOrd="14" destOrd="0" presId="urn:microsoft.com/office/officeart/2005/8/layout/list1"/>
    <dgm:cxn modelId="{AB482187-BFAE-4437-A068-8D9F35634E41}" type="presParOf" srcId="{C6D41138-5DF5-49CA-823D-5B66AB3DDF13}" destId="{2DA4E2F4-5F01-4A27-B291-E6AF0FC91EC6}" srcOrd="15" destOrd="0" presId="urn:microsoft.com/office/officeart/2005/8/layout/list1"/>
    <dgm:cxn modelId="{EB041A27-36DE-4001-9F02-7B0200A8774B}" type="presParOf" srcId="{C6D41138-5DF5-49CA-823D-5B66AB3DDF13}" destId="{78698035-4BBB-456A-B859-0197AE510F5C}" srcOrd="16" destOrd="0" presId="urn:microsoft.com/office/officeart/2005/8/layout/list1"/>
    <dgm:cxn modelId="{BC3C15CD-AF80-4A7A-B0CA-CC0A65161456}" type="presParOf" srcId="{78698035-4BBB-456A-B859-0197AE510F5C}" destId="{532122AA-B297-4E66-83F9-3A5C06567E32}" srcOrd="0" destOrd="0" presId="urn:microsoft.com/office/officeart/2005/8/layout/list1"/>
    <dgm:cxn modelId="{BA99E70C-1C87-412E-89B2-D303C99B91D1}" type="presParOf" srcId="{78698035-4BBB-456A-B859-0197AE510F5C}" destId="{0608A406-B2E5-4C42-8430-1B932B674926}" srcOrd="1" destOrd="0" presId="urn:microsoft.com/office/officeart/2005/8/layout/list1"/>
    <dgm:cxn modelId="{17786703-8022-47A6-9ED2-EF2B71ED2F9B}" type="presParOf" srcId="{C6D41138-5DF5-49CA-823D-5B66AB3DDF13}" destId="{C4FDB7D3-A3A5-41A7-8702-281BF6215C54}" srcOrd="17" destOrd="0" presId="urn:microsoft.com/office/officeart/2005/8/layout/list1"/>
    <dgm:cxn modelId="{2B96423F-E16A-4434-8141-2FA62A5A757F}" type="presParOf" srcId="{C6D41138-5DF5-49CA-823D-5B66AB3DDF13}" destId="{B81C561E-DD06-4E4B-9C60-395F06AB2CFB}" srcOrd="18"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6B18DE4-FCE8-4B38-82ED-FF385265E6C6}">
      <dsp:nvSpPr>
        <dsp:cNvPr id="0" name=""/>
        <dsp:cNvSpPr/>
      </dsp:nvSpPr>
      <dsp:spPr>
        <a:xfrm>
          <a:off x="0" y="257039"/>
          <a:ext cx="5486400" cy="352800"/>
        </a:xfrm>
        <a:prstGeom prst="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A4E99370-69F2-4A8E-A440-0CFA915395B0}">
      <dsp:nvSpPr>
        <dsp:cNvPr id="0" name=""/>
        <dsp:cNvSpPr/>
      </dsp:nvSpPr>
      <dsp:spPr>
        <a:xfrm>
          <a:off x="274320" y="50399"/>
          <a:ext cx="3840480" cy="413280"/>
        </a:xfrm>
        <a:prstGeom prst="roundRect">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US" sz="1400" b="1" i="1" kern="1200">
              <a:latin typeface="Times New Roman" pitchFamily="18" charset="0"/>
              <a:cs typeface="Times New Roman" pitchFamily="18" charset="0"/>
            </a:rPr>
            <a:t>Chapter 1: Introduction</a:t>
          </a:r>
        </a:p>
      </dsp:txBody>
      <dsp:txXfrm>
        <a:off x="294495" y="70574"/>
        <a:ext cx="3800130" cy="372930"/>
      </dsp:txXfrm>
    </dsp:sp>
    <dsp:sp modelId="{57CFC406-0787-4109-9F02-195E0B7BAB36}">
      <dsp:nvSpPr>
        <dsp:cNvPr id="0" name=""/>
        <dsp:cNvSpPr/>
      </dsp:nvSpPr>
      <dsp:spPr>
        <a:xfrm>
          <a:off x="0" y="892080"/>
          <a:ext cx="5486400" cy="352800"/>
        </a:xfrm>
        <a:prstGeom prst="rect">
          <a:avLst/>
        </a:prstGeom>
        <a:solidFill>
          <a:schemeClr val="lt1">
            <a:alpha val="90000"/>
            <a:hueOff val="0"/>
            <a:satOff val="0"/>
            <a:lumOff val="0"/>
            <a:alphaOff val="0"/>
          </a:schemeClr>
        </a:solidFill>
        <a:ln w="9525" cap="flat" cmpd="sng" algn="ctr">
          <a:solidFill>
            <a:schemeClr val="accent5">
              <a:hueOff val="-2483469"/>
              <a:satOff val="9953"/>
              <a:lumOff val="2157"/>
              <a:alphaOff val="0"/>
            </a:schemeClr>
          </a:solidFill>
          <a:prstDash val="solid"/>
        </a:ln>
        <a:effectLst/>
      </dsp:spPr>
      <dsp:style>
        <a:lnRef idx="1">
          <a:scrgbClr r="0" g="0" b="0"/>
        </a:lnRef>
        <a:fillRef idx="1">
          <a:scrgbClr r="0" g="0" b="0"/>
        </a:fillRef>
        <a:effectRef idx="0">
          <a:scrgbClr r="0" g="0" b="0"/>
        </a:effectRef>
        <a:fontRef idx="minor"/>
      </dsp:style>
    </dsp:sp>
    <dsp:sp modelId="{ED832506-D6C1-4A64-AD0C-CCBDA37811FC}">
      <dsp:nvSpPr>
        <dsp:cNvPr id="0" name=""/>
        <dsp:cNvSpPr/>
      </dsp:nvSpPr>
      <dsp:spPr>
        <a:xfrm>
          <a:off x="274320" y="685440"/>
          <a:ext cx="3840480" cy="413280"/>
        </a:xfrm>
        <a:prstGeom prst="roundRect">
          <a:avLst/>
        </a:prstGeom>
        <a:gradFill rotWithShape="0">
          <a:gsLst>
            <a:gs pos="0">
              <a:schemeClr val="accent5">
                <a:hueOff val="-2483469"/>
                <a:satOff val="9953"/>
                <a:lumOff val="2157"/>
                <a:alphaOff val="0"/>
                <a:tint val="50000"/>
                <a:satMod val="300000"/>
              </a:schemeClr>
            </a:gs>
            <a:gs pos="35000">
              <a:schemeClr val="accent5">
                <a:hueOff val="-2483469"/>
                <a:satOff val="9953"/>
                <a:lumOff val="2157"/>
                <a:alphaOff val="0"/>
                <a:tint val="37000"/>
                <a:satMod val="300000"/>
              </a:schemeClr>
            </a:gs>
            <a:gs pos="100000">
              <a:schemeClr val="accent5">
                <a:hueOff val="-2483469"/>
                <a:satOff val="9953"/>
                <a:lumOff val="2157"/>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US" sz="1400" b="1" i="1" kern="1200">
              <a:latin typeface="Times New Roman" pitchFamily="18" charset="0"/>
              <a:cs typeface="Times New Roman" pitchFamily="18" charset="0"/>
            </a:rPr>
            <a:t>Chapter 2: Literature Review</a:t>
          </a:r>
        </a:p>
      </dsp:txBody>
      <dsp:txXfrm>
        <a:off x="294495" y="705615"/>
        <a:ext cx="3800130" cy="372930"/>
      </dsp:txXfrm>
    </dsp:sp>
    <dsp:sp modelId="{FE4AC0AA-D2BD-479D-9A6E-43E5D735BDD9}">
      <dsp:nvSpPr>
        <dsp:cNvPr id="0" name=""/>
        <dsp:cNvSpPr/>
      </dsp:nvSpPr>
      <dsp:spPr>
        <a:xfrm>
          <a:off x="0" y="1527120"/>
          <a:ext cx="5486400" cy="352800"/>
        </a:xfrm>
        <a:prstGeom prst="rect">
          <a:avLst/>
        </a:prstGeom>
        <a:solidFill>
          <a:schemeClr val="lt1">
            <a:alpha val="90000"/>
            <a:hueOff val="0"/>
            <a:satOff val="0"/>
            <a:lumOff val="0"/>
            <a:alphaOff val="0"/>
          </a:schemeClr>
        </a:solidFill>
        <a:ln w="9525" cap="flat" cmpd="sng" algn="ctr">
          <a:solidFill>
            <a:schemeClr val="accent5">
              <a:hueOff val="-4966938"/>
              <a:satOff val="19906"/>
              <a:lumOff val="4314"/>
              <a:alphaOff val="0"/>
            </a:schemeClr>
          </a:solidFill>
          <a:prstDash val="solid"/>
        </a:ln>
        <a:effectLst/>
      </dsp:spPr>
      <dsp:style>
        <a:lnRef idx="1">
          <a:scrgbClr r="0" g="0" b="0"/>
        </a:lnRef>
        <a:fillRef idx="1">
          <a:scrgbClr r="0" g="0" b="0"/>
        </a:fillRef>
        <a:effectRef idx="0">
          <a:scrgbClr r="0" g="0" b="0"/>
        </a:effectRef>
        <a:fontRef idx="minor"/>
      </dsp:style>
    </dsp:sp>
    <dsp:sp modelId="{27263AEE-F779-432A-8E39-29C374AC663E}">
      <dsp:nvSpPr>
        <dsp:cNvPr id="0" name=""/>
        <dsp:cNvSpPr/>
      </dsp:nvSpPr>
      <dsp:spPr>
        <a:xfrm>
          <a:off x="274320" y="1320480"/>
          <a:ext cx="3840480" cy="413280"/>
        </a:xfrm>
        <a:prstGeom prst="roundRect">
          <a:avLst/>
        </a:prstGeom>
        <a:gradFill rotWithShape="0">
          <a:gsLst>
            <a:gs pos="0">
              <a:schemeClr val="accent5">
                <a:hueOff val="-4966938"/>
                <a:satOff val="19906"/>
                <a:lumOff val="4314"/>
                <a:alphaOff val="0"/>
                <a:tint val="50000"/>
                <a:satMod val="300000"/>
              </a:schemeClr>
            </a:gs>
            <a:gs pos="35000">
              <a:schemeClr val="accent5">
                <a:hueOff val="-4966938"/>
                <a:satOff val="19906"/>
                <a:lumOff val="4314"/>
                <a:alphaOff val="0"/>
                <a:tint val="37000"/>
                <a:satMod val="300000"/>
              </a:schemeClr>
            </a:gs>
            <a:gs pos="100000">
              <a:schemeClr val="accent5">
                <a:hueOff val="-4966938"/>
                <a:satOff val="19906"/>
                <a:lumOff val="4314"/>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US" sz="1400" b="1" i="1" kern="1200">
              <a:latin typeface="Times New Roman" pitchFamily="18" charset="0"/>
              <a:cs typeface="Times New Roman" pitchFamily="18" charset="0"/>
            </a:rPr>
            <a:t>Chapter 3: Research Methodology</a:t>
          </a:r>
        </a:p>
      </dsp:txBody>
      <dsp:txXfrm>
        <a:off x="294495" y="1340655"/>
        <a:ext cx="3800130" cy="372930"/>
      </dsp:txXfrm>
    </dsp:sp>
    <dsp:sp modelId="{4DADAD59-E164-46AA-8110-C78FBE186C00}">
      <dsp:nvSpPr>
        <dsp:cNvPr id="0" name=""/>
        <dsp:cNvSpPr/>
      </dsp:nvSpPr>
      <dsp:spPr>
        <a:xfrm>
          <a:off x="0" y="2162160"/>
          <a:ext cx="5486400" cy="352800"/>
        </a:xfrm>
        <a:prstGeom prst="rect">
          <a:avLst/>
        </a:prstGeom>
        <a:solidFill>
          <a:schemeClr val="lt1">
            <a:alpha val="90000"/>
            <a:hueOff val="0"/>
            <a:satOff val="0"/>
            <a:lumOff val="0"/>
            <a:alphaOff val="0"/>
          </a:schemeClr>
        </a:solidFill>
        <a:ln w="9525" cap="flat" cmpd="sng" algn="ctr">
          <a:solidFill>
            <a:schemeClr val="accent5">
              <a:hueOff val="-7450407"/>
              <a:satOff val="29858"/>
              <a:lumOff val="6471"/>
              <a:alphaOff val="0"/>
            </a:schemeClr>
          </a:solidFill>
          <a:prstDash val="solid"/>
        </a:ln>
        <a:effectLst/>
      </dsp:spPr>
      <dsp:style>
        <a:lnRef idx="1">
          <a:scrgbClr r="0" g="0" b="0"/>
        </a:lnRef>
        <a:fillRef idx="1">
          <a:scrgbClr r="0" g="0" b="0"/>
        </a:fillRef>
        <a:effectRef idx="0">
          <a:scrgbClr r="0" g="0" b="0"/>
        </a:effectRef>
        <a:fontRef idx="minor"/>
      </dsp:style>
    </dsp:sp>
    <dsp:sp modelId="{E43ED7E6-EC13-4C7F-8794-74C2D30BD3C3}">
      <dsp:nvSpPr>
        <dsp:cNvPr id="0" name=""/>
        <dsp:cNvSpPr/>
      </dsp:nvSpPr>
      <dsp:spPr>
        <a:xfrm>
          <a:off x="274320" y="1955520"/>
          <a:ext cx="3840480" cy="413280"/>
        </a:xfrm>
        <a:prstGeom prst="roundRect">
          <a:avLst/>
        </a:prstGeom>
        <a:gradFill rotWithShape="0">
          <a:gsLst>
            <a:gs pos="0">
              <a:schemeClr val="accent5">
                <a:hueOff val="-7450407"/>
                <a:satOff val="29858"/>
                <a:lumOff val="6471"/>
                <a:alphaOff val="0"/>
                <a:tint val="50000"/>
                <a:satMod val="300000"/>
              </a:schemeClr>
            </a:gs>
            <a:gs pos="35000">
              <a:schemeClr val="accent5">
                <a:hueOff val="-7450407"/>
                <a:satOff val="29858"/>
                <a:lumOff val="6471"/>
                <a:alphaOff val="0"/>
                <a:tint val="37000"/>
                <a:satMod val="300000"/>
              </a:schemeClr>
            </a:gs>
            <a:gs pos="100000">
              <a:schemeClr val="accent5">
                <a:hueOff val="-7450407"/>
                <a:satOff val="29858"/>
                <a:lumOff val="6471"/>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US" sz="1400" b="1" i="1" kern="1200">
              <a:latin typeface="Times New Roman" pitchFamily="18" charset="0"/>
              <a:cs typeface="Times New Roman" pitchFamily="18" charset="0"/>
            </a:rPr>
            <a:t>Chapter 4: Data Analysis and Findings</a:t>
          </a:r>
        </a:p>
      </dsp:txBody>
      <dsp:txXfrm>
        <a:off x="294495" y="1975695"/>
        <a:ext cx="3800130" cy="372930"/>
      </dsp:txXfrm>
    </dsp:sp>
    <dsp:sp modelId="{B81C561E-DD06-4E4B-9C60-395F06AB2CFB}">
      <dsp:nvSpPr>
        <dsp:cNvPr id="0" name=""/>
        <dsp:cNvSpPr/>
      </dsp:nvSpPr>
      <dsp:spPr>
        <a:xfrm>
          <a:off x="0" y="2797200"/>
          <a:ext cx="5486400" cy="352800"/>
        </a:xfrm>
        <a:prstGeom prst="rect">
          <a:avLst/>
        </a:prstGeom>
        <a:solidFill>
          <a:schemeClr val="lt1">
            <a:alpha val="90000"/>
            <a:hueOff val="0"/>
            <a:satOff val="0"/>
            <a:lumOff val="0"/>
            <a:alphaOff val="0"/>
          </a:schemeClr>
        </a:solidFill>
        <a:ln w="9525" cap="flat" cmpd="sng" algn="ctr">
          <a:solidFill>
            <a:schemeClr val="accent5">
              <a:hueOff val="-9933876"/>
              <a:satOff val="39811"/>
              <a:lumOff val="8628"/>
              <a:alphaOff val="0"/>
            </a:schemeClr>
          </a:solidFill>
          <a:prstDash val="solid"/>
        </a:ln>
        <a:effectLst/>
      </dsp:spPr>
      <dsp:style>
        <a:lnRef idx="1">
          <a:scrgbClr r="0" g="0" b="0"/>
        </a:lnRef>
        <a:fillRef idx="1">
          <a:scrgbClr r="0" g="0" b="0"/>
        </a:fillRef>
        <a:effectRef idx="0">
          <a:scrgbClr r="0" g="0" b="0"/>
        </a:effectRef>
        <a:fontRef idx="minor"/>
      </dsp:style>
    </dsp:sp>
    <dsp:sp modelId="{0608A406-B2E5-4C42-8430-1B932B674926}">
      <dsp:nvSpPr>
        <dsp:cNvPr id="0" name=""/>
        <dsp:cNvSpPr/>
      </dsp:nvSpPr>
      <dsp:spPr>
        <a:xfrm>
          <a:off x="274320" y="2590560"/>
          <a:ext cx="3840480" cy="413280"/>
        </a:xfrm>
        <a:prstGeom prst="roundRect">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US" sz="1400" b="1" i="1" kern="1200">
              <a:latin typeface="Times New Roman" pitchFamily="18" charset="0"/>
              <a:cs typeface="Times New Roman" pitchFamily="18" charset="0"/>
            </a:rPr>
            <a:t>Chapter 5: Conclusion and Recommendations</a:t>
          </a:r>
        </a:p>
      </dsp:txBody>
      <dsp:txXfrm>
        <a:off x="294495" y="2610735"/>
        <a:ext cx="3800130"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6AD0B4-0807-465C-8DDB-E5A9FA029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18849</Words>
  <Characters>107445</Characters>
  <Application>Microsoft Office Word</Application>
  <DocSecurity>4</DocSecurity>
  <Lines>895</Lines>
  <Paragraphs>252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2022-11-18T11:41:00Z</dcterms:created>
  <dcterms:modified xsi:type="dcterms:W3CDTF">2022-11-18T11:41:00Z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8d86647e379ef6695256a81f0fad27c13c98218bcdec2a710e8514e8e0f7a4bb</vt:lpwstr>
  </property>
</Properties>
</file>