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DC1BF" w14:textId="5D679025" w:rsidR="00205613" w:rsidRPr="006F75E2" w:rsidRDefault="008B015C" w:rsidP="006245E1">
      <w:pPr>
        <w:rPr>
          <w:rFonts w:ascii="Arial" w:hAnsi="Arial" w:cs="Arial"/>
          <w:b/>
          <w:bCs/>
          <w:sz w:val="40"/>
          <w:szCs w:val="40"/>
        </w:rPr>
      </w:pPr>
      <w:r w:rsidRPr="006F75E2">
        <w:rPr>
          <w:rFonts w:ascii="Arial" w:hAnsi="Arial" w:cs="Arial"/>
          <w:b/>
          <w:bCs/>
          <w:noProof/>
        </w:rPr>
        <w:drawing>
          <wp:inline distT="0" distB="0" distL="0" distR="0" wp14:anchorId="6911C1CB" wp14:editId="6944673A">
            <wp:extent cx="2931910" cy="973394"/>
            <wp:effectExtent l="0" t="0" r="1905" b="0"/>
            <wp:docPr id="2115890940" name="Picture 4"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890940" name="Picture 4" descr="A black background with white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6777" cy="981650"/>
                    </a:xfrm>
                    <a:prstGeom prst="rect">
                      <a:avLst/>
                    </a:prstGeom>
                    <a:noFill/>
                    <a:ln>
                      <a:noFill/>
                    </a:ln>
                  </pic:spPr>
                </pic:pic>
              </a:graphicData>
            </a:graphic>
          </wp:inline>
        </w:drawing>
      </w:r>
    </w:p>
    <w:p w14:paraId="1AD72944" w14:textId="77777777" w:rsidR="00205613" w:rsidRPr="006F75E2" w:rsidRDefault="00205613" w:rsidP="006245E1">
      <w:pPr>
        <w:rPr>
          <w:rFonts w:ascii="Arial" w:hAnsi="Arial" w:cs="Arial"/>
          <w:b/>
          <w:bCs/>
          <w:sz w:val="40"/>
          <w:szCs w:val="40"/>
        </w:rPr>
      </w:pPr>
    </w:p>
    <w:p w14:paraId="2F8DD697" w14:textId="77777777" w:rsidR="00205613" w:rsidRPr="006F75E2" w:rsidRDefault="00205613" w:rsidP="006245E1">
      <w:pPr>
        <w:rPr>
          <w:rFonts w:ascii="Arial" w:hAnsi="Arial" w:cs="Arial"/>
          <w:b/>
          <w:bCs/>
          <w:sz w:val="40"/>
          <w:szCs w:val="40"/>
        </w:rPr>
      </w:pPr>
    </w:p>
    <w:p w14:paraId="6FAD76EC" w14:textId="77777777" w:rsidR="00205613" w:rsidRPr="006F75E2" w:rsidRDefault="00205613" w:rsidP="006245E1">
      <w:pPr>
        <w:rPr>
          <w:rFonts w:ascii="Arial" w:hAnsi="Arial" w:cs="Arial"/>
          <w:b/>
          <w:bCs/>
          <w:sz w:val="40"/>
          <w:szCs w:val="40"/>
        </w:rPr>
      </w:pPr>
    </w:p>
    <w:p w14:paraId="29E46F86" w14:textId="6F6E25CF" w:rsidR="006245E1" w:rsidRPr="006F75E2" w:rsidRDefault="00205613" w:rsidP="006245E1">
      <w:pPr>
        <w:rPr>
          <w:rFonts w:ascii="Arial" w:hAnsi="Arial" w:cs="Arial"/>
          <w:b/>
          <w:bCs/>
          <w:sz w:val="40"/>
          <w:szCs w:val="40"/>
        </w:rPr>
      </w:pPr>
      <w:r w:rsidRPr="006F75E2">
        <w:rPr>
          <w:rFonts w:ascii="Arial" w:hAnsi="Arial" w:cs="Arial"/>
          <w:b/>
          <w:bCs/>
          <w:sz w:val="40"/>
          <w:szCs w:val="40"/>
        </w:rPr>
        <w:t>HR Strategy Report: Managing Grievances at TaskRabbit UK</w:t>
      </w:r>
    </w:p>
    <w:p w14:paraId="2F7539A5" w14:textId="77777777" w:rsidR="006245E1" w:rsidRPr="006F75E2" w:rsidRDefault="006245E1" w:rsidP="006245E1">
      <w:pPr>
        <w:rPr>
          <w:rFonts w:ascii="Arial" w:hAnsi="Arial" w:cs="Arial"/>
          <w:b/>
          <w:bCs/>
          <w:sz w:val="22"/>
          <w:szCs w:val="22"/>
        </w:rPr>
      </w:pPr>
    </w:p>
    <w:p w14:paraId="75AC8F98" w14:textId="77777777" w:rsidR="006245E1" w:rsidRPr="006F75E2" w:rsidRDefault="006245E1" w:rsidP="006245E1">
      <w:pPr>
        <w:rPr>
          <w:rFonts w:ascii="Arial" w:hAnsi="Arial" w:cs="Arial"/>
          <w:b/>
          <w:bCs/>
          <w:sz w:val="22"/>
          <w:szCs w:val="22"/>
        </w:rPr>
      </w:pPr>
    </w:p>
    <w:p w14:paraId="3E3D5B05" w14:textId="77777777" w:rsidR="006245E1" w:rsidRPr="006F75E2" w:rsidRDefault="006245E1" w:rsidP="006245E1">
      <w:pPr>
        <w:rPr>
          <w:rFonts w:ascii="Arial" w:hAnsi="Arial" w:cs="Arial"/>
          <w:b/>
          <w:bCs/>
          <w:sz w:val="22"/>
          <w:szCs w:val="22"/>
        </w:rPr>
      </w:pPr>
    </w:p>
    <w:p w14:paraId="30000B1B" w14:textId="77777777" w:rsidR="00760DA4" w:rsidRPr="006F75E2" w:rsidRDefault="00760DA4" w:rsidP="00760DA4">
      <w:pPr>
        <w:rPr>
          <w:rFonts w:ascii="Arial" w:hAnsi="Arial" w:cs="Arial"/>
          <w:b/>
          <w:bCs/>
          <w:sz w:val="22"/>
          <w:szCs w:val="22"/>
        </w:rPr>
      </w:pPr>
      <w:r w:rsidRPr="006F75E2">
        <w:rPr>
          <w:rFonts w:ascii="Arial" w:hAnsi="Arial" w:cs="Arial"/>
          <w:b/>
          <w:bCs/>
          <w:sz w:val="22"/>
          <w:szCs w:val="22"/>
        </w:rPr>
        <w:t xml:space="preserve">BA (Hons) Leadership and Management </w:t>
      </w:r>
    </w:p>
    <w:p w14:paraId="008D24B6" w14:textId="77777777" w:rsidR="006245E1" w:rsidRPr="006F75E2" w:rsidRDefault="006245E1" w:rsidP="006245E1">
      <w:pPr>
        <w:rPr>
          <w:rFonts w:ascii="Arial" w:hAnsi="Arial" w:cs="Arial"/>
          <w:b/>
          <w:bCs/>
          <w:sz w:val="22"/>
          <w:szCs w:val="22"/>
        </w:rPr>
      </w:pPr>
    </w:p>
    <w:tbl>
      <w:tblPr>
        <w:tblW w:w="6672" w:type="dxa"/>
        <w:tblCellSpacing w:w="15" w:type="dxa"/>
        <w:tblCellMar>
          <w:top w:w="15" w:type="dxa"/>
          <w:left w:w="15" w:type="dxa"/>
          <w:bottom w:w="15" w:type="dxa"/>
          <w:right w:w="15" w:type="dxa"/>
        </w:tblCellMar>
        <w:tblLook w:val="04A0" w:firstRow="1" w:lastRow="0" w:firstColumn="1" w:lastColumn="0" w:noHBand="0" w:noVBand="1"/>
      </w:tblPr>
      <w:tblGrid>
        <w:gridCol w:w="3462"/>
        <w:gridCol w:w="3210"/>
      </w:tblGrid>
      <w:tr w:rsidR="00B8716B" w:rsidRPr="006F75E2" w14:paraId="4B069AFF" w14:textId="77777777" w:rsidTr="006F75E2">
        <w:trPr>
          <w:trHeight w:val="669"/>
          <w:tblCellSpacing w:w="15" w:type="dxa"/>
        </w:trPr>
        <w:tc>
          <w:tcPr>
            <w:tcW w:w="0" w:type="auto"/>
            <w:vAlign w:val="center"/>
            <w:hideMark/>
          </w:tcPr>
          <w:p w14:paraId="4F613FC1" w14:textId="77777777" w:rsidR="00B8716B" w:rsidRPr="006F75E2" w:rsidRDefault="00B8716B" w:rsidP="006245E1">
            <w:pPr>
              <w:spacing w:line="360" w:lineRule="auto"/>
              <w:rPr>
                <w:rFonts w:ascii="Arial" w:hAnsi="Arial" w:cs="Arial"/>
              </w:rPr>
            </w:pPr>
            <w:r w:rsidRPr="006F75E2">
              <w:rPr>
                <w:rFonts w:ascii="Arial" w:hAnsi="Arial" w:cs="Arial"/>
                <w:b/>
                <w:bCs/>
              </w:rPr>
              <w:t>Name</w:t>
            </w:r>
          </w:p>
        </w:tc>
        <w:tc>
          <w:tcPr>
            <w:tcW w:w="0" w:type="auto"/>
            <w:vAlign w:val="center"/>
            <w:hideMark/>
          </w:tcPr>
          <w:p w14:paraId="60D79F49" w14:textId="01AD44F1" w:rsidR="00B8716B" w:rsidRPr="006F75E2" w:rsidRDefault="00B60503" w:rsidP="006245E1">
            <w:pPr>
              <w:spacing w:line="360" w:lineRule="auto"/>
              <w:rPr>
                <w:rFonts w:ascii="Arial" w:hAnsi="Arial" w:cs="Arial"/>
                <w:b/>
                <w:bCs/>
              </w:rPr>
            </w:pPr>
            <w:r w:rsidRPr="006F75E2">
              <w:rPr>
                <w:rFonts w:ascii="Arial" w:hAnsi="Arial" w:cs="Arial"/>
                <w:b/>
                <w:bCs/>
              </w:rPr>
              <w:t>Tatyana Ivanova</w:t>
            </w:r>
          </w:p>
        </w:tc>
      </w:tr>
      <w:tr w:rsidR="00B8716B" w:rsidRPr="006F75E2" w14:paraId="16D2E34E" w14:textId="77777777" w:rsidTr="006F75E2">
        <w:trPr>
          <w:trHeight w:val="656"/>
          <w:tblCellSpacing w:w="15" w:type="dxa"/>
        </w:trPr>
        <w:tc>
          <w:tcPr>
            <w:tcW w:w="0" w:type="auto"/>
            <w:vAlign w:val="center"/>
            <w:hideMark/>
          </w:tcPr>
          <w:p w14:paraId="5774FC8E" w14:textId="77777777" w:rsidR="00B8716B" w:rsidRPr="006F75E2" w:rsidRDefault="00B8716B" w:rsidP="006245E1">
            <w:pPr>
              <w:spacing w:line="360" w:lineRule="auto"/>
              <w:rPr>
                <w:rFonts w:ascii="Arial" w:hAnsi="Arial" w:cs="Arial"/>
              </w:rPr>
            </w:pPr>
            <w:r w:rsidRPr="006F75E2">
              <w:rPr>
                <w:rFonts w:ascii="Arial" w:hAnsi="Arial" w:cs="Arial"/>
                <w:b/>
                <w:bCs/>
              </w:rPr>
              <w:t>Student Number</w:t>
            </w:r>
          </w:p>
        </w:tc>
        <w:tc>
          <w:tcPr>
            <w:tcW w:w="0" w:type="auto"/>
            <w:vAlign w:val="center"/>
            <w:hideMark/>
          </w:tcPr>
          <w:p w14:paraId="3E09BE36" w14:textId="27169AB9" w:rsidR="008F10A9" w:rsidRPr="006F75E2" w:rsidRDefault="00B60503" w:rsidP="006245E1">
            <w:pPr>
              <w:spacing w:line="360" w:lineRule="auto"/>
              <w:rPr>
                <w:rFonts w:ascii="Arial" w:hAnsi="Arial" w:cs="Arial"/>
                <w:b/>
                <w:bCs/>
              </w:rPr>
            </w:pPr>
            <w:r w:rsidRPr="006F75E2">
              <w:rPr>
                <w:rFonts w:ascii="Arial" w:hAnsi="Arial" w:cs="Arial"/>
                <w:b/>
                <w:bCs/>
              </w:rPr>
              <w:t>2412523</w:t>
            </w:r>
          </w:p>
        </w:tc>
      </w:tr>
      <w:tr w:rsidR="00B8716B" w:rsidRPr="006F75E2" w14:paraId="13DE3258" w14:textId="77777777" w:rsidTr="006F75E2">
        <w:trPr>
          <w:trHeight w:val="669"/>
          <w:tblCellSpacing w:w="15" w:type="dxa"/>
        </w:trPr>
        <w:tc>
          <w:tcPr>
            <w:tcW w:w="0" w:type="auto"/>
            <w:vAlign w:val="center"/>
            <w:hideMark/>
          </w:tcPr>
          <w:p w14:paraId="3366D7F7" w14:textId="0AAB821E" w:rsidR="00B8716B" w:rsidRPr="006F75E2" w:rsidRDefault="00B8716B" w:rsidP="006245E1">
            <w:pPr>
              <w:spacing w:line="360" w:lineRule="auto"/>
              <w:rPr>
                <w:rFonts w:ascii="Arial" w:hAnsi="Arial" w:cs="Arial"/>
              </w:rPr>
            </w:pPr>
            <w:r w:rsidRPr="006F75E2">
              <w:rPr>
                <w:rFonts w:ascii="Arial" w:hAnsi="Arial" w:cs="Arial"/>
                <w:b/>
                <w:bCs/>
              </w:rPr>
              <w:t xml:space="preserve">Module Code and </w:t>
            </w:r>
          </w:p>
        </w:tc>
        <w:tc>
          <w:tcPr>
            <w:tcW w:w="0" w:type="auto"/>
            <w:vAlign w:val="center"/>
            <w:hideMark/>
          </w:tcPr>
          <w:p w14:paraId="35DFE771" w14:textId="77777777" w:rsidR="00B8716B" w:rsidRPr="006F75E2" w:rsidRDefault="00AE1831" w:rsidP="006245E1">
            <w:pPr>
              <w:spacing w:line="360" w:lineRule="auto"/>
              <w:rPr>
                <w:rFonts w:ascii="Arial" w:hAnsi="Arial" w:cs="Arial"/>
                <w:b/>
                <w:bCs/>
              </w:rPr>
            </w:pPr>
            <w:r w:rsidRPr="006F75E2">
              <w:rPr>
                <w:rFonts w:ascii="Arial" w:hAnsi="Arial" w:cs="Arial"/>
                <w:b/>
                <w:bCs/>
              </w:rPr>
              <w:t>LCLM5002</w:t>
            </w:r>
          </w:p>
          <w:p w14:paraId="0B77F427" w14:textId="7F1489DC" w:rsidR="00D85A94" w:rsidRPr="006F75E2" w:rsidRDefault="00D85A94" w:rsidP="006245E1">
            <w:pPr>
              <w:spacing w:line="360" w:lineRule="auto"/>
              <w:rPr>
                <w:rFonts w:ascii="Arial" w:hAnsi="Arial" w:cs="Arial"/>
                <w:b/>
                <w:bCs/>
              </w:rPr>
            </w:pPr>
          </w:p>
        </w:tc>
      </w:tr>
      <w:tr w:rsidR="00B8716B" w:rsidRPr="006F75E2" w14:paraId="4677591F" w14:textId="77777777" w:rsidTr="006F75E2">
        <w:trPr>
          <w:trHeight w:val="656"/>
          <w:tblCellSpacing w:w="15" w:type="dxa"/>
        </w:trPr>
        <w:tc>
          <w:tcPr>
            <w:tcW w:w="0" w:type="auto"/>
            <w:vAlign w:val="center"/>
            <w:hideMark/>
          </w:tcPr>
          <w:p w14:paraId="4E3E19F5" w14:textId="77777777" w:rsidR="00B8716B" w:rsidRPr="006F75E2" w:rsidRDefault="00B8716B" w:rsidP="006245E1">
            <w:pPr>
              <w:spacing w:line="360" w:lineRule="auto"/>
              <w:rPr>
                <w:rFonts w:ascii="Arial" w:hAnsi="Arial" w:cs="Arial"/>
              </w:rPr>
            </w:pPr>
            <w:r w:rsidRPr="006F75E2">
              <w:rPr>
                <w:rFonts w:ascii="Arial" w:hAnsi="Arial" w:cs="Arial"/>
                <w:b/>
                <w:bCs/>
              </w:rPr>
              <w:t>Lecturer’s Name</w:t>
            </w:r>
          </w:p>
        </w:tc>
        <w:tc>
          <w:tcPr>
            <w:tcW w:w="0" w:type="auto"/>
            <w:vAlign w:val="center"/>
            <w:hideMark/>
          </w:tcPr>
          <w:p w14:paraId="3F76AA7D" w14:textId="41B4CAE6" w:rsidR="00B8716B" w:rsidRPr="006F75E2" w:rsidRDefault="006B32D1" w:rsidP="006245E1">
            <w:pPr>
              <w:spacing w:line="360" w:lineRule="auto"/>
              <w:rPr>
                <w:rFonts w:ascii="Arial" w:hAnsi="Arial" w:cs="Arial"/>
                <w:b/>
                <w:bCs/>
              </w:rPr>
            </w:pPr>
            <w:r w:rsidRPr="006B32D1">
              <w:rPr>
                <w:rFonts w:ascii="Arial" w:hAnsi="Arial" w:cs="Arial"/>
                <w:b/>
                <w:bCs/>
              </w:rPr>
              <w:t>Gregory Cowan</w:t>
            </w:r>
          </w:p>
        </w:tc>
      </w:tr>
      <w:tr w:rsidR="00B8716B" w:rsidRPr="006F75E2" w14:paraId="643DF1C3" w14:textId="77777777" w:rsidTr="006F75E2">
        <w:trPr>
          <w:trHeight w:val="669"/>
          <w:tblCellSpacing w:w="15" w:type="dxa"/>
        </w:trPr>
        <w:tc>
          <w:tcPr>
            <w:tcW w:w="0" w:type="auto"/>
            <w:vAlign w:val="center"/>
            <w:hideMark/>
          </w:tcPr>
          <w:p w14:paraId="599811EA" w14:textId="77777777" w:rsidR="00B8716B" w:rsidRPr="006F75E2" w:rsidRDefault="00B8716B" w:rsidP="006245E1">
            <w:pPr>
              <w:spacing w:line="360" w:lineRule="auto"/>
              <w:rPr>
                <w:rFonts w:ascii="Arial" w:hAnsi="Arial" w:cs="Arial"/>
              </w:rPr>
            </w:pPr>
            <w:r w:rsidRPr="006F75E2">
              <w:rPr>
                <w:rFonts w:ascii="Arial" w:hAnsi="Arial" w:cs="Arial"/>
                <w:b/>
                <w:bCs/>
              </w:rPr>
              <w:t>Role in Company</w:t>
            </w:r>
          </w:p>
        </w:tc>
        <w:tc>
          <w:tcPr>
            <w:tcW w:w="0" w:type="auto"/>
            <w:vAlign w:val="center"/>
            <w:hideMark/>
          </w:tcPr>
          <w:p w14:paraId="39F417B3" w14:textId="77777777" w:rsidR="00B8716B" w:rsidRPr="006F75E2" w:rsidRDefault="00B8716B" w:rsidP="006245E1">
            <w:pPr>
              <w:spacing w:line="360" w:lineRule="auto"/>
              <w:rPr>
                <w:rFonts w:ascii="Arial" w:hAnsi="Arial" w:cs="Arial"/>
                <w:b/>
                <w:bCs/>
              </w:rPr>
            </w:pPr>
            <w:r w:rsidRPr="006F75E2">
              <w:rPr>
                <w:rFonts w:ascii="Arial" w:hAnsi="Arial" w:cs="Arial"/>
                <w:b/>
                <w:bCs/>
              </w:rPr>
              <w:t>HR Officer</w:t>
            </w:r>
          </w:p>
        </w:tc>
      </w:tr>
      <w:tr w:rsidR="00B8716B" w:rsidRPr="006F75E2" w14:paraId="5892671E" w14:textId="77777777" w:rsidTr="006F75E2">
        <w:trPr>
          <w:trHeight w:val="656"/>
          <w:tblCellSpacing w:w="15" w:type="dxa"/>
        </w:trPr>
        <w:tc>
          <w:tcPr>
            <w:tcW w:w="0" w:type="auto"/>
            <w:vAlign w:val="center"/>
            <w:hideMark/>
          </w:tcPr>
          <w:p w14:paraId="3770A779" w14:textId="77777777" w:rsidR="00B8716B" w:rsidRPr="006F75E2" w:rsidRDefault="00B8716B" w:rsidP="006245E1">
            <w:pPr>
              <w:spacing w:line="360" w:lineRule="auto"/>
              <w:rPr>
                <w:rFonts w:ascii="Arial" w:hAnsi="Arial" w:cs="Arial"/>
              </w:rPr>
            </w:pPr>
            <w:r w:rsidRPr="006F75E2">
              <w:rPr>
                <w:rFonts w:ascii="Arial" w:hAnsi="Arial" w:cs="Arial"/>
                <w:b/>
                <w:bCs/>
              </w:rPr>
              <w:t>Date</w:t>
            </w:r>
          </w:p>
        </w:tc>
        <w:tc>
          <w:tcPr>
            <w:tcW w:w="0" w:type="auto"/>
            <w:vAlign w:val="center"/>
            <w:hideMark/>
          </w:tcPr>
          <w:p w14:paraId="77D59A6E" w14:textId="007459F3" w:rsidR="00EF1636" w:rsidRPr="006F75E2" w:rsidRDefault="005939A3" w:rsidP="006245E1">
            <w:pPr>
              <w:spacing w:line="360" w:lineRule="auto"/>
              <w:rPr>
                <w:rFonts w:ascii="Arial" w:hAnsi="Arial" w:cs="Arial"/>
                <w:b/>
                <w:bCs/>
              </w:rPr>
            </w:pPr>
            <w:r w:rsidRPr="006F75E2">
              <w:rPr>
                <w:rFonts w:ascii="Arial" w:hAnsi="Arial" w:cs="Arial"/>
                <w:b/>
                <w:bCs/>
              </w:rPr>
              <w:t>December</w:t>
            </w:r>
            <w:r w:rsidR="00E75BBF" w:rsidRPr="006F75E2">
              <w:rPr>
                <w:rFonts w:ascii="Arial" w:hAnsi="Arial" w:cs="Arial"/>
                <w:b/>
                <w:bCs/>
              </w:rPr>
              <w:t xml:space="preserve"> </w:t>
            </w:r>
            <w:r w:rsidR="00B8716B" w:rsidRPr="006F75E2">
              <w:rPr>
                <w:rFonts w:ascii="Arial" w:hAnsi="Arial" w:cs="Arial"/>
                <w:b/>
                <w:bCs/>
              </w:rPr>
              <w:t xml:space="preserve"> 2025</w:t>
            </w:r>
          </w:p>
        </w:tc>
      </w:tr>
    </w:tbl>
    <w:p w14:paraId="60EE972C" w14:textId="77777777" w:rsidR="00EF1636" w:rsidRPr="006F75E2" w:rsidRDefault="00EF1636" w:rsidP="00B8716B">
      <w:pPr>
        <w:rPr>
          <w:rFonts w:ascii="Arial" w:hAnsi="Arial" w:cs="Arial"/>
          <w:b/>
          <w:bCs/>
          <w:sz w:val="22"/>
          <w:szCs w:val="22"/>
        </w:rPr>
      </w:pPr>
    </w:p>
    <w:p w14:paraId="3F2AFCCE" w14:textId="77777777" w:rsidR="00EF1636" w:rsidRPr="006F75E2" w:rsidRDefault="00EF1636" w:rsidP="00B8716B">
      <w:pPr>
        <w:rPr>
          <w:rFonts w:ascii="Arial" w:hAnsi="Arial" w:cs="Arial"/>
          <w:b/>
          <w:bCs/>
          <w:sz w:val="22"/>
          <w:szCs w:val="22"/>
        </w:rPr>
      </w:pPr>
    </w:p>
    <w:p w14:paraId="50B42C0D" w14:textId="77777777" w:rsidR="00EF1636" w:rsidRPr="006F75E2" w:rsidRDefault="00EF1636" w:rsidP="00B8716B">
      <w:pPr>
        <w:rPr>
          <w:rFonts w:ascii="Arial" w:hAnsi="Arial" w:cs="Arial"/>
          <w:b/>
          <w:bCs/>
          <w:sz w:val="22"/>
          <w:szCs w:val="22"/>
        </w:rPr>
      </w:pPr>
    </w:p>
    <w:p w14:paraId="5B49651E" w14:textId="77777777" w:rsidR="00EF1636" w:rsidRPr="006F75E2" w:rsidRDefault="00EF1636" w:rsidP="00B8716B">
      <w:pPr>
        <w:rPr>
          <w:rFonts w:ascii="Arial" w:hAnsi="Arial" w:cs="Arial"/>
          <w:b/>
          <w:bCs/>
          <w:sz w:val="22"/>
          <w:szCs w:val="22"/>
        </w:rPr>
      </w:pPr>
    </w:p>
    <w:p w14:paraId="3AF6A67D" w14:textId="77777777" w:rsidR="00EF1636" w:rsidRPr="006F75E2" w:rsidRDefault="00EF1636" w:rsidP="00B8716B">
      <w:pPr>
        <w:rPr>
          <w:rFonts w:ascii="Arial" w:hAnsi="Arial" w:cs="Arial"/>
          <w:b/>
          <w:bCs/>
          <w:sz w:val="22"/>
          <w:szCs w:val="22"/>
        </w:rPr>
      </w:pPr>
    </w:p>
    <w:p w14:paraId="03BE5ED6" w14:textId="77777777" w:rsidR="00EF1636" w:rsidRPr="006F75E2" w:rsidRDefault="00EF1636" w:rsidP="00B8716B">
      <w:pPr>
        <w:rPr>
          <w:rFonts w:ascii="Arial" w:hAnsi="Arial" w:cs="Arial"/>
          <w:b/>
          <w:bCs/>
          <w:sz w:val="22"/>
          <w:szCs w:val="22"/>
        </w:rPr>
      </w:pPr>
    </w:p>
    <w:p w14:paraId="3AF95199" w14:textId="77777777" w:rsidR="00EF1636" w:rsidRPr="00D34838" w:rsidRDefault="00EF1636" w:rsidP="00D34838">
      <w:pPr>
        <w:pStyle w:val="Heading1"/>
        <w:jc w:val="center"/>
        <w:rPr>
          <w:rFonts w:ascii="Arial" w:hAnsi="Arial" w:cs="Arial"/>
        </w:rPr>
      </w:pPr>
    </w:p>
    <w:p w14:paraId="038ADF2A" w14:textId="3948DAA9" w:rsidR="00B8716B" w:rsidRDefault="00B8716B" w:rsidP="00D34838">
      <w:pPr>
        <w:pStyle w:val="Heading1"/>
        <w:jc w:val="center"/>
        <w:rPr>
          <w:rFonts w:ascii="Arial" w:hAnsi="Arial" w:cs="Arial"/>
        </w:rPr>
      </w:pPr>
      <w:r w:rsidRPr="00D34838">
        <w:rPr>
          <w:rFonts w:ascii="Arial" w:hAnsi="Arial" w:cs="Arial"/>
        </w:rPr>
        <w:t>Table of Contents</w:t>
      </w:r>
    </w:p>
    <w:p w14:paraId="6F2D7D50" w14:textId="77777777" w:rsidR="00A414AC" w:rsidRDefault="00A414AC" w:rsidP="00A414AC"/>
    <w:p w14:paraId="474103EC" w14:textId="77777777" w:rsidR="00A414AC" w:rsidRPr="00A414AC" w:rsidRDefault="00A414AC" w:rsidP="00A414AC"/>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0"/>
        <w:gridCol w:w="4781"/>
        <w:gridCol w:w="1494"/>
      </w:tblGrid>
      <w:tr w:rsidR="00B8716B" w:rsidRPr="006F75E2" w14:paraId="61731B97" w14:textId="77777777">
        <w:trPr>
          <w:tblCellSpacing w:w="15" w:type="dxa"/>
        </w:trPr>
        <w:tc>
          <w:tcPr>
            <w:tcW w:w="0" w:type="auto"/>
            <w:vAlign w:val="center"/>
            <w:hideMark/>
          </w:tcPr>
          <w:p w14:paraId="01A00C01" w14:textId="77777777" w:rsidR="00B8716B" w:rsidRPr="006F75E2" w:rsidRDefault="00B8716B" w:rsidP="00B8716B">
            <w:pPr>
              <w:rPr>
                <w:rFonts w:ascii="Arial" w:hAnsi="Arial" w:cs="Arial"/>
                <w:b/>
                <w:bCs/>
                <w:sz w:val="22"/>
                <w:szCs w:val="22"/>
              </w:rPr>
            </w:pPr>
            <w:r w:rsidRPr="006F75E2">
              <w:rPr>
                <w:rFonts w:ascii="Arial" w:hAnsi="Arial" w:cs="Arial"/>
                <w:b/>
                <w:bCs/>
                <w:sz w:val="22"/>
                <w:szCs w:val="22"/>
              </w:rPr>
              <w:t>Section</w:t>
            </w:r>
          </w:p>
        </w:tc>
        <w:tc>
          <w:tcPr>
            <w:tcW w:w="0" w:type="auto"/>
            <w:vAlign w:val="center"/>
            <w:hideMark/>
          </w:tcPr>
          <w:p w14:paraId="73F92940" w14:textId="77777777" w:rsidR="00B8716B" w:rsidRPr="006F75E2" w:rsidRDefault="00B8716B" w:rsidP="00B8716B">
            <w:pPr>
              <w:rPr>
                <w:rFonts w:ascii="Arial" w:hAnsi="Arial" w:cs="Arial"/>
                <w:b/>
                <w:bCs/>
                <w:sz w:val="22"/>
                <w:szCs w:val="22"/>
              </w:rPr>
            </w:pPr>
            <w:r w:rsidRPr="006F75E2">
              <w:rPr>
                <w:rFonts w:ascii="Arial" w:hAnsi="Arial" w:cs="Arial"/>
                <w:b/>
                <w:bCs/>
                <w:sz w:val="22"/>
                <w:szCs w:val="22"/>
              </w:rPr>
              <w:t>Title</w:t>
            </w:r>
          </w:p>
        </w:tc>
        <w:tc>
          <w:tcPr>
            <w:tcW w:w="0" w:type="auto"/>
            <w:vAlign w:val="center"/>
            <w:hideMark/>
          </w:tcPr>
          <w:p w14:paraId="38B06082" w14:textId="1951BB66" w:rsidR="00B8716B" w:rsidRPr="006F75E2" w:rsidRDefault="00B8716B" w:rsidP="00B8716B">
            <w:pPr>
              <w:rPr>
                <w:rFonts w:ascii="Arial" w:hAnsi="Arial" w:cs="Arial"/>
                <w:b/>
                <w:bCs/>
                <w:sz w:val="22"/>
                <w:szCs w:val="22"/>
              </w:rPr>
            </w:pPr>
            <w:r w:rsidRPr="006F75E2">
              <w:rPr>
                <w:rFonts w:ascii="Arial" w:hAnsi="Arial" w:cs="Arial"/>
                <w:b/>
                <w:bCs/>
                <w:sz w:val="22"/>
                <w:szCs w:val="22"/>
              </w:rPr>
              <w:t xml:space="preserve">Page Number </w:t>
            </w:r>
          </w:p>
        </w:tc>
      </w:tr>
      <w:tr w:rsidR="00B8716B" w:rsidRPr="006F75E2" w14:paraId="7EBE6F1D" w14:textId="77777777">
        <w:trPr>
          <w:tblCellSpacing w:w="15" w:type="dxa"/>
        </w:trPr>
        <w:tc>
          <w:tcPr>
            <w:tcW w:w="0" w:type="auto"/>
            <w:vAlign w:val="center"/>
            <w:hideMark/>
          </w:tcPr>
          <w:p w14:paraId="17F64AD2" w14:textId="55C2D529" w:rsidR="00B8716B" w:rsidRPr="006F75E2" w:rsidRDefault="00B8716B" w:rsidP="00B8716B">
            <w:pPr>
              <w:rPr>
                <w:rFonts w:ascii="Arial" w:hAnsi="Arial" w:cs="Arial"/>
                <w:sz w:val="22"/>
                <w:szCs w:val="22"/>
              </w:rPr>
            </w:pPr>
            <w:r w:rsidRPr="006F75E2">
              <w:rPr>
                <w:rFonts w:ascii="Arial" w:hAnsi="Arial" w:cs="Arial"/>
                <w:sz w:val="22"/>
                <w:szCs w:val="22"/>
              </w:rPr>
              <w:t>1.</w:t>
            </w:r>
          </w:p>
        </w:tc>
        <w:tc>
          <w:tcPr>
            <w:tcW w:w="0" w:type="auto"/>
            <w:vAlign w:val="center"/>
            <w:hideMark/>
          </w:tcPr>
          <w:p w14:paraId="5EA12165" w14:textId="77777777" w:rsidR="00B8716B" w:rsidRPr="006F75E2" w:rsidRDefault="00B8716B" w:rsidP="00B8716B">
            <w:pPr>
              <w:rPr>
                <w:rFonts w:ascii="Arial" w:hAnsi="Arial" w:cs="Arial"/>
                <w:sz w:val="22"/>
                <w:szCs w:val="22"/>
              </w:rPr>
            </w:pPr>
            <w:r w:rsidRPr="006F75E2">
              <w:rPr>
                <w:rFonts w:ascii="Arial" w:hAnsi="Arial" w:cs="Arial"/>
                <w:sz w:val="22"/>
                <w:szCs w:val="22"/>
              </w:rPr>
              <w:t>Introduction</w:t>
            </w:r>
          </w:p>
        </w:tc>
        <w:tc>
          <w:tcPr>
            <w:tcW w:w="0" w:type="auto"/>
            <w:vAlign w:val="center"/>
            <w:hideMark/>
          </w:tcPr>
          <w:p w14:paraId="668B07FD" w14:textId="5968282F" w:rsidR="00B8716B" w:rsidRPr="006F75E2" w:rsidRDefault="00663380" w:rsidP="00B8716B">
            <w:pPr>
              <w:rPr>
                <w:rFonts w:ascii="Arial" w:hAnsi="Arial" w:cs="Arial"/>
                <w:sz w:val="22"/>
                <w:szCs w:val="22"/>
              </w:rPr>
            </w:pPr>
            <w:r w:rsidRPr="006F75E2">
              <w:rPr>
                <w:rFonts w:ascii="Arial" w:hAnsi="Arial" w:cs="Arial"/>
                <w:sz w:val="22"/>
                <w:szCs w:val="22"/>
              </w:rPr>
              <w:t>2</w:t>
            </w:r>
          </w:p>
        </w:tc>
      </w:tr>
      <w:tr w:rsidR="00B8716B" w:rsidRPr="006F75E2" w14:paraId="6F5A1CC8" w14:textId="77777777">
        <w:trPr>
          <w:tblCellSpacing w:w="15" w:type="dxa"/>
        </w:trPr>
        <w:tc>
          <w:tcPr>
            <w:tcW w:w="0" w:type="auto"/>
            <w:vAlign w:val="center"/>
            <w:hideMark/>
          </w:tcPr>
          <w:p w14:paraId="6AB9B58D" w14:textId="2E787B75" w:rsidR="00B8716B" w:rsidRPr="006F75E2" w:rsidRDefault="00B8716B" w:rsidP="00B8716B">
            <w:pPr>
              <w:rPr>
                <w:rFonts w:ascii="Arial" w:hAnsi="Arial" w:cs="Arial"/>
                <w:sz w:val="22"/>
                <w:szCs w:val="22"/>
              </w:rPr>
            </w:pPr>
            <w:r w:rsidRPr="006F75E2">
              <w:rPr>
                <w:rFonts w:ascii="Arial" w:hAnsi="Arial" w:cs="Arial"/>
                <w:sz w:val="22"/>
                <w:szCs w:val="22"/>
              </w:rPr>
              <w:t>2.</w:t>
            </w:r>
          </w:p>
        </w:tc>
        <w:tc>
          <w:tcPr>
            <w:tcW w:w="0" w:type="auto"/>
            <w:vAlign w:val="center"/>
            <w:hideMark/>
          </w:tcPr>
          <w:p w14:paraId="7176D28A" w14:textId="77777777" w:rsidR="00B8716B" w:rsidRPr="006F75E2" w:rsidRDefault="00B8716B" w:rsidP="00B8716B">
            <w:pPr>
              <w:rPr>
                <w:rFonts w:ascii="Arial" w:hAnsi="Arial" w:cs="Arial"/>
                <w:sz w:val="22"/>
                <w:szCs w:val="22"/>
              </w:rPr>
            </w:pPr>
            <w:r w:rsidRPr="006F75E2">
              <w:rPr>
                <w:rFonts w:ascii="Arial" w:hAnsi="Arial" w:cs="Arial"/>
                <w:sz w:val="22"/>
                <w:szCs w:val="22"/>
              </w:rPr>
              <w:t>An Explanation of the Specific Factors</w:t>
            </w:r>
          </w:p>
        </w:tc>
        <w:tc>
          <w:tcPr>
            <w:tcW w:w="0" w:type="auto"/>
            <w:vAlign w:val="center"/>
            <w:hideMark/>
          </w:tcPr>
          <w:p w14:paraId="7677DCAF" w14:textId="66A30F85" w:rsidR="00B8716B" w:rsidRPr="006F75E2" w:rsidRDefault="008A7EE9" w:rsidP="00B8716B">
            <w:pPr>
              <w:rPr>
                <w:rFonts w:ascii="Arial" w:hAnsi="Arial" w:cs="Arial"/>
                <w:sz w:val="22"/>
                <w:szCs w:val="22"/>
              </w:rPr>
            </w:pPr>
            <w:r>
              <w:rPr>
                <w:rFonts w:ascii="Arial" w:hAnsi="Arial" w:cs="Arial"/>
                <w:sz w:val="22"/>
                <w:szCs w:val="22"/>
              </w:rPr>
              <w:t>2</w:t>
            </w:r>
          </w:p>
        </w:tc>
      </w:tr>
      <w:tr w:rsidR="00B8716B" w:rsidRPr="006F75E2" w14:paraId="68B0DCD8" w14:textId="77777777">
        <w:trPr>
          <w:tblCellSpacing w:w="15" w:type="dxa"/>
        </w:trPr>
        <w:tc>
          <w:tcPr>
            <w:tcW w:w="0" w:type="auto"/>
            <w:vAlign w:val="center"/>
            <w:hideMark/>
          </w:tcPr>
          <w:p w14:paraId="6F0F248E" w14:textId="77777777" w:rsidR="00B8716B" w:rsidRPr="006F75E2" w:rsidRDefault="00B8716B" w:rsidP="00B8716B">
            <w:pPr>
              <w:rPr>
                <w:rFonts w:ascii="Arial" w:hAnsi="Arial" w:cs="Arial"/>
                <w:sz w:val="22"/>
                <w:szCs w:val="22"/>
              </w:rPr>
            </w:pPr>
            <w:r w:rsidRPr="006F75E2">
              <w:rPr>
                <w:rFonts w:ascii="Arial" w:hAnsi="Arial" w:cs="Arial"/>
                <w:sz w:val="22"/>
                <w:szCs w:val="22"/>
              </w:rPr>
              <w:t>2.1</w:t>
            </w:r>
          </w:p>
        </w:tc>
        <w:tc>
          <w:tcPr>
            <w:tcW w:w="0" w:type="auto"/>
            <w:vAlign w:val="center"/>
            <w:hideMark/>
          </w:tcPr>
          <w:p w14:paraId="32FA5E30" w14:textId="77777777" w:rsidR="00B8716B" w:rsidRPr="006F75E2" w:rsidRDefault="00B8716B" w:rsidP="00B8716B">
            <w:pPr>
              <w:rPr>
                <w:rFonts w:ascii="Arial" w:hAnsi="Arial" w:cs="Arial"/>
                <w:sz w:val="22"/>
                <w:szCs w:val="22"/>
              </w:rPr>
            </w:pPr>
            <w:r w:rsidRPr="006F75E2">
              <w:rPr>
                <w:rFonts w:ascii="Arial" w:hAnsi="Arial" w:cs="Arial"/>
                <w:sz w:val="22"/>
                <w:szCs w:val="22"/>
              </w:rPr>
              <w:t>Societal Changes</w:t>
            </w:r>
          </w:p>
        </w:tc>
        <w:tc>
          <w:tcPr>
            <w:tcW w:w="0" w:type="auto"/>
            <w:vAlign w:val="center"/>
            <w:hideMark/>
          </w:tcPr>
          <w:p w14:paraId="49FC21FE" w14:textId="020EEA39" w:rsidR="00B8716B" w:rsidRPr="006F75E2" w:rsidRDefault="00007CDB" w:rsidP="00B8716B">
            <w:pPr>
              <w:rPr>
                <w:rFonts w:ascii="Arial" w:hAnsi="Arial" w:cs="Arial"/>
                <w:sz w:val="22"/>
                <w:szCs w:val="22"/>
              </w:rPr>
            </w:pPr>
            <w:r>
              <w:rPr>
                <w:rFonts w:ascii="Arial" w:hAnsi="Arial" w:cs="Arial"/>
                <w:sz w:val="22"/>
                <w:szCs w:val="22"/>
              </w:rPr>
              <w:t>2</w:t>
            </w:r>
          </w:p>
        </w:tc>
      </w:tr>
      <w:tr w:rsidR="00B8716B" w:rsidRPr="006F75E2" w14:paraId="63CA66D2" w14:textId="77777777">
        <w:trPr>
          <w:tblCellSpacing w:w="15" w:type="dxa"/>
        </w:trPr>
        <w:tc>
          <w:tcPr>
            <w:tcW w:w="0" w:type="auto"/>
            <w:vAlign w:val="center"/>
            <w:hideMark/>
          </w:tcPr>
          <w:p w14:paraId="641546EC" w14:textId="77777777" w:rsidR="00B8716B" w:rsidRPr="006F75E2" w:rsidRDefault="00B8716B" w:rsidP="00B8716B">
            <w:pPr>
              <w:rPr>
                <w:rFonts w:ascii="Arial" w:hAnsi="Arial" w:cs="Arial"/>
                <w:sz w:val="22"/>
                <w:szCs w:val="22"/>
              </w:rPr>
            </w:pPr>
            <w:r w:rsidRPr="006F75E2">
              <w:rPr>
                <w:rFonts w:ascii="Arial" w:hAnsi="Arial" w:cs="Arial"/>
                <w:sz w:val="22"/>
                <w:szCs w:val="22"/>
              </w:rPr>
              <w:t>2.2</w:t>
            </w:r>
          </w:p>
        </w:tc>
        <w:tc>
          <w:tcPr>
            <w:tcW w:w="0" w:type="auto"/>
            <w:vAlign w:val="center"/>
            <w:hideMark/>
          </w:tcPr>
          <w:p w14:paraId="1F4EC0A0" w14:textId="77777777" w:rsidR="00B8716B" w:rsidRPr="006F75E2" w:rsidRDefault="00B8716B" w:rsidP="00B8716B">
            <w:pPr>
              <w:rPr>
                <w:rFonts w:ascii="Arial" w:hAnsi="Arial" w:cs="Arial"/>
                <w:sz w:val="22"/>
                <w:szCs w:val="22"/>
              </w:rPr>
            </w:pPr>
            <w:r w:rsidRPr="006F75E2">
              <w:rPr>
                <w:rFonts w:ascii="Arial" w:hAnsi="Arial" w:cs="Arial"/>
                <w:sz w:val="22"/>
                <w:szCs w:val="22"/>
              </w:rPr>
              <w:t>Technological Trends</w:t>
            </w:r>
          </w:p>
        </w:tc>
        <w:tc>
          <w:tcPr>
            <w:tcW w:w="0" w:type="auto"/>
            <w:vAlign w:val="center"/>
            <w:hideMark/>
          </w:tcPr>
          <w:p w14:paraId="2B407B64" w14:textId="51E9C08E" w:rsidR="00B8716B" w:rsidRPr="006F75E2" w:rsidRDefault="00007CDB" w:rsidP="00B8716B">
            <w:pPr>
              <w:rPr>
                <w:rFonts w:ascii="Arial" w:hAnsi="Arial" w:cs="Arial"/>
                <w:sz w:val="22"/>
                <w:szCs w:val="22"/>
              </w:rPr>
            </w:pPr>
            <w:r>
              <w:rPr>
                <w:rFonts w:ascii="Arial" w:hAnsi="Arial" w:cs="Arial"/>
                <w:sz w:val="22"/>
                <w:szCs w:val="22"/>
              </w:rPr>
              <w:t>3</w:t>
            </w:r>
          </w:p>
        </w:tc>
      </w:tr>
      <w:tr w:rsidR="00B8716B" w:rsidRPr="006F75E2" w14:paraId="5AAA9B6F" w14:textId="77777777">
        <w:trPr>
          <w:tblCellSpacing w:w="15" w:type="dxa"/>
        </w:trPr>
        <w:tc>
          <w:tcPr>
            <w:tcW w:w="0" w:type="auto"/>
            <w:vAlign w:val="center"/>
            <w:hideMark/>
          </w:tcPr>
          <w:p w14:paraId="66D768AB" w14:textId="77777777" w:rsidR="00B8716B" w:rsidRPr="006F75E2" w:rsidRDefault="00B8716B" w:rsidP="00B8716B">
            <w:pPr>
              <w:rPr>
                <w:rFonts w:ascii="Arial" w:hAnsi="Arial" w:cs="Arial"/>
                <w:sz w:val="22"/>
                <w:szCs w:val="22"/>
              </w:rPr>
            </w:pPr>
            <w:r w:rsidRPr="006F75E2">
              <w:rPr>
                <w:rFonts w:ascii="Arial" w:hAnsi="Arial" w:cs="Arial"/>
                <w:sz w:val="22"/>
                <w:szCs w:val="22"/>
              </w:rPr>
              <w:t>2.3</w:t>
            </w:r>
          </w:p>
        </w:tc>
        <w:tc>
          <w:tcPr>
            <w:tcW w:w="0" w:type="auto"/>
            <w:vAlign w:val="center"/>
            <w:hideMark/>
          </w:tcPr>
          <w:p w14:paraId="70D754EA" w14:textId="77777777" w:rsidR="00B8716B" w:rsidRPr="006F75E2" w:rsidRDefault="00B8716B" w:rsidP="00B8716B">
            <w:pPr>
              <w:rPr>
                <w:rFonts w:ascii="Arial" w:hAnsi="Arial" w:cs="Arial"/>
                <w:sz w:val="22"/>
                <w:szCs w:val="22"/>
              </w:rPr>
            </w:pPr>
            <w:r w:rsidRPr="006F75E2">
              <w:rPr>
                <w:rFonts w:ascii="Arial" w:hAnsi="Arial" w:cs="Arial"/>
                <w:sz w:val="22"/>
                <w:szCs w:val="22"/>
              </w:rPr>
              <w:t>Flexible Working Arrangements</w:t>
            </w:r>
          </w:p>
        </w:tc>
        <w:tc>
          <w:tcPr>
            <w:tcW w:w="0" w:type="auto"/>
            <w:vAlign w:val="center"/>
            <w:hideMark/>
          </w:tcPr>
          <w:p w14:paraId="0FE18B53" w14:textId="21A05BDE" w:rsidR="00B8716B" w:rsidRPr="006F75E2" w:rsidRDefault="00007CDB" w:rsidP="00B8716B">
            <w:pPr>
              <w:rPr>
                <w:rFonts w:ascii="Arial" w:hAnsi="Arial" w:cs="Arial"/>
                <w:sz w:val="22"/>
                <w:szCs w:val="22"/>
              </w:rPr>
            </w:pPr>
            <w:r>
              <w:rPr>
                <w:rFonts w:ascii="Arial" w:hAnsi="Arial" w:cs="Arial"/>
                <w:sz w:val="22"/>
                <w:szCs w:val="22"/>
              </w:rPr>
              <w:t>3</w:t>
            </w:r>
          </w:p>
        </w:tc>
      </w:tr>
      <w:tr w:rsidR="00B8716B" w:rsidRPr="006F75E2" w14:paraId="0D6117B8" w14:textId="77777777">
        <w:trPr>
          <w:tblCellSpacing w:w="15" w:type="dxa"/>
        </w:trPr>
        <w:tc>
          <w:tcPr>
            <w:tcW w:w="0" w:type="auto"/>
            <w:vAlign w:val="center"/>
            <w:hideMark/>
          </w:tcPr>
          <w:p w14:paraId="5E19D893" w14:textId="5F25111E" w:rsidR="00B8716B" w:rsidRPr="006F75E2" w:rsidRDefault="00B8716B" w:rsidP="00B8716B">
            <w:pPr>
              <w:rPr>
                <w:rFonts w:ascii="Arial" w:hAnsi="Arial" w:cs="Arial"/>
                <w:sz w:val="22"/>
                <w:szCs w:val="22"/>
              </w:rPr>
            </w:pPr>
            <w:r w:rsidRPr="006F75E2">
              <w:rPr>
                <w:rFonts w:ascii="Arial" w:hAnsi="Arial" w:cs="Arial"/>
                <w:sz w:val="22"/>
                <w:szCs w:val="22"/>
              </w:rPr>
              <w:t>3.</w:t>
            </w:r>
          </w:p>
        </w:tc>
        <w:tc>
          <w:tcPr>
            <w:tcW w:w="0" w:type="auto"/>
            <w:vAlign w:val="center"/>
            <w:hideMark/>
          </w:tcPr>
          <w:p w14:paraId="209664C8" w14:textId="77777777" w:rsidR="00B8716B" w:rsidRPr="006F75E2" w:rsidRDefault="00B8716B" w:rsidP="00B8716B">
            <w:pPr>
              <w:rPr>
                <w:rFonts w:ascii="Arial" w:hAnsi="Arial" w:cs="Arial"/>
                <w:sz w:val="22"/>
                <w:szCs w:val="22"/>
              </w:rPr>
            </w:pPr>
            <w:r w:rsidRPr="006F75E2">
              <w:rPr>
                <w:rFonts w:ascii="Arial" w:hAnsi="Arial" w:cs="Arial"/>
                <w:sz w:val="22"/>
                <w:szCs w:val="22"/>
              </w:rPr>
              <w:t>Evaluation of Contemporary HR Practices</w:t>
            </w:r>
          </w:p>
        </w:tc>
        <w:tc>
          <w:tcPr>
            <w:tcW w:w="0" w:type="auto"/>
            <w:vAlign w:val="center"/>
            <w:hideMark/>
          </w:tcPr>
          <w:p w14:paraId="44A51D47" w14:textId="007414CA" w:rsidR="00B8716B" w:rsidRPr="006F75E2" w:rsidRDefault="008A7EE9" w:rsidP="00B8716B">
            <w:pPr>
              <w:rPr>
                <w:rFonts w:ascii="Arial" w:hAnsi="Arial" w:cs="Arial"/>
                <w:sz w:val="22"/>
                <w:szCs w:val="22"/>
              </w:rPr>
            </w:pPr>
            <w:r>
              <w:rPr>
                <w:rFonts w:ascii="Arial" w:hAnsi="Arial" w:cs="Arial"/>
                <w:sz w:val="22"/>
                <w:szCs w:val="22"/>
              </w:rPr>
              <w:t>4</w:t>
            </w:r>
          </w:p>
        </w:tc>
      </w:tr>
      <w:tr w:rsidR="00B8716B" w:rsidRPr="006F75E2" w14:paraId="52B5B716" w14:textId="77777777">
        <w:trPr>
          <w:tblCellSpacing w:w="15" w:type="dxa"/>
        </w:trPr>
        <w:tc>
          <w:tcPr>
            <w:tcW w:w="0" w:type="auto"/>
            <w:vAlign w:val="center"/>
            <w:hideMark/>
          </w:tcPr>
          <w:p w14:paraId="60D7A909" w14:textId="77777777" w:rsidR="00B8716B" w:rsidRPr="006F75E2" w:rsidRDefault="00B8716B" w:rsidP="00B8716B">
            <w:pPr>
              <w:rPr>
                <w:rFonts w:ascii="Arial" w:hAnsi="Arial" w:cs="Arial"/>
                <w:sz w:val="22"/>
                <w:szCs w:val="22"/>
              </w:rPr>
            </w:pPr>
            <w:r w:rsidRPr="006F75E2">
              <w:rPr>
                <w:rFonts w:ascii="Arial" w:hAnsi="Arial" w:cs="Arial"/>
                <w:sz w:val="22"/>
                <w:szCs w:val="22"/>
              </w:rPr>
              <w:t>3.1</w:t>
            </w:r>
          </w:p>
        </w:tc>
        <w:tc>
          <w:tcPr>
            <w:tcW w:w="0" w:type="auto"/>
            <w:vAlign w:val="center"/>
            <w:hideMark/>
          </w:tcPr>
          <w:p w14:paraId="4C7CAB24" w14:textId="77777777" w:rsidR="00B8716B" w:rsidRPr="006F75E2" w:rsidRDefault="00B8716B" w:rsidP="00B8716B">
            <w:pPr>
              <w:rPr>
                <w:rFonts w:ascii="Arial" w:hAnsi="Arial" w:cs="Arial"/>
                <w:sz w:val="22"/>
                <w:szCs w:val="22"/>
              </w:rPr>
            </w:pPr>
            <w:r w:rsidRPr="006F75E2">
              <w:rPr>
                <w:rFonts w:ascii="Arial" w:hAnsi="Arial" w:cs="Arial"/>
                <w:sz w:val="22"/>
                <w:szCs w:val="22"/>
              </w:rPr>
              <w:t>Diversity, Equality, and Inclusivity (DEI)</w:t>
            </w:r>
          </w:p>
        </w:tc>
        <w:tc>
          <w:tcPr>
            <w:tcW w:w="0" w:type="auto"/>
            <w:vAlign w:val="center"/>
            <w:hideMark/>
          </w:tcPr>
          <w:p w14:paraId="65BE5AFE" w14:textId="46CACAA5" w:rsidR="00B8716B" w:rsidRPr="006F75E2" w:rsidRDefault="008E18C7" w:rsidP="00B8716B">
            <w:pPr>
              <w:rPr>
                <w:rFonts w:ascii="Arial" w:hAnsi="Arial" w:cs="Arial"/>
                <w:sz w:val="22"/>
                <w:szCs w:val="22"/>
              </w:rPr>
            </w:pPr>
            <w:r>
              <w:rPr>
                <w:rFonts w:ascii="Arial" w:hAnsi="Arial" w:cs="Arial"/>
                <w:sz w:val="22"/>
                <w:szCs w:val="22"/>
              </w:rPr>
              <w:t>4</w:t>
            </w:r>
          </w:p>
        </w:tc>
      </w:tr>
      <w:tr w:rsidR="00B8716B" w:rsidRPr="006F75E2" w14:paraId="54B74A36" w14:textId="77777777">
        <w:trPr>
          <w:tblCellSpacing w:w="15" w:type="dxa"/>
        </w:trPr>
        <w:tc>
          <w:tcPr>
            <w:tcW w:w="0" w:type="auto"/>
            <w:vAlign w:val="center"/>
            <w:hideMark/>
          </w:tcPr>
          <w:p w14:paraId="203DA7A7" w14:textId="77777777" w:rsidR="00B8716B" w:rsidRPr="006F75E2" w:rsidRDefault="00B8716B" w:rsidP="00B8716B">
            <w:pPr>
              <w:rPr>
                <w:rFonts w:ascii="Arial" w:hAnsi="Arial" w:cs="Arial"/>
                <w:sz w:val="22"/>
                <w:szCs w:val="22"/>
              </w:rPr>
            </w:pPr>
            <w:r w:rsidRPr="006F75E2">
              <w:rPr>
                <w:rFonts w:ascii="Arial" w:hAnsi="Arial" w:cs="Arial"/>
                <w:sz w:val="22"/>
                <w:szCs w:val="22"/>
              </w:rPr>
              <w:t>3.2</w:t>
            </w:r>
          </w:p>
        </w:tc>
        <w:tc>
          <w:tcPr>
            <w:tcW w:w="0" w:type="auto"/>
            <w:vAlign w:val="center"/>
            <w:hideMark/>
          </w:tcPr>
          <w:p w14:paraId="78557147" w14:textId="77777777" w:rsidR="00B8716B" w:rsidRPr="006F75E2" w:rsidRDefault="00B8716B" w:rsidP="00B8716B">
            <w:pPr>
              <w:rPr>
                <w:rFonts w:ascii="Arial" w:hAnsi="Arial" w:cs="Arial"/>
                <w:sz w:val="22"/>
                <w:szCs w:val="22"/>
              </w:rPr>
            </w:pPr>
            <w:r w:rsidRPr="006F75E2">
              <w:rPr>
                <w:rFonts w:ascii="Arial" w:hAnsi="Arial" w:cs="Arial"/>
                <w:sz w:val="22"/>
                <w:szCs w:val="22"/>
              </w:rPr>
              <w:t>Remote and Hybrid Work Management</w:t>
            </w:r>
          </w:p>
        </w:tc>
        <w:tc>
          <w:tcPr>
            <w:tcW w:w="0" w:type="auto"/>
            <w:vAlign w:val="center"/>
            <w:hideMark/>
          </w:tcPr>
          <w:p w14:paraId="00E7B92B" w14:textId="10790EC0" w:rsidR="00B8716B" w:rsidRPr="006F75E2" w:rsidRDefault="008E18C7" w:rsidP="00B8716B">
            <w:pPr>
              <w:rPr>
                <w:rFonts w:ascii="Arial" w:hAnsi="Arial" w:cs="Arial"/>
                <w:sz w:val="22"/>
                <w:szCs w:val="22"/>
              </w:rPr>
            </w:pPr>
            <w:r>
              <w:rPr>
                <w:rFonts w:ascii="Arial" w:hAnsi="Arial" w:cs="Arial"/>
                <w:sz w:val="22"/>
                <w:szCs w:val="22"/>
              </w:rPr>
              <w:t>4</w:t>
            </w:r>
          </w:p>
        </w:tc>
      </w:tr>
      <w:tr w:rsidR="00B8716B" w:rsidRPr="006F75E2" w14:paraId="21C7DB28" w14:textId="77777777">
        <w:trPr>
          <w:tblCellSpacing w:w="15" w:type="dxa"/>
        </w:trPr>
        <w:tc>
          <w:tcPr>
            <w:tcW w:w="0" w:type="auto"/>
            <w:vAlign w:val="center"/>
            <w:hideMark/>
          </w:tcPr>
          <w:p w14:paraId="16A6DE2D" w14:textId="77777777" w:rsidR="00B8716B" w:rsidRPr="006F75E2" w:rsidRDefault="00B8716B" w:rsidP="00B8716B">
            <w:pPr>
              <w:rPr>
                <w:rFonts w:ascii="Arial" w:hAnsi="Arial" w:cs="Arial"/>
                <w:sz w:val="22"/>
                <w:szCs w:val="22"/>
              </w:rPr>
            </w:pPr>
            <w:r w:rsidRPr="006F75E2">
              <w:rPr>
                <w:rFonts w:ascii="Arial" w:hAnsi="Arial" w:cs="Arial"/>
                <w:sz w:val="22"/>
                <w:szCs w:val="22"/>
              </w:rPr>
              <w:t>3.3</w:t>
            </w:r>
          </w:p>
        </w:tc>
        <w:tc>
          <w:tcPr>
            <w:tcW w:w="0" w:type="auto"/>
            <w:vAlign w:val="center"/>
            <w:hideMark/>
          </w:tcPr>
          <w:p w14:paraId="1AA61A26" w14:textId="77777777" w:rsidR="00B8716B" w:rsidRPr="006F75E2" w:rsidRDefault="00B8716B" w:rsidP="00B8716B">
            <w:pPr>
              <w:rPr>
                <w:rFonts w:ascii="Arial" w:hAnsi="Arial" w:cs="Arial"/>
                <w:sz w:val="22"/>
                <w:szCs w:val="22"/>
              </w:rPr>
            </w:pPr>
            <w:r w:rsidRPr="006F75E2">
              <w:rPr>
                <w:rFonts w:ascii="Arial" w:hAnsi="Arial" w:cs="Arial"/>
                <w:sz w:val="22"/>
                <w:szCs w:val="22"/>
              </w:rPr>
              <w:t>Employee Motivation and Engagement</w:t>
            </w:r>
          </w:p>
        </w:tc>
        <w:tc>
          <w:tcPr>
            <w:tcW w:w="0" w:type="auto"/>
            <w:vAlign w:val="center"/>
            <w:hideMark/>
          </w:tcPr>
          <w:p w14:paraId="7145E750" w14:textId="62EE6530" w:rsidR="00B8716B" w:rsidRPr="006F75E2" w:rsidRDefault="008E18C7" w:rsidP="00B8716B">
            <w:pPr>
              <w:rPr>
                <w:rFonts w:ascii="Arial" w:hAnsi="Arial" w:cs="Arial"/>
                <w:sz w:val="22"/>
                <w:szCs w:val="22"/>
              </w:rPr>
            </w:pPr>
            <w:r>
              <w:rPr>
                <w:rFonts w:ascii="Arial" w:hAnsi="Arial" w:cs="Arial"/>
                <w:sz w:val="22"/>
                <w:szCs w:val="22"/>
              </w:rPr>
              <w:t>4</w:t>
            </w:r>
          </w:p>
        </w:tc>
      </w:tr>
      <w:tr w:rsidR="00B8716B" w:rsidRPr="006F75E2" w14:paraId="258910A4" w14:textId="77777777">
        <w:trPr>
          <w:tblCellSpacing w:w="15" w:type="dxa"/>
        </w:trPr>
        <w:tc>
          <w:tcPr>
            <w:tcW w:w="0" w:type="auto"/>
            <w:vAlign w:val="center"/>
            <w:hideMark/>
          </w:tcPr>
          <w:p w14:paraId="0B2F4103" w14:textId="2C0E8F08" w:rsidR="00B8716B" w:rsidRPr="006F75E2" w:rsidRDefault="00B8716B" w:rsidP="00B8716B">
            <w:pPr>
              <w:rPr>
                <w:rFonts w:ascii="Arial" w:hAnsi="Arial" w:cs="Arial"/>
                <w:sz w:val="22"/>
                <w:szCs w:val="22"/>
              </w:rPr>
            </w:pPr>
            <w:r w:rsidRPr="006F75E2">
              <w:rPr>
                <w:rFonts w:ascii="Arial" w:hAnsi="Arial" w:cs="Arial"/>
                <w:sz w:val="22"/>
                <w:szCs w:val="22"/>
              </w:rPr>
              <w:t>4.</w:t>
            </w:r>
          </w:p>
        </w:tc>
        <w:tc>
          <w:tcPr>
            <w:tcW w:w="0" w:type="auto"/>
            <w:vAlign w:val="center"/>
            <w:hideMark/>
          </w:tcPr>
          <w:p w14:paraId="2EDDBB66" w14:textId="77777777" w:rsidR="00B8716B" w:rsidRPr="006F75E2" w:rsidRDefault="00B8716B" w:rsidP="00B8716B">
            <w:pPr>
              <w:rPr>
                <w:rFonts w:ascii="Arial" w:hAnsi="Arial" w:cs="Arial"/>
                <w:sz w:val="22"/>
                <w:szCs w:val="22"/>
              </w:rPr>
            </w:pPr>
            <w:r w:rsidRPr="006F75E2">
              <w:rPr>
                <w:rFonts w:ascii="Arial" w:hAnsi="Arial" w:cs="Arial"/>
                <w:sz w:val="22"/>
                <w:szCs w:val="22"/>
              </w:rPr>
              <w:t>Critical Evaluation of Managerial Implementation</w:t>
            </w:r>
          </w:p>
        </w:tc>
        <w:tc>
          <w:tcPr>
            <w:tcW w:w="0" w:type="auto"/>
            <w:vAlign w:val="center"/>
            <w:hideMark/>
          </w:tcPr>
          <w:p w14:paraId="0B6B1173" w14:textId="1BCB30A9" w:rsidR="00B8716B" w:rsidRPr="006F75E2" w:rsidRDefault="00992DE4" w:rsidP="00B8716B">
            <w:pPr>
              <w:rPr>
                <w:rFonts w:ascii="Arial" w:hAnsi="Arial" w:cs="Arial"/>
                <w:sz w:val="22"/>
                <w:szCs w:val="22"/>
              </w:rPr>
            </w:pPr>
            <w:r>
              <w:rPr>
                <w:rFonts w:ascii="Arial" w:hAnsi="Arial" w:cs="Arial"/>
                <w:sz w:val="22"/>
                <w:szCs w:val="22"/>
              </w:rPr>
              <w:t xml:space="preserve"> </w:t>
            </w:r>
            <w:r w:rsidR="00AA32B3">
              <w:rPr>
                <w:rFonts w:ascii="Arial" w:hAnsi="Arial" w:cs="Arial"/>
                <w:sz w:val="22"/>
                <w:szCs w:val="22"/>
              </w:rPr>
              <w:t>5</w:t>
            </w:r>
          </w:p>
        </w:tc>
      </w:tr>
      <w:tr w:rsidR="00B8716B" w:rsidRPr="006F75E2" w14:paraId="2CE02092" w14:textId="77777777">
        <w:trPr>
          <w:tblCellSpacing w:w="15" w:type="dxa"/>
        </w:trPr>
        <w:tc>
          <w:tcPr>
            <w:tcW w:w="0" w:type="auto"/>
            <w:vAlign w:val="center"/>
            <w:hideMark/>
          </w:tcPr>
          <w:p w14:paraId="16502F55" w14:textId="77777777" w:rsidR="00B8716B" w:rsidRPr="006F75E2" w:rsidRDefault="00B8716B" w:rsidP="00B8716B">
            <w:pPr>
              <w:rPr>
                <w:rFonts w:ascii="Arial" w:hAnsi="Arial" w:cs="Arial"/>
                <w:sz w:val="22"/>
                <w:szCs w:val="22"/>
              </w:rPr>
            </w:pPr>
            <w:r w:rsidRPr="006F75E2">
              <w:rPr>
                <w:rFonts w:ascii="Arial" w:hAnsi="Arial" w:cs="Arial"/>
                <w:sz w:val="22"/>
                <w:szCs w:val="22"/>
              </w:rPr>
              <w:t>4.1</w:t>
            </w:r>
          </w:p>
        </w:tc>
        <w:tc>
          <w:tcPr>
            <w:tcW w:w="0" w:type="auto"/>
            <w:vAlign w:val="center"/>
            <w:hideMark/>
          </w:tcPr>
          <w:p w14:paraId="1D349BDC" w14:textId="77777777" w:rsidR="00B8716B" w:rsidRPr="006F75E2" w:rsidRDefault="00B8716B" w:rsidP="00B8716B">
            <w:pPr>
              <w:rPr>
                <w:rFonts w:ascii="Arial" w:hAnsi="Arial" w:cs="Arial"/>
                <w:sz w:val="22"/>
                <w:szCs w:val="22"/>
              </w:rPr>
            </w:pPr>
            <w:r w:rsidRPr="006F75E2">
              <w:rPr>
                <w:rFonts w:ascii="Arial" w:hAnsi="Arial" w:cs="Arial"/>
                <w:sz w:val="22"/>
                <w:szCs w:val="22"/>
              </w:rPr>
              <w:t>Leading by Example in Hybrid Work</w:t>
            </w:r>
          </w:p>
        </w:tc>
        <w:tc>
          <w:tcPr>
            <w:tcW w:w="0" w:type="auto"/>
            <w:vAlign w:val="center"/>
            <w:hideMark/>
          </w:tcPr>
          <w:p w14:paraId="064C0172" w14:textId="44BAF994" w:rsidR="00B8716B" w:rsidRPr="006F75E2" w:rsidRDefault="00BA14C7" w:rsidP="00B8716B">
            <w:pPr>
              <w:rPr>
                <w:rFonts w:ascii="Arial" w:hAnsi="Arial" w:cs="Arial"/>
                <w:sz w:val="22"/>
                <w:szCs w:val="22"/>
              </w:rPr>
            </w:pPr>
            <w:r>
              <w:rPr>
                <w:rFonts w:ascii="Arial" w:hAnsi="Arial" w:cs="Arial"/>
                <w:sz w:val="22"/>
                <w:szCs w:val="22"/>
              </w:rPr>
              <w:t xml:space="preserve"> </w:t>
            </w:r>
            <w:r w:rsidR="00AA32B3">
              <w:rPr>
                <w:rFonts w:ascii="Arial" w:hAnsi="Arial" w:cs="Arial"/>
                <w:sz w:val="22"/>
                <w:szCs w:val="22"/>
              </w:rPr>
              <w:t>5</w:t>
            </w:r>
          </w:p>
        </w:tc>
      </w:tr>
      <w:tr w:rsidR="00B8716B" w:rsidRPr="006F75E2" w14:paraId="2A763EA4" w14:textId="77777777">
        <w:trPr>
          <w:tblCellSpacing w:w="15" w:type="dxa"/>
        </w:trPr>
        <w:tc>
          <w:tcPr>
            <w:tcW w:w="0" w:type="auto"/>
            <w:vAlign w:val="center"/>
            <w:hideMark/>
          </w:tcPr>
          <w:p w14:paraId="2D4E56AF" w14:textId="77777777" w:rsidR="00B8716B" w:rsidRPr="006F75E2" w:rsidRDefault="00B8716B" w:rsidP="00B8716B">
            <w:pPr>
              <w:rPr>
                <w:rFonts w:ascii="Arial" w:hAnsi="Arial" w:cs="Arial"/>
                <w:sz w:val="22"/>
                <w:szCs w:val="22"/>
              </w:rPr>
            </w:pPr>
            <w:r w:rsidRPr="006F75E2">
              <w:rPr>
                <w:rFonts w:ascii="Arial" w:hAnsi="Arial" w:cs="Arial"/>
                <w:sz w:val="22"/>
                <w:szCs w:val="22"/>
              </w:rPr>
              <w:t>4.2</w:t>
            </w:r>
          </w:p>
        </w:tc>
        <w:tc>
          <w:tcPr>
            <w:tcW w:w="0" w:type="auto"/>
            <w:vAlign w:val="center"/>
            <w:hideMark/>
          </w:tcPr>
          <w:p w14:paraId="316042A7" w14:textId="77777777" w:rsidR="00B8716B" w:rsidRPr="006F75E2" w:rsidRDefault="00B8716B" w:rsidP="00B8716B">
            <w:pPr>
              <w:rPr>
                <w:rFonts w:ascii="Arial" w:hAnsi="Arial" w:cs="Arial"/>
                <w:sz w:val="22"/>
                <w:szCs w:val="22"/>
              </w:rPr>
            </w:pPr>
            <w:r w:rsidRPr="006F75E2">
              <w:rPr>
                <w:rFonts w:ascii="Arial" w:hAnsi="Arial" w:cs="Arial"/>
                <w:sz w:val="22"/>
                <w:szCs w:val="22"/>
              </w:rPr>
              <w:t>Aligning Departmental Goals with HR Priorities</w:t>
            </w:r>
          </w:p>
        </w:tc>
        <w:tc>
          <w:tcPr>
            <w:tcW w:w="0" w:type="auto"/>
            <w:vAlign w:val="center"/>
            <w:hideMark/>
          </w:tcPr>
          <w:p w14:paraId="54E9DAA8" w14:textId="0466FBE1" w:rsidR="00B8716B" w:rsidRPr="006F75E2" w:rsidRDefault="00E52F7B" w:rsidP="00B8716B">
            <w:pPr>
              <w:rPr>
                <w:rFonts w:ascii="Arial" w:hAnsi="Arial" w:cs="Arial"/>
                <w:sz w:val="22"/>
                <w:szCs w:val="22"/>
              </w:rPr>
            </w:pPr>
            <w:r>
              <w:rPr>
                <w:rFonts w:ascii="Arial" w:hAnsi="Arial" w:cs="Arial"/>
                <w:sz w:val="22"/>
                <w:szCs w:val="22"/>
              </w:rPr>
              <w:t xml:space="preserve"> 6</w:t>
            </w:r>
          </w:p>
        </w:tc>
      </w:tr>
      <w:tr w:rsidR="00B8716B" w:rsidRPr="006F75E2" w14:paraId="4D7B3D2B" w14:textId="77777777">
        <w:trPr>
          <w:tblCellSpacing w:w="15" w:type="dxa"/>
        </w:trPr>
        <w:tc>
          <w:tcPr>
            <w:tcW w:w="0" w:type="auto"/>
            <w:vAlign w:val="center"/>
            <w:hideMark/>
          </w:tcPr>
          <w:p w14:paraId="154DEABA" w14:textId="4591E54C" w:rsidR="00B8716B" w:rsidRPr="006F75E2" w:rsidRDefault="00B8716B" w:rsidP="00B8716B">
            <w:pPr>
              <w:rPr>
                <w:rFonts w:ascii="Arial" w:hAnsi="Arial" w:cs="Arial"/>
                <w:sz w:val="22"/>
                <w:szCs w:val="22"/>
              </w:rPr>
            </w:pPr>
            <w:r w:rsidRPr="006F75E2">
              <w:rPr>
                <w:rFonts w:ascii="Arial" w:hAnsi="Arial" w:cs="Arial"/>
                <w:sz w:val="22"/>
                <w:szCs w:val="22"/>
              </w:rPr>
              <w:t>5.</w:t>
            </w:r>
          </w:p>
        </w:tc>
        <w:tc>
          <w:tcPr>
            <w:tcW w:w="0" w:type="auto"/>
            <w:vAlign w:val="center"/>
            <w:hideMark/>
          </w:tcPr>
          <w:p w14:paraId="6932B08B" w14:textId="77777777" w:rsidR="00B8716B" w:rsidRPr="006F75E2" w:rsidRDefault="00B8716B" w:rsidP="00B8716B">
            <w:pPr>
              <w:rPr>
                <w:rFonts w:ascii="Arial" w:hAnsi="Arial" w:cs="Arial"/>
                <w:sz w:val="22"/>
                <w:szCs w:val="22"/>
              </w:rPr>
            </w:pPr>
            <w:r w:rsidRPr="006F75E2">
              <w:rPr>
                <w:rFonts w:ascii="Arial" w:hAnsi="Arial" w:cs="Arial"/>
                <w:sz w:val="22"/>
                <w:szCs w:val="22"/>
              </w:rPr>
              <w:t>Conclusion</w:t>
            </w:r>
          </w:p>
        </w:tc>
        <w:tc>
          <w:tcPr>
            <w:tcW w:w="0" w:type="auto"/>
            <w:vAlign w:val="center"/>
            <w:hideMark/>
          </w:tcPr>
          <w:p w14:paraId="58ABAF91" w14:textId="732DBBD8" w:rsidR="00B8716B" w:rsidRPr="006F75E2" w:rsidRDefault="00E52F7B" w:rsidP="00B8716B">
            <w:pPr>
              <w:rPr>
                <w:rFonts w:ascii="Arial" w:hAnsi="Arial" w:cs="Arial"/>
                <w:sz w:val="22"/>
                <w:szCs w:val="22"/>
              </w:rPr>
            </w:pPr>
            <w:r>
              <w:rPr>
                <w:rFonts w:ascii="Arial" w:hAnsi="Arial" w:cs="Arial"/>
                <w:sz w:val="22"/>
                <w:szCs w:val="22"/>
              </w:rPr>
              <w:t xml:space="preserve"> 7</w:t>
            </w:r>
          </w:p>
        </w:tc>
      </w:tr>
      <w:tr w:rsidR="00B8716B" w:rsidRPr="006F75E2" w14:paraId="7CD8CF1A" w14:textId="77777777">
        <w:trPr>
          <w:tblCellSpacing w:w="15" w:type="dxa"/>
        </w:trPr>
        <w:tc>
          <w:tcPr>
            <w:tcW w:w="0" w:type="auto"/>
            <w:vAlign w:val="center"/>
            <w:hideMark/>
          </w:tcPr>
          <w:p w14:paraId="0BE67F41" w14:textId="77777777" w:rsidR="00B8716B" w:rsidRPr="006F75E2" w:rsidRDefault="00B8716B" w:rsidP="00B8716B">
            <w:pPr>
              <w:rPr>
                <w:rFonts w:ascii="Arial" w:hAnsi="Arial" w:cs="Arial"/>
                <w:sz w:val="22"/>
                <w:szCs w:val="22"/>
              </w:rPr>
            </w:pPr>
            <w:r w:rsidRPr="006F75E2">
              <w:rPr>
                <w:rFonts w:ascii="Arial" w:hAnsi="Arial" w:cs="Arial"/>
                <w:sz w:val="22"/>
                <w:szCs w:val="22"/>
              </w:rPr>
              <w:t>5.1</w:t>
            </w:r>
          </w:p>
        </w:tc>
        <w:tc>
          <w:tcPr>
            <w:tcW w:w="0" w:type="auto"/>
            <w:vAlign w:val="center"/>
            <w:hideMark/>
          </w:tcPr>
          <w:p w14:paraId="24AC91EB" w14:textId="77777777" w:rsidR="00B8716B" w:rsidRPr="006F75E2" w:rsidRDefault="00B8716B" w:rsidP="00B8716B">
            <w:pPr>
              <w:rPr>
                <w:rFonts w:ascii="Arial" w:hAnsi="Arial" w:cs="Arial"/>
                <w:sz w:val="22"/>
                <w:szCs w:val="22"/>
              </w:rPr>
            </w:pPr>
            <w:r w:rsidRPr="006F75E2">
              <w:rPr>
                <w:rFonts w:ascii="Arial" w:hAnsi="Arial" w:cs="Arial"/>
                <w:sz w:val="22"/>
                <w:szCs w:val="22"/>
              </w:rPr>
              <w:t>Recommendations</w:t>
            </w:r>
          </w:p>
        </w:tc>
        <w:tc>
          <w:tcPr>
            <w:tcW w:w="0" w:type="auto"/>
            <w:vAlign w:val="center"/>
            <w:hideMark/>
          </w:tcPr>
          <w:p w14:paraId="0B66ABC8" w14:textId="1FA1CA97" w:rsidR="00B8716B" w:rsidRPr="006F75E2" w:rsidRDefault="00E52F7B" w:rsidP="00B8716B">
            <w:pPr>
              <w:rPr>
                <w:rFonts w:ascii="Arial" w:hAnsi="Arial" w:cs="Arial"/>
                <w:sz w:val="22"/>
                <w:szCs w:val="22"/>
              </w:rPr>
            </w:pPr>
            <w:r>
              <w:rPr>
                <w:rFonts w:ascii="Arial" w:hAnsi="Arial" w:cs="Arial"/>
                <w:sz w:val="22"/>
                <w:szCs w:val="22"/>
              </w:rPr>
              <w:t xml:space="preserve"> 7</w:t>
            </w:r>
          </w:p>
        </w:tc>
      </w:tr>
      <w:tr w:rsidR="00B8716B" w:rsidRPr="006F75E2" w14:paraId="39DFD40E" w14:textId="77777777">
        <w:trPr>
          <w:tblCellSpacing w:w="15" w:type="dxa"/>
        </w:trPr>
        <w:tc>
          <w:tcPr>
            <w:tcW w:w="0" w:type="auto"/>
            <w:vAlign w:val="center"/>
            <w:hideMark/>
          </w:tcPr>
          <w:p w14:paraId="248E022C" w14:textId="3AAF596F" w:rsidR="00B8716B" w:rsidRPr="006F75E2" w:rsidRDefault="00726B80" w:rsidP="00B8716B">
            <w:pPr>
              <w:rPr>
                <w:rFonts w:ascii="Arial" w:hAnsi="Arial" w:cs="Arial"/>
                <w:sz w:val="22"/>
                <w:szCs w:val="22"/>
              </w:rPr>
            </w:pPr>
            <w:r w:rsidRPr="006F75E2">
              <w:rPr>
                <w:rFonts w:ascii="Arial" w:hAnsi="Arial" w:cs="Arial"/>
                <w:sz w:val="22"/>
                <w:szCs w:val="22"/>
              </w:rPr>
              <w:t>6.</w:t>
            </w:r>
          </w:p>
        </w:tc>
        <w:tc>
          <w:tcPr>
            <w:tcW w:w="0" w:type="auto"/>
            <w:vAlign w:val="center"/>
            <w:hideMark/>
          </w:tcPr>
          <w:p w14:paraId="76F610D9" w14:textId="77777777" w:rsidR="00B8716B" w:rsidRPr="006F75E2" w:rsidRDefault="00B8716B" w:rsidP="00B8716B">
            <w:pPr>
              <w:rPr>
                <w:rFonts w:ascii="Arial" w:hAnsi="Arial" w:cs="Arial"/>
                <w:sz w:val="22"/>
                <w:szCs w:val="22"/>
              </w:rPr>
            </w:pPr>
            <w:r w:rsidRPr="006F75E2">
              <w:rPr>
                <w:rFonts w:ascii="Arial" w:hAnsi="Arial" w:cs="Arial"/>
                <w:sz w:val="22"/>
                <w:szCs w:val="22"/>
              </w:rPr>
              <w:t>Reference List</w:t>
            </w:r>
          </w:p>
        </w:tc>
        <w:tc>
          <w:tcPr>
            <w:tcW w:w="0" w:type="auto"/>
            <w:vAlign w:val="center"/>
            <w:hideMark/>
          </w:tcPr>
          <w:p w14:paraId="1ECBC907" w14:textId="7F64A0A8" w:rsidR="00B8716B" w:rsidRPr="006F75E2" w:rsidRDefault="00E52F7B" w:rsidP="00B8716B">
            <w:pPr>
              <w:rPr>
                <w:rFonts w:ascii="Arial" w:hAnsi="Arial" w:cs="Arial"/>
                <w:sz w:val="22"/>
                <w:szCs w:val="22"/>
              </w:rPr>
            </w:pPr>
            <w:r>
              <w:rPr>
                <w:rFonts w:ascii="Arial" w:hAnsi="Arial" w:cs="Arial"/>
                <w:sz w:val="22"/>
                <w:szCs w:val="22"/>
              </w:rPr>
              <w:t xml:space="preserve"> 8</w:t>
            </w:r>
          </w:p>
          <w:p w14:paraId="58F13DE1" w14:textId="77777777" w:rsidR="00663380" w:rsidRPr="006F75E2" w:rsidRDefault="00663380" w:rsidP="00B8716B">
            <w:pPr>
              <w:rPr>
                <w:rFonts w:ascii="Arial" w:hAnsi="Arial" w:cs="Arial"/>
                <w:sz w:val="22"/>
                <w:szCs w:val="22"/>
              </w:rPr>
            </w:pPr>
          </w:p>
        </w:tc>
      </w:tr>
    </w:tbl>
    <w:p w14:paraId="43AA27A4" w14:textId="77777777" w:rsidR="003606FF" w:rsidRPr="006F75E2" w:rsidRDefault="003606FF" w:rsidP="00B8716B">
      <w:pPr>
        <w:rPr>
          <w:rFonts w:ascii="Arial" w:hAnsi="Arial" w:cs="Arial"/>
          <w:b/>
          <w:bCs/>
          <w:sz w:val="22"/>
          <w:szCs w:val="22"/>
        </w:rPr>
      </w:pPr>
    </w:p>
    <w:p w14:paraId="27AE510E" w14:textId="77777777" w:rsidR="00663380" w:rsidRPr="006F75E2" w:rsidRDefault="00663380" w:rsidP="00B8716B">
      <w:pPr>
        <w:rPr>
          <w:rFonts w:ascii="Arial" w:hAnsi="Arial" w:cs="Arial"/>
          <w:b/>
          <w:bCs/>
          <w:sz w:val="22"/>
          <w:szCs w:val="22"/>
        </w:rPr>
      </w:pPr>
    </w:p>
    <w:p w14:paraId="6BD6AB13" w14:textId="77777777" w:rsidR="00663380" w:rsidRPr="006F75E2" w:rsidRDefault="00663380" w:rsidP="00B8716B">
      <w:pPr>
        <w:rPr>
          <w:rFonts w:ascii="Arial" w:hAnsi="Arial" w:cs="Arial"/>
          <w:b/>
          <w:bCs/>
          <w:sz w:val="22"/>
          <w:szCs w:val="22"/>
        </w:rPr>
      </w:pPr>
    </w:p>
    <w:p w14:paraId="0589645B" w14:textId="77777777" w:rsidR="00663380" w:rsidRPr="006F75E2" w:rsidRDefault="00663380" w:rsidP="00B8716B">
      <w:pPr>
        <w:rPr>
          <w:rFonts w:ascii="Arial" w:hAnsi="Arial" w:cs="Arial"/>
          <w:b/>
          <w:bCs/>
          <w:sz w:val="22"/>
          <w:szCs w:val="22"/>
        </w:rPr>
      </w:pPr>
    </w:p>
    <w:p w14:paraId="422124CF" w14:textId="77777777" w:rsidR="00663380" w:rsidRPr="006F75E2" w:rsidRDefault="00663380" w:rsidP="00B8716B">
      <w:pPr>
        <w:rPr>
          <w:rFonts w:ascii="Arial" w:hAnsi="Arial" w:cs="Arial"/>
          <w:b/>
          <w:bCs/>
          <w:sz w:val="22"/>
          <w:szCs w:val="22"/>
        </w:rPr>
      </w:pPr>
    </w:p>
    <w:p w14:paraId="3DC882C3" w14:textId="77777777" w:rsidR="00663380" w:rsidRPr="006F75E2" w:rsidRDefault="00663380" w:rsidP="00B8716B">
      <w:pPr>
        <w:rPr>
          <w:rFonts w:ascii="Arial" w:hAnsi="Arial" w:cs="Arial"/>
          <w:b/>
          <w:bCs/>
          <w:sz w:val="22"/>
          <w:szCs w:val="22"/>
        </w:rPr>
      </w:pPr>
    </w:p>
    <w:p w14:paraId="426C2AE6" w14:textId="77777777" w:rsidR="00663380" w:rsidRPr="006F75E2" w:rsidRDefault="00663380" w:rsidP="00B8716B">
      <w:pPr>
        <w:rPr>
          <w:rFonts w:ascii="Arial" w:hAnsi="Arial" w:cs="Arial"/>
          <w:b/>
          <w:bCs/>
          <w:sz w:val="22"/>
          <w:szCs w:val="22"/>
        </w:rPr>
      </w:pPr>
    </w:p>
    <w:p w14:paraId="57AEED78" w14:textId="77777777" w:rsidR="00663380" w:rsidRPr="006F75E2" w:rsidRDefault="00663380" w:rsidP="00B8716B">
      <w:pPr>
        <w:rPr>
          <w:rFonts w:ascii="Arial" w:hAnsi="Arial" w:cs="Arial"/>
          <w:b/>
          <w:bCs/>
          <w:sz w:val="22"/>
          <w:szCs w:val="22"/>
        </w:rPr>
      </w:pPr>
    </w:p>
    <w:p w14:paraId="5AD6E577" w14:textId="6F5A6490" w:rsidR="00B8716B" w:rsidRDefault="00B8716B" w:rsidP="00A414AC">
      <w:pPr>
        <w:pStyle w:val="Heading1"/>
        <w:numPr>
          <w:ilvl w:val="0"/>
          <w:numId w:val="4"/>
        </w:numPr>
        <w:jc w:val="center"/>
        <w:rPr>
          <w:rFonts w:ascii="Arial" w:hAnsi="Arial" w:cs="Arial"/>
        </w:rPr>
      </w:pPr>
      <w:r w:rsidRPr="006F75E2">
        <w:rPr>
          <w:rFonts w:ascii="Arial" w:hAnsi="Arial" w:cs="Arial"/>
        </w:rPr>
        <w:t>Introduction</w:t>
      </w:r>
    </w:p>
    <w:p w14:paraId="7847A38E" w14:textId="77777777" w:rsidR="00A414AC" w:rsidRPr="00A414AC" w:rsidRDefault="00A414AC" w:rsidP="00A414AC"/>
    <w:p w14:paraId="012DF1E8" w14:textId="77777777" w:rsidR="00B8716B" w:rsidRPr="006F75E2" w:rsidRDefault="00B8716B" w:rsidP="00B8716B">
      <w:pPr>
        <w:rPr>
          <w:rFonts w:ascii="Arial" w:hAnsi="Arial" w:cs="Arial"/>
          <w:sz w:val="22"/>
          <w:szCs w:val="22"/>
        </w:rPr>
      </w:pPr>
      <w:r w:rsidRPr="006F75E2">
        <w:rPr>
          <w:rFonts w:ascii="Arial" w:hAnsi="Arial" w:cs="Arial"/>
          <w:sz w:val="22"/>
          <w:szCs w:val="22"/>
        </w:rPr>
        <w:t>Upon joining the Human Resources department at TaskRabbit UK, operating out of our London/Birmingham hub, I was immediately confronted by an alarming volume of employee grievances. These complaints, ranging from disputes over remote working equity to concerns about algorithmic transparency, signal a breakdown in organisational fairness and trust. This crisis is rooted in poorly managed changes driven by fundamental societal shifts, accelerated digital technology trends, and the widespread adoption of flexible working arrangements (FWA).</w:t>
      </w:r>
    </w:p>
    <w:p w14:paraId="5AA6056E" w14:textId="17A03B46" w:rsidR="00B8716B" w:rsidRPr="006F75E2" w:rsidRDefault="00B8716B" w:rsidP="00B8716B">
      <w:pPr>
        <w:rPr>
          <w:rFonts w:ascii="Arial" w:hAnsi="Arial" w:cs="Arial"/>
          <w:sz w:val="22"/>
          <w:szCs w:val="22"/>
        </w:rPr>
      </w:pPr>
      <w:r w:rsidRPr="006F75E2">
        <w:rPr>
          <w:rFonts w:ascii="Arial" w:hAnsi="Arial" w:cs="Arial"/>
          <w:sz w:val="22"/>
          <w:szCs w:val="22"/>
        </w:rPr>
        <w:t xml:space="preserve">This formal report, submitted in my capacity as HR Officer, addresses these pressing issues. The following sections will first explain the specific factors arising from these changes within the context of TaskRabbit’s operations. Subsequently, I will evaluate three key contemporary HR practices—Diversity &amp; Inclusion, Hybrid Work Management, and Employee Motivation—using established HR theory. Finally, I will critically assess the </w:t>
      </w:r>
      <w:r w:rsidR="00185C3C" w:rsidRPr="006F75E2">
        <w:rPr>
          <w:rFonts w:ascii="Arial" w:hAnsi="Arial" w:cs="Arial"/>
          <w:sz w:val="22"/>
          <w:szCs w:val="22"/>
        </w:rPr>
        <w:t>role of departmental managers in ensuring the swift and urgent implementation of these practices to restore a positive,</w:t>
      </w:r>
      <w:r w:rsidRPr="006F75E2">
        <w:rPr>
          <w:rFonts w:ascii="Arial" w:hAnsi="Arial" w:cs="Arial"/>
          <w:sz w:val="22"/>
          <w:szCs w:val="22"/>
        </w:rPr>
        <w:t xml:space="preserve"> compliant working environment.</w:t>
      </w:r>
    </w:p>
    <w:p w14:paraId="2F8ED1E3" w14:textId="77777777" w:rsidR="00925BA3" w:rsidRDefault="00925BA3" w:rsidP="00B8716B">
      <w:pPr>
        <w:rPr>
          <w:rFonts w:ascii="Arial" w:hAnsi="Arial" w:cs="Arial"/>
          <w:sz w:val="22"/>
          <w:szCs w:val="22"/>
        </w:rPr>
      </w:pPr>
    </w:p>
    <w:p w14:paraId="6CA9746D" w14:textId="77777777" w:rsidR="00B62D59" w:rsidRPr="006F75E2" w:rsidRDefault="00B62D59" w:rsidP="00B8716B">
      <w:pPr>
        <w:rPr>
          <w:rFonts w:ascii="Arial" w:hAnsi="Arial" w:cs="Arial"/>
          <w:sz w:val="22"/>
          <w:szCs w:val="22"/>
        </w:rPr>
      </w:pPr>
    </w:p>
    <w:p w14:paraId="0C55B839" w14:textId="51874BB0" w:rsidR="006F75E2" w:rsidRDefault="00B8716B" w:rsidP="00A414AC">
      <w:pPr>
        <w:pStyle w:val="Heading1"/>
        <w:numPr>
          <w:ilvl w:val="0"/>
          <w:numId w:val="4"/>
        </w:numPr>
        <w:jc w:val="center"/>
        <w:rPr>
          <w:rFonts w:ascii="Arial" w:hAnsi="Arial" w:cs="Arial"/>
        </w:rPr>
      </w:pPr>
      <w:r w:rsidRPr="006F75E2">
        <w:rPr>
          <w:rFonts w:ascii="Arial" w:hAnsi="Arial" w:cs="Arial"/>
        </w:rPr>
        <w:t>An Explanation of the Specific Factors</w:t>
      </w:r>
    </w:p>
    <w:p w14:paraId="21BC57F6" w14:textId="77777777" w:rsidR="00A414AC" w:rsidRPr="00A414AC" w:rsidRDefault="00A414AC" w:rsidP="00A414AC">
      <w:pPr>
        <w:pStyle w:val="ListParagraph"/>
        <w:ind w:left="804"/>
      </w:pPr>
    </w:p>
    <w:p w14:paraId="2665824E" w14:textId="5C009F73" w:rsidR="00925BA3" w:rsidRPr="006F75E2" w:rsidRDefault="00B8716B" w:rsidP="00B8716B">
      <w:pPr>
        <w:rPr>
          <w:rFonts w:ascii="Arial" w:hAnsi="Arial" w:cs="Arial"/>
          <w:sz w:val="22"/>
          <w:szCs w:val="22"/>
        </w:rPr>
      </w:pPr>
      <w:r w:rsidRPr="006F75E2">
        <w:rPr>
          <w:rFonts w:ascii="Arial" w:hAnsi="Arial" w:cs="Arial"/>
          <w:sz w:val="22"/>
          <w:szCs w:val="22"/>
        </w:rPr>
        <w:t>The surge in grievances within TaskRabbit is a direct consequence of the intersection between the company’s platform-based business model and rapid changes in the external environment. This section explains two specific factors within the domains of societal change, technological trends, and FWA.</w:t>
      </w:r>
    </w:p>
    <w:p w14:paraId="726F816D" w14:textId="76684912" w:rsidR="00B8716B" w:rsidRPr="006F75E2" w:rsidRDefault="00B8716B" w:rsidP="001C1DB1">
      <w:pPr>
        <w:pStyle w:val="Heading2"/>
        <w:jc w:val="center"/>
        <w:rPr>
          <w:rFonts w:ascii="Arial" w:hAnsi="Arial" w:cs="Arial"/>
        </w:rPr>
      </w:pPr>
      <w:r w:rsidRPr="006F75E2">
        <w:rPr>
          <w:rFonts w:ascii="Arial" w:hAnsi="Arial" w:cs="Arial"/>
        </w:rPr>
        <w:t>2.1 Societal Changes</w:t>
      </w:r>
    </w:p>
    <w:p w14:paraId="3AC51AAC" w14:textId="77777777" w:rsidR="00B8716B" w:rsidRPr="006F75E2" w:rsidRDefault="00B8716B" w:rsidP="00B8716B">
      <w:pPr>
        <w:rPr>
          <w:rFonts w:ascii="Arial" w:hAnsi="Arial" w:cs="Arial"/>
          <w:b/>
          <w:bCs/>
          <w:sz w:val="22"/>
          <w:szCs w:val="22"/>
        </w:rPr>
      </w:pPr>
      <w:r w:rsidRPr="006F75E2">
        <w:rPr>
          <w:rFonts w:ascii="Arial" w:hAnsi="Arial" w:cs="Arial"/>
          <w:b/>
          <w:bCs/>
          <w:sz w:val="22"/>
          <w:szCs w:val="22"/>
        </w:rPr>
        <w:t>a) Globalisation and the Gig Economy Shift</w:t>
      </w:r>
    </w:p>
    <w:p w14:paraId="369D1DDD" w14:textId="59E8A8F4" w:rsidR="00B8716B" w:rsidRPr="006F75E2" w:rsidRDefault="00B8716B" w:rsidP="00B8716B">
      <w:pPr>
        <w:rPr>
          <w:rFonts w:ascii="Arial" w:hAnsi="Arial" w:cs="Arial"/>
          <w:sz w:val="22"/>
          <w:szCs w:val="22"/>
        </w:rPr>
      </w:pPr>
      <w:r w:rsidRPr="006F75E2">
        <w:rPr>
          <w:rFonts w:ascii="Arial" w:hAnsi="Arial" w:cs="Arial"/>
          <w:sz w:val="22"/>
          <w:szCs w:val="22"/>
        </w:rPr>
        <w:t xml:space="preserve">The growth of the globalised digital economy has intensified the reliance on the </w:t>
      </w:r>
      <w:r w:rsidRPr="006F75E2">
        <w:rPr>
          <w:rFonts w:ascii="Arial" w:hAnsi="Arial" w:cs="Arial"/>
          <w:b/>
          <w:bCs/>
          <w:sz w:val="22"/>
          <w:szCs w:val="22"/>
        </w:rPr>
        <w:t>gig economy</w:t>
      </w:r>
      <w:r w:rsidRPr="006F75E2">
        <w:rPr>
          <w:rFonts w:ascii="Arial" w:hAnsi="Arial" w:cs="Arial"/>
          <w:sz w:val="22"/>
          <w:szCs w:val="22"/>
        </w:rPr>
        <w:t xml:space="preserve"> model, which is central to TaskRabbit’s operations. For the corporate workforce, this translates into intense pressure to match the agility of </w:t>
      </w:r>
      <w:r w:rsidR="00AE47CC" w:rsidRPr="006F75E2">
        <w:rPr>
          <w:rFonts w:ascii="Arial" w:hAnsi="Arial" w:cs="Arial"/>
          <w:sz w:val="22"/>
          <w:szCs w:val="22"/>
        </w:rPr>
        <w:t>Taskers (freelancers), resulting in</w:t>
      </w:r>
      <w:r w:rsidRPr="006F75E2">
        <w:rPr>
          <w:rFonts w:ascii="Arial" w:hAnsi="Arial" w:cs="Arial"/>
          <w:sz w:val="22"/>
          <w:szCs w:val="22"/>
        </w:rPr>
        <w:t xml:space="preserve"> high demands and unstable workloads. Corporate employees often file grievances </w:t>
      </w:r>
      <w:r w:rsidR="00AE47CC" w:rsidRPr="006F75E2">
        <w:rPr>
          <w:rFonts w:ascii="Arial" w:hAnsi="Arial" w:cs="Arial"/>
          <w:sz w:val="22"/>
          <w:szCs w:val="22"/>
        </w:rPr>
        <w:t>regarding excessive workload and insecure</w:t>
      </w:r>
      <w:r w:rsidRPr="006F75E2">
        <w:rPr>
          <w:rFonts w:ascii="Arial" w:hAnsi="Arial" w:cs="Arial"/>
          <w:sz w:val="22"/>
          <w:szCs w:val="22"/>
        </w:rPr>
        <w:t xml:space="preserve"> employment conditions, feeling they are treated with the same transactional detachment as the Taskers themselves (</w:t>
      </w:r>
      <w:r w:rsidR="00AE47CC" w:rsidRPr="006F75E2">
        <w:rPr>
          <w:rFonts w:ascii="Arial" w:hAnsi="Arial" w:cs="Arial"/>
          <w:sz w:val="22"/>
          <w:szCs w:val="22"/>
        </w:rPr>
        <w:t>Gand</w:t>
      </w:r>
      <w:r w:rsidRPr="006F75E2">
        <w:rPr>
          <w:rFonts w:ascii="Arial" w:hAnsi="Arial" w:cs="Arial"/>
          <w:sz w:val="22"/>
          <w:szCs w:val="22"/>
        </w:rPr>
        <w:t>, 2021). This shift challenges traditional employment psychological contracts, as expectations of career stability are replaced by hyper-efficiency and cost-cutting, leading to resentment and conflict over job security and compensation fairness.</w:t>
      </w:r>
    </w:p>
    <w:p w14:paraId="448F77E8" w14:textId="77777777" w:rsidR="00B8716B" w:rsidRPr="006F75E2" w:rsidRDefault="00B8716B" w:rsidP="00B8716B">
      <w:pPr>
        <w:rPr>
          <w:rFonts w:ascii="Arial" w:hAnsi="Arial" w:cs="Arial"/>
          <w:b/>
          <w:bCs/>
          <w:sz w:val="22"/>
          <w:szCs w:val="22"/>
        </w:rPr>
      </w:pPr>
      <w:r w:rsidRPr="006F75E2">
        <w:rPr>
          <w:rFonts w:ascii="Arial" w:hAnsi="Arial" w:cs="Arial"/>
          <w:b/>
          <w:bCs/>
          <w:sz w:val="22"/>
          <w:szCs w:val="22"/>
        </w:rPr>
        <w:lastRenderedPageBreak/>
        <w:t>b) Cultural Changes: Emphasis on Diversity, Equality, and Ethics</w:t>
      </w:r>
    </w:p>
    <w:p w14:paraId="4EF7EA34" w14:textId="25916900" w:rsidR="00B8716B" w:rsidRPr="006F75E2" w:rsidRDefault="00B8716B" w:rsidP="00B8716B">
      <w:pPr>
        <w:rPr>
          <w:rFonts w:ascii="Arial" w:hAnsi="Arial" w:cs="Arial"/>
          <w:sz w:val="22"/>
          <w:szCs w:val="22"/>
        </w:rPr>
      </w:pPr>
      <w:r w:rsidRPr="006F75E2">
        <w:rPr>
          <w:rFonts w:ascii="Arial" w:hAnsi="Arial" w:cs="Arial"/>
          <w:sz w:val="22"/>
          <w:szCs w:val="22"/>
        </w:rPr>
        <w:t xml:space="preserve">Societal focus on Diversity, Equality, and Inclusivity (DEI) means that TaskRabbit’s corporate culture is under intense scrutiny. Grievances frequently revolve around perceived favouritism, unequal promotion opportunities, and microaggressions, particularly in the hybrid work environment where visibility differs. The highly public nature of TaskRabbit’s platform requires its internal practices to reflect external ethical standards. Failure to manage cultural sensitivities and ensure equal opportunity immediately escalates into formal complaints, as employees are now more literate and vocal about their rights and </w:t>
      </w:r>
      <w:r w:rsidR="007309C8" w:rsidRPr="006F75E2">
        <w:rPr>
          <w:rFonts w:ascii="Arial" w:hAnsi="Arial" w:cs="Arial"/>
          <w:sz w:val="22"/>
          <w:szCs w:val="22"/>
        </w:rPr>
        <w:t xml:space="preserve">their employer's ethical failures </w:t>
      </w:r>
      <w:r w:rsidRPr="006F75E2">
        <w:rPr>
          <w:rFonts w:ascii="Arial" w:hAnsi="Arial" w:cs="Arial"/>
          <w:sz w:val="22"/>
          <w:szCs w:val="22"/>
        </w:rPr>
        <w:t xml:space="preserve">(CIPD, 2023). This requires HR to move beyond basic compliance </w:t>
      </w:r>
      <w:r w:rsidR="007309C8" w:rsidRPr="006F75E2">
        <w:rPr>
          <w:rFonts w:ascii="Arial" w:hAnsi="Arial" w:cs="Arial"/>
          <w:sz w:val="22"/>
          <w:szCs w:val="22"/>
        </w:rPr>
        <w:t>to embed inclusive practices proactively</w:t>
      </w:r>
      <w:r w:rsidRPr="006F75E2">
        <w:rPr>
          <w:rFonts w:ascii="Arial" w:hAnsi="Arial" w:cs="Arial"/>
          <w:sz w:val="22"/>
          <w:szCs w:val="22"/>
        </w:rPr>
        <w:t>.</w:t>
      </w:r>
    </w:p>
    <w:p w14:paraId="17E0AE73" w14:textId="6DF1F59C" w:rsidR="00B8716B" w:rsidRPr="006F75E2" w:rsidRDefault="00B8716B" w:rsidP="001C1DB1">
      <w:pPr>
        <w:pStyle w:val="Heading2"/>
        <w:jc w:val="center"/>
        <w:rPr>
          <w:rFonts w:ascii="Arial" w:hAnsi="Arial" w:cs="Arial"/>
        </w:rPr>
      </w:pPr>
      <w:r w:rsidRPr="006F75E2">
        <w:rPr>
          <w:rFonts w:ascii="Arial" w:hAnsi="Arial" w:cs="Arial"/>
        </w:rPr>
        <w:t>2.2 Technological Trends</w:t>
      </w:r>
    </w:p>
    <w:p w14:paraId="21913849" w14:textId="77777777" w:rsidR="00B8716B" w:rsidRPr="006F75E2" w:rsidRDefault="00B8716B" w:rsidP="00B8716B">
      <w:pPr>
        <w:rPr>
          <w:rFonts w:ascii="Arial" w:hAnsi="Arial" w:cs="Arial"/>
          <w:b/>
          <w:bCs/>
          <w:sz w:val="22"/>
          <w:szCs w:val="22"/>
        </w:rPr>
      </w:pPr>
      <w:r w:rsidRPr="006F75E2">
        <w:rPr>
          <w:rFonts w:ascii="Arial" w:hAnsi="Arial" w:cs="Arial"/>
          <w:b/>
          <w:bCs/>
          <w:sz w:val="22"/>
          <w:szCs w:val="22"/>
        </w:rPr>
        <w:t>a) AI and Automation in Tasker Management</w:t>
      </w:r>
    </w:p>
    <w:p w14:paraId="5B291F6F" w14:textId="240BA8F5" w:rsidR="00B8716B" w:rsidRPr="006F75E2" w:rsidRDefault="00B8716B" w:rsidP="00B8716B">
      <w:pPr>
        <w:rPr>
          <w:rFonts w:ascii="Arial" w:hAnsi="Arial" w:cs="Arial"/>
          <w:sz w:val="22"/>
          <w:szCs w:val="22"/>
        </w:rPr>
      </w:pPr>
      <w:r w:rsidRPr="006F75E2">
        <w:rPr>
          <w:rFonts w:ascii="Arial" w:hAnsi="Arial" w:cs="Arial"/>
          <w:sz w:val="22"/>
          <w:szCs w:val="22"/>
        </w:rPr>
        <w:t xml:space="preserve">TaskRabbit relies heavily on </w:t>
      </w:r>
      <w:r w:rsidRPr="006F75E2">
        <w:rPr>
          <w:rFonts w:ascii="Arial" w:hAnsi="Arial" w:cs="Arial"/>
          <w:b/>
          <w:bCs/>
          <w:sz w:val="22"/>
          <w:szCs w:val="22"/>
        </w:rPr>
        <w:t>AI and automation</w:t>
      </w:r>
      <w:r w:rsidRPr="006F75E2">
        <w:rPr>
          <w:rFonts w:ascii="Arial" w:hAnsi="Arial" w:cs="Arial"/>
          <w:sz w:val="22"/>
          <w:szCs w:val="22"/>
        </w:rPr>
        <w:t xml:space="preserve"> for matching Taskers with clients, dynamic pricing, and quality control. This digital dependency filters into the corporate structure, where grievances arise from the implementation of algorithmic management systems for internal support and scheduling staff. Employees feel </w:t>
      </w:r>
      <w:r w:rsidR="007309C8" w:rsidRPr="006F75E2">
        <w:rPr>
          <w:rFonts w:ascii="Arial" w:hAnsi="Arial" w:cs="Arial"/>
          <w:sz w:val="22"/>
          <w:szCs w:val="22"/>
        </w:rPr>
        <w:t>opaque, often biased, algorithms undermine their professional judgement</w:t>
      </w:r>
      <w:r w:rsidRPr="006F75E2">
        <w:rPr>
          <w:rFonts w:ascii="Arial" w:hAnsi="Arial" w:cs="Arial"/>
          <w:sz w:val="22"/>
          <w:szCs w:val="22"/>
        </w:rPr>
        <w:t xml:space="preserve">. This leads to disputes over performance ratings, as the criteria for success become metrics defined by code rather than qualitative human assessment. The lack of transparency generates a sense of </w:t>
      </w:r>
      <w:r w:rsidRPr="006F75E2">
        <w:rPr>
          <w:rFonts w:ascii="Arial" w:hAnsi="Arial" w:cs="Arial"/>
          <w:b/>
          <w:bCs/>
          <w:sz w:val="22"/>
          <w:szCs w:val="22"/>
        </w:rPr>
        <w:t>algorithmic unfairness</w:t>
      </w:r>
      <w:r w:rsidRPr="006F75E2">
        <w:rPr>
          <w:rFonts w:ascii="Arial" w:hAnsi="Arial" w:cs="Arial"/>
          <w:sz w:val="22"/>
          <w:szCs w:val="22"/>
        </w:rPr>
        <w:t>, increasing stress and mistrust, and ultimately leading to formal complaints challenging the legitimacy of performance-related decisions (Vesala &amp; Räsänen, 2020).</w:t>
      </w:r>
    </w:p>
    <w:p w14:paraId="53A7DA23" w14:textId="77777777" w:rsidR="00B8716B" w:rsidRPr="006F75E2" w:rsidRDefault="00B8716B" w:rsidP="00B8716B">
      <w:pPr>
        <w:rPr>
          <w:rFonts w:ascii="Arial" w:hAnsi="Arial" w:cs="Arial"/>
          <w:b/>
          <w:bCs/>
          <w:sz w:val="22"/>
          <w:szCs w:val="22"/>
        </w:rPr>
      </w:pPr>
      <w:r w:rsidRPr="006F75E2">
        <w:rPr>
          <w:rFonts w:ascii="Arial" w:hAnsi="Arial" w:cs="Arial"/>
          <w:b/>
          <w:bCs/>
          <w:sz w:val="22"/>
          <w:szCs w:val="22"/>
        </w:rPr>
        <w:t>b) Cybersecurity Risks and Data Handling Requirements</w:t>
      </w:r>
    </w:p>
    <w:p w14:paraId="6968515F" w14:textId="44901AFF" w:rsidR="00B8716B" w:rsidRPr="006F75E2" w:rsidRDefault="00B8716B" w:rsidP="00B8716B">
      <w:pPr>
        <w:rPr>
          <w:rFonts w:ascii="Arial" w:hAnsi="Arial" w:cs="Arial"/>
          <w:sz w:val="22"/>
          <w:szCs w:val="22"/>
        </w:rPr>
      </w:pPr>
      <w:r w:rsidRPr="006F75E2">
        <w:rPr>
          <w:rFonts w:ascii="Arial" w:hAnsi="Arial" w:cs="Arial"/>
          <w:sz w:val="22"/>
          <w:szCs w:val="22"/>
        </w:rPr>
        <w:t xml:space="preserve">As a platform that handles sensitive client and Tasker data (payments, addresses, task details), TaskRabbit faces immense </w:t>
      </w:r>
      <w:r w:rsidRPr="006F75E2">
        <w:rPr>
          <w:rFonts w:ascii="Arial" w:hAnsi="Arial" w:cs="Arial"/>
          <w:b/>
          <w:bCs/>
          <w:sz w:val="22"/>
          <w:szCs w:val="22"/>
        </w:rPr>
        <w:t>cybersecurity</w:t>
      </w:r>
      <w:r w:rsidRPr="006F75E2">
        <w:rPr>
          <w:rFonts w:ascii="Arial" w:hAnsi="Arial" w:cs="Arial"/>
          <w:sz w:val="22"/>
          <w:szCs w:val="22"/>
        </w:rPr>
        <w:t xml:space="preserve"> pressure. This translates into stringent internal protocols</w:t>
      </w:r>
      <w:r w:rsidR="007309C8" w:rsidRPr="006F75E2">
        <w:rPr>
          <w:rFonts w:ascii="Arial" w:hAnsi="Arial" w:cs="Arial"/>
          <w:sz w:val="22"/>
          <w:szCs w:val="22"/>
        </w:rPr>
        <w:t>, such as</w:t>
      </w:r>
      <w:r w:rsidRPr="006F75E2">
        <w:rPr>
          <w:rFonts w:ascii="Arial" w:hAnsi="Arial" w:cs="Arial"/>
          <w:sz w:val="22"/>
          <w:szCs w:val="22"/>
        </w:rPr>
        <w:t xml:space="preserve"> multifactor authentication and frequent compliance training for corporate staff. Grievances arise when these strict security protocols are </w:t>
      </w:r>
      <w:r w:rsidR="007309C8" w:rsidRPr="006F75E2">
        <w:rPr>
          <w:rFonts w:ascii="Arial" w:hAnsi="Arial" w:cs="Arial"/>
          <w:sz w:val="22"/>
          <w:szCs w:val="22"/>
        </w:rPr>
        <w:t xml:space="preserve">perceived as burdensome obstacles to productivity, especially for staff </w:t>
      </w:r>
      <w:r w:rsidRPr="006F75E2">
        <w:rPr>
          <w:rFonts w:ascii="Arial" w:hAnsi="Arial" w:cs="Arial"/>
          <w:sz w:val="22"/>
          <w:szCs w:val="22"/>
        </w:rPr>
        <w:t xml:space="preserve">under time constraints. More critically, disputes </w:t>
      </w:r>
      <w:r w:rsidR="007309C8" w:rsidRPr="006F75E2">
        <w:rPr>
          <w:rFonts w:ascii="Arial" w:hAnsi="Arial" w:cs="Arial"/>
          <w:sz w:val="22"/>
          <w:szCs w:val="22"/>
        </w:rPr>
        <w:t xml:space="preserve">arise when data breaches (or near misses) foster a culture of blame and fear, leading employees to </w:t>
      </w:r>
      <w:r w:rsidRPr="006F75E2">
        <w:rPr>
          <w:rFonts w:ascii="Arial" w:hAnsi="Arial" w:cs="Arial"/>
          <w:sz w:val="22"/>
          <w:szCs w:val="22"/>
        </w:rPr>
        <w:t>feel unfairly disciplined for security lapses, highlighting the conflict between operational speed and necessary digital diligence.</w:t>
      </w:r>
    </w:p>
    <w:p w14:paraId="62068F7D" w14:textId="3AE49341" w:rsidR="00B8716B" w:rsidRPr="006F75E2" w:rsidRDefault="00B8716B" w:rsidP="001C1DB1">
      <w:pPr>
        <w:pStyle w:val="Heading2"/>
        <w:jc w:val="center"/>
        <w:rPr>
          <w:rFonts w:ascii="Arial" w:hAnsi="Arial" w:cs="Arial"/>
        </w:rPr>
      </w:pPr>
      <w:r w:rsidRPr="006F75E2">
        <w:rPr>
          <w:rFonts w:ascii="Arial" w:hAnsi="Arial" w:cs="Arial"/>
        </w:rPr>
        <w:t>2.3 Flexible Working Arrangements (FWA)</w:t>
      </w:r>
    </w:p>
    <w:p w14:paraId="30BB906B" w14:textId="77777777" w:rsidR="00B8716B" w:rsidRPr="006F75E2" w:rsidRDefault="00B8716B" w:rsidP="00B8716B">
      <w:pPr>
        <w:rPr>
          <w:rFonts w:ascii="Arial" w:hAnsi="Arial" w:cs="Arial"/>
          <w:b/>
          <w:bCs/>
          <w:sz w:val="22"/>
          <w:szCs w:val="22"/>
        </w:rPr>
      </w:pPr>
      <w:r w:rsidRPr="006F75E2">
        <w:rPr>
          <w:rFonts w:ascii="Arial" w:hAnsi="Arial" w:cs="Arial"/>
          <w:b/>
          <w:bCs/>
          <w:sz w:val="22"/>
          <w:szCs w:val="22"/>
        </w:rPr>
        <w:t>a) Remote Working and Proximity Bias</w:t>
      </w:r>
    </w:p>
    <w:p w14:paraId="26A022D4" w14:textId="7FCC38DC" w:rsidR="00B8716B" w:rsidRPr="006F75E2" w:rsidRDefault="00B8716B" w:rsidP="00B8716B">
      <w:pPr>
        <w:rPr>
          <w:rFonts w:ascii="Arial" w:hAnsi="Arial" w:cs="Arial"/>
          <w:sz w:val="22"/>
          <w:szCs w:val="22"/>
        </w:rPr>
      </w:pPr>
      <w:r w:rsidRPr="006F75E2">
        <w:rPr>
          <w:rFonts w:ascii="Arial" w:hAnsi="Arial" w:cs="Arial"/>
          <w:sz w:val="22"/>
          <w:szCs w:val="22"/>
        </w:rPr>
        <w:t xml:space="preserve">The implementation of </w:t>
      </w:r>
      <w:r w:rsidRPr="006F75E2">
        <w:rPr>
          <w:rFonts w:ascii="Arial" w:hAnsi="Arial" w:cs="Arial"/>
          <w:b/>
          <w:bCs/>
          <w:sz w:val="22"/>
          <w:szCs w:val="22"/>
        </w:rPr>
        <w:t>remote working</w:t>
      </w:r>
      <w:r w:rsidRPr="006F75E2">
        <w:rPr>
          <w:rFonts w:ascii="Arial" w:hAnsi="Arial" w:cs="Arial"/>
          <w:sz w:val="22"/>
          <w:szCs w:val="22"/>
        </w:rPr>
        <w:t xml:space="preserve"> for corporate staff has created significant managerial challenges at TaskRabbit. A </w:t>
      </w:r>
      <w:r w:rsidR="007309C8" w:rsidRPr="006F75E2">
        <w:rPr>
          <w:rFonts w:ascii="Arial" w:hAnsi="Arial" w:cs="Arial"/>
          <w:sz w:val="22"/>
          <w:szCs w:val="22"/>
        </w:rPr>
        <w:t>primary</w:t>
      </w:r>
      <w:r w:rsidRPr="006F75E2">
        <w:rPr>
          <w:rFonts w:ascii="Arial" w:hAnsi="Arial" w:cs="Arial"/>
          <w:sz w:val="22"/>
          <w:szCs w:val="22"/>
        </w:rPr>
        <w:t xml:space="preserve"> source of grievances is </w:t>
      </w:r>
      <w:r w:rsidRPr="006F75E2">
        <w:rPr>
          <w:rFonts w:ascii="Arial" w:hAnsi="Arial" w:cs="Arial"/>
          <w:b/>
          <w:bCs/>
          <w:sz w:val="22"/>
          <w:szCs w:val="22"/>
        </w:rPr>
        <w:t>proximity bias</w:t>
      </w:r>
      <w:r w:rsidRPr="006F75E2">
        <w:rPr>
          <w:rFonts w:ascii="Arial" w:hAnsi="Arial" w:cs="Arial"/>
          <w:sz w:val="22"/>
          <w:szCs w:val="22"/>
        </w:rPr>
        <w:t xml:space="preserve">, </w:t>
      </w:r>
      <w:r w:rsidR="007309C8" w:rsidRPr="006F75E2">
        <w:rPr>
          <w:rFonts w:ascii="Arial" w:hAnsi="Arial" w:cs="Arial"/>
          <w:sz w:val="22"/>
          <w:szCs w:val="22"/>
        </w:rPr>
        <w:t xml:space="preserve">in which managers, consciously or unconsciously, favour office-based employees, leading to an </w:t>
      </w:r>
      <w:r w:rsidRPr="006F75E2">
        <w:rPr>
          <w:rFonts w:ascii="Arial" w:hAnsi="Arial" w:cs="Arial"/>
          <w:sz w:val="22"/>
          <w:szCs w:val="22"/>
        </w:rPr>
        <w:t>unfair distribution of project opportunities, visible recognition, and mentoring. Employees working remotely feel disconnected and experience slower career progression compared to their office-based colleagues (Garton, 2021). This structural inequity directly fuels formal complaints concerning unfair promotion and access to development, challenging the company’s commitment to equal opportunity within the hybrid model.</w:t>
      </w:r>
    </w:p>
    <w:p w14:paraId="6864DD34" w14:textId="77777777" w:rsidR="00B8716B" w:rsidRPr="006F75E2" w:rsidRDefault="00B8716B" w:rsidP="00B8716B">
      <w:pPr>
        <w:rPr>
          <w:rFonts w:ascii="Arial" w:hAnsi="Arial" w:cs="Arial"/>
          <w:b/>
          <w:bCs/>
          <w:sz w:val="22"/>
          <w:szCs w:val="22"/>
        </w:rPr>
      </w:pPr>
      <w:r w:rsidRPr="006F75E2">
        <w:rPr>
          <w:rFonts w:ascii="Arial" w:hAnsi="Arial" w:cs="Arial"/>
          <w:b/>
          <w:bCs/>
          <w:sz w:val="22"/>
          <w:szCs w:val="22"/>
        </w:rPr>
        <w:t>b) Condensed Working Hours and Communication Gaps</w:t>
      </w:r>
    </w:p>
    <w:p w14:paraId="00870AF5" w14:textId="23A5129F" w:rsidR="00B8716B" w:rsidRPr="006F75E2" w:rsidRDefault="00B8716B" w:rsidP="00B8716B">
      <w:pPr>
        <w:rPr>
          <w:rFonts w:ascii="Arial" w:hAnsi="Arial" w:cs="Arial"/>
          <w:sz w:val="22"/>
          <w:szCs w:val="22"/>
        </w:rPr>
      </w:pPr>
      <w:r w:rsidRPr="006F75E2">
        <w:rPr>
          <w:rFonts w:ascii="Arial" w:hAnsi="Arial" w:cs="Arial"/>
          <w:sz w:val="22"/>
          <w:szCs w:val="22"/>
        </w:rPr>
        <w:lastRenderedPageBreak/>
        <w:t xml:space="preserve">To support work-life balance, some corporate support teams utilise flexible arrangements </w:t>
      </w:r>
      <w:r w:rsidR="007309C8" w:rsidRPr="006F75E2">
        <w:rPr>
          <w:rFonts w:ascii="Arial" w:hAnsi="Arial" w:cs="Arial"/>
          <w:sz w:val="22"/>
          <w:szCs w:val="22"/>
        </w:rPr>
        <w:t>such as compressed workweeks</w:t>
      </w:r>
      <w:r w:rsidRPr="006F75E2">
        <w:rPr>
          <w:rFonts w:ascii="Arial" w:hAnsi="Arial" w:cs="Arial"/>
          <w:sz w:val="22"/>
          <w:szCs w:val="22"/>
        </w:rPr>
        <w:t xml:space="preserve"> (e.g., four long days). While beneficial, this FWA creates communication gaps and coordination challenges with teams adhering to standard five-day schedules. Grievances arise from feeling overburdened by colleagues who expect immediate responses outside </w:t>
      </w:r>
      <w:r w:rsidR="007309C8" w:rsidRPr="006F75E2">
        <w:rPr>
          <w:rFonts w:ascii="Arial" w:hAnsi="Arial" w:cs="Arial"/>
          <w:sz w:val="22"/>
          <w:szCs w:val="22"/>
        </w:rPr>
        <w:t>the condensed work window, or from team members who complain</w:t>
      </w:r>
      <w:r w:rsidRPr="006F75E2">
        <w:rPr>
          <w:rFonts w:ascii="Arial" w:hAnsi="Arial" w:cs="Arial"/>
          <w:sz w:val="22"/>
          <w:szCs w:val="22"/>
        </w:rPr>
        <w:t xml:space="preserve"> that essential personnel are unavailable. This demonstrates a failure in </w:t>
      </w:r>
      <w:r w:rsidRPr="006F75E2">
        <w:rPr>
          <w:rFonts w:ascii="Arial" w:hAnsi="Arial" w:cs="Arial"/>
          <w:b/>
          <w:bCs/>
          <w:sz w:val="22"/>
          <w:szCs w:val="22"/>
        </w:rPr>
        <w:t>coordination and schedule integration</w:t>
      </w:r>
      <w:r w:rsidRPr="006F75E2">
        <w:rPr>
          <w:rFonts w:ascii="Arial" w:hAnsi="Arial" w:cs="Arial"/>
          <w:sz w:val="22"/>
          <w:szCs w:val="22"/>
        </w:rPr>
        <w:t>, creating friction, digital overload, and conflict over workload distribution and teamwork fairness (Kelliher et al., 2019).</w:t>
      </w:r>
    </w:p>
    <w:p w14:paraId="57BBFE2B" w14:textId="52CCEC07" w:rsidR="00B8716B" w:rsidRPr="006F75E2" w:rsidRDefault="00B8716B" w:rsidP="007C2D2F">
      <w:pPr>
        <w:pStyle w:val="Heading1"/>
        <w:jc w:val="center"/>
        <w:rPr>
          <w:rFonts w:ascii="Arial" w:hAnsi="Arial" w:cs="Arial"/>
        </w:rPr>
      </w:pPr>
      <w:r w:rsidRPr="006F75E2">
        <w:rPr>
          <w:rFonts w:ascii="Arial" w:hAnsi="Arial" w:cs="Arial"/>
        </w:rPr>
        <w:t>3. Evaluation of Contemporary HR Practices</w:t>
      </w:r>
    </w:p>
    <w:p w14:paraId="42514457" w14:textId="06189042" w:rsidR="009B755B" w:rsidRPr="006F75E2" w:rsidRDefault="00B8716B" w:rsidP="00B8716B">
      <w:pPr>
        <w:rPr>
          <w:rFonts w:ascii="Arial" w:hAnsi="Arial" w:cs="Arial"/>
          <w:sz w:val="22"/>
          <w:szCs w:val="22"/>
        </w:rPr>
      </w:pPr>
      <w:r w:rsidRPr="006F75E2">
        <w:rPr>
          <w:rFonts w:ascii="Arial" w:hAnsi="Arial" w:cs="Arial"/>
          <w:sz w:val="22"/>
          <w:szCs w:val="22"/>
        </w:rPr>
        <w:t>To address the factors driving grievances, TaskRabbit must urgently adopt and evaluate contemporary HR practices supported by relevant psychological and management theories.</w:t>
      </w:r>
    </w:p>
    <w:p w14:paraId="7DED32CB" w14:textId="77777777" w:rsidR="00B8716B" w:rsidRPr="006F75E2" w:rsidRDefault="00B8716B" w:rsidP="001C1DB1">
      <w:pPr>
        <w:pStyle w:val="Heading2"/>
        <w:jc w:val="center"/>
        <w:rPr>
          <w:rFonts w:ascii="Arial" w:hAnsi="Arial" w:cs="Arial"/>
        </w:rPr>
      </w:pPr>
      <w:r w:rsidRPr="006F75E2">
        <w:rPr>
          <w:rFonts w:ascii="Arial" w:hAnsi="Arial" w:cs="Arial"/>
        </w:rPr>
        <w:t>3.1 Diversity, Equality, and Inclusivity (DEI)</w:t>
      </w:r>
    </w:p>
    <w:p w14:paraId="0FC2877E" w14:textId="539A5879" w:rsidR="00B8716B" w:rsidRPr="006F75E2" w:rsidRDefault="00B8716B" w:rsidP="00B8716B">
      <w:pPr>
        <w:rPr>
          <w:rFonts w:ascii="Arial" w:hAnsi="Arial" w:cs="Arial"/>
          <w:sz w:val="22"/>
          <w:szCs w:val="22"/>
        </w:rPr>
      </w:pPr>
      <w:r w:rsidRPr="006F75E2">
        <w:rPr>
          <w:rFonts w:ascii="Arial" w:hAnsi="Arial" w:cs="Arial"/>
          <w:sz w:val="22"/>
          <w:szCs w:val="22"/>
        </w:rPr>
        <w:t xml:space="preserve">The contemporary practice of embedding </w:t>
      </w:r>
      <w:r w:rsidRPr="006F75E2">
        <w:rPr>
          <w:rFonts w:ascii="Arial" w:hAnsi="Arial" w:cs="Arial"/>
          <w:b/>
          <w:bCs/>
          <w:sz w:val="22"/>
          <w:szCs w:val="22"/>
        </w:rPr>
        <w:t>DEI</w:t>
      </w:r>
      <w:r w:rsidRPr="006F75E2">
        <w:rPr>
          <w:rFonts w:ascii="Arial" w:hAnsi="Arial" w:cs="Arial"/>
          <w:sz w:val="22"/>
          <w:szCs w:val="22"/>
        </w:rPr>
        <w:t xml:space="preserve"> goes beyond compliance; it aims to proactively dismantle systemic barriers that lead to grievances over unfair treatment (Section 2.1b). This involves mandatory </w:t>
      </w:r>
      <w:r w:rsidR="007309C8" w:rsidRPr="006F75E2">
        <w:rPr>
          <w:rFonts w:ascii="Arial" w:hAnsi="Arial" w:cs="Arial"/>
          <w:sz w:val="22"/>
          <w:szCs w:val="22"/>
        </w:rPr>
        <w:t>unconscious bias training, transparent reporting of diversity metrics during promotion cycles, and the creation of</w:t>
      </w:r>
      <w:r w:rsidRPr="006F75E2">
        <w:rPr>
          <w:rFonts w:ascii="Arial" w:hAnsi="Arial" w:cs="Arial"/>
          <w:sz w:val="22"/>
          <w:szCs w:val="22"/>
        </w:rPr>
        <w:t xml:space="preserve"> inclusive feedback mechanisms.</w:t>
      </w:r>
    </w:p>
    <w:p w14:paraId="34D4960F" w14:textId="77777777" w:rsidR="00B8716B" w:rsidRPr="006F75E2" w:rsidRDefault="00B8716B" w:rsidP="00B8716B">
      <w:pPr>
        <w:rPr>
          <w:rFonts w:ascii="Arial" w:hAnsi="Arial" w:cs="Arial"/>
          <w:sz w:val="22"/>
          <w:szCs w:val="22"/>
        </w:rPr>
      </w:pPr>
      <w:r w:rsidRPr="006F75E2">
        <w:rPr>
          <w:rFonts w:ascii="Arial" w:hAnsi="Arial" w:cs="Arial"/>
          <w:b/>
          <w:bCs/>
          <w:sz w:val="22"/>
          <w:szCs w:val="22"/>
        </w:rPr>
        <w:t>Evaluation:</w:t>
      </w:r>
      <w:r w:rsidRPr="006F75E2">
        <w:rPr>
          <w:rFonts w:ascii="Arial" w:hAnsi="Arial" w:cs="Arial"/>
          <w:sz w:val="22"/>
          <w:szCs w:val="22"/>
        </w:rPr>
        <w:t xml:space="preserve"> DEI, when implemented effectively, addresses issues of workplace fairness and respect, which are essential </w:t>
      </w:r>
      <w:r w:rsidRPr="006F75E2">
        <w:rPr>
          <w:rFonts w:ascii="Arial" w:hAnsi="Arial" w:cs="Arial"/>
          <w:i/>
          <w:iCs/>
          <w:sz w:val="22"/>
          <w:szCs w:val="22"/>
        </w:rPr>
        <w:t>hygiene factors</w:t>
      </w:r>
      <w:r w:rsidRPr="006F75E2">
        <w:rPr>
          <w:rFonts w:ascii="Arial" w:hAnsi="Arial" w:cs="Arial"/>
          <w:sz w:val="22"/>
          <w:szCs w:val="22"/>
        </w:rPr>
        <w:t xml:space="preserve"> in Herzberg's Two-Factor Theory. </w:t>
      </w:r>
    </w:p>
    <w:p w14:paraId="63D4D60A" w14:textId="04F6048D" w:rsidR="009B755B" w:rsidRPr="006F75E2" w:rsidRDefault="00B8716B" w:rsidP="00B8716B">
      <w:pPr>
        <w:rPr>
          <w:rFonts w:ascii="Arial" w:hAnsi="Arial" w:cs="Arial"/>
          <w:sz w:val="22"/>
          <w:szCs w:val="22"/>
        </w:rPr>
      </w:pPr>
      <w:r w:rsidRPr="006F75E2">
        <w:rPr>
          <w:rFonts w:ascii="Arial" w:hAnsi="Arial" w:cs="Arial"/>
          <w:sz w:val="22"/>
          <w:szCs w:val="22"/>
        </w:rPr>
        <w:t xml:space="preserve">According to Herzberg (1959), hygiene factors—like company policy, supervision, and interpersonal relations—do not motivate when present, but cause extreme </w:t>
      </w:r>
      <w:r w:rsidRPr="006F75E2">
        <w:rPr>
          <w:rFonts w:ascii="Arial" w:hAnsi="Arial" w:cs="Arial"/>
          <w:b/>
          <w:bCs/>
          <w:sz w:val="22"/>
          <w:szCs w:val="22"/>
        </w:rPr>
        <w:t>dissatisfaction</w:t>
      </w:r>
      <w:r w:rsidRPr="006F75E2">
        <w:rPr>
          <w:rFonts w:ascii="Arial" w:hAnsi="Arial" w:cs="Arial"/>
          <w:sz w:val="22"/>
          <w:szCs w:val="22"/>
        </w:rPr>
        <w:t xml:space="preserve"> and demotivation (grievances) when inadequate. By ensuring genuine equality, TaskRabbit removes the sources of dissatisfaction, clearing the pathway for true </w:t>
      </w:r>
      <w:r w:rsidRPr="006F75E2">
        <w:rPr>
          <w:rFonts w:ascii="Arial" w:hAnsi="Arial" w:cs="Arial"/>
          <w:i/>
          <w:iCs/>
          <w:sz w:val="22"/>
          <w:szCs w:val="22"/>
        </w:rPr>
        <w:t>motivators</w:t>
      </w:r>
      <w:r w:rsidRPr="006F75E2">
        <w:rPr>
          <w:rFonts w:ascii="Arial" w:hAnsi="Arial" w:cs="Arial"/>
          <w:sz w:val="22"/>
          <w:szCs w:val="22"/>
        </w:rPr>
        <w:t xml:space="preserve"> (achievement, recognition) to take effect, thereby reducing grievances rooted in injustice.</w:t>
      </w:r>
    </w:p>
    <w:p w14:paraId="056D5DFF" w14:textId="77777777" w:rsidR="00B8716B" w:rsidRPr="006F75E2" w:rsidRDefault="00B8716B" w:rsidP="001C1DB1">
      <w:pPr>
        <w:pStyle w:val="Heading2"/>
        <w:jc w:val="center"/>
        <w:rPr>
          <w:rFonts w:ascii="Arial" w:hAnsi="Arial" w:cs="Arial"/>
        </w:rPr>
      </w:pPr>
      <w:r w:rsidRPr="006F75E2">
        <w:rPr>
          <w:rFonts w:ascii="Arial" w:hAnsi="Arial" w:cs="Arial"/>
        </w:rPr>
        <w:t>3.2 Remote and Hybrid Work Management</w:t>
      </w:r>
    </w:p>
    <w:p w14:paraId="4FBBC146" w14:textId="77777777" w:rsidR="00B8716B" w:rsidRPr="006F75E2" w:rsidRDefault="00B8716B" w:rsidP="00B8716B">
      <w:pPr>
        <w:rPr>
          <w:rFonts w:ascii="Arial" w:hAnsi="Arial" w:cs="Arial"/>
          <w:sz w:val="22"/>
          <w:szCs w:val="22"/>
        </w:rPr>
      </w:pPr>
      <w:r w:rsidRPr="006F75E2">
        <w:rPr>
          <w:rFonts w:ascii="Arial" w:hAnsi="Arial" w:cs="Arial"/>
          <w:sz w:val="22"/>
          <w:szCs w:val="22"/>
        </w:rPr>
        <w:t xml:space="preserve">To combat proximity bias (Section 2.3a) and ensure equity across all work locations, TaskRabbit must implement a rigorous </w:t>
      </w:r>
      <w:r w:rsidRPr="006F75E2">
        <w:rPr>
          <w:rFonts w:ascii="Arial" w:hAnsi="Arial" w:cs="Arial"/>
          <w:b/>
          <w:bCs/>
          <w:sz w:val="22"/>
          <w:szCs w:val="22"/>
        </w:rPr>
        <w:t>Hybrid-First Management Policy</w:t>
      </w:r>
      <w:r w:rsidRPr="006F75E2">
        <w:rPr>
          <w:rFonts w:ascii="Arial" w:hAnsi="Arial" w:cs="Arial"/>
          <w:sz w:val="22"/>
          <w:szCs w:val="22"/>
        </w:rPr>
        <w:t>. This practice mandates that all meetings, communication, and project assignments are designed for maximum remote inclusivity. This includes scheduled "digital disconnect" times and ensuring managers actively track contributions based on output, not visibility.</w:t>
      </w:r>
    </w:p>
    <w:p w14:paraId="70F278C3" w14:textId="77777777" w:rsidR="00B8716B" w:rsidRPr="006F75E2" w:rsidRDefault="00B8716B" w:rsidP="00B8716B">
      <w:pPr>
        <w:rPr>
          <w:rFonts w:ascii="Arial" w:hAnsi="Arial" w:cs="Arial"/>
          <w:sz w:val="22"/>
          <w:szCs w:val="22"/>
        </w:rPr>
      </w:pPr>
      <w:r w:rsidRPr="006F75E2">
        <w:rPr>
          <w:rFonts w:ascii="Arial" w:hAnsi="Arial" w:cs="Arial"/>
          <w:b/>
          <w:bCs/>
          <w:sz w:val="22"/>
          <w:szCs w:val="22"/>
        </w:rPr>
        <w:t>Evaluation:</w:t>
      </w:r>
      <w:r w:rsidRPr="006F75E2">
        <w:rPr>
          <w:rFonts w:ascii="Arial" w:hAnsi="Arial" w:cs="Arial"/>
          <w:sz w:val="22"/>
          <w:szCs w:val="22"/>
        </w:rPr>
        <w:t xml:space="preserve"> The effectiveness of this practice is critically linked to </w:t>
      </w:r>
      <w:r w:rsidRPr="006F75E2">
        <w:rPr>
          <w:rFonts w:ascii="Arial" w:hAnsi="Arial" w:cs="Arial"/>
          <w:b/>
          <w:bCs/>
          <w:sz w:val="22"/>
          <w:szCs w:val="22"/>
        </w:rPr>
        <w:t>McGregor's Theory Y</w:t>
      </w:r>
      <w:r w:rsidRPr="006F75E2">
        <w:rPr>
          <w:rFonts w:ascii="Arial" w:hAnsi="Arial" w:cs="Arial"/>
          <w:sz w:val="22"/>
          <w:szCs w:val="22"/>
        </w:rPr>
        <w:t xml:space="preserve"> management style. </w:t>
      </w:r>
    </w:p>
    <w:p w14:paraId="17708B24" w14:textId="03872B6A" w:rsidR="009B755B" w:rsidRPr="006F75E2" w:rsidRDefault="00B8716B" w:rsidP="00B8716B">
      <w:pPr>
        <w:rPr>
          <w:rFonts w:ascii="Arial" w:hAnsi="Arial" w:cs="Arial"/>
          <w:sz w:val="22"/>
          <w:szCs w:val="22"/>
        </w:rPr>
      </w:pPr>
      <w:r w:rsidRPr="006F75E2">
        <w:rPr>
          <w:rFonts w:ascii="Arial" w:hAnsi="Arial" w:cs="Arial"/>
          <w:sz w:val="22"/>
          <w:szCs w:val="22"/>
        </w:rPr>
        <w:t xml:space="preserve">If managers operate under </w:t>
      </w:r>
      <w:r w:rsidRPr="006F75E2">
        <w:rPr>
          <w:rFonts w:ascii="Arial" w:hAnsi="Arial" w:cs="Arial"/>
          <w:b/>
          <w:bCs/>
          <w:sz w:val="22"/>
          <w:szCs w:val="22"/>
        </w:rPr>
        <w:t>Theory X</w:t>
      </w:r>
      <w:r w:rsidRPr="006F75E2">
        <w:rPr>
          <w:rFonts w:ascii="Arial" w:hAnsi="Arial" w:cs="Arial"/>
          <w:sz w:val="22"/>
          <w:szCs w:val="22"/>
        </w:rPr>
        <w:t xml:space="preserve"> assumptions (that remote employees are inherently lazy and require surveillance), they will unconsciously enforce proximity bias, leading to more grievances. A successful hybrid model requires managers to adopt </w:t>
      </w:r>
      <w:r w:rsidRPr="006F75E2">
        <w:rPr>
          <w:rFonts w:ascii="Arial" w:hAnsi="Arial" w:cs="Arial"/>
          <w:b/>
          <w:bCs/>
          <w:sz w:val="22"/>
          <w:szCs w:val="22"/>
        </w:rPr>
        <w:t>Theory Y</w:t>
      </w:r>
      <w:r w:rsidRPr="006F75E2">
        <w:rPr>
          <w:rFonts w:ascii="Arial" w:hAnsi="Arial" w:cs="Arial"/>
          <w:sz w:val="22"/>
          <w:szCs w:val="22"/>
        </w:rPr>
        <w:t xml:space="preserve"> assumptions—believing that employees are self-motivated, resourceful, and committed, regardless of location. The HR practice provides the </w:t>
      </w:r>
      <w:r w:rsidRPr="006F75E2">
        <w:rPr>
          <w:rFonts w:ascii="Arial" w:hAnsi="Arial" w:cs="Arial"/>
          <w:i/>
          <w:iCs/>
          <w:sz w:val="22"/>
          <w:szCs w:val="22"/>
        </w:rPr>
        <w:t>structure</w:t>
      </w:r>
      <w:r w:rsidRPr="006F75E2">
        <w:rPr>
          <w:rFonts w:ascii="Arial" w:hAnsi="Arial" w:cs="Arial"/>
          <w:sz w:val="22"/>
          <w:szCs w:val="22"/>
        </w:rPr>
        <w:t xml:space="preserve">, but the manager's </w:t>
      </w:r>
      <w:r w:rsidRPr="006F75E2">
        <w:rPr>
          <w:rFonts w:ascii="Arial" w:hAnsi="Arial" w:cs="Arial"/>
          <w:i/>
          <w:iCs/>
          <w:sz w:val="22"/>
          <w:szCs w:val="22"/>
        </w:rPr>
        <w:t>belief system</w:t>
      </w:r>
      <w:r w:rsidRPr="006F75E2">
        <w:rPr>
          <w:rFonts w:ascii="Arial" w:hAnsi="Arial" w:cs="Arial"/>
          <w:sz w:val="22"/>
          <w:szCs w:val="22"/>
        </w:rPr>
        <w:t xml:space="preserve"> (Theory Y) ensures the fair, trusting execution necessary to validate remote workers and eliminate the perception of unfairness (Boxall &amp; Purcell, 2016).</w:t>
      </w:r>
    </w:p>
    <w:p w14:paraId="750499A3" w14:textId="77777777" w:rsidR="00B8716B" w:rsidRPr="006F75E2" w:rsidRDefault="00B8716B" w:rsidP="001C1DB1">
      <w:pPr>
        <w:pStyle w:val="Heading2"/>
        <w:jc w:val="center"/>
        <w:rPr>
          <w:rFonts w:ascii="Arial" w:hAnsi="Arial" w:cs="Arial"/>
        </w:rPr>
      </w:pPr>
      <w:r w:rsidRPr="006F75E2">
        <w:rPr>
          <w:rFonts w:ascii="Arial" w:hAnsi="Arial" w:cs="Arial"/>
        </w:rPr>
        <w:lastRenderedPageBreak/>
        <w:t>3.3 Employee Motivation and Engagement</w:t>
      </w:r>
    </w:p>
    <w:p w14:paraId="4C86F4DB" w14:textId="1C8C4DE1" w:rsidR="00B8716B" w:rsidRPr="006F75E2" w:rsidRDefault="00B8716B" w:rsidP="00B8716B">
      <w:pPr>
        <w:rPr>
          <w:rFonts w:ascii="Arial" w:hAnsi="Arial" w:cs="Arial"/>
          <w:sz w:val="22"/>
          <w:szCs w:val="22"/>
        </w:rPr>
      </w:pPr>
      <w:r w:rsidRPr="006F75E2">
        <w:rPr>
          <w:rFonts w:ascii="Arial" w:hAnsi="Arial" w:cs="Arial"/>
          <w:sz w:val="22"/>
          <w:szCs w:val="22"/>
        </w:rPr>
        <w:t xml:space="preserve">To counteract digital overload and algorithmic management stress (Sections 2.2a and 2.2b), HR must focus on high-impact </w:t>
      </w:r>
      <w:r w:rsidRPr="006F75E2">
        <w:rPr>
          <w:rFonts w:ascii="Arial" w:hAnsi="Arial" w:cs="Arial"/>
          <w:b/>
          <w:bCs/>
          <w:sz w:val="22"/>
          <w:szCs w:val="22"/>
        </w:rPr>
        <w:t>Employee Engagement</w:t>
      </w:r>
      <w:r w:rsidRPr="006F75E2">
        <w:rPr>
          <w:rFonts w:ascii="Arial" w:hAnsi="Arial" w:cs="Arial"/>
          <w:sz w:val="22"/>
          <w:szCs w:val="22"/>
        </w:rPr>
        <w:t xml:space="preserve"> strategies that restore a sense of meaning and control. This includes granting employees greater input into the design and use of algorithmic tools and providing protected, focused work time free from digital interruptions.</w:t>
      </w:r>
    </w:p>
    <w:p w14:paraId="706C4C19" w14:textId="77777777" w:rsidR="00B8716B" w:rsidRPr="006F75E2" w:rsidRDefault="00B8716B" w:rsidP="00B8716B">
      <w:pPr>
        <w:rPr>
          <w:rFonts w:ascii="Arial" w:hAnsi="Arial" w:cs="Arial"/>
          <w:sz w:val="22"/>
          <w:szCs w:val="22"/>
        </w:rPr>
      </w:pPr>
      <w:r w:rsidRPr="006F75E2">
        <w:rPr>
          <w:rFonts w:ascii="Arial" w:hAnsi="Arial" w:cs="Arial"/>
          <w:b/>
          <w:bCs/>
          <w:sz w:val="22"/>
          <w:szCs w:val="22"/>
        </w:rPr>
        <w:t>Evaluation:</w:t>
      </w:r>
      <w:r w:rsidRPr="006F75E2">
        <w:rPr>
          <w:rFonts w:ascii="Arial" w:hAnsi="Arial" w:cs="Arial"/>
          <w:sz w:val="22"/>
          <w:szCs w:val="22"/>
        </w:rPr>
        <w:t xml:space="preserve"> This practice is directly supported by </w:t>
      </w:r>
      <w:r w:rsidRPr="006F75E2">
        <w:rPr>
          <w:rFonts w:ascii="Arial" w:hAnsi="Arial" w:cs="Arial"/>
          <w:b/>
          <w:bCs/>
          <w:sz w:val="22"/>
          <w:szCs w:val="22"/>
        </w:rPr>
        <w:t>Kahn's Personal Engagement Theory</w:t>
      </w:r>
      <w:r w:rsidRPr="006F75E2">
        <w:rPr>
          <w:rFonts w:ascii="Arial" w:hAnsi="Arial" w:cs="Arial"/>
          <w:sz w:val="22"/>
          <w:szCs w:val="22"/>
        </w:rPr>
        <w:t xml:space="preserve">, which posits that engagement relies on three psychological conditions: </w:t>
      </w:r>
      <w:r w:rsidRPr="006F75E2">
        <w:rPr>
          <w:rFonts w:ascii="Arial" w:hAnsi="Arial" w:cs="Arial"/>
          <w:b/>
          <w:bCs/>
          <w:sz w:val="22"/>
          <w:szCs w:val="22"/>
        </w:rPr>
        <w:t>Meaningfulness, Safety, and Availability</w:t>
      </w:r>
      <w:r w:rsidRPr="006F75E2">
        <w:rPr>
          <w:rFonts w:ascii="Arial" w:hAnsi="Arial" w:cs="Arial"/>
          <w:sz w:val="22"/>
          <w:szCs w:val="22"/>
        </w:rPr>
        <w:t xml:space="preserve"> (Kahn, 1990).</w:t>
      </w:r>
    </w:p>
    <w:p w14:paraId="05B0536C" w14:textId="77777777" w:rsidR="00B8716B" w:rsidRPr="006F75E2" w:rsidRDefault="00B8716B" w:rsidP="00B8716B">
      <w:pPr>
        <w:numPr>
          <w:ilvl w:val="0"/>
          <w:numId w:val="1"/>
        </w:numPr>
        <w:rPr>
          <w:rFonts w:ascii="Arial" w:hAnsi="Arial" w:cs="Arial"/>
          <w:sz w:val="22"/>
          <w:szCs w:val="22"/>
        </w:rPr>
      </w:pPr>
      <w:r w:rsidRPr="006F75E2">
        <w:rPr>
          <w:rFonts w:ascii="Arial" w:hAnsi="Arial" w:cs="Arial"/>
          <w:b/>
          <w:bCs/>
          <w:sz w:val="22"/>
          <w:szCs w:val="22"/>
        </w:rPr>
        <w:t>Safety:</w:t>
      </w:r>
      <w:r w:rsidRPr="006F75E2">
        <w:rPr>
          <w:rFonts w:ascii="Arial" w:hAnsi="Arial" w:cs="Arial"/>
          <w:sz w:val="22"/>
          <w:szCs w:val="22"/>
        </w:rPr>
        <w:t xml:space="preserve"> By implementing transparent digital policies, HR creates psychological </w:t>
      </w:r>
      <w:r w:rsidRPr="006F75E2">
        <w:rPr>
          <w:rFonts w:ascii="Arial" w:hAnsi="Arial" w:cs="Arial"/>
          <w:b/>
          <w:bCs/>
          <w:sz w:val="22"/>
          <w:szCs w:val="22"/>
        </w:rPr>
        <w:t>safety</w:t>
      </w:r>
      <w:r w:rsidRPr="006F75E2">
        <w:rPr>
          <w:rFonts w:ascii="Arial" w:hAnsi="Arial" w:cs="Arial"/>
          <w:sz w:val="22"/>
          <w:szCs w:val="22"/>
        </w:rPr>
        <w:t xml:space="preserve"> against surveillance and unfair metrics.</w:t>
      </w:r>
    </w:p>
    <w:p w14:paraId="587CFEEB" w14:textId="77777777" w:rsidR="00B8716B" w:rsidRPr="006F75E2" w:rsidRDefault="00B8716B" w:rsidP="00B8716B">
      <w:pPr>
        <w:numPr>
          <w:ilvl w:val="0"/>
          <w:numId w:val="1"/>
        </w:numPr>
        <w:rPr>
          <w:rFonts w:ascii="Arial" w:hAnsi="Arial" w:cs="Arial"/>
          <w:sz w:val="22"/>
          <w:szCs w:val="22"/>
        </w:rPr>
      </w:pPr>
      <w:r w:rsidRPr="006F75E2">
        <w:rPr>
          <w:rFonts w:ascii="Arial" w:hAnsi="Arial" w:cs="Arial"/>
          <w:b/>
          <w:bCs/>
          <w:sz w:val="22"/>
          <w:szCs w:val="22"/>
        </w:rPr>
        <w:t>Meaningfulness:</w:t>
      </w:r>
      <w:r w:rsidRPr="006F75E2">
        <w:rPr>
          <w:rFonts w:ascii="Arial" w:hAnsi="Arial" w:cs="Arial"/>
          <w:sz w:val="22"/>
          <w:szCs w:val="22"/>
        </w:rPr>
        <w:t xml:space="preserve"> By involving employees in the design of technological integration, HR ensures employees perceive their work as </w:t>
      </w:r>
      <w:r w:rsidRPr="006F75E2">
        <w:rPr>
          <w:rFonts w:ascii="Arial" w:hAnsi="Arial" w:cs="Arial"/>
          <w:b/>
          <w:bCs/>
          <w:sz w:val="22"/>
          <w:szCs w:val="22"/>
        </w:rPr>
        <w:t>meaningful</w:t>
      </w:r>
      <w:r w:rsidRPr="006F75E2">
        <w:rPr>
          <w:rFonts w:ascii="Arial" w:hAnsi="Arial" w:cs="Arial"/>
          <w:sz w:val="22"/>
          <w:szCs w:val="22"/>
        </w:rPr>
        <w:t xml:space="preserve"> and not simply mechanical.</w:t>
      </w:r>
    </w:p>
    <w:p w14:paraId="4E4C6F69" w14:textId="29A7D29B" w:rsidR="00B8716B" w:rsidRPr="006F75E2" w:rsidRDefault="00B8716B" w:rsidP="00B8716B">
      <w:pPr>
        <w:numPr>
          <w:ilvl w:val="0"/>
          <w:numId w:val="1"/>
        </w:numPr>
        <w:rPr>
          <w:rFonts w:ascii="Arial" w:hAnsi="Arial" w:cs="Arial"/>
          <w:sz w:val="22"/>
          <w:szCs w:val="22"/>
        </w:rPr>
      </w:pPr>
      <w:r w:rsidRPr="006F75E2">
        <w:rPr>
          <w:rFonts w:ascii="Arial" w:hAnsi="Arial" w:cs="Arial"/>
          <w:b/>
          <w:bCs/>
          <w:sz w:val="22"/>
          <w:szCs w:val="22"/>
        </w:rPr>
        <w:t>Availability:</w:t>
      </w:r>
      <w:r w:rsidRPr="006F75E2">
        <w:rPr>
          <w:rFonts w:ascii="Arial" w:hAnsi="Arial" w:cs="Arial"/>
          <w:sz w:val="22"/>
          <w:szCs w:val="22"/>
        </w:rPr>
        <w:t xml:space="preserve"> By enforcing the 'Right to Disconnect', HR ensures employees have the cognitive and emotional </w:t>
      </w:r>
      <w:r w:rsidRPr="006F75E2">
        <w:rPr>
          <w:rFonts w:ascii="Arial" w:hAnsi="Arial" w:cs="Arial"/>
          <w:b/>
          <w:bCs/>
          <w:sz w:val="22"/>
          <w:szCs w:val="22"/>
        </w:rPr>
        <w:t>availability</w:t>
      </w:r>
      <w:r w:rsidRPr="006F75E2">
        <w:rPr>
          <w:rFonts w:ascii="Arial" w:hAnsi="Arial" w:cs="Arial"/>
          <w:sz w:val="22"/>
          <w:szCs w:val="22"/>
        </w:rPr>
        <w:t xml:space="preserve"> </w:t>
      </w:r>
      <w:r w:rsidR="003606FF" w:rsidRPr="006F75E2">
        <w:rPr>
          <w:rFonts w:ascii="Arial" w:hAnsi="Arial" w:cs="Arial"/>
          <w:sz w:val="22"/>
          <w:szCs w:val="22"/>
        </w:rPr>
        <w:t>to invest themselves at work fully</w:t>
      </w:r>
      <w:r w:rsidRPr="006F75E2">
        <w:rPr>
          <w:rFonts w:ascii="Arial" w:hAnsi="Arial" w:cs="Arial"/>
          <w:sz w:val="22"/>
          <w:szCs w:val="22"/>
        </w:rPr>
        <w:t>.</w:t>
      </w:r>
    </w:p>
    <w:p w14:paraId="655AFA84" w14:textId="77777777" w:rsidR="00B8716B" w:rsidRPr="006F75E2" w:rsidRDefault="00B8716B" w:rsidP="00B8716B">
      <w:pPr>
        <w:rPr>
          <w:rFonts w:ascii="Arial" w:hAnsi="Arial" w:cs="Arial"/>
          <w:sz w:val="22"/>
          <w:szCs w:val="22"/>
        </w:rPr>
      </w:pPr>
      <w:r w:rsidRPr="006F75E2">
        <w:rPr>
          <w:rFonts w:ascii="Arial" w:hAnsi="Arial" w:cs="Arial"/>
          <w:sz w:val="22"/>
          <w:szCs w:val="22"/>
        </w:rPr>
        <w:t>By fostering these conditions, engagement increases, reducing the emotional exhaustion that leads to burnout and grievances (Hayes et al., 2020).</w:t>
      </w:r>
    </w:p>
    <w:p w14:paraId="22142C91" w14:textId="77777777" w:rsidR="00925BA3" w:rsidRPr="006F75E2" w:rsidRDefault="00925BA3" w:rsidP="00B8716B">
      <w:pPr>
        <w:rPr>
          <w:rFonts w:ascii="Arial" w:hAnsi="Arial" w:cs="Arial"/>
          <w:sz w:val="22"/>
          <w:szCs w:val="22"/>
        </w:rPr>
      </w:pPr>
    </w:p>
    <w:p w14:paraId="0DAE26AC" w14:textId="77777777" w:rsidR="00925BA3" w:rsidRPr="006F75E2" w:rsidRDefault="00925BA3" w:rsidP="00B8716B">
      <w:pPr>
        <w:rPr>
          <w:rFonts w:ascii="Arial" w:hAnsi="Arial" w:cs="Arial"/>
          <w:sz w:val="22"/>
          <w:szCs w:val="22"/>
        </w:rPr>
      </w:pPr>
    </w:p>
    <w:p w14:paraId="6149A577" w14:textId="77777777" w:rsidR="009B755B" w:rsidRPr="006F75E2" w:rsidRDefault="009B755B" w:rsidP="00B8716B">
      <w:pPr>
        <w:rPr>
          <w:rFonts w:ascii="Arial" w:hAnsi="Arial" w:cs="Arial"/>
          <w:sz w:val="22"/>
          <w:szCs w:val="22"/>
        </w:rPr>
      </w:pPr>
    </w:p>
    <w:p w14:paraId="6E497EF4" w14:textId="4FBE4E41" w:rsidR="00B8716B" w:rsidRPr="006F75E2" w:rsidRDefault="00B8716B" w:rsidP="007C2D2F">
      <w:pPr>
        <w:pStyle w:val="Heading1"/>
        <w:jc w:val="center"/>
        <w:rPr>
          <w:rFonts w:ascii="Arial" w:hAnsi="Arial" w:cs="Arial"/>
        </w:rPr>
      </w:pPr>
      <w:r w:rsidRPr="006F75E2">
        <w:rPr>
          <w:rFonts w:ascii="Arial" w:hAnsi="Arial" w:cs="Arial"/>
        </w:rPr>
        <w:t>4. Critical Evaluation of Managerial Implementation</w:t>
      </w:r>
    </w:p>
    <w:p w14:paraId="562C52A2" w14:textId="4EAA2328" w:rsidR="009B755B" w:rsidRPr="006F75E2" w:rsidRDefault="00B8716B" w:rsidP="00B8716B">
      <w:pPr>
        <w:rPr>
          <w:rFonts w:ascii="Arial" w:hAnsi="Arial" w:cs="Arial"/>
          <w:sz w:val="22"/>
          <w:szCs w:val="22"/>
        </w:rPr>
      </w:pPr>
      <w:r w:rsidRPr="006F75E2">
        <w:rPr>
          <w:rFonts w:ascii="Arial" w:hAnsi="Arial" w:cs="Arial"/>
          <w:sz w:val="22"/>
          <w:szCs w:val="22"/>
        </w:rPr>
        <w:t>The high grievance rate is a failure of local implementation; policies are useless unless executed with conviction. Departmental managers are the linchpin, and two practices are critical for ensuring the urgent adoption of contemporary HR strategies.</w:t>
      </w:r>
    </w:p>
    <w:p w14:paraId="326DF80C" w14:textId="77777777" w:rsidR="00B8716B" w:rsidRPr="006F75E2" w:rsidRDefault="00B8716B" w:rsidP="001C1DB1">
      <w:pPr>
        <w:pStyle w:val="Heading2"/>
        <w:jc w:val="center"/>
        <w:rPr>
          <w:rFonts w:ascii="Arial" w:hAnsi="Arial" w:cs="Arial"/>
        </w:rPr>
      </w:pPr>
      <w:r w:rsidRPr="006F75E2">
        <w:rPr>
          <w:rFonts w:ascii="Arial" w:hAnsi="Arial" w:cs="Arial"/>
        </w:rPr>
        <w:t>4.1 Lead by Example</w:t>
      </w:r>
    </w:p>
    <w:p w14:paraId="3FD1A4A6" w14:textId="2F381724" w:rsidR="00B8716B" w:rsidRPr="006F75E2" w:rsidRDefault="00B8716B" w:rsidP="00B8716B">
      <w:pPr>
        <w:rPr>
          <w:rFonts w:ascii="Arial" w:hAnsi="Arial" w:cs="Arial"/>
          <w:sz w:val="22"/>
          <w:szCs w:val="22"/>
        </w:rPr>
      </w:pPr>
      <w:r w:rsidRPr="006F75E2">
        <w:rPr>
          <w:rFonts w:ascii="Arial" w:hAnsi="Arial" w:cs="Arial"/>
          <w:sz w:val="22"/>
          <w:szCs w:val="22"/>
        </w:rPr>
        <w:t xml:space="preserve">For practices like the Hybrid-First Policy and the Right to Disconnect to be urgently implemented, managers must </w:t>
      </w:r>
      <w:r w:rsidR="009B755B" w:rsidRPr="006F75E2">
        <w:rPr>
          <w:rFonts w:ascii="Arial" w:hAnsi="Arial" w:cs="Arial"/>
          <w:b/>
          <w:bCs/>
          <w:sz w:val="22"/>
          <w:szCs w:val="22"/>
        </w:rPr>
        <w:t>lead</w:t>
      </w:r>
      <w:r w:rsidRPr="006F75E2">
        <w:rPr>
          <w:rFonts w:ascii="Arial" w:hAnsi="Arial" w:cs="Arial"/>
          <w:b/>
          <w:bCs/>
          <w:sz w:val="22"/>
          <w:szCs w:val="22"/>
        </w:rPr>
        <w:t xml:space="preserve"> by Example</w:t>
      </w:r>
      <w:r w:rsidRPr="006F75E2">
        <w:rPr>
          <w:rFonts w:ascii="Arial" w:hAnsi="Arial" w:cs="Arial"/>
          <w:sz w:val="22"/>
          <w:szCs w:val="22"/>
        </w:rPr>
        <w:t>. If a manager sends emails at 10 PM, they immediately nullify the Right to Disconnect policy, perpetuating the "always-on" grievance factor.</w:t>
      </w:r>
    </w:p>
    <w:p w14:paraId="0A109619" w14:textId="036AAE07" w:rsidR="009B755B" w:rsidRPr="006F75E2" w:rsidRDefault="00B8716B" w:rsidP="00B8716B">
      <w:pPr>
        <w:rPr>
          <w:rFonts w:ascii="Arial" w:hAnsi="Arial" w:cs="Arial"/>
          <w:sz w:val="22"/>
          <w:szCs w:val="22"/>
        </w:rPr>
      </w:pPr>
      <w:r w:rsidRPr="006F75E2">
        <w:rPr>
          <w:rFonts w:ascii="Arial" w:hAnsi="Arial" w:cs="Arial"/>
          <w:b/>
          <w:bCs/>
          <w:sz w:val="22"/>
          <w:szCs w:val="22"/>
        </w:rPr>
        <w:t>Critical Evaluation:</w:t>
      </w:r>
      <w:r w:rsidRPr="006F75E2">
        <w:rPr>
          <w:rFonts w:ascii="Arial" w:hAnsi="Arial" w:cs="Arial"/>
          <w:sz w:val="22"/>
          <w:szCs w:val="22"/>
        </w:rPr>
        <w:t xml:space="preserve"> This practice relies on </w:t>
      </w:r>
      <w:r w:rsidRPr="006F75E2">
        <w:rPr>
          <w:rFonts w:ascii="Arial" w:hAnsi="Arial" w:cs="Arial"/>
          <w:b/>
          <w:bCs/>
          <w:sz w:val="22"/>
          <w:szCs w:val="22"/>
        </w:rPr>
        <w:t>social learning theory</w:t>
      </w:r>
      <w:r w:rsidRPr="006F75E2">
        <w:rPr>
          <w:rFonts w:ascii="Arial" w:hAnsi="Arial" w:cs="Arial"/>
          <w:sz w:val="22"/>
          <w:szCs w:val="22"/>
        </w:rPr>
        <w:t xml:space="preserve">, where employees model the behaviour of high-status figures (Bandura, 1977). Urgency demands that </w:t>
      </w:r>
      <w:r w:rsidR="003606FF" w:rsidRPr="006F75E2">
        <w:rPr>
          <w:rFonts w:ascii="Arial" w:hAnsi="Arial" w:cs="Arial"/>
          <w:sz w:val="22"/>
          <w:szCs w:val="22"/>
        </w:rPr>
        <w:t xml:space="preserve">TaskRabbit's managers </w:t>
      </w:r>
      <w:r w:rsidRPr="006F75E2">
        <w:rPr>
          <w:rFonts w:ascii="Arial" w:hAnsi="Arial" w:cs="Arial"/>
          <w:sz w:val="22"/>
          <w:szCs w:val="22"/>
        </w:rPr>
        <w:t xml:space="preserve">become the </w:t>
      </w:r>
      <w:r w:rsidRPr="006F75E2">
        <w:rPr>
          <w:rFonts w:ascii="Arial" w:hAnsi="Arial" w:cs="Arial"/>
          <w:b/>
          <w:bCs/>
          <w:sz w:val="22"/>
          <w:szCs w:val="22"/>
        </w:rPr>
        <w:t>chief practitioners</w:t>
      </w:r>
      <w:r w:rsidRPr="006F75E2">
        <w:rPr>
          <w:rFonts w:ascii="Arial" w:hAnsi="Arial" w:cs="Arial"/>
          <w:sz w:val="22"/>
          <w:szCs w:val="22"/>
        </w:rPr>
        <w:t xml:space="preserve"> of the new HR values. This requires the General Manager to establish clear performance indicators for </w:t>
      </w:r>
      <w:r w:rsidRPr="006F75E2">
        <w:rPr>
          <w:rFonts w:ascii="Arial" w:hAnsi="Arial" w:cs="Arial"/>
          <w:i/>
          <w:iCs/>
          <w:sz w:val="22"/>
          <w:szCs w:val="22"/>
        </w:rPr>
        <w:t>managerial behaviour</w:t>
      </w:r>
      <w:r w:rsidRPr="006F75E2">
        <w:rPr>
          <w:rFonts w:ascii="Arial" w:hAnsi="Arial" w:cs="Arial"/>
          <w:sz w:val="22"/>
          <w:szCs w:val="22"/>
        </w:rPr>
        <w:t>—not just team output</w:t>
      </w:r>
      <w:r w:rsidR="003606FF" w:rsidRPr="006F75E2">
        <w:rPr>
          <w:rFonts w:ascii="Arial" w:hAnsi="Arial" w:cs="Arial"/>
          <w:sz w:val="22"/>
          <w:szCs w:val="22"/>
        </w:rPr>
        <w:t>—for</w:t>
      </w:r>
      <w:r w:rsidRPr="006F75E2">
        <w:rPr>
          <w:rFonts w:ascii="Arial" w:hAnsi="Arial" w:cs="Arial"/>
          <w:sz w:val="22"/>
          <w:szCs w:val="22"/>
        </w:rPr>
        <w:t xml:space="preserve"> example, monitoring managers' own out-of-hours communication and their attendance compliance with the Hybrid-First meeting design. A failure to lead by example demonstrates hypocrisy, severely eroding the trust necessary for successful DEI </w:t>
      </w:r>
      <w:r w:rsidRPr="006F75E2">
        <w:rPr>
          <w:rFonts w:ascii="Arial" w:hAnsi="Arial" w:cs="Arial"/>
          <w:sz w:val="22"/>
          <w:szCs w:val="22"/>
        </w:rPr>
        <w:lastRenderedPageBreak/>
        <w:t xml:space="preserve">and engagement initiatives. To implement urgently, the expectation must be set from the </w:t>
      </w:r>
      <w:r w:rsidR="003606FF" w:rsidRPr="006F75E2">
        <w:rPr>
          <w:rFonts w:ascii="Arial" w:hAnsi="Arial" w:cs="Arial"/>
          <w:sz w:val="22"/>
          <w:szCs w:val="22"/>
        </w:rPr>
        <w:t>top down</w:t>
      </w:r>
      <w:r w:rsidRPr="006F75E2">
        <w:rPr>
          <w:rFonts w:ascii="Arial" w:hAnsi="Arial" w:cs="Arial"/>
          <w:sz w:val="22"/>
          <w:szCs w:val="22"/>
        </w:rPr>
        <w:t xml:space="preserve"> that </w:t>
      </w:r>
      <w:r w:rsidRPr="006F75E2">
        <w:rPr>
          <w:rFonts w:ascii="Arial" w:hAnsi="Arial" w:cs="Arial"/>
          <w:i/>
          <w:iCs/>
          <w:sz w:val="22"/>
          <w:szCs w:val="22"/>
        </w:rPr>
        <w:t>all</w:t>
      </w:r>
      <w:r w:rsidRPr="006F75E2">
        <w:rPr>
          <w:rFonts w:ascii="Arial" w:hAnsi="Arial" w:cs="Arial"/>
          <w:sz w:val="22"/>
          <w:szCs w:val="22"/>
        </w:rPr>
        <w:t xml:space="preserve"> managers must demonstrably adopt these new behaviours within a strict 30-day window, with zero tolerance for non-compliance being communicated.</w:t>
      </w:r>
    </w:p>
    <w:p w14:paraId="4E307D33" w14:textId="77777777" w:rsidR="00B8716B" w:rsidRPr="006F75E2" w:rsidRDefault="00B8716B" w:rsidP="001C1DB1">
      <w:pPr>
        <w:pStyle w:val="Heading2"/>
        <w:jc w:val="center"/>
        <w:rPr>
          <w:rFonts w:ascii="Arial" w:hAnsi="Arial" w:cs="Arial"/>
        </w:rPr>
      </w:pPr>
      <w:r w:rsidRPr="006F75E2">
        <w:rPr>
          <w:rFonts w:ascii="Arial" w:hAnsi="Arial" w:cs="Arial"/>
        </w:rPr>
        <w:t>4.2 Align Departmental Goals with HR Priorities</w:t>
      </w:r>
    </w:p>
    <w:p w14:paraId="353FF574" w14:textId="50CFE18E" w:rsidR="00B8716B" w:rsidRPr="006F75E2" w:rsidRDefault="00B8716B" w:rsidP="00B8716B">
      <w:pPr>
        <w:rPr>
          <w:rFonts w:ascii="Arial" w:hAnsi="Arial" w:cs="Arial"/>
          <w:sz w:val="22"/>
          <w:szCs w:val="22"/>
        </w:rPr>
      </w:pPr>
      <w:r w:rsidRPr="006F75E2">
        <w:rPr>
          <w:rFonts w:ascii="Arial" w:hAnsi="Arial" w:cs="Arial"/>
          <w:sz w:val="22"/>
          <w:szCs w:val="22"/>
        </w:rPr>
        <w:t>Effective</w:t>
      </w:r>
      <w:r w:rsidR="003606FF" w:rsidRPr="006F75E2">
        <w:rPr>
          <w:rFonts w:ascii="Arial" w:hAnsi="Arial" w:cs="Arial"/>
          <w:sz w:val="22"/>
          <w:szCs w:val="22"/>
        </w:rPr>
        <w:t>, urgent implementation requires managers to see HR priorities (such as</w:t>
      </w:r>
      <w:r w:rsidRPr="006F75E2">
        <w:rPr>
          <w:rFonts w:ascii="Arial" w:hAnsi="Arial" w:cs="Arial"/>
          <w:sz w:val="22"/>
          <w:szCs w:val="22"/>
        </w:rPr>
        <w:t xml:space="preserve"> grievance reduction and DEI) as crucial to their own departmental success, not as administrative overhead. This involves </w:t>
      </w:r>
      <w:r w:rsidRPr="006F75E2">
        <w:rPr>
          <w:rFonts w:ascii="Arial" w:hAnsi="Arial" w:cs="Arial"/>
          <w:b/>
          <w:bCs/>
          <w:sz w:val="22"/>
          <w:szCs w:val="22"/>
        </w:rPr>
        <w:t>Aligning Departmental Goals with HR Priorities</w:t>
      </w:r>
      <w:r w:rsidRPr="006F75E2">
        <w:rPr>
          <w:rFonts w:ascii="Arial" w:hAnsi="Arial" w:cs="Arial"/>
          <w:sz w:val="22"/>
          <w:szCs w:val="22"/>
        </w:rPr>
        <w:t>.</w:t>
      </w:r>
    </w:p>
    <w:p w14:paraId="71B83A81" w14:textId="77777777" w:rsidR="00B8716B" w:rsidRPr="006F75E2" w:rsidRDefault="00B8716B" w:rsidP="00B8716B">
      <w:pPr>
        <w:rPr>
          <w:rFonts w:ascii="Arial" w:hAnsi="Arial" w:cs="Arial"/>
          <w:sz w:val="22"/>
          <w:szCs w:val="22"/>
        </w:rPr>
      </w:pPr>
      <w:r w:rsidRPr="006F75E2">
        <w:rPr>
          <w:rFonts w:ascii="Arial" w:hAnsi="Arial" w:cs="Arial"/>
          <w:b/>
          <w:bCs/>
          <w:sz w:val="22"/>
          <w:szCs w:val="22"/>
        </w:rPr>
        <w:t>Critical Evaluation:</w:t>
      </w:r>
      <w:r w:rsidRPr="006F75E2">
        <w:rPr>
          <w:rFonts w:ascii="Arial" w:hAnsi="Arial" w:cs="Arial"/>
          <w:sz w:val="22"/>
          <w:szCs w:val="22"/>
        </w:rPr>
        <w:t xml:space="preserve"> This practice transforms the manager's motivation. Currently, departmental goals often focus narrowly on cost-efficiency (a Theory X focus). HR must mandate that departmental KPIs include metrics directly related to the new practices, such as:</w:t>
      </w:r>
    </w:p>
    <w:p w14:paraId="43A95F20" w14:textId="77777777" w:rsidR="00B8716B" w:rsidRPr="006F75E2" w:rsidRDefault="00B8716B" w:rsidP="00B8716B">
      <w:pPr>
        <w:numPr>
          <w:ilvl w:val="0"/>
          <w:numId w:val="2"/>
        </w:numPr>
        <w:rPr>
          <w:rFonts w:ascii="Arial" w:hAnsi="Arial" w:cs="Arial"/>
          <w:sz w:val="22"/>
          <w:szCs w:val="22"/>
        </w:rPr>
      </w:pPr>
      <w:r w:rsidRPr="006F75E2">
        <w:rPr>
          <w:rFonts w:ascii="Arial" w:hAnsi="Arial" w:cs="Arial"/>
          <w:b/>
          <w:bCs/>
          <w:sz w:val="22"/>
          <w:szCs w:val="22"/>
        </w:rPr>
        <w:t>Reduction in Team Grievance Filings</w:t>
      </w:r>
      <w:r w:rsidRPr="006F75E2">
        <w:rPr>
          <w:rFonts w:ascii="Arial" w:hAnsi="Arial" w:cs="Arial"/>
          <w:sz w:val="22"/>
          <w:szCs w:val="22"/>
        </w:rPr>
        <w:t xml:space="preserve"> (linked to manager compensation).</w:t>
      </w:r>
    </w:p>
    <w:p w14:paraId="53B316A1" w14:textId="77777777" w:rsidR="00B8716B" w:rsidRPr="006F75E2" w:rsidRDefault="00B8716B" w:rsidP="00B8716B">
      <w:pPr>
        <w:numPr>
          <w:ilvl w:val="0"/>
          <w:numId w:val="2"/>
        </w:numPr>
        <w:rPr>
          <w:rFonts w:ascii="Arial" w:hAnsi="Arial" w:cs="Arial"/>
          <w:sz w:val="22"/>
          <w:szCs w:val="22"/>
        </w:rPr>
      </w:pPr>
      <w:r w:rsidRPr="006F75E2">
        <w:rPr>
          <w:rFonts w:ascii="Arial" w:hAnsi="Arial" w:cs="Arial"/>
          <w:b/>
          <w:bCs/>
          <w:sz w:val="22"/>
          <w:szCs w:val="22"/>
        </w:rPr>
        <w:t>Achieving 100% DEI Training Completion Rate</w:t>
      </w:r>
      <w:r w:rsidRPr="006F75E2">
        <w:rPr>
          <w:rFonts w:ascii="Arial" w:hAnsi="Arial" w:cs="Arial"/>
          <w:sz w:val="22"/>
          <w:szCs w:val="22"/>
        </w:rPr>
        <w:t xml:space="preserve"> (compliance factor).</w:t>
      </w:r>
    </w:p>
    <w:p w14:paraId="18780DAF" w14:textId="77777777" w:rsidR="00B8716B" w:rsidRPr="006F75E2" w:rsidRDefault="00B8716B" w:rsidP="00B8716B">
      <w:pPr>
        <w:numPr>
          <w:ilvl w:val="0"/>
          <w:numId w:val="2"/>
        </w:numPr>
        <w:rPr>
          <w:rFonts w:ascii="Arial" w:hAnsi="Arial" w:cs="Arial"/>
          <w:sz w:val="22"/>
          <w:szCs w:val="22"/>
        </w:rPr>
      </w:pPr>
      <w:r w:rsidRPr="006F75E2">
        <w:rPr>
          <w:rFonts w:ascii="Arial" w:hAnsi="Arial" w:cs="Arial"/>
          <w:b/>
          <w:bCs/>
          <w:sz w:val="22"/>
          <w:szCs w:val="22"/>
        </w:rPr>
        <w:t>Positive Score on Proximity Bias Surveys</w:t>
      </w:r>
      <w:r w:rsidRPr="006F75E2">
        <w:rPr>
          <w:rFonts w:ascii="Arial" w:hAnsi="Arial" w:cs="Arial"/>
          <w:sz w:val="22"/>
          <w:szCs w:val="22"/>
        </w:rPr>
        <w:t xml:space="preserve"> (output of Hybrid-First implementation).</w:t>
      </w:r>
    </w:p>
    <w:p w14:paraId="50B1BB54" w14:textId="77777777" w:rsidR="00B8716B" w:rsidRPr="006F75E2" w:rsidRDefault="00B8716B" w:rsidP="00B8716B">
      <w:pPr>
        <w:rPr>
          <w:rFonts w:ascii="Arial" w:hAnsi="Arial" w:cs="Arial"/>
          <w:sz w:val="22"/>
          <w:szCs w:val="22"/>
        </w:rPr>
      </w:pPr>
      <w:r w:rsidRPr="006F75E2">
        <w:rPr>
          <w:rFonts w:ascii="Arial" w:hAnsi="Arial" w:cs="Arial"/>
          <w:sz w:val="22"/>
          <w:szCs w:val="22"/>
        </w:rPr>
        <w:t xml:space="preserve">By integrating these HR outcomes into the manager’s performance contract, HR ensures managers are </w:t>
      </w:r>
      <w:r w:rsidRPr="006F75E2">
        <w:rPr>
          <w:rFonts w:ascii="Arial" w:hAnsi="Arial" w:cs="Arial"/>
          <w:b/>
          <w:bCs/>
          <w:sz w:val="22"/>
          <w:szCs w:val="22"/>
        </w:rPr>
        <w:t>motivated</w:t>
      </w:r>
      <w:r w:rsidRPr="006F75E2">
        <w:rPr>
          <w:rFonts w:ascii="Arial" w:hAnsi="Arial" w:cs="Arial"/>
          <w:sz w:val="22"/>
          <w:szCs w:val="22"/>
        </w:rPr>
        <w:t xml:space="preserve"> to implement the changes urgently. Urgent implementation, therefore, becomes a matter of financial and career self-interest, rather than simply moral obligation (Sparrow &amp; Hesketh, 2016). Managers must be held accountable for actively coaching teams on AI fairness and flexible work equity, rather than delegating the responsibility solely to HR. This strategic alignment turns managers into advocates and enforcers of the new, equitable workplace culture.</w:t>
      </w:r>
    </w:p>
    <w:p w14:paraId="6F727F23" w14:textId="77777777" w:rsidR="009B755B" w:rsidRPr="006F75E2" w:rsidRDefault="009B755B" w:rsidP="00B8716B">
      <w:pPr>
        <w:rPr>
          <w:rFonts w:ascii="Arial" w:hAnsi="Arial" w:cs="Arial"/>
          <w:sz w:val="22"/>
          <w:szCs w:val="22"/>
        </w:rPr>
      </w:pPr>
    </w:p>
    <w:p w14:paraId="39AA1221" w14:textId="77777777" w:rsidR="00925BA3" w:rsidRPr="006F75E2" w:rsidRDefault="00925BA3" w:rsidP="00B8716B">
      <w:pPr>
        <w:rPr>
          <w:rFonts w:ascii="Arial" w:hAnsi="Arial" w:cs="Arial"/>
          <w:sz w:val="22"/>
          <w:szCs w:val="22"/>
        </w:rPr>
      </w:pPr>
    </w:p>
    <w:p w14:paraId="5A01A764" w14:textId="77777777" w:rsidR="00925BA3" w:rsidRPr="006F75E2" w:rsidRDefault="00925BA3" w:rsidP="00B8716B">
      <w:pPr>
        <w:rPr>
          <w:rFonts w:ascii="Arial" w:hAnsi="Arial" w:cs="Arial"/>
          <w:sz w:val="22"/>
          <w:szCs w:val="22"/>
        </w:rPr>
      </w:pPr>
    </w:p>
    <w:p w14:paraId="1526024B" w14:textId="77777777" w:rsidR="00925BA3" w:rsidRPr="006F75E2" w:rsidRDefault="00925BA3" w:rsidP="00B8716B">
      <w:pPr>
        <w:rPr>
          <w:rFonts w:ascii="Arial" w:hAnsi="Arial" w:cs="Arial"/>
          <w:sz w:val="22"/>
          <w:szCs w:val="22"/>
        </w:rPr>
      </w:pPr>
    </w:p>
    <w:p w14:paraId="292E087C" w14:textId="77777777" w:rsidR="00925BA3" w:rsidRPr="006F75E2" w:rsidRDefault="00925BA3" w:rsidP="00B8716B">
      <w:pPr>
        <w:rPr>
          <w:rFonts w:ascii="Arial" w:hAnsi="Arial" w:cs="Arial"/>
          <w:sz w:val="22"/>
          <w:szCs w:val="22"/>
        </w:rPr>
      </w:pPr>
    </w:p>
    <w:p w14:paraId="6528C01B" w14:textId="77777777" w:rsidR="00925BA3" w:rsidRPr="006F75E2" w:rsidRDefault="00925BA3" w:rsidP="00B8716B">
      <w:pPr>
        <w:rPr>
          <w:rFonts w:ascii="Arial" w:hAnsi="Arial" w:cs="Arial"/>
          <w:sz w:val="22"/>
          <w:szCs w:val="22"/>
        </w:rPr>
      </w:pPr>
    </w:p>
    <w:p w14:paraId="37F6C118" w14:textId="77777777" w:rsidR="00925BA3" w:rsidRPr="006F75E2" w:rsidRDefault="00925BA3" w:rsidP="00B8716B">
      <w:pPr>
        <w:rPr>
          <w:rFonts w:ascii="Arial" w:hAnsi="Arial" w:cs="Arial"/>
          <w:sz w:val="22"/>
          <w:szCs w:val="22"/>
        </w:rPr>
      </w:pPr>
    </w:p>
    <w:p w14:paraId="7C5C3CF7" w14:textId="77777777" w:rsidR="00925BA3" w:rsidRPr="006F75E2" w:rsidRDefault="00925BA3" w:rsidP="00B8716B">
      <w:pPr>
        <w:rPr>
          <w:rFonts w:ascii="Arial" w:hAnsi="Arial" w:cs="Arial"/>
          <w:sz w:val="22"/>
          <w:szCs w:val="22"/>
        </w:rPr>
      </w:pPr>
    </w:p>
    <w:p w14:paraId="671DB13F" w14:textId="77777777" w:rsidR="00925BA3" w:rsidRPr="006F75E2" w:rsidRDefault="00925BA3" w:rsidP="00B8716B">
      <w:pPr>
        <w:rPr>
          <w:rFonts w:ascii="Arial" w:hAnsi="Arial" w:cs="Arial"/>
          <w:sz w:val="22"/>
          <w:szCs w:val="22"/>
        </w:rPr>
      </w:pPr>
    </w:p>
    <w:p w14:paraId="332641A3" w14:textId="77777777" w:rsidR="00925BA3" w:rsidRPr="006F75E2" w:rsidRDefault="00925BA3" w:rsidP="00B8716B">
      <w:pPr>
        <w:rPr>
          <w:rFonts w:ascii="Arial" w:hAnsi="Arial" w:cs="Arial"/>
          <w:sz w:val="22"/>
          <w:szCs w:val="22"/>
        </w:rPr>
      </w:pPr>
    </w:p>
    <w:p w14:paraId="673232DC" w14:textId="77777777" w:rsidR="00925BA3" w:rsidRPr="006F75E2" w:rsidRDefault="00925BA3" w:rsidP="00B8716B">
      <w:pPr>
        <w:rPr>
          <w:rFonts w:ascii="Arial" w:hAnsi="Arial" w:cs="Arial"/>
          <w:sz w:val="22"/>
          <w:szCs w:val="22"/>
        </w:rPr>
      </w:pPr>
    </w:p>
    <w:p w14:paraId="4CFD7B40" w14:textId="77777777" w:rsidR="00925BA3" w:rsidRPr="006F75E2" w:rsidRDefault="00925BA3" w:rsidP="00B8716B">
      <w:pPr>
        <w:rPr>
          <w:rFonts w:ascii="Arial" w:hAnsi="Arial" w:cs="Arial"/>
          <w:sz w:val="22"/>
          <w:szCs w:val="22"/>
        </w:rPr>
      </w:pPr>
    </w:p>
    <w:p w14:paraId="4D6C6DAA" w14:textId="3227256C" w:rsidR="00B8716B" w:rsidRPr="006F75E2" w:rsidRDefault="00B8716B" w:rsidP="007F33DF">
      <w:pPr>
        <w:pStyle w:val="Heading1"/>
        <w:jc w:val="center"/>
        <w:rPr>
          <w:rFonts w:ascii="Arial" w:hAnsi="Arial" w:cs="Arial"/>
        </w:rPr>
      </w:pPr>
      <w:r w:rsidRPr="006F75E2">
        <w:rPr>
          <w:rFonts w:ascii="Arial" w:hAnsi="Arial" w:cs="Arial"/>
        </w:rPr>
        <w:lastRenderedPageBreak/>
        <w:t>5. Conclusion</w:t>
      </w:r>
    </w:p>
    <w:p w14:paraId="236F9A10" w14:textId="77777777" w:rsidR="007F33DF" w:rsidRPr="006F75E2" w:rsidRDefault="007F33DF" w:rsidP="007F33DF">
      <w:pPr>
        <w:rPr>
          <w:rFonts w:ascii="Arial" w:hAnsi="Arial" w:cs="Arial"/>
        </w:rPr>
      </w:pPr>
    </w:p>
    <w:p w14:paraId="53B7FF07" w14:textId="6B2298CD" w:rsidR="00B8716B" w:rsidRDefault="00B8716B" w:rsidP="00B8716B">
      <w:pPr>
        <w:rPr>
          <w:rFonts w:ascii="Arial" w:hAnsi="Arial" w:cs="Arial"/>
          <w:sz w:val="22"/>
          <w:szCs w:val="22"/>
        </w:rPr>
      </w:pPr>
      <w:r w:rsidRPr="006F75E2">
        <w:rPr>
          <w:rFonts w:ascii="Arial" w:hAnsi="Arial" w:cs="Arial"/>
          <w:sz w:val="22"/>
          <w:szCs w:val="22"/>
        </w:rPr>
        <w:t xml:space="preserve">The high number of grievances at TaskRabbit is a clear sign that our corporate culture has failed to adapt equitably to the pressures of the gig economy, digital technology, and hybrid working. The evaluation demonstrates that contemporary practices </w:t>
      </w:r>
      <w:r w:rsidR="003606FF" w:rsidRPr="006F75E2">
        <w:rPr>
          <w:rFonts w:ascii="Arial" w:hAnsi="Arial" w:cs="Arial"/>
          <w:sz w:val="22"/>
          <w:szCs w:val="22"/>
        </w:rPr>
        <w:t>such as DEI and Hybrid Management, supported by theories such as Herzberg's and Kahn's</w:t>
      </w:r>
      <w:r w:rsidRPr="006F75E2">
        <w:rPr>
          <w:rFonts w:ascii="Arial" w:hAnsi="Arial" w:cs="Arial"/>
          <w:sz w:val="22"/>
          <w:szCs w:val="22"/>
        </w:rPr>
        <w:t xml:space="preserve">, offer robust solutions. To urgently rectify this, departmental managers must be held accountable, both by </w:t>
      </w:r>
      <w:r w:rsidR="003606FF" w:rsidRPr="006F75E2">
        <w:rPr>
          <w:rFonts w:ascii="Arial" w:hAnsi="Arial" w:cs="Arial"/>
          <w:sz w:val="22"/>
          <w:szCs w:val="22"/>
        </w:rPr>
        <w:t>modelling the new ethical behaviours</w:t>
      </w:r>
      <w:r w:rsidRPr="006F75E2">
        <w:rPr>
          <w:rFonts w:ascii="Arial" w:hAnsi="Arial" w:cs="Arial"/>
          <w:sz w:val="22"/>
          <w:szCs w:val="22"/>
        </w:rPr>
        <w:t xml:space="preserve"> and by having HR priorities structurally integrated into their core performance objectives.</w:t>
      </w:r>
    </w:p>
    <w:p w14:paraId="269BE562" w14:textId="77777777" w:rsidR="00AA32B3" w:rsidRPr="006F75E2" w:rsidRDefault="00AA32B3" w:rsidP="001C1DB1">
      <w:pPr>
        <w:jc w:val="center"/>
        <w:rPr>
          <w:rFonts w:ascii="Arial" w:hAnsi="Arial" w:cs="Arial"/>
          <w:sz w:val="22"/>
          <w:szCs w:val="22"/>
        </w:rPr>
      </w:pPr>
    </w:p>
    <w:p w14:paraId="54BF9B70" w14:textId="4C357C0B" w:rsidR="00B8716B" w:rsidRPr="006F75E2" w:rsidRDefault="00B8716B" w:rsidP="001C1DB1">
      <w:pPr>
        <w:pStyle w:val="Heading2"/>
        <w:jc w:val="center"/>
        <w:rPr>
          <w:rFonts w:ascii="Arial" w:hAnsi="Arial" w:cs="Arial"/>
        </w:rPr>
      </w:pPr>
      <w:r w:rsidRPr="006F75E2">
        <w:rPr>
          <w:rFonts w:ascii="Arial" w:hAnsi="Arial" w:cs="Arial"/>
        </w:rPr>
        <w:t>5.1 Recommendations</w:t>
      </w:r>
    </w:p>
    <w:p w14:paraId="55BB071B" w14:textId="77777777" w:rsidR="00B8716B" w:rsidRPr="006F75E2" w:rsidRDefault="00B8716B" w:rsidP="00B8716B">
      <w:pPr>
        <w:numPr>
          <w:ilvl w:val="0"/>
          <w:numId w:val="3"/>
        </w:numPr>
        <w:rPr>
          <w:rFonts w:ascii="Arial" w:hAnsi="Arial" w:cs="Arial"/>
          <w:sz w:val="22"/>
          <w:szCs w:val="22"/>
        </w:rPr>
      </w:pPr>
      <w:r w:rsidRPr="006F75E2">
        <w:rPr>
          <w:rFonts w:ascii="Arial" w:hAnsi="Arial" w:cs="Arial"/>
          <w:b/>
          <w:bCs/>
          <w:sz w:val="22"/>
          <w:szCs w:val="22"/>
        </w:rPr>
        <w:t>Mandate Leadership Training:</w:t>
      </w:r>
      <w:r w:rsidRPr="006F75E2">
        <w:rPr>
          <w:rFonts w:ascii="Arial" w:hAnsi="Arial" w:cs="Arial"/>
          <w:sz w:val="22"/>
          <w:szCs w:val="22"/>
        </w:rPr>
        <w:t xml:space="preserve"> Immediately implement mandatory training for all managers on Theory Y management principles and digital conflict resolution techniques to enhance their </w:t>
      </w:r>
      <w:r w:rsidRPr="006F75E2">
        <w:rPr>
          <w:rFonts w:ascii="Arial" w:hAnsi="Arial" w:cs="Arial"/>
          <w:b/>
          <w:bCs/>
          <w:sz w:val="22"/>
          <w:szCs w:val="22"/>
        </w:rPr>
        <w:t>ability</w:t>
      </w:r>
      <w:r w:rsidRPr="006F75E2">
        <w:rPr>
          <w:rFonts w:ascii="Arial" w:hAnsi="Arial" w:cs="Arial"/>
          <w:sz w:val="22"/>
          <w:szCs w:val="22"/>
        </w:rPr>
        <w:t xml:space="preserve"> to manage hybrid teams fairly.</w:t>
      </w:r>
    </w:p>
    <w:p w14:paraId="030C7479" w14:textId="77777777" w:rsidR="00B8716B" w:rsidRPr="006F75E2" w:rsidRDefault="00B8716B" w:rsidP="00B8716B">
      <w:pPr>
        <w:numPr>
          <w:ilvl w:val="0"/>
          <w:numId w:val="3"/>
        </w:numPr>
        <w:rPr>
          <w:rFonts w:ascii="Arial" w:hAnsi="Arial" w:cs="Arial"/>
          <w:sz w:val="22"/>
          <w:szCs w:val="22"/>
        </w:rPr>
      </w:pPr>
      <w:r w:rsidRPr="006F75E2">
        <w:rPr>
          <w:rFonts w:ascii="Arial" w:hAnsi="Arial" w:cs="Arial"/>
          <w:b/>
          <w:bCs/>
          <w:sz w:val="22"/>
          <w:szCs w:val="22"/>
        </w:rPr>
        <w:t>Implement Management Scorecard:</w:t>
      </w:r>
      <w:r w:rsidRPr="006F75E2">
        <w:rPr>
          <w:rFonts w:ascii="Arial" w:hAnsi="Arial" w:cs="Arial"/>
          <w:sz w:val="22"/>
          <w:szCs w:val="22"/>
        </w:rPr>
        <w:t xml:space="preserve"> Create a </w:t>
      </w:r>
      <w:r w:rsidRPr="006F75E2">
        <w:rPr>
          <w:rFonts w:ascii="Arial" w:hAnsi="Arial" w:cs="Arial"/>
          <w:b/>
          <w:bCs/>
          <w:sz w:val="22"/>
          <w:szCs w:val="22"/>
        </w:rPr>
        <w:t>Grievance Prevention Scorecard</w:t>
      </w:r>
      <w:r w:rsidRPr="006F75E2">
        <w:rPr>
          <w:rFonts w:ascii="Arial" w:hAnsi="Arial" w:cs="Arial"/>
          <w:sz w:val="22"/>
          <w:szCs w:val="22"/>
        </w:rPr>
        <w:t xml:space="preserve"> that measures managers' adherence to the 'Right to Disconnect' policy and team fairness metrics, linking positive outcomes directly to quarterly bonuses to increase </w:t>
      </w:r>
      <w:r w:rsidRPr="006F75E2">
        <w:rPr>
          <w:rFonts w:ascii="Arial" w:hAnsi="Arial" w:cs="Arial"/>
          <w:b/>
          <w:bCs/>
          <w:sz w:val="22"/>
          <w:szCs w:val="22"/>
        </w:rPr>
        <w:t>motivation</w:t>
      </w:r>
      <w:r w:rsidRPr="006F75E2">
        <w:rPr>
          <w:rFonts w:ascii="Arial" w:hAnsi="Arial" w:cs="Arial"/>
          <w:sz w:val="22"/>
          <w:szCs w:val="22"/>
        </w:rPr>
        <w:t xml:space="preserve"> and drive urgent action.</w:t>
      </w:r>
    </w:p>
    <w:p w14:paraId="0FDCFB62" w14:textId="77777777" w:rsidR="00B8716B" w:rsidRPr="006F75E2" w:rsidRDefault="00B8716B" w:rsidP="00B8716B">
      <w:pPr>
        <w:numPr>
          <w:ilvl w:val="0"/>
          <w:numId w:val="3"/>
        </w:numPr>
        <w:rPr>
          <w:rFonts w:ascii="Arial" w:hAnsi="Arial" w:cs="Arial"/>
          <w:sz w:val="22"/>
          <w:szCs w:val="22"/>
        </w:rPr>
      </w:pPr>
      <w:r w:rsidRPr="006F75E2">
        <w:rPr>
          <w:rFonts w:ascii="Arial" w:hAnsi="Arial" w:cs="Arial"/>
          <w:b/>
          <w:bCs/>
          <w:sz w:val="22"/>
          <w:szCs w:val="22"/>
        </w:rPr>
        <w:t>Establish Tasker-Corporate Council:</w:t>
      </w:r>
      <w:r w:rsidRPr="006F75E2">
        <w:rPr>
          <w:rFonts w:ascii="Arial" w:hAnsi="Arial" w:cs="Arial"/>
          <w:sz w:val="22"/>
          <w:szCs w:val="22"/>
        </w:rPr>
        <w:t xml:space="preserve"> Form a cross-functional council to increase transparency regarding AI implementation, allowing corporate staff to contest algorithmic decisions and restore perceived fairness and safety.</w:t>
      </w:r>
    </w:p>
    <w:p w14:paraId="4F7897D0" w14:textId="77777777" w:rsidR="006453A8" w:rsidRPr="006F75E2" w:rsidRDefault="006453A8" w:rsidP="00AD1036">
      <w:pPr>
        <w:pStyle w:val="Heading1"/>
        <w:rPr>
          <w:rFonts w:ascii="Arial" w:hAnsi="Arial" w:cs="Arial"/>
        </w:rPr>
      </w:pPr>
    </w:p>
    <w:p w14:paraId="189D059E" w14:textId="77777777" w:rsidR="006453A8" w:rsidRPr="006F75E2" w:rsidRDefault="006453A8" w:rsidP="00AD1036">
      <w:pPr>
        <w:pStyle w:val="Heading1"/>
        <w:rPr>
          <w:rFonts w:ascii="Arial" w:hAnsi="Arial" w:cs="Arial"/>
        </w:rPr>
      </w:pPr>
    </w:p>
    <w:p w14:paraId="205DF358" w14:textId="77777777" w:rsidR="006453A8" w:rsidRPr="006F75E2" w:rsidRDefault="006453A8" w:rsidP="00AD1036">
      <w:pPr>
        <w:pStyle w:val="Heading1"/>
        <w:rPr>
          <w:rFonts w:ascii="Arial" w:hAnsi="Arial" w:cs="Arial"/>
        </w:rPr>
      </w:pPr>
    </w:p>
    <w:p w14:paraId="6C9E3187" w14:textId="77777777" w:rsidR="009B755B" w:rsidRDefault="009B755B" w:rsidP="009B755B">
      <w:pPr>
        <w:rPr>
          <w:rFonts w:ascii="Arial" w:hAnsi="Arial" w:cs="Arial"/>
        </w:rPr>
      </w:pPr>
    </w:p>
    <w:p w14:paraId="6E98F9DC" w14:textId="77777777" w:rsidR="00AA32B3" w:rsidRDefault="00AA32B3" w:rsidP="009B755B">
      <w:pPr>
        <w:rPr>
          <w:rFonts w:ascii="Arial" w:hAnsi="Arial" w:cs="Arial"/>
        </w:rPr>
      </w:pPr>
    </w:p>
    <w:p w14:paraId="5B48AD94" w14:textId="77777777" w:rsidR="00AA32B3" w:rsidRDefault="00AA32B3" w:rsidP="009B755B">
      <w:pPr>
        <w:rPr>
          <w:rFonts w:ascii="Arial" w:hAnsi="Arial" w:cs="Arial"/>
        </w:rPr>
      </w:pPr>
    </w:p>
    <w:p w14:paraId="0FECF4C7" w14:textId="77777777" w:rsidR="00AA32B3" w:rsidRDefault="00AA32B3" w:rsidP="009B755B">
      <w:pPr>
        <w:rPr>
          <w:rFonts w:ascii="Arial" w:hAnsi="Arial" w:cs="Arial"/>
        </w:rPr>
      </w:pPr>
    </w:p>
    <w:p w14:paraId="483968D7" w14:textId="77777777" w:rsidR="00AA32B3" w:rsidRDefault="00AA32B3" w:rsidP="009B755B">
      <w:pPr>
        <w:rPr>
          <w:rFonts w:ascii="Arial" w:hAnsi="Arial" w:cs="Arial"/>
        </w:rPr>
      </w:pPr>
    </w:p>
    <w:p w14:paraId="5938F2DD" w14:textId="77777777" w:rsidR="00AA32B3" w:rsidRDefault="00AA32B3" w:rsidP="009B755B">
      <w:pPr>
        <w:rPr>
          <w:rFonts w:ascii="Arial" w:hAnsi="Arial" w:cs="Arial"/>
        </w:rPr>
      </w:pPr>
    </w:p>
    <w:p w14:paraId="732B8059" w14:textId="77777777" w:rsidR="00AA32B3" w:rsidRDefault="00AA32B3" w:rsidP="009B755B">
      <w:pPr>
        <w:rPr>
          <w:rFonts w:ascii="Arial" w:hAnsi="Arial" w:cs="Arial"/>
        </w:rPr>
      </w:pPr>
    </w:p>
    <w:p w14:paraId="6449B81B" w14:textId="77777777" w:rsidR="00AA32B3" w:rsidRDefault="00AA32B3" w:rsidP="009B755B">
      <w:pPr>
        <w:rPr>
          <w:rFonts w:ascii="Arial" w:hAnsi="Arial" w:cs="Arial"/>
        </w:rPr>
      </w:pPr>
    </w:p>
    <w:p w14:paraId="6661EB11" w14:textId="77777777" w:rsidR="00AA32B3" w:rsidRDefault="00AA32B3" w:rsidP="009B755B">
      <w:pPr>
        <w:rPr>
          <w:rFonts w:ascii="Arial" w:hAnsi="Arial" w:cs="Arial"/>
        </w:rPr>
      </w:pPr>
    </w:p>
    <w:p w14:paraId="3FA208A7" w14:textId="77777777" w:rsidR="00AA32B3" w:rsidRPr="006F75E2" w:rsidRDefault="00AA32B3" w:rsidP="009B755B">
      <w:pPr>
        <w:rPr>
          <w:rFonts w:ascii="Arial" w:hAnsi="Arial" w:cs="Arial"/>
        </w:rPr>
      </w:pPr>
    </w:p>
    <w:p w14:paraId="2BA4A5A3" w14:textId="4F4D3383" w:rsidR="00B8716B" w:rsidRPr="006F75E2" w:rsidRDefault="00B8716B" w:rsidP="007F33DF">
      <w:pPr>
        <w:pStyle w:val="Heading1"/>
        <w:jc w:val="center"/>
        <w:rPr>
          <w:rFonts w:ascii="Arial" w:hAnsi="Arial" w:cs="Arial"/>
        </w:rPr>
      </w:pPr>
      <w:r w:rsidRPr="006F75E2">
        <w:rPr>
          <w:rFonts w:ascii="Arial" w:hAnsi="Arial" w:cs="Arial"/>
        </w:rPr>
        <w:t>Reference List</w:t>
      </w:r>
    </w:p>
    <w:p w14:paraId="2D6FD6FE" w14:textId="77777777" w:rsidR="00AD1036" w:rsidRPr="006F75E2" w:rsidRDefault="00AD1036" w:rsidP="00AD1036">
      <w:pPr>
        <w:rPr>
          <w:rFonts w:ascii="Arial" w:hAnsi="Arial" w:cs="Arial"/>
        </w:rPr>
      </w:pPr>
    </w:p>
    <w:p w14:paraId="6673302F" w14:textId="350C9627" w:rsidR="00B8716B" w:rsidRPr="006F75E2" w:rsidRDefault="00B8716B" w:rsidP="00B8716B">
      <w:pPr>
        <w:rPr>
          <w:rFonts w:ascii="Arial" w:hAnsi="Arial" w:cs="Arial"/>
          <w:sz w:val="22"/>
          <w:szCs w:val="22"/>
        </w:rPr>
      </w:pPr>
      <w:r w:rsidRPr="006F75E2">
        <w:rPr>
          <w:rFonts w:ascii="Arial" w:hAnsi="Arial" w:cs="Arial"/>
          <w:sz w:val="22"/>
          <w:szCs w:val="22"/>
        </w:rPr>
        <w:t xml:space="preserve">Bandura, A. (1977). Self-efficacy: Toward a unifying theory of </w:t>
      </w:r>
      <w:r w:rsidR="003606FF" w:rsidRPr="006F75E2">
        <w:rPr>
          <w:rFonts w:ascii="Arial" w:hAnsi="Arial" w:cs="Arial"/>
          <w:sz w:val="22"/>
          <w:szCs w:val="22"/>
        </w:rPr>
        <w:t>behavioural</w:t>
      </w:r>
      <w:r w:rsidRPr="006F75E2">
        <w:rPr>
          <w:rFonts w:ascii="Arial" w:hAnsi="Arial" w:cs="Arial"/>
          <w:sz w:val="22"/>
          <w:szCs w:val="22"/>
        </w:rPr>
        <w:t xml:space="preserve"> change. </w:t>
      </w:r>
      <w:r w:rsidRPr="006F75E2">
        <w:rPr>
          <w:rFonts w:ascii="Arial" w:hAnsi="Arial" w:cs="Arial"/>
          <w:i/>
          <w:iCs/>
          <w:sz w:val="22"/>
          <w:szCs w:val="22"/>
        </w:rPr>
        <w:t>Psychological Review</w:t>
      </w:r>
      <w:r w:rsidRPr="006F75E2">
        <w:rPr>
          <w:rFonts w:ascii="Arial" w:hAnsi="Arial" w:cs="Arial"/>
          <w:sz w:val="22"/>
          <w:szCs w:val="22"/>
        </w:rPr>
        <w:t>, 84(2), 191–215.</w:t>
      </w:r>
    </w:p>
    <w:p w14:paraId="6C0C7056" w14:textId="77777777" w:rsidR="00B8716B" w:rsidRPr="006F75E2" w:rsidRDefault="00B8716B" w:rsidP="00B8716B">
      <w:pPr>
        <w:rPr>
          <w:rFonts w:ascii="Arial" w:hAnsi="Arial" w:cs="Arial"/>
          <w:sz w:val="22"/>
          <w:szCs w:val="22"/>
        </w:rPr>
      </w:pPr>
      <w:r w:rsidRPr="006F75E2">
        <w:rPr>
          <w:rFonts w:ascii="Arial" w:hAnsi="Arial" w:cs="Arial"/>
          <w:sz w:val="22"/>
          <w:szCs w:val="22"/>
        </w:rPr>
        <w:t xml:space="preserve">Boxall, P., &amp; Purcell, J. (2016). </w:t>
      </w:r>
      <w:r w:rsidRPr="006F75E2">
        <w:rPr>
          <w:rFonts w:ascii="Arial" w:hAnsi="Arial" w:cs="Arial"/>
          <w:i/>
          <w:iCs/>
          <w:sz w:val="22"/>
          <w:szCs w:val="22"/>
        </w:rPr>
        <w:t>Strategy and Human Resource Management</w:t>
      </w:r>
      <w:r w:rsidRPr="006F75E2">
        <w:rPr>
          <w:rFonts w:ascii="Arial" w:hAnsi="Arial" w:cs="Arial"/>
          <w:sz w:val="22"/>
          <w:szCs w:val="22"/>
        </w:rPr>
        <w:t>. 4th ed. London: Bloomsbury Publishing.</w:t>
      </w:r>
    </w:p>
    <w:p w14:paraId="343E7759" w14:textId="77777777" w:rsidR="00B8716B" w:rsidRPr="006F75E2" w:rsidRDefault="00B8716B" w:rsidP="00B8716B">
      <w:pPr>
        <w:rPr>
          <w:rFonts w:ascii="Arial" w:hAnsi="Arial" w:cs="Arial"/>
          <w:sz w:val="22"/>
          <w:szCs w:val="22"/>
        </w:rPr>
      </w:pPr>
      <w:r w:rsidRPr="006F75E2">
        <w:rPr>
          <w:rFonts w:ascii="Arial" w:hAnsi="Arial" w:cs="Arial"/>
          <w:sz w:val="22"/>
          <w:szCs w:val="22"/>
        </w:rPr>
        <w:t xml:space="preserve">CIPD. (2023). </w:t>
      </w:r>
      <w:r w:rsidRPr="006F75E2">
        <w:rPr>
          <w:rFonts w:ascii="Arial" w:hAnsi="Arial" w:cs="Arial"/>
          <w:i/>
          <w:iCs/>
          <w:sz w:val="22"/>
          <w:szCs w:val="22"/>
        </w:rPr>
        <w:t>Responsible technology: An ethical framework for people professionals</w:t>
      </w:r>
      <w:r w:rsidRPr="006F75E2">
        <w:rPr>
          <w:rFonts w:ascii="Arial" w:hAnsi="Arial" w:cs="Arial"/>
          <w:sz w:val="22"/>
          <w:szCs w:val="22"/>
        </w:rPr>
        <w:t>. London: Chartered Institute of Personnel and Development.</w:t>
      </w:r>
    </w:p>
    <w:p w14:paraId="5B755E95" w14:textId="77777777" w:rsidR="00B8716B" w:rsidRPr="006F75E2" w:rsidRDefault="00B8716B" w:rsidP="00B8716B">
      <w:pPr>
        <w:rPr>
          <w:rFonts w:ascii="Arial" w:hAnsi="Arial" w:cs="Arial"/>
          <w:sz w:val="22"/>
          <w:szCs w:val="22"/>
        </w:rPr>
      </w:pPr>
      <w:proofErr w:type="spellStart"/>
      <w:r w:rsidRPr="006F75E2">
        <w:rPr>
          <w:rFonts w:ascii="Arial" w:hAnsi="Arial" w:cs="Arial"/>
          <w:sz w:val="22"/>
          <w:szCs w:val="22"/>
        </w:rPr>
        <w:t>Gandz</w:t>
      </w:r>
      <w:proofErr w:type="spellEnd"/>
      <w:r w:rsidRPr="006F75E2">
        <w:rPr>
          <w:rFonts w:ascii="Arial" w:hAnsi="Arial" w:cs="Arial"/>
          <w:sz w:val="22"/>
          <w:szCs w:val="22"/>
        </w:rPr>
        <w:t xml:space="preserve">, J. (2021). The shifting psychological contract in the gig economy. </w:t>
      </w:r>
      <w:r w:rsidRPr="006F75E2">
        <w:rPr>
          <w:rFonts w:ascii="Arial" w:hAnsi="Arial" w:cs="Arial"/>
          <w:i/>
          <w:iCs/>
          <w:sz w:val="22"/>
          <w:szCs w:val="22"/>
        </w:rPr>
        <w:t>Human Resource Management Review</w:t>
      </w:r>
      <w:r w:rsidRPr="006F75E2">
        <w:rPr>
          <w:rFonts w:ascii="Arial" w:hAnsi="Arial" w:cs="Arial"/>
          <w:sz w:val="22"/>
          <w:szCs w:val="22"/>
        </w:rPr>
        <w:t>, 31(2), 100780.</w:t>
      </w:r>
    </w:p>
    <w:p w14:paraId="40BA5E62" w14:textId="77777777" w:rsidR="00B8716B" w:rsidRPr="006F75E2" w:rsidRDefault="00B8716B" w:rsidP="00B8716B">
      <w:pPr>
        <w:rPr>
          <w:rFonts w:ascii="Arial" w:hAnsi="Arial" w:cs="Arial"/>
          <w:sz w:val="22"/>
          <w:szCs w:val="22"/>
        </w:rPr>
      </w:pPr>
      <w:r w:rsidRPr="006F75E2">
        <w:rPr>
          <w:rFonts w:ascii="Arial" w:hAnsi="Arial" w:cs="Arial"/>
          <w:sz w:val="22"/>
          <w:szCs w:val="22"/>
        </w:rPr>
        <w:t xml:space="preserve">Garton, C. (2021). </w:t>
      </w:r>
      <w:r w:rsidRPr="006F75E2">
        <w:rPr>
          <w:rFonts w:ascii="Arial" w:hAnsi="Arial" w:cs="Arial"/>
          <w:i/>
          <w:iCs/>
          <w:sz w:val="22"/>
          <w:szCs w:val="22"/>
        </w:rPr>
        <w:t>The rise of proximity bias: Why hybrid work needs a radical reset</w:t>
      </w:r>
      <w:r w:rsidRPr="006F75E2">
        <w:rPr>
          <w:rFonts w:ascii="Arial" w:hAnsi="Arial" w:cs="Arial"/>
          <w:sz w:val="22"/>
          <w:szCs w:val="22"/>
        </w:rPr>
        <w:t xml:space="preserve">. </w:t>
      </w:r>
      <w:r w:rsidRPr="006F75E2">
        <w:rPr>
          <w:rFonts w:ascii="Arial" w:hAnsi="Arial" w:cs="Arial"/>
          <w:b/>
          <w:bCs/>
          <w:sz w:val="22"/>
          <w:szCs w:val="22"/>
        </w:rPr>
        <w:t>Harvard Business Review</w:t>
      </w:r>
      <w:r w:rsidRPr="006F75E2">
        <w:rPr>
          <w:rFonts w:ascii="Arial" w:hAnsi="Arial" w:cs="Arial"/>
          <w:sz w:val="22"/>
          <w:szCs w:val="22"/>
        </w:rPr>
        <w:t>.</w:t>
      </w:r>
    </w:p>
    <w:p w14:paraId="48C3B0CA" w14:textId="77777777" w:rsidR="00B8716B" w:rsidRPr="006F75E2" w:rsidRDefault="00B8716B" w:rsidP="00B8716B">
      <w:pPr>
        <w:rPr>
          <w:rFonts w:ascii="Arial" w:hAnsi="Arial" w:cs="Arial"/>
          <w:sz w:val="22"/>
          <w:szCs w:val="22"/>
        </w:rPr>
      </w:pPr>
      <w:r w:rsidRPr="006F75E2">
        <w:rPr>
          <w:rFonts w:ascii="Arial" w:hAnsi="Arial" w:cs="Arial"/>
          <w:sz w:val="22"/>
          <w:szCs w:val="22"/>
        </w:rPr>
        <w:t xml:space="preserve">Herzberg, F. (1959). </w:t>
      </w:r>
      <w:r w:rsidRPr="006F75E2">
        <w:rPr>
          <w:rFonts w:ascii="Arial" w:hAnsi="Arial" w:cs="Arial"/>
          <w:i/>
          <w:iCs/>
          <w:sz w:val="22"/>
          <w:szCs w:val="22"/>
        </w:rPr>
        <w:t>The Motivation to Work</w:t>
      </w:r>
      <w:r w:rsidRPr="006F75E2">
        <w:rPr>
          <w:rFonts w:ascii="Arial" w:hAnsi="Arial" w:cs="Arial"/>
          <w:sz w:val="22"/>
          <w:szCs w:val="22"/>
        </w:rPr>
        <w:t>. New York: John Wiley &amp; Sons.</w:t>
      </w:r>
    </w:p>
    <w:p w14:paraId="16621166" w14:textId="452DD08C" w:rsidR="00B8716B" w:rsidRPr="006F75E2" w:rsidRDefault="00B8716B" w:rsidP="00B8716B">
      <w:pPr>
        <w:rPr>
          <w:rFonts w:ascii="Arial" w:hAnsi="Arial" w:cs="Arial"/>
          <w:sz w:val="22"/>
          <w:szCs w:val="22"/>
        </w:rPr>
      </w:pPr>
      <w:r w:rsidRPr="006F75E2">
        <w:rPr>
          <w:rFonts w:ascii="Arial" w:hAnsi="Arial" w:cs="Arial"/>
          <w:sz w:val="22"/>
          <w:szCs w:val="22"/>
        </w:rPr>
        <w:t xml:space="preserve">Hayes, J., Hayes, L. &amp; Jones, P. (2020). </w:t>
      </w:r>
      <w:r w:rsidRPr="006F75E2">
        <w:rPr>
          <w:rFonts w:ascii="Arial" w:hAnsi="Arial" w:cs="Arial"/>
          <w:i/>
          <w:iCs/>
          <w:sz w:val="22"/>
          <w:szCs w:val="22"/>
        </w:rPr>
        <w:t>The HR implications of digital transformation</w:t>
      </w:r>
      <w:r w:rsidRPr="006F75E2">
        <w:rPr>
          <w:rFonts w:ascii="Arial" w:hAnsi="Arial" w:cs="Arial"/>
          <w:sz w:val="22"/>
          <w:szCs w:val="22"/>
        </w:rPr>
        <w:t xml:space="preserve">. </w:t>
      </w:r>
      <w:r w:rsidRPr="006F75E2">
        <w:rPr>
          <w:rFonts w:ascii="Arial" w:hAnsi="Arial" w:cs="Arial"/>
          <w:i/>
          <w:iCs/>
          <w:sz w:val="22"/>
          <w:szCs w:val="22"/>
        </w:rPr>
        <w:t xml:space="preserve">Journal of </w:t>
      </w:r>
      <w:r w:rsidR="008536B5" w:rsidRPr="006F75E2">
        <w:rPr>
          <w:rFonts w:ascii="Arial" w:hAnsi="Arial" w:cs="Arial"/>
          <w:i/>
          <w:iCs/>
          <w:sz w:val="22"/>
          <w:szCs w:val="22"/>
        </w:rPr>
        <w:t>Organisational</w:t>
      </w:r>
      <w:r w:rsidRPr="006F75E2">
        <w:rPr>
          <w:rFonts w:ascii="Arial" w:hAnsi="Arial" w:cs="Arial"/>
          <w:i/>
          <w:iCs/>
          <w:sz w:val="22"/>
          <w:szCs w:val="22"/>
        </w:rPr>
        <w:t xml:space="preserve"> Transformation &amp; Social Change</w:t>
      </w:r>
      <w:r w:rsidRPr="006F75E2">
        <w:rPr>
          <w:rFonts w:ascii="Arial" w:hAnsi="Arial" w:cs="Arial"/>
          <w:sz w:val="22"/>
          <w:szCs w:val="22"/>
        </w:rPr>
        <w:t>, 15(1), pp. 48-61.</w:t>
      </w:r>
    </w:p>
    <w:p w14:paraId="4B422BA1" w14:textId="77777777" w:rsidR="00B8716B" w:rsidRPr="006F75E2" w:rsidRDefault="00B8716B" w:rsidP="00B8716B">
      <w:pPr>
        <w:rPr>
          <w:rFonts w:ascii="Arial" w:hAnsi="Arial" w:cs="Arial"/>
          <w:sz w:val="22"/>
          <w:szCs w:val="22"/>
        </w:rPr>
      </w:pPr>
      <w:r w:rsidRPr="006F75E2">
        <w:rPr>
          <w:rFonts w:ascii="Arial" w:hAnsi="Arial" w:cs="Arial"/>
          <w:sz w:val="22"/>
          <w:szCs w:val="22"/>
        </w:rPr>
        <w:t xml:space="preserve">Kahn, W. A. (1990). Psychological Conditions of Personal Engagement and Disengagement at Work. </w:t>
      </w:r>
      <w:r w:rsidRPr="006F75E2">
        <w:rPr>
          <w:rFonts w:ascii="Arial" w:hAnsi="Arial" w:cs="Arial"/>
          <w:i/>
          <w:iCs/>
          <w:sz w:val="22"/>
          <w:szCs w:val="22"/>
        </w:rPr>
        <w:t>Academy of Management Journal</w:t>
      </w:r>
      <w:r w:rsidRPr="006F75E2">
        <w:rPr>
          <w:rFonts w:ascii="Arial" w:hAnsi="Arial" w:cs="Arial"/>
          <w:sz w:val="22"/>
          <w:szCs w:val="22"/>
        </w:rPr>
        <w:t>, 33(4), 692-724.</w:t>
      </w:r>
    </w:p>
    <w:p w14:paraId="44909475" w14:textId="77777777" w:rsidR="00B8716B" w:rsidRPr="006F75E2" w:rsidRDefault="00B8716B" w:rsidP="00B8716B">
      <w:pPr>
        <w:rPr>
          <w:rFonts w:ascii="Arial" w:hAnsi="Arial" w:cs="Arial"/>
          <w:sz w:val="22"/>
          <w:szCs w:val="22"/>
        </w:rPr>
      </w:pPr>
      <w:r w:rsidRPr="006F75E2">
        <w:rPr>
          <w:rFonts w:ascii="Arial" w:hAnsi="Arial" w:cs="Arial"/>
          <w:sz w:val="22"/>
          <w:szCs w:val="22"/>
        </w:rPr>
        <w:t xml:space="preserve">Kelliher, C., Richardson, J. &amp; </w:t>
      </w:r>
      <w:proofErr w:type="spellStart"/>
      <w:r w:rsidRPr="006F75E2">
        <w:rPr>
          <w:rFonts w:ascii="Arial" w:hAnsi="Arial" w:cs="Arial"/>
          <w:sz w:val="22"/>
          <w:szCs w:val="22"/>
        </w:rPr>
        <w:t>Boojihawon</w:t>
      </w:r>
      <w:proofErr w:type="spellEnd"/>
      <w:r w:rsidRPr="006F75E2">
        <w:rPr>
          <w:rFonts w:ascii="Arial" w:hAnsi="Arial" w:cs="Arial"/>
          <w:sz w:val="22"/>
          <w:szCs w:val="22"/>
        </w:rPr>
        <w:t xml:space="preserve">, D. (2019). The management of trust and the digital transformation of work. </w:t>
      </w:r>
      <w:r w:rsidRPr="006F75E2">
        <w:rPr>
          <w:rFonts w:ascii="Arial" w:hAnsi="Arial" w:cs="Arial"/>
          <w:i/>
          <w:iCs/>
          <w:sz w:val="22"/>
          <w:szCs w:val="22"/>
        </w:rPr>
        <w:t>Human Resource Management Journal</w:t>
      </w:r>
      <w:r w:rsidRPr="006F75E2">
        <w:rPr>
          <w:rFonts w:ascii="Arial" w:hAnsi="Arial" w:cs="Arial"/>
          <w:sz w:val="22"/>
          <w:szCs w:val="22"/>
        </w:rPr>
        <w:t>, 29(4), pp. 581-596.</w:t>
      </w:r>
    </w:p>
    <w:p w14:paraId="799C2597" w14:textId="77777777" w:rsidR="00B8716B" w:rsidRPr="006F75E2" w:rsidRDefault="00B8716B" w:rsidP="00B8716B">
      <w:pPr>
        <w:rPr>
          <w:rFonts w:ascii="Arial" w:hAnsi="Arial" w:cs="Arial"/>
          <w:sz w:val="22"/>
          <w:szCs w:val="22"/>
        </w:rPr>
      </w:pPr>
      <w:r w:rsidRPr="006F75E2">
        <w:rPr>
          <w:rFonts w:ascii="Arial" w:hAnsi="Arial" w:cs="Arial"/>
          <w:sz w:val="22"/>
          <w:szCs w:val="22"/>
        </w:rPr>
        <w:t xml:space="preserve">Sparrow, P., &amp; Hesketh, A. (2016). </w:t>
      </w:r>
      <w:r w:rsidRPr="006F75E2">
        <w:rPr>
          <w:rFonts w:ascii="Arial" w:hAnsi="Arial" w:cs="Arial"/>
          <w:i/>
          <w:iCs/>
          <w:sz w:val="22"/>
          <w:szCs w:val="22"/>
        </w:rPr>
        <w:t>Developing a skill for strategic thinking and strategic choices</w:t>
      </w:r>
      <w:r w:rsidRPr="006F75E2">
        <w:rPr>
          <w:rFonts w:ascii="Arial" w:hAnsi="Arial" w:cs="Arial"/>
          <w:sz w:val="22"/>
          <w:szCs w:val="22"/>
        </w:rPr>
        <w:t xml:space="preserve">. </w:t>
      </w:r>
      <w:r w:rsidRPr="006F75E2">
        <w:rPr>
          <w:rFonts w:ascii="Arial" w:hAnsi="Arial" w:cs="Arial"/>
          <w:i/>
          <w:iCs/>
          <w:sz w:val="22"/>
          <w:szCs w:val="22"/>
        </w:rPr>
        <w:t>Human Resource Management Review</w:t>
      </w:r>
      <w:r w:rsidRPr="006F75E2">
        <w:rPr>
          <w:rFonts w:ascii="Arial" w:hAnsi="Arial" w:cs="Arial"/>
          <w:sz w:val="22"/>
          <w:szCs w:val="22"/>
        </w:rPr>
        <w:t>, 26(3), pp. 248-259.</w:t>
      </w:r>
    </w:p>
    <w:p w14:paraId="765B10EE" w14:textId="77777777" w:rsidR="00B8716B" w:rsidRPr="006F75E2" w:rsidRDefault="00B8716B" w:rsidP="00B8716B">
      <w:pPr>
        <w:rPr>
          <w:rFonts w:ascii="Arial" w:hAnsi="Arial" w:cs="Arial"/>
          <w:sz w:val="22"/>
          <w:szCs w:val="22"/>
        </w:rPr>
      </w:pPr>
      <w:r w:rsidRPr="006F75E2">
        <w:rPr>
          <w:rFonts w:ascii="Arial" w:hAnsi="Arial" w:cs="Arial"/>
          <w:sz w:val="22"/>
          <w:szCs w:val="22"/>
        </w:rPr>
        <w:t xml:space="preserve">Vesala, S. &amp; Räsänen, T. (2020). The Right to Disconnect: Emerging regulatory frameworks and organisational practices. </w:t>
      </w:r>
      <w:r w:rsidRPr="006F75E2">
        <w:rPr>
          <w:rFonts w:ascii="Arial" w:hAnsi="Arial" w:cs="Arial"/>
          <w:i/>
          <w:iCs/>
          <w:sz w:val="22"/>
          <w:szCs w:val="22"/>
        </w:rPr>
        <w:t>International Journal of Law and Information Technology</w:t>
      </w:r>
      <w:r w:rsidRPr="006F75E2">
        <w:rPr>
          <w:rFonts w:ascii="Arial" w:hAnsi="Arial" w:cs="Arial"/>
          <w:sz w:val="22"/>
          <w:szCs w:val="22"/>
        </w:rPr>
        <w:t>, 28(4), pp. 317-340.</w:t>
      </w:r>
    </w:p>
    <w:p w14:paraId="37E1FC88" w14:textId="7E664C7F" w:rsidR="00860959" w:rsidRPr="006245E1" w:rsidRDefault="00860959">
      <w:pPr>
        <w:rPr>
          <w:lang w:val="it-IT"/>
        </w:rPr>
      </w:pPr>
    </w:p>
    <w:sectPr w:rsidR="00860959" w:rsidRPr="006245E1" w:rsidSect="00757450">
      <w:headerReference w:type="default" r:id="rId8"/>
      <w:footerReference w:type="default" r:id="rId9"/>
      <w:pgSz w:w="11906" w:h="16838" w:code="9"/>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459E89" w14:textId="77777777" w:rsidR="007563FD" w:rsidRDefault="007563FD" w:rsidP="009A6D64">
      <w:pPr>
        <w:spacing w:after="0" w:line="240" w:lineRule="auto"/>
      </w:pPr>
      <w:r>
        <w:separator/>
      </w:r>
    </w:p>
  </w:endnote>
  <w:endnote w:type="continuationSeparator" w:id="0">
    <w:p w14:paraId="5E3DCC33" w14:textId="77777777" w:rsidR="007563FD" w:rsidRDefault="007563FD" w:rsidP="009A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9324482"/>
      <w:docPartObj>
        <w:docPartGallery w:val="Page Numbers (Bottom of Page)"/>
        <w:docPartUnique/>
      </w:docPartObj>
    </w:sdtPr>
    <w:sdtContent>
      <w:p w14:paraId="7AE59FB2" w14:textId="6D6D40BE" w:rsidR="00AE1831" w:rsidRDefault="00AE1831">
        <w:pPr>
          <w:pStyle w:val="Footer"/>
          <w:jc w:val="right"/>
        </w:pPr>
        <w:r>
          <w:fldChar w:fldCharType="begin"/>
        </w:r>
        <w:r>
          <w:instrText>PAGE   \* MERGEFORMAT</w:instrText>
        </w:r>
        <w:r>
          <w:fldChar w:fldCharType="separate"/>
        </w:r>
        <w:r>
          <w:t>2</w:t>
        </w:r>
        <w:r>
          <w:fldChar w:fldCharType="end"/>
        </w:r>
      </w:p>
    </w:sdtContent>
  </w:sdt>
  <w:p w14:paraId="48A9EE4F" w14:textId="77777777" w:rsidR="009A6D64" w:rsidRDefault="009A6D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2A566" w14:textId="77777777" w:rsidR="007563FD" w:rsidRDefault="007563FD" w:rsidP="009A6D64">
      <w:pPr>
        <w:spacing w:after="0" w:line="240" w:lineRule="auto"/>
      </w:pPr>
      <w:r>
        <w:separator/>
      </w:r>
    </w:p>
  </w:footnote>
  <w:footnote w:type="continuationSeparator" w:id="0">
    <w:p w14:paraId="768C3982" w14:textId="77777777" w:rsidR="007563FD" w:rsidRDefault="007563FD" w:rsidP="009A6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4D382" w14:textId="2924FE5D" w:rsidR="009A6D64" w:rsidRDefault="006D344A">
    <w:pPr>
      <w:pStyle w:val="Header"/>
    </w:pPr>
    <w:r>
      <w:t xml:space="preserve">                         </w:t>
    </w:r>
    <w:r w:rsidR="00757450">
      <w:t xml:space="preserve">                                                                          </w:t>
    </w:r>
    <w:r>
      <w:t xml:space="preserve">   Tatyana Ivanova </w:t>
    </w:r>
    <w:r w:rsidR="0094554C" w:rsidRPr="0094554C">
      <w:t>LCLM5002</w:t>
    </w:r>
    <w:r w:rsidR="00757450">
      <w:t xml:space="preserve"> - 2412523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A1446"/>
    <w:multiLevelType w:val="multilevel"/>
    <w:tmpl w:val="F91E9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4E3AD8"/>
    <w:multiLevelType w:val="multilevel"/>
    <w:tmpl w:val="4C1AE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291E23"/>
    <w:multiLevelType w:val="hybridMultilevel"/>
    <w:tmpl w:val="E47603AE"/>
    <w:lvl w:ilvl="0" w:tplc="61FA3118">
      <w:start w:val="1"/>
      <w:numFmt w:val="decimal"/>
      <w:lvlText w:val="%1."/>
      <w:lvlJc w:val="left"/>
      <w:pPr>
        <w:ind w:left="804" w:hanging="44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8012D8"/>
    <w:multiLevelType w:val="multilevel"/>
    <w:tmpl w:val="4C6AF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907114">
    <w:abstractNumId w:val="1"/>
  </w:num>
  <w:num w:numId="2" w16cid:durableId="1714425462">
    <w:abstractNumId w:val="0"/>
  </w:num>
  <w:num w:numId="3" w16cid:durableId="1081292919">
    <w:abstractNumId w:val="3"/>
  </w:num>
  <w:num w:numId="4" w16cid:durableId="7193300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353"/>
    <w:rsid w:val="00007CDB"/>
    <w:rsid w:val="00035E5E"/>
    <w:rsid w:val="00160353"/>
    <w:rsid w:val="0016185F"/>
    <w:rsid w:val="00185C3C"/>
    <w:rsid w:val="001B7662"/>
    <w:rsid w:val="001C1DB1"/>
    <w:rsid w:val="001D0688"/>
    <w:rsid w:val="00205613"/>
    <w:rsid w:val="003606FF"/>
    <w:rsid w:val="004842D9"/>
    <w:rsid w:val="005939A3"/>
    <w:rsid w:val="006245E1"/>
    <w:rsid w:val="006453A8"/>
    <w:rsid w:val="00663380"/>
    <w:rsid w:val="006B32D1"/>
    <w:rsid w:val="006D344A"/>
    <w:rsid w:val="006F75E2"/>
    <w:rsid w:val="00703AE4"/>
    <w:rsid w:val="00726B80"/>
    <w:rsid w:val="007309C8"/>
    <w:rsid w:val="007473B5"/>
    <w:rsid w:val="007563FD"/>
    <w:rsid w:val="00757450"/>
    <w:rsid w:val="00760DA4"/>
    <w:rsid w:val="007C2D2F"/>
    <w:rsid w:val="007F33DF"/>
    <w:rsid w:val="008536B5"/>
    <w:rsid w:val="00860959"/>
    <w:rsid w:val="008A7EE9"/>
    <w:rsid w:val="008B015C"/>
    <w:rsid w:val="008E18C7"/>
    <w:rsid w:val="008F10A9"/>
    <w:rsid w:val="00925BA3"/>
    <w:rsid w:val="0094554C"/>
    <w:rsid w:val="00992DE4"/>
    <w:rsid w:val="009A6D64"/>
    <w:rsid w:val="009B755B"/>
    <w:rsid w:val="00A27B21"/>
    <w:rsid w:val="00A414AC"/>
    <w:rsid w:val="00AA32B3"/>
    <w:rsid w:val="00AC37AB"/>
    <w:rsid w:val="00AD1036"/>
    <w:rsid w:val="00AE1831"/>
    <w:rsid w:val="00AE47CC"/>
    <w:rsid w:val="00B120B6"/>
    <w:rsid w:val="00B34D9F"/>
    <w:rsid w:val="00B60503"/>
    <w:rsid w:val="00B62D59"/>
    <w:rsid w:val="00B8716B"/>
    <w:rsid w:val="00BA14C7"/>
    <w:rsid w:val="00BB217B"/>
    <w:rsid w:val="00C33724"/>
    <w:rsid w:val="00D160CF"/>
    <w:rsid w:val="00D34838"/>
    <w:rsid w:val="00D85A94"/>
    <w:rsid w:val="00D97BC4"/>
    <w:rsid w:val="00E52F7B"/>
    <w:rsid w:val="00E75BBF"/>
    <w:rsid w:val="00EF1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543D9"/>
  <w15:chartTrackingRefBased/>
  <w15:docId w15:val="{E86B1F6A-1C17-41EC-9337-2CD7AA2B9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03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03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03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03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03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03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03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03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03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03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03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03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03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03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03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03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03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0353"/>
    <w:rPr>
      <w:rFonts w:eastAsiaTheme="majorEastAsia" w:cstheme="majorBidi"/>
      <w:color w:val="272727" w:themeColor="text1" w:themeTint="D8"/>
    </w:rPr>
  </w:style>
  <w:style w:type="paragraph" w:styleId="Title">
    <w:name w:val="Title"/>
    <w:basedOn w:val="Normal"/>
    <w:next w:val="Normal"/>
    <w:link w:val="TitleChar"/>
    <w:uiPriority w:val="10"/>
    <w:qFormat/>
    <w:rsid w:val="001603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03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03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03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0353"/>
    <w:pPr>
      <w:spacing w:before="160"/>
      <w:jc w:val="center"/>
    </w:pPr>
    <w:rPr>
      <w:i/>
      <w:iCs/>
      <w:color w:val="404040" w:themeColor="text1" w:themeTint="BF"/>
    </w:rPr>
  </w:style>
  <w:style w:type="character" w:customStyle="1" w:styleId="QuoteChar">
    <w:name w:val="Quote Char"/>
    <w:basedOn w:val="DefaultParagraphFont"/>
    <w:link w:val="Quote"/>
    <w:uiPriority w:val="29"/>
    <w:rsid w:val="00160353"/>
    <w:rPr>
      <w:i/>
      <w:iCs/>
      <w:color w:val="404040" w:themeColor="text1" w:themeTint="BF"/>
    </w:rPr>
  </w:style>
  <w:style w:type="paragraph" w:styleId="ListParagraph">
    <w:name w:val="List Paragraph"/>
    <w:basedOn w:val="Normal"/>
    <w:uiPriority w:val="34"/>
    <w:qFormat/>
    <w:rsid w:val="00160353"/>
    <w:pPr>
      <w:ind w:left="720"/>
      <w:contextualSpacing/>
    </w:pPr>
  </w:style>
  <w:style w:type="character" w:styleId="IntenseEmphasis">
    <w:name w:val="Intense Emphasis"/>
    <w:basedOn w:val="DefaultParagraphFont"/>
    <w:uiPriority w:val="21"/>
    <w:qFormat/>
    <w:rsid w:val="00160353"/>
    <w:rPr>
      <w:i/>
      <w:iCs/>
      <w:color w:val="0F4761" w:themeColor="accent1" w:themeShade="BF"/>
    </w:rPr>
  </w:style>
  <w:style w:type="paragraph" w:styleId="IntenseQuote">
    <w:name w:val="Intense Quote"/>
    <w:basedOn w:val="Normal"/>
    <w:next w:val="Normal"/>
    <w:link w:val="IntenseQuoteChar"/>
    <w:uiPriority w:val="30"/>
    <w:qFormat/>
    <w:rsid w:val="001603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0353"/>
    <w:rPr>
      <w:i/>
      <w:iCs/>
      <w:color w:val="0F4761" w:themeColor="accent1" w:themeShade="BF"/>
    </w:rPr>
  </w:style>
  <w:style w:type="character" w:styleId="IntenseReference">
    <w:name w:val="Intense Reference"/>
    <w:basedOn w:val="DefaultParagraphFont"/>
    <w:uiPriority w:val="32"/>
    <w:qFormat/>
    <w:rsid w:val="00160353"/>
    <w:rPr>
      <w:b/>
      <w:bCs/>
      <w:smallCaps/>
      <w:color w:val="0F4761" w:themeColor="accent1" w:themeShade="BF"/>
      <w:spacing w:val="5"/>
    </w:rPr>
  </w:style>
  <w:style w:type="paragraph" w:styleId="Header">
    <w:name w:val="header"/>
    <w:basedOn w:val="Normal"/>
    <w:link w:val="HeaderChar"/>
    <w:uiPriority w:val="99"/>
    <w:unhideWhenUsed/>
    <w:rsid w:val="009A6D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D64"/>
  </w:style>
  <w:style w:type="paragraph" w:styleId="Footer">
    <w:name w:val="footer"/>
    <w:basedOn w:val="Normal"/>
    <w:link w:val="FooterChar"/>
    <w:uiPriority w:val="99"/>
    <w:unhideWhenUsed/>
    <w:rsid w:val="009A6D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D64"/>
  </w:style>
  <w:style w:type="character" w:styleId="Hyperlink">
    <w:name w:val="Hyperlink"/>
    <w:basedOn w:val="DefaultParagraphFont"/>
    <w:uiPriority w:val="99"/>
    <w:unhideWhenUsed/>
    <w:rsid w:val="001D0688"/>
    <w:rPr>
      <w:color w:val="467886" w:themeColor="hyperlink"/>
      <w:u w:val="single"/>
    </w:rPr>
  </w:style>
  <w:style w:type="character" w:styleId="UnresolvedMention">
    <w:name w:val="Unresolved Mention"/>
    <w:basedOn w:val="DefaultParagraphFont"/>
    <w:uiPriority w:val="99"/>
    <w:semiHidden/>
    <w:unhideWhenUsed/>
    <w:rsid w:val="001D0688"/>
    <w:rPr>
      <w:color w:val="605E5C"/>
      <w:shd w:val="clear" w:color="auto" w:fill="E1DFDD"/>
    </w:rPr>
  </w:style>
  <w:style w:type="character" w:styleId="FollowedHyperlink">
    <w:name w:val="FollowedHyperlink"/>
    <w:basedOn w:val="DefaultParagraphFont"/>
    <w:uiPriority w:val="99"/>
    <w:semiHidden/>
    <w:unhideWhenUsed/>
    <w:rsid w:val="007473B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2194</Words>
  <Characters>14135</Characters>
  <Application>Microsoft Office Word</Application>
  <DocSecurity>0</DocSecurity>
  <Lines>307</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Tatyana Ivanova</dc:creator>
  <cp:keywords/>
  <dc:description/>
  <cp:lastModifiedBy>Tatyana Ivanova</cp:lastModifiedBy>
  <cp:revision>55</cp:revision>
  <dcterms:created xsi:type="dcterms:W3CDTF">2025-11-28T08:49:00Z</dcterms:created>
  <dcterms:modified xsi:type="dcterms:W3CDTF">2025-12-02T05:34:00Z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9d540ba2-c6eb-4d37-a30e-2ba06e4b0d0c</vt:lpwstr>
  </property>
</Properties>
</file>