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D97" w:rsidRDefault="00D01D97" w:rsidP="00D01D97"/>
    <w:p w:rsidR="00D01D97" w:rsidRDefault="00D01D97" w:rsidP="00D01D97"/>
    <w:p w:rsidR="00D01D97" w:rsidRDefault="00D01D97" w:rsidP="00D01D97"/>
    <w:p w:rsidR="00D01D97" w:rsidRDefault="00D01D97" w:rsidP="00D01D97"/>
    <w:p w:rsidR="00D01D97" w:rsidRDefault="00D01D97" w:rsidP="00D01D97"/>
    <w:p w:rsidR="00D01D97" w:rsidRDefault="00D01D97" w:rsidP="00D01D97"/>
    <w:p w:rsidR="00D01D97" w:rsidRDefault="00D01D97" w:rsidP="00D01D97">
      <w:pPr>
        <w:spacing w:line="256" w:lineRule="auto"/>
        <w:jc w:val="center"/>
        <w:rPr>
          <w:b/>
          <w:bCs/>
          <w:sz w:val="32"/>
          <w:szCs w:val="28"/>
        </w:rPr>
      </w:pPr>
      <w:r>
        <w:rPr>
          <w:b/>
          <w:bCs/>
          <w:sz w:val="32"/>
          <w:szCs w:val="28"/>
        </w:rPr>
        <w:t>SUSTAINABLE HOSPITALITY &amp; TOURISMMANAGEMENT</w:t>
      </w:r>
    </w:p>
    <w:p w:rsidR="00D01D97" w:rsidRDefault="00D01D97" w:rsidP="00D01D97">
      <w:pPr>
        <w:spacing w:line="256" w:lineRule="auto"/>
        <w:jc w:val="center"/>
        <w:rPr>
          <w:b/>
          <w:bCs/>
          <w:sz w:val="32"/>
          <w:szCs w:val="28"/>
        </w:rPr>
      </w:pPr>
      <w:r>
        <w:rPr>
          <w:b/>
          <w:bCs/>
          <w:sz w:val="32"/>
          <w:szCs w:val="28"/>
        </w:rPr>
        <w:t>Assignment 2</w:t>
      </w:r>
    </w:p>
    <w:p w:rsidR="00D01D97" w:rsidRDefault="00D01D97" w:rsidP="00D01D97">
      <w:pPr>
        <w:spacing w:line="256" w:lineRule="auto"/>
        <w:jc w:val="center"/>
        <w:rPr>
          <w:b/>
          <w:bCs/>
          <w:sz w:val="32"/>
          <w:szCs w:val="28"/>
        </w:rPr>
      </w:pPr>
    </w:p>
    <w:p w:rsidR="00D01D97" w:rsidRDefault="00D01D97" w:rsidP="00D01D97">
      <w:pPr>
        <w:spacing w:line="256" w:lineRule="auto"/>
        <w:jc w:val="center"/>
        <w:rPr>
          <w:b/>
          <w:bCs/>
          <w:sz w:val="32"/>
          <w:szCs w:val="28"/>
        </w:rPr>
      </w:pPr>
      <w:r>
        <w:rPr>
          <w:b/>
          <w:bCs/>
          <w:sz w:val="32"/>
          <w:szCs w:val="28"/>
        </w:rPr>
        <w:t>Student name:</w:t>
      </w:r>
      <w:r>
        <w:rPr>
          <w:b/>
          <w:bCs/>
          <w:sz w:val="32"/>
          <w:szCs w:val="28"/>
        </w:rPr>
        <w:t>Madalina Ghera</w:t>
      </w:r>
    </w:p>
    <w:p w:rsidR="00D01D97" w:rsidRDefault="00D01D97" w:rsidP="00D01D97">
      <w:pPr>
        <w:spacing w:line="256" w:lineRule="auto"/>
        <w:jc w:val="center"/>
        <w:rPr>
          <w:b/>
          <w:bCs/>
          <w:sz w:val="32"/>
          <w:szCs w:val="28"/>
        </w:rPr>
      </w:pPr>
      <w:r>
        <w:rPr>
          <w:b/>
          <w:bCs/>
          <w:sz w:val="32"/>
          <w:szCs w:val="28"/>
        </w:rPr>
        <w:t xml:space="preserve">Student ID: </w:t>
      </w:r>
      <w:r>
        <w:rPr>
          <w:b/>
          <w:bCs/>
          <w:sz w:val="32"/>
          <w:szCs w:val="28"/>
        </w:rPr>
        <w:t>2128167</w:t>
      </w:r>
    </w:p>
    <w:p w:rsidR="00D01D97" w:rsidRDefault="00D01D97" w:rsidP="00D01D97">
      <w:pPr>
        <w:spacing w:line="256" w:lineRule="auto"/>
        <w:jc w:val="center"/>
        <w:rPr>
          <w:b/>
          <w:bCs/>
          <w:sz w:val="32"/>
          <w:szCs w:val="28"/>
        </w:rPr>
      </w:pPr>
      <w:r>
        <w:rPr>
          <w:b/>
          <w:bCs/>
          <w:sz w:val="32"/>
          <w:szCs w:val="28"/>
        </w:rPr>
        <w:t>Tutor: Kathryn Roberts</w:t>
      </w:r>
      <w:r>
        <w:rPr>
          <w:b/>
          <w:bCs/>
          <w:sz w:val="32"/>
          <w:szCs w:val="28"/>
        </w:rPr>
        <w:br w:type="page"/>
      </w:r>
    </w:p>
    <w:sdt>
      <w:sdtPr>
        <w:rPr>
          <w:rFonts w:ascii="Arial" w:eastAsiaTheme="minorHAnsi" w:hAnsi="Arial" w:cstheme="minorBidi"/>
          <w:color w:val="auto"/>
          <w:sz w:val="24"/>
          <w:szCs w:val="22"/>
          <w:lang w:val="en-GB"/>
        </w:rPr>
        <w:id w:val="790402808"/>
        <w:docPartObj>
          <w:docPartGallery w:val="Table of Contents"/>
          <w:docPartUnique/>
        </w:docPartObj>
      </w:sdtPr>
      <w:sdtContent>
        <w:p w:rsidR="00D01D97" w:rsidRDefault="00D01D97" w:rsidP="00D01D97">
          <w:pPr>
            <w:pStyle w:val="TOCHeading"/>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rsidR="00D01D97" w:rsidRDefault="00D01D97" w:rsidP="00D01D9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r:id="rId9" w:anchor="_Toc159419194"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_Toc159419194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D01D97" w:rsidRDefault="00D01D97" w:rsidP="00D01D97">
          <w:pPr>
            <w:pStyle w:val="TOC1"/>
            <w:tabs>
              <w:tab w:val="right" w:leader="dot" w:pos="9016"/>
            </w:tabs>
            <w:rPr>
              <w:rFonts w:asciiTheme="minorHAnsi" w:eastAsiaTheme="minorEastAsia" w:hAnsiTheme="minorHAnsi"/>
              <w:noProof/>
              <w:sz w:val="22"/>
              <w:lang w:eastAsia="en-GB"/>
            </w:rPr>
          </w:pPr>
          <w:hyperlink r:id="rId10" w:anchor="_Toc159419195" w:history="1">
            <w:r>
              <w:rPr>
                <w:rStyle w:val="Hyperlink"/>
                <w:noProof/>
              </w:rPr>
              <w:t>Discussion</w:t>
            </w:r>
            <w:r>
              <w:rPr>
                <w:rStyle w:val="Hyperlink"/>
                <w:noProof/>
                <w:webHidden/>
              </w:rPr>
              <w:tab/>
            </w:r>
            <w:r>
              <w:rPr>
                <w:rStyle w:val="Hyperlink"/>
                <w:noProof/>
                <w:webHidden/>
              </w:rPr>
              <w:fldChar w:fldCharType="begin"/>
            </w:r>
            <w:r>
              <w:rPr>
                <w:rStyle w:val="Hyperlink"/>
                <w:noProof/>
                <w:webHidden/>
              </w:rPr>
              <w:instrText xml:space="preserve"> PAGEREF _Toc159419195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D01D97" w:rsidRDefault="00D01D97" w:rsidP="00D01D97">
          <w:pPr>
            <w:pStyle w:val="TOC1"/>
            <w:tabs>
              <w:tab w:val="right" w:leader="dot" w:pos="9016"/>
            </w:tabs>
            <w:rPr>
              <w:rFonts w:asciiTheme="minorHAnsi" w:eastAsiaTheme="minorEastAsia" w:hAnsiTheme="minorHAnsi"/>
              <w:noProof/>
              <w:sz w:val="22"/>
              <w:lang w:eastAsia="en-GB"/>
            </w:rPr>
          </w:pPr>
          <w:hyperlink r:id="rId11" w:anchor="_Toc159419196"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_Toc159419196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D01D97" w:rsidRDefault="00D01D97" w:rsidP="00D01D97">
          <w:pPr>
            <w:pStyle w:val="TOC1"/>
            <w:tabs>
              <w:tab w:val="right" w:leader="dot" w:pos="9016"/>
            </w:tabs>
            <w:rPr>
              <w:rFonts w:asciiTheme="minorHAnsi" w:eastAsiaTheme="minorEastAsia" w:hAnsiTheme="minorHAnsi"/>
              <w:noProof/>
              <w:sz w:val="22"/>
              <w:lang w:eastAsia="en-GB"/>
            </w:rPr>
          </w:pPr>
          <w:hyperlink r:id="rId12" w:anchor="_Toc159419197"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_Toc159419197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D01D97" w:rsidRDefault="00D01D97" w:rsidP="00D01D97">
          <w:r>
            <w:rPr>
              <w:b/>
              <w:bCs/>
              <w:noProof/>
            </w:rPr>
            <w:fldChar w:fldCharType="end"/>
          </w:r>
        </w:p>
      </w:sdtContent>
    </w:sdt>
    <w:p w:rsidR="00D01D97" w:rsidRDefault="00D01D97" w:rsidP="00D01D97">
      <w:pPr>
        <w:spacing w:line="256" w:lineRule="auto"/>
        <w:jc w:val="left"/>
        <w:rPr>
          <w:b/>
          <w:bCs/>
          <w:sz w:val="32"/>
          <w:szCs w:val="28"/>
        </w:rPr>
      </w:pPr>
    </w:p>
    <w:p w:rsidR="00D01D97" w:rsidRDefault="00D01D97" w:rsidP="00D01D97">
      <w:pPr>
        <w:spacing w:line="256" w:lineRule="auto"/>
        <w:jc w:val="left"/>
        <w:rPr>
          <w:rFonts w:eastAsiaTheme="majorEastAsia" w:cstheme="majorBidi"/>
          <w:b/>
          <w:sz w:val="28"/>
          <w:szCs w:val="32"/>
        </w:rPr>
      </w:pPr>
      <w:r>
        <w:rPr>
          <w:kern w:val="0"/>
        </w:rPr>
        <w:br w:type="page"/>
      </w:r>
    </w:p>
    <w:p w:rsidR="00D01D97" w:rsidRDefault="00D01D97" w:rsidP="00D01D97">
      <w:pPr>
        <w:pStyle w:val="Heading1"/>
        <w:rPr>
          <w:b/>
          <w:sz w:val="28"/>
          <w:szCs w:val="32"/>
        </w:rPr>
      </w:pPr>
      <w:bookmarkStart w:id="0" w:name="_Toc159419194"/>
      <w:r>
        <w:lastRenderedPageBreak/>
        <w:t>Introduction</w:t>
      </w:r>
      <w:bookmarkEnd w:id="0"/>
    </w:p>
    <w:p w:rsidR="00D01D97" w:rsidRDefault="00D01D97" w:rsidP="00D01D97">
      <w:r>
        <w:t>The essay will provide an overview of the circular economy and CSR policies in relation to the tourism and hospitality industry over the period. The essay will further analyse essay will further analyse the CSR and sustainability policies adopted by Marriot International. Moreover, the essay will provide an analysis of the impact of the circular economy on the business conducted by Marriot International over the period.</w:t>
      </w:r>
    </w:p>
    <w:p w:rsidR="00D01D97" w:rsidRDefault="00D01D97" w:rsidP="00D01D97">
      <w:pPr>
        <w:pStyle w:val="Heading1"/>
      </w:pPr>
      <w:bookmarkStart w:id="1" w:name="_Toc159419195"/>
      <w:r>
        <w:t>Discussion</w:t>
      </w:r>
      <w:bookmarkEnd w:id="1"/>
    </w:p>
    <w:p w:rsidR="00D01D97" w:rsidRDefault="00D01D97" w:rsidP="00D01D97">
      <w:pPr>
        <w:rPr>
          <w:lang w:eastAsia="en-GB"/>
        </w:rPr>
      </w:pPr>
      <w:r>
        <w:rPr>
          <w:lang w:eastAsia="en-GB"/>
        </w:rPr>
        <w:t>The circular economy is an economic model that focuses on minimising waste and promoting sustainability by prioritising the continuous use and regeneration of resources. The tourism and hospitality industry can be significantly affected by the incorporation of circular economy principles. In case of hotels and resorts may decrease their environmental footprint through the implementation of practices like recycling, waste reduction, and energy efficiency (</w:t>
      </w:r>
      <w:r>
        <w:t>Corvellec, Stowell, and Johansson, 2022)</w:t>
      </w:r>
      <w:r>
        <w:rPr>
          <w:lang w:eastAsia="en-GB"/>
        </w:rPr>
        <w:t>. Moreover, using and replacing furniture and amenities play a key role in circularity. Circular economy practices adopted by the hospitality sector are not just in line with global sustainability goals but also aligned with environment-conscious customers. Consumer behaviour of environment-friendly accommodations and activities motivates the industry to move towards circularity. Furthermore, communities are positively affected as circular economy initiatives usually source products and services locally stimulating economic development.</w:t>
      </w:r>
    </w:p>
    <w:p w:rsidR="00D01D97" w:rsidRDefault="00D01D97" w:rsidP="00D01D97">
      <w:r>
        <w:t xml:space="preserve">On the contrary, a circular economy in the tourism and hospitality industry involves overcoming issues such as high initial investment costs and resistance to change (De Pascale </w:t>
      </w:r>
      <w:r>
        <w:rPr>
          <w:i/>
        </w:rPr>
        <w:t>et al</w:t>
      </w:r>
      <w:r>
        <w:t>., 2021). Furthermore, long-term gains like lower costs and better brand image can create ways for the circular economy to present eco-friendly and ethically responsible tourism. CSR denotes the obligations of an organization to perform business activities that are ethically based and responsible with a focus on the social, environmental, and economic aspects of the operation. CSR has a great influence on the implementation of such practices in the tourism and hospitality sectors. The businesses in tourism and hospitality services can demonstrate great initiatives regarding the CSR goals through the utilization of the circular practices such as waste reduction, recycling, and resource efficiency (Goffi, Masiero, and Pencarelli, 2022). Principles of circular economy in these sectors are based on the usage of sustainable sources, the re-use of materials, and the minimisation of energy use.</w:t>
      </w:r>
    </w:p>
    <w:p w:rsidR="00D01D97" w:rsidRDefault="00D01D97" w:rsidP="00D01D97">
      <w:r>
        <w:lastRenderedPageBreak/>
        <w:t>Furthermore, hotels can use recycling projects of amenities and remanufacture furnishing through the closed-loop system promotion. </w:t>
      </w:r>
      <w:r>
        <w:rPr>
          <w:lang w:eastAsia="en-GB"/>
        </w:rPr>
        <w:t>It not only displays the social duties of businesses but also overcomes resource wasting and environmental pollution caused by tourism activity. Integration of circular economy principles into CSR strategies adds credibility to the organization, responding to the increasing customer demand for ethical and sustainable transport options. Sustainability in tourism and hospitality has many dimensions including environmental, social, and economic. Environmental wise, this sector concerns itself with problems of resource depletion, habitat loss, and greenhouse gas emissions.</w:t>
      </w:r>
    </w:p>
    <w:p w:rsidR="00D01D97" w:rsidRDefault="00D01D97" w:rsidP="00D01D97">
      <w:r>
        <w:rPr>
          <w:lang w:eastAsia="en-GB"/>
        </w:rPr>
        <w:t>Sustainable practices are employed by enterprises to address the same problems more often. Accommodations are installing energy-efficient technologies, waste minimization programs, and water conservation practices.</w:t>
      </w:r>
      <w:r>
        <w:t> In addition, the issue of energy efficiency penetrates many sectors and green building designs aimed at mitigating environmental threats are a fact. When talking about the social factor, sustainability in tourism and hotels means building good social relations with the local communities and preserving the culture. Responsible tourism practices focus on engaging the communities, providing employment opportunities locally and respecting the indigenous cultures. It not only improves the visitor experience but also assures that tourism benefits the local people. Additionally, the industry has shifted its focus towards the promotion of inclusivity and diversity, thereby allowing the participation and benefit of the deprived communities in tourism activities (Han, 2021).</w:t>
      </w:r>
    </w:p>
    <w:p w:rsidR="00D01D97" w:rsidRDefault="00D01D97" w:rsidP="00D01D97">
      <w:pPr>
        <w:rPr>
          <w:lang w:eastAsia="en-GB"/>
        </w:rPr>
      </w:pPr>
      <w:r>
        <w:rPr>
          <w:lang w:eastAsia="en-GB"/>
        </w:rPr>
        <w:t>Economically, sustainability in tourism and hospitality is achieved through long-term planning that takes into consideration the economic viability of destinations and businesses. Responsible tourism focuses on the fair distribution of economic benefits and minimizing the negative effects of over-tourism. Businesses are invited to purchase locally, helping small businesses, and contributing to the general economic growth of the destination. Furthermore, investing in staff training and fair labour practices will enable the acquisition of skilled and motivated workers which will ultimately improve the quality of services provided.” Sustainable good practice" in the tourism and hospitality industry is different from place to place, from rural, coastal, and urban areas to the transport sector as well. In the rural areas, the sustainable practices revolve around preserving local environment and supporting rural communities. Accommodations can employ eco-friendly construction, energy-efficient operation, and sustainable waste management. </w:t>
      </w:r>
    </w:p>
    <w:p w:rsidR="00D01D97" w:rsidRDefault="00D01D97" w:rsidP="00D01D97">
      <w:pPr>
        <w:rPr>
          <w:lang w:eastAsia="en-GB"/>
        </w:rPr>
      </w:pPr>
      <w:r>
        <w:rPr>
          <w:lang w:eastAsia="en-GB"/>
        </w:rPr>
        <w:lastRenderedPageBreak/>
        <w:t xml:space="preserve">The effectiveness of biodiversity preservation and conservation of natural habitats can be raised by rural tourism projects (Tambovceva </w:t>
      </w:r>
      <w:r>
        <w:rPr>
          <w:i/>
          <w:lang w:eastAsia="en-GB"/>
        </w:rPr>
        <w:t>et al</w:t>
      </w:r>
      <w:r>
        <w:rPr>
          <w:lang w:eastAsia="en-GB"/>
        </w:rPr>
        <w:t>., 2020). The project creates networking partnerships with local farmers and craftsmen for the procurement of the products, which is crucial for the long-term development economic of the rural area. Preservation of the coast's environment may be an important issue that should be considered when talking about coastal tourism since these ecosystems are very vulnerable to damage. The coastal area maintenance involves marine habitat protection, eco-friendly water uses, and solid wastage reduction programs implementation. Green certificates and programs such as the Blue Flag for beaches demonstrate a responsibility to adhere to those standards. Coastal communities can be involved in environmental education programs on marine protection and conservation, as well as in alternative fisheries such as sustainable fishing to assure the well-being of both the natural world and the people.</w:t>
      </w:r>
    </w:p>
    <w:p w:rsidR="00D01D97" w:rsidRDefault="00D01D97" w:rsidP="00D01D97">
      <w:pPr>
        <w:rPr>
          <w:lang w:eastAsia="en-GB"/>
        </w:rPr>
      </w:pPr>
      <w:r>
        <w:rPr>
          <w:lang w:eastAsia="en-GB"/>
        </w:rPr>
        <w:t xml:space="preserve">In urban areas, sustainable tourism and hospitality strategies emphasize resource efficiency and community coordination (LukoseviĖtiĘte, and Panagopoulos, 2021). Accommodations would be certified by eco-friendly building standards, where energy-consuming technologies would be installed and recycling of waste would be encouraged. Urban tourism will attract people to use local business and culture sectors, which in turn, make the city economically and socially sustainable. Consequently, “sustainable urban tourism” means regulating the number of visitors to prevent “over-tourism,” and to keep the locals’ standard of life at the same level. The implementation of good sustainable practices is very important in the transport sector for the reduction of the negative impact of travelling on the environment. This will involve the adoption of fuel-efficient and renewable energy-powered technologies, as well as the optimization of transport routes in a bid to reduce the emissions issuance (Torres </w:t>
      </w:r>
      <w:r>
        <w:rPr>
          <w:i/>
          <w:lang w:eastAsia="en-GB"/>
        </w:rPr>
        <w:t>et al</w:t>
      </w:r>
      <w:r>
        <w:rPr>
          <w:lang w:eastAsia="en-GB"/>
        </w:rPr>
        <w:t>., 2023).</w:t>
      </w:r>
    </w:p>
    <w:p w:rsidR="00D01D97" w:rsidRDefault="00D01D97" w:rsidP="00D01D97">
      <w:pPr>
        <w:rPr>
          <w:lang w:eastAsia="en-GB"/>
        </w:rPr>
      </w:pPr>
      <w:r>
        <w:rPr>
          <w:lang w:eastAsia="en-GB"/>
        </w:rPr>
        <w:t xml:space="preserve">Sustainable modes of transportation comprise supporting people to use public transport, biking, and walking. In this way, the drivers of greenhouse gas emission from the travellers are reduced. Electric and hybrid public transportation in metropolis assists in the reduction of air pollution and traffic jams, which are synonymous with the sustainable urban tourism. Marriott International may be considered an organization that emphasises sustainability and social responsibility. Perhaps, the CSR policy of the company incorporates activities on environmental stewardship, community engagement, and employee wellness. Marriott is renowned for diminishing its ecological footprint through energy and water conservation measures, waste reduction, and sustainable sourcing </w:t>
      </w:r>
      <w:r>
        <w:rPr>
          <w:lang w:eastAsia="en-GB"/>
        </w:rPr>
        <w:lastRenderedPageBreak/>
        <w:t>(</w:t>
      </w:r>
      <w:r>
        <w:t>Wickham, French, and Wong, 2020)</w:t>
      </w:r>
      <w:r>
        <w:rPr>
          <w:lang w:eastAsia="en-GB"/>
        </w:rPr>
        <w:t>. This can be done through collaborations with local communities and suppliers to help in economic development and mitigate the impact of its operations.</w:t>
      </w:r>
    </w:p>
    <w:p w:rsidR="00D01D97" w:rsidRDefault="00D01D97" w:rsidP="00D01D97">
      <w:pPr>
        <w:rPr>
          <w:lang w:eastAsia="en-GB"/>
        </w:rPr>
      </w:pPr>
      <w:r>
        <w:rPr>
          <w:lang w:eastAsia="en-GB"/>
        </w:rPr>
        <w:t>During the global pandemic, the organisation represented the highest level of determination, agility, and compassion, which reflects its strong resilience. This dedication to social justice and environmental sustainability promoted the emphasis on ESG issues and the support of UN SDG. The success of Marriott International’s CSR initiatives in 2020 was remarkable. The enterprise's wide family of brands and businesses with more than 18 thousand associates worldwide symbolized a joint commitment to serving outstanding vacation services. Despite travel disruptions, associates found means to benefit communities in a positive way, globally (</w:t>
      </w:r>
      <w:r>
        <w:t>Ertuna, Gu, and Yu, 2022)</w:t>
      </w:r>
      <w:r>
        <w:rPr>
          <w:lang w:eastAsia="en-GB"/>
        </w:rPr>
        <w:t>. The dedication to the associate’s well-being is evident through internal promotions and a gender-diverse workforce, where 54% are women and 46% are men. The charitable activities of the organisation in the area of community involvement are worth mentioning. </w:t>
      </w:r>
    </w:p>
    <w:p w:rsidR="00D01D97" w:rsidRDefault="00D01D97" w:rsidP="00D01D97">
      <w:r>
        <w:rPr>
          <w:lang w:eastAsia="en-GB"/>
        </w:rPr>
        <w:t xml:space="preserve">Collecting over </w:t>
      </w:r>
      <w:r>
        <w:rPr>
          <w:rFonts w:cs="Arial"/>
          <w:lang w:eastAsia="en-GB"/>
        </w:rPr>
        <w:t>£</w:t>
      </w:r>
      <w:r>
        <w:rPr>
          <w:lang w:eastAsia="en-GB"/>
        </w:rPr>
        <w:t xml:space="preserve">400,000 for Children's Miracle Network Hospitals, donations of more than </w:t>
      </w:r>
      <w:r>
        <w:rPr>
          <w:rFonts w:cs="Arial"/>
          <w:lang w:eastAsia="en-GB"/>
        </w:rPr>
        <w:t>£</w:t>
      </w:r>
      <w:r>
        <w:rPr>
          <w:lang w:eastAsia="en-GB"/>
        </w:rPr>
        <w:t xml:space="preserve">435,000 of food since 2015, and the contribution of </w:t>
      </w:r>
      <w:r>
        <w:rPr>
          <w:rFonts w:cs="Arial"/>
          <w:lang w:eastAsia="en-GB"/>
        </w:rPr>
        <w:t>£</w:t>
      </w:r>
      <w:r>
        <w:rPr>
          <w:lang w:eastAsia="en-GB"/>
        </w:rPr>
        <w:t>217,000 in corporate donations reflect our dedication to providing a positive impact (</w:t>
      </w:r>
      <w:r>
        <w:t>marriott, 2021)</w:t>
      </w:r>
      <w:r>
        <w:rPr>
          <w:lang w:eastAsia="en-GB"/>
        </w:rPr>
        <w:t>. The joint venture with Clean the World, which led to the donation of 29,707 soaps, indicates the commitment to hygiene and health. The dedication of Marriott International to environmental sustainability is realised in its transparency and reporting on achievements. The emphasis on ESG issues and the alignment with UN SDG indicates the strategic nature of corporate responsibility. The community involvement of the organisation is not limited to philanthropy but also includes efforts for social justice and environmental conservation.</w:t>
      </w:r>
    </w:p>
    <w:p w:rsidR="00D01D97" w:rsidRDefault="00D01D97" w:rsidP="00D01D97">
      <w:pPr>
        <w:rPr>
          <w:lang w:eastAsia="en-GB"/>
        </w:rPr>
      </w:pPr>
      <w:r>
        <w:rPr>
          <w:lang w:eastAsia="en-GB"/>
        </w:rPr>
        <w:t>One of the main aspects of Marriott's sustainability initiatives is the incorporation of the SDGs into its core business. The organisation conducts a company-wide sustainability risk assessment covering climate, water, biodiversity, and socioeconomic risks. The approach of the organisation to this issue is to guarantee a deep understanding of the environmental impact, which leads to the creation of targeted sustainability goals (</w:t>
      </w:r>
      <w:r>
        <w:t>Wickham, French, and Wong, 2020)</w:t>
      </w:r>
      <w:r>
        <w:rPr>
          <w:lang w:eastAsia="en-GB"/>
        </w:rPr>
        <w:t xml:space="preserve">. Furthermore, engagement with the member community and associates through the surveys specifies a dedication to inclusivity, seeking a wide range of views for the design of the sustainability agenda. Marriott strongly supports building an inclusive and diverse culture. The formation of an executive inclusion </w:t>
      </w:r>
      <w:r>
        <w:rPr>
          <w:lang w:eastAsia="en-GB"/>
        </w:rPr>
        <w:lastRenderedPageBreak/>
        <w:t>council after an Inclusion and diversity executive leadership course in 2020, proved the commitment of the organisation to encourage diversity in its leadership and throughout the organisation. </w:t>
      </w:r>
    </w:p>
    <w:p w:rsidR="00D01D97" w:rsidRDefault="00D01D97" w:rsidP="00D01D97">
      <w:pPr>
        <w:rPr>
          <w:lang w:eastAsia="en-GB"/>
        </w:rPr>
      </w:pPr>
      <w:r>
        <w:rPr>
          <w:lang w:eastAsia="en-GB"/>
        </w:rPr>
        <w:t>The statistics on ethnic background and gender diversity in hiring provided support attempts of the organisation namely Marriot International to create an inclusive workplace. The dedication of the organisation to associate development through its global learning and performance programs where there is a learning-rich environment (</w:t>
      </w:r>
      <w:r>
        <w:t>Landau, 2020)</w:t>
      </w:r>
      <w:r>
        <w:rPr>
          <w:lang w:eastAsia="en-GB"/>
        </w:rPr>
        <w:t>. The leadership development program, consisting of 14 separate courses, indicates that Marriott invests in leadership skills, tailored to virtual formats in response to global issues, such as COVID-19. Marriott's ethics is based on the annual ethical conduct survey for upper-level management and the existence of a legal and ethical steering committee, which is responsible for compliance. The human rights policy is aligned with international principles, which demonstrates the commitment of the organisation to respecting human rights.</w:t>
      </w:r>
    </w:p>
    <w:p w:rsidR="00D01D97" w:rsidRDefault="00D01D97" w:rsidP="00D01D97">
      <w:r>
        <w:rPr>
          <w:lang w:eastAsia="en-GB"/>
        </w:rPr>
        <w:t>Through partnerships with Children’s Miracle Network Hospitals, Clean the World Foundation, and other charitable activities, Marriott’s involvement in philanthropy and community service is reflected (</w:t>
      </w:r>
      <w:r>
        <w:t>Murni, Ruki, and Antara, 2023)</w:t>
      </w:r>
      <w:r>
        <w:rPr>
          <w:lang w:eastAsia="en-GB"/>
        </w:rPr>
        <w:t>. The volunteering programs, fundraising, and donations all demonstrate the bigger impact of Marriott, which is beyond its core business. In the case of environmentally sustainable business policies, the organisation developed and adopted green lodging programmes Audubon International achieving Platinum certification in several resorts. Collaboration with organisations like Clean the World provides for waste reduction and supports hygiene programs.</w:t>
      </w:r>
    </w:p>
    <w:p w:rsidR="00D01D97" w:rsidRDefault="00D01D97" w:rsidP="00D01D97">
      <w:pPr>
        <w:rPr>
          <w:lang w:eastAsia="en-GB"/>
        </w:rPr>
      </w:pPr>
      <w:r>
        <w:rPr>
          <w:lang w:eastAsia="en-GB"/>
        </w:rPr>
        <w:t>Marriott International is steadily embracing the principles of the circular economy, which is a sustainable framework for minimising waste and maximising resource efficiency. The company has strategically applied circular economy principles, mainly through waste reduction and sustainable resource management. The collaboration of the organisation with Clean the World Foundation, as it demonstrates a circular model of recycling partially used soap and bottled amenities from its resorts (</w:t>
      </w:r>
      <w:r>
        <w:t>Jones, and Wynn, 2023)</w:t>
      </w:r>
      <w:r>
        <w:rPr>
          <w:lang w:eastAsia="en-GB"/>
        </w:rPr>
        <w:t>. This project feeds into waste diversion enables the organisation to minimise the environmental effects connected to the waste hygiene products. The foundation diverts the recycled products to communities in need aligning with the circular economy’s core principle of reusing materials to create a socially acceptable impact.</w:t>
      </w:r>
    </w:p>
    <w:p w:rsidR="00D01D97" w:rsidRDefault="00D01D97" w:rsidP="00D01D97">
      <w:pPr>
        <w:rPr>
          <w:lang w:eastAsia="en-GB"/>
        </w:rPr>
      </w:pPr>
      <w:r>
        <w:rPr>
          <w:lang w:eastAsia="en-GB"/>
        </w:rPr>
        <w:lastRenderedPageBreak/>
        <w:t>Moreover, the adherence of the organisation to Audubon International's Green Lodging Program represents the circular economy principles through the promotion of environmental best practices. The program promotes resource conservation, waste minimisation and energy efficiency in all of the properties, which enables the organisation to establish a circular approach to the use of natural resources (</w:t>
      </w:r>
      <w:r>
        <w:t>Avasiloaei, 2022)</w:t>
      </w:r>
      <w:r>
        <w:rPr>
          <w:lang w:eastAsia="en-GB"/>
        </w:rPr>
        <w:t>. Furthermore, in response to the COVID-19 pandemic period, Marriott has introduced heightened cleaning and safety standards, focusing on a circular concept of hygiene and cleanliness. The "Next Level of Clean" campaign, which incorporates professional cleaning procedures and guest communication, leads to a safer environment that is consistent with circular principles as it stresses the continuous improvement of cleanliness and safety standards.</w:t>
      </w:r>
    </w:p>
    <w:p w:rsidR="00D01D97" w:rsidRDefault="00D01D97" w:rsidP="00D01D97">
      <w:pPr>
        <w:pStyle w:val="Heading1"/>
      </w:pPr>
      <w:bookmarkStart w:id="2" w:name="_Toc159419196"/>
      <w:r>
        <w:t>Conclusion</w:t>
      </w:r>
      <w:bookmarkEnd w:id="2"/>
    </w:p>
    <w:p w:rsidR="00D01D97" w:rsidRDefault="00D01D97" w:rsidP="00D01D97">
      <w:pPr>
        <w:rPr>
          <w:lang w:eastAsia="en-GB"/>
        </w:rPr>
      </w:pPr>
      <w:r>
        <w:rPr>
          <w:lang w:eastAsia="en-GB"/>
        </w:rPr>
        <w:t>Marriott International ensures sustainability and CSR practices across its entire operations. Applying the principles of circular economy, Marriott deals with waste minimization, responsible resource management, and environmental management. The business participates in programs like the partnership with Clean the World Foundation, showing a circular approach to recycling the amenities used. Marriott's CRS policy covers community engagement, associate well-being, and diversity and inclusion actions. Besides, this sustainability policy aligns with the United Nations Sustainable Development Goals, stressing an overall approach to environmental and social issues. The ethical code of the company, associate development, and philanthropy are the company’s core values in practising ethical business.</w:t>
      </w:r>
    </w:p>
    <w:p w:rsidR="00D01D97" w:rsidRDefault="00D01D97" w:rsidP="00D01D97">
      <w:pPr>
        <w:spacing w:line="256" w:lineRule="auto"/>
        <w:jc w:val="left"/>
        <w:rPr>
          <w:lang w:eastAsia="en-GB"/>
        </w:rPr>
      </w:pPr>
      <w:r>
        <w:rPr>
          <w:kern w:val="0"/>
          <w:lang w:eastAsia="en-GB"/>
        </w:rPr>
        <w:br w:type="page"/>
      </w:r>
    </w:p>
    <w:p w:rsidR="00D01D97" w:rsidRDefault="00D01D97" w:rsidP="00D01D97">
      <w:pPr>
        <w:pStyle w:val="Heading1"/>
      </w:pPr>
      <w:bookmarkStart w:id="3" w:name="_Toc159419197"/>
      <w:r>
        <w:lastRenderedPageBreak/>
        <w:t>References</w:t>
      </w:r>
      <w:bookmarkEnd w:id="3"/>
    </w:p>
    <w:p w:rsidR="00D01D97" w:rsidRDefault="00D01D97" w:rsidP="00D01D97">
      <w:bookmarkStart w:id="4" w:name="_Hlk159417418"/>
      <w:r>
        <w:t>Achmad, W. and Yulianah, Y., (2022)</w:t>
      </w:r>
      <w:bookmarkEnd w:id="4"/>
      <w:r>
        <w:t>. Corporate social responsibility of the hospitality industry in realizing sustainable tourism development. Enrichment: Journal of Management, 12(2), pp.1610-1616.</w:t>
      </w:r>
    </w:p>
    <w:p w:rsidR="00D01D97" w:rsidRDefault="00D01D97" w:rsidP="00D01D97">
      <w:bookmarkStart w:id="5" w:name="_Hlk159418090"/>
      <w:r>
        <w:t>Avasiloaei</w:t>
      </w:r>
      <w:bookmarkEnd w:id="5"/>
      <w:r>
        <w:t>, D., (2022). Reinventing the Business Model in the Tourism Industry based on Sustainable Circular Economy and Innovation. ENTRENOVA-ENTerprise Research InNOVAtion, 8(1).</w:t>
      </w:r>
    </w:p>
    <w:p w:rsidR="00D01D97" w:rsidRDefault="00D01D97" w:rsidP="00D01D97">
      <w:bookmarkStart w:id="6" w:name="_Hlk159417299"/>
      <w:r>
        <w:t>Corvellec, H., Stowell, A.F. and Johansson, N., (2022)</w:t>
      </w:r>
      <w:bookmarkEnd w:id="6"/>
      <w:r>
        <w:t>. Critiques of the circular economy. Journal of industrial ecology, 26(2), pp.421-432.</w:t>
      </w:r>
    </w:p>
    <w:p w:rsidR="00D01D97" w:rsidRDefault="00D01D97" w:rsidP="00D01D97">
      <w:bookmarkStart w:id="7" w:name="_Hlk159417335"/>
      <w:r>
        <w:t>De Pascale</w:t>
      </w:r>
      <w:bookmarkEnd w:id="7"/>
      <w:r>
        <w:t>, A., Arbolino, R., Szopik-Depczyńska, K., Limosani, M. and Ioppolo, G., ((2021)). A systematic review for measuring circular economy: The 61 indicators. Journal of cleaner production, 281, p.124942.</w:t>
      </w:r>
    </w:p>
    <w:p w:rsidR="00D01D97" w:rsidRDefault="00D01D97" w:rsidP="00D01D97">
      <w:bookmarkStart w:id="8" w:name="_Hlk159417689"/>
      <w:r>
        <w:t>Ertuna, B., Gu, H. and Yu, L., (2022)</w:t>
      </w:r>
      <w:bookmarkEnd w:id="8"/>
      <w:r>
        <w:t>. “A thread connects all beads”: Aligning global CSR strategy by hotel MNCs. Tourism Management, 91, p.104520.</w:t>
      </w:r>
    </w:p>
    <w:p w:rsidR="00D01D97" w:rsidRDefault="00D01D97" w:rsidP="00D01D97">
      <w:bookmarkStart w:id="9" w:name="_Hlk159417401"/>
      <w:r>
        <w:t>Goffi, G., Masiero, L. and Pencarelli, T., (2022)</w:t>
      </w:r>
      <w:bookmarkEnd w:id="9"/>
      <w:r>
        <w:t>. Corporate social responsibility and performances of firms operating in the tourism and hospitality industry. The TQM Journal, 34(6), pp.1626-1647.</w:t>
      </w:r>
    </w:p>
    <w:p w:rsidR="00D01D97" w:rsidRDefault="00D01D97" w:rsidP="00D01D97">
      <w:bookmarkStart w:id="10" w:name="_Hlk159417493"/>
      <w:r>
        <w:t>Han</w:t>
      </w:r>
      <w:bookmarkEnd w:id="10"/>
      <w:r>
        <w:t>, H., ((2021)). Consumer behavior and environmental sustainability in tourism and hospitality: A review of theories, concepts, and latest research. Journal of Sustainable Tourism, 29(7), pp.1021-1042.</w:t>
      </w:r>
    </w:p>
    <w:p w:rsidR="00D01D97" w:rsidRDefault="00D01D97" w:rsidP="00D01D97">
      <w:bookmarkStart w:id="11" w:name="_Hlk159418071"/>
      <w:r>
        <w:t>Jones, P. and Wynn, M.G., (2023)</w:t>
      </w:r>
      <w:bookmarkEnd w:id="11"/>
      <w:r>
        <w:t>. The circular economy and natural capital in the tourism and hospitality industry. Circular Economy, 1(1), pp.1-12.</w:t>
      </w:r>
    </w:p>
    <w:p w:rsidR="00D01D97" w:rsidRDefault="00D01D97" w:rsidP="00D01D97">
      <w:bookmarkStart w:id="12" w:name="_Hlk159417981"/>
      <w:r>
        <w:t>Landau</w:t>
      </w:r>
      <w:bookmarkEnd w:id="12"/>
      <w:r>
        <w:t>, T., (2020). Action and progress on sustainability challenges: case examples from Marriott, Booking and Soneva. Worldwide Hospitality and Tourism Themes, 12(5), pp.563-573.</w:t>
      </w:r>
    </w:p>
    <w:p w:rsidR="00D01D97" w:rsidRDefault="00D01D97" w:rsidP="00D01D97">
      <w:bookmarkStart w:id="13" w:name="_Hlk159417565"/>
      <w:r>
        <w:t>Lukoseviciute, G. and Panagopoulos, T., ((2021))</w:t>
      </w:r>
      <w:bookmarkEnd w:id="13"/>
      <w:r>
        <w:t>. Management priorities from tourists’ perspectives and beach quality assessment as tools to support sustainable coastal tourism. Ocean &amp; Coastal Management, 208, p.105646.</w:t>
      </w:r>
    </w:p>
    <w:p w:rsidR="00D01D97" w:rsidRDefault="00D01D97" w:rsidP="00D01D97">
      <w:bookmarkStart w:id="14" w:name="_Hlk159417875"/>
      <w:r>
        <w:t xml:space="preserve">marriott </w:t>
      </w:r>
      <w:bookmarkEnd w:id="14"/>
      <w:r>
        <w:t>(2021) Home - csr-marriott, csr-marriott. Available at: https://serve360.marriott.com/ (Accessed: February 21, 2024).</w:t>
      </w:r>
    </w:p>
    <w:p w:rsidR="00D01D97" w:rsidRDefault="00D01D97" w:rsidP="00D01D97">
      <w:bookmarkStart w:id="15" w:name="_Hlk159417995"/>
      <w:r>
        <w:lastRenderedPageBreak/>
        <w:t>Murni, N.G.N.S., Ruki, M. and Antara, D.M.S., (2023)</w:t>
      </w:r>
      <w:bookmarkEnd w:id="15"/>
      <w:r>
        <w:t>. Developing an Implementation Model for Gender Equality and Disability Inclusivity at Marriott Group Hotels in Bali to Foster Sustainable Tourism. International Journal of Social Science Research and Review, 6(10), pp.169-178.</w:t>
      </w:r>
    </w:p>
    <w:p w:rsidR="00D01D97" w:rsidRDefault="00D01D97" w:rsidP="00D01D97">
      <w:bookmarkStart w:id="16" w:name="_Hlk159417471"/>
      <w:r>
        <w:t>Sakshi</w:t>
      </w:r>
      <w:bookmarkEnd w:id="16"/>
      <w:r>
        <w:t>, Shashi, Cerchione, R. and Bansal, H., (2020). Measuring the impact of sustainability policy and practices in tourism and hospitality industry. Business Strategy and the Environment, 29(3), pp.1109-1126.</w:t>
      </w:r>
    </w:p>
    <w:p w:rsidR="00D01D97" w:rsidRDefault="00D01D97" w:rsidP="00D01D97">
      <w:bookmarkStart w:id="17" w:name="_Hlk159417540"/>
      <w:r>
        <w:t>Tambovceva</w:t>
      </w:r>
      <w:bookmarkEnd w:id="17"/>
      <w:r>
        <w:t>, T., Atstaja, D., Tereshina, M., Uvarova, I. and Livina, A., (2020). Sustainability challenges and drivers of cross-border greenway tourism in rural areas. Sustainability, 12(15), p.5927.</w:t>
      </w:r>
    </w:p>
    <w:p w:rsidR="00D01D97" w:rsidRDefault="00D01D97" w:rsidP="00D01D97">
      <w:bookmarkStart w:id="18" w:name="_Hlk159417604"/>
      <w:r>
        <w:t>Torres</w:t>
      </w:r>
      <w:bookmarkEnd w:id="18"/>
      <w:r>
        <w:t>-Delgado, A., Lopez Palomeque, F., Elorrieta Sanz, B. and Font Urgell, X., (2023). Monitoring sustainable management in local tourist destinations: performance, drivers and barriers. Journal of sustainable tourism, 31(7), pp.1672-1693.</w:t>
      </w:r>
    </w:p>
    <w:p w:rsidR="00D01D97" w:rsidRDefault="00D01D97" w:rsidP="00D01D97">
      <w:bookmarkStart w:id="19" w:name="_Hlk159417652"/>
      <w:r>
        <w:t>Wickham, M., French, L. and Wong, T., (2020)</w:t>
      </w:r>
      <w:bookmarkEnd w:id="19"/>
      <w:r>
        <w:t>. Marriott's strategic sustainability priorities in the Chinese hotel industry. International Journal of Sustainable Strategic Management, 8(1), pp.77-97.</w:t>
      </w:r>
    </w:p>
    <w:p w:rsidR="00D01D97" w:rsidRDefault="00D01D97" w:rsidP="00D01D97">
      <w:bookmarkStart w:id="20" w:name="_Hlk159417966"/>
      <w:r>
        <w:t>Wickham, M., French, L. and Wong, T., (2020)</w:t>
      </w:r>
      <w:bookmarkEnd w:id="20"/>
      <w:r>
        <w:t>. Marriott's strategic sustainability priorities in the Chinese hotel industry. International Journal of Sustainable Strategic Management, 8(1), pp.77-97.</w:t>
      </w:r>
    </w:p>
    <w:p w:rsidR="00314EDE" w:rsidRDefault="00314EDE">
      <w:bookmarkStart w:id="21" w:name="_GoBack"/>
      <w:bookmarkEnd w:id="21"/>
    </w:p>
    <w:sectPr w:rsidR="00314EDE" w:rsidSect="0006271E">
      <w:footerReference w:type="even" r:id="rId13"/>
      <w:footerReference w:type="default" r:id="rId14"/>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D97" w:rsidRDefault="00D01D97" w:rsidP="0006271E">
      <w:r>
        <w:separator/>
      </w:r>
    </w:p>
  </w:endnote>
  <w:endnote w:type="continuationSeparator" w:id="0">
    <w:p w:rsidR="00D01D97" w:rsidRDefault="00D01D97"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76420444"/>
      <w:docPartObj>
        <w:docPartGallery w:val="Page Numbers (Bottom of Page)"/>
        <w:docPartUnique/>
      </w:docPartObj>
    </w:sdtPr>
    <w:sdtEndPr>
      <w:rPr>
        <w:rStyle w:val="PageNumber"/>
      </w:rPr>
    </w:sdtEndPr>
    <w:sdtContent>
      <w:p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6635694"/>
      <w:docPartObj>
        <w:docPartGallery w:val="Page Numbers (Bottom of Page)"/>
        <w:docPartUnique/>
      </w:docPartObj>
    </w:sdtPr>
    <w:sdtEndPr>
      <w:rPr>
        <w:rStyle w:val="PageNumber"/>
      </w:rPr>
    </w:sdtEndPr>
    <w:sdtContent>
      <w:p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D01D97">
          <w:rPr>
            <w:rStyle w:val="PageNumber"/>
            <w:rFonts w:ascii="Corbel" w:hAnsi="Corbel"/>
            <w:noProof/>
          </w:rPr>
          <w:t>10</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D97" w:rsidRDefault="00D01D97" w:rsidP="0006271E">
      <w:r>
        <w:separator/>
      </w:r>
    </w:p>
  </w:footnote>
  <w:footnote w:type="continuationSeparator" w:id="0">
    <w:p w:rsidR="00D01D97" w:rsidRDefault="00D01D97" w:rsidP="00062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D97"/>
    <w:rsid w:val="00017B10"/>
    <w:rsid w:val="00056442"/>
    <w:rsid w:val="0006271E"/>
    <w:rsid w:val="000B5D29"/>
    <w:rsid w:val="000D54C3"/>
    <w:rsid w:val="00173543"/>
    <w:rsid w:val="001E06EE"/>
    <w:rsid w:val="00314EDE"/>
    <w:rsid w:val="00370139"/>
    <w:rsid w:val="004C7F2B"/>
    <w:rsid w:val="005120A6"/>
    <w:rsid w:val="005276A8"/>
    <w:rsid w:val="00537DAC"/>
    <w:rsid w:val="005D4907"/>
    <w:rsid w:val="00667CD7"/>
    <w:rsid w:val="006748DB"/>
    <w:rsid w:val="006C60E6"/>
    <w:rsid w:val="00715806"/>
    <w:rsid w:val="0081410C"/>
    <w:rsid w:val="00815D34"/>
    <w:rsid w:val="00834654"/>
    <w:rsid w:val="00856259"/>
    <w:rsid w:val="008A5F4C"/>
    <w:rsid w:val="00952F7D"/>
    <w:rsid w:val="00A32309"/>
    <w:rsid w:val="00A45A59"/>
    <w:rsid w:val="00A45BDD"/>
    <w:rsid w:val="00A6381B"/>
    <w:rsid w:val="00A76F40"/>
    <w:rsid w:val="00A82D92"/>
    <w:rsid w:val="00A83EF7"/>
    <w:rsid w:val="00AA7317"/>
    <w:rsid w:val="00B864BA"/>
    <w:rsid w:val="00BE02BB"/>
    <w:rsid w:val="00D01D97"/>
    <w:rsid w:val="00D62CAD"/>
    <w:rsid w:val="00D64ACC"/>
    <w:rsid w:val="00D85677"/>
    <w:rsid w:val="00E8561E"/>
    <w:rsid w:val="00ED38DD"/>
    <w:rsid w:val="00F00CEE"/>
    <w:rsid w:val="00F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5C8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D01D97"/>
    <w:pPr>
      <w:spacing w:after="160" w:line="360" w:lineRule="auto"/>
      <w:jc w:val="both"/>
    </w:pPr>
    <w:rPr>
      <w:rFonts w:ascii="Arial" w:hAnsi="Arial"/>
      <w:kern w:val="2"/>
      <w:szCs w:val="22"/>
      <w:lang w:val="en-GB"/>
    </w:rPr>
  </w:style>
  <w:style w:type="paragraph" w:styleId="Heading1">
    <w:name w:val="heading 1"/>
    <w:basedOn w:val="Heading3"/>
    <w:next w:val="Normal"/>
    <w:link w:val="Heading1Char"/>
    <w:uiPriority w:val="9"/>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after="0" w:line="240" w:lineRule="auto"/>
      <w:jc w:val="left"/>
      <w:outlineLvl w:val="2"/>
    </w:pPr>
    <w:rPr>
      <w:rFonts w:asciiTheme="majorHAnsi" w:eastAsiaTheme="majorEastAsia" w:hAnsiTheme="majorHAnsi" w:cstheme="majorBidi"/>
      <w:color w:val="24344E" w:themeColor="accent1"/>
      <w:kern w:val="0"/>
      <w:sz w:val="36"/>
      <w:szCs w:val="24"/>
      <w:lang w:val="en-US"/>
    </w:rPr>
  </w:style>
  <w:style w:type="paragraph" w:styleId="Heading4">
    <w:name w:val="heading 4"/>
    <w:basedOn w:val="Normal"/>
    <w:next w:val="Normal"/>
    <w:link w:val="Heading4Char"/>
    <w:uiPriority w:val="3"/>
    <w:qFormat/>
    <w:rsid w:val="00F00CEE"/>
    <w:pPr>
      <w:keepNext/>
      <w:keepLines/>
      <w:spacing w:before="40" w:after="0" w:line="240" w:lineRule="auto"/>
      <w:jc w:val="left"/>
      <w:outlineLvl w:val="3"/>
    </w:pPr>
    <w:rPr>
      <w:rFonts w:asciiTheme="minorHAnsi" w:eastAsiaTheme="majorEastAsia" w:hAnsiTheme="minorHAnsi" w:cstheme="majorBidi"/>
      <w:i/>
      <w:iCs/>
      <w:color w:val="24344E" w:themeColor="accent1"/>
      <w:kern w:val="0"/>
      <w:sz w:val="32"/>
      <w:szCs w:val="24"/>
      <w:lang w:val="en-US"/>
    </w:rPr>
  </w:style>
  <w:style w:type="paragraph" w:styleId="Heading5">
    <w:name w:val="heading 5"/>
    <w:basedOn w:val="Normal"/>
    <w:next w:val="Normal"/>
    <w:link w:val="Heading5Char"/>
    <w:uiPriority w:val="4"/>
    <w:qFormat/>
    <w:rsid w:val="00A45BDD"/>
    <w:pPr>
      <w:keepNext/>
      <w:keepLines/>
      <w:spacing w:after="0" w:line="240" w:lineRule="auto"/>
      <w:ind w:right="284"/>
      <w:jc w:val="left"/>
      <w:outlineLvl w:val="4"/>
    </w:pPr>
    <w:rPr>
      <w:rFonts w:asciiTheme="minorHAnsi" w:eastAsiaTheme="majorEastAsia" w:hAnsiTheme="minorHAnsi" w:cstheme="majorBidi"/>
      <w:b/>
      <w:i/>
      <w:color w:val="24344E" w:themeColor="accent1"/>
      <w:kern w:val="0"/>
      <w:sz w:val="6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pPr>
      <w:spacing w:after="0" w:line="240" w:lineRule="auto"/>
      <w:jc w:val="left"/>
    </w:pPr>
    <w:rPr>
      <w:rFonts w:asciiTheme="minorHAnsi" w:hAnsiTheme="minorHAnsi"/>
      <w:kern w:val="0"/>
      <w:sz w:val="10"/>
      <w:szCs w:val="24"/>
      <w:lang w:val="en-US"/>
    </w:rPr>
  </w:style>
  <w:style w:type="paragraph" w:styleId="BalloonText">
    <w:name w:val="Balloon Text"/>
    <w:basedOn w:val="Normal"/>
    <w:link w:val="BalloonTextChar"/>
    <w:uiPriority w:val="99"/>
    <w:semiHidden/>
    <w:rsid w:val="005276A8"/>
    <w:pPr>
      <w:spacing w:after="0" w:line="240" w:lineRule="auto"/>
      <w:jc w:val="left"/>
    </w:pPr>
    <w:rPr>
      <w:rFonts w:ascii="Times New Roman" w:hAnsi="Times New Roman" w:cs="Times New Roman"/>
      <w:kern w:val="0"/>
      <w:sz w:val="18"/>
      <w:szCs w:val="18"/>
      <w:lang w:val="en-US"/>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pPr>
      <w:spacing w:after="0" w:line="240" w:lineRule="auto"/>
      <w:jc w:val="left"/>
    </w:pPr>
    <w:rPr>
      <w:rFonts w:asciiTheme="minorHAnsi" w:hAnsiTheme="minorHAnsi"/>
      <w:i/>
      <w:color w:val="000000" w:themeColor="text1"/>
      <w:kern w:val="0"/>
      <w:sz w:val="28"/>
      <w:szCs w:val="24"/>
      <w:lang w:val="en-US"/>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spacing w:after="0" w:line="240" w:lineRule="auto"/>
      <w:jc w:val="left"/>
    </w:pPr>
    <w:rPr>
      <w:rFonts w:asciiTheme="minorHAnsi" w:hAnsiTheme="minorHAnsi"/>
      <w:kern w:val="0"/>
      <w:szCs w:val="24"/>
      <w:lang w:val="en-US"/>
    </w:r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spacing w:after="0" w:line="240" w:lineRule="auto"/>
      <w:jc w:val="right"/>
    </w:pPr>
    <w:rPr>
      <w:rFonts w:ascii="Rockwell" w:hAnsi="Rockwell"/>
      <w:color w:val="000000" w:themeColor="text1"/>
      <w:kern w:val="0"/>
      <w:sz w:val="20"/>
      <w:szCs w:val="24"/>
      <w:lang w:val="en-US"/>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line="240" w:lineRule="auto"/>
      <w:ind w:left="1134" w:right="1134"/>
      <w:jc w:val="center"/>
    </w:pPr>
    <w:rPr>
      <w:rFonts w:asciiTheme="majorHAnsi" w:hAnsiTheme="majorHAnsi"/>
      <w:i/>
      <w:iCs/>
      <w:color w:val="24344E" w:themeColor="accent1"/>
      <w:kern w:val="0"/>
      <w:sz w:val="80"/>
      <w:szCs w:val="24"/>
      <w:lang w:val="en-US"/>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spacing w:after="0" w:line="240" w:lineRule="auto"/>
      <w:jc w:val="center"/>
    </w:pPr>
    <w:rPr>
      <w:rFonts w:asciiTheme="majorHAnsi" w:eastAsiaTheme="majorEastAsia" w:hAnsiTheme="majorHAnsi" w:cstheme="majorBidi"/>
      <w:color w:val="24344E" w:themeColor="accent1"/>
      <w:kern w:val="0"/>
      <w:sz w:val="80"/>
      <w:szCs w:val="24"/>
      <w:lang w:val="en-US"/>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pPr>
      <w:spacing w:after="0" w:line="240" w:lineRule="auto"/>
      <w:jc w:val="left"/>
    </w:pPr>
    <w:rPr>
      <w:rFonts w:asciiTheme="minorHAnsi" w:hAnsiTheme="minorHAnsi"/>
      <w:i/>
      <w:kern w:val="0"/>
      <w:sz w:val="42"/>
      <w:szCs w:val="24"/>
      <w:lang w:val="en-US"/>
    </w:rPr>
  </w:style>
  <w:style w:type="character" w:customStyle="1" w:styleId="SubtitleChar">
    <w:name w:val="Subtitle Char"/>
    <w:basedOn w:val="DefaultParagraphFont"/>
    <w:link w:val="Subtitle"/>
    <w:uiPriority w:val="11"/>
    <w:rsid w:val="00537DAC"/>
    <w:rPr>
      <w:i/>
      <w:sz w:val="42"/>
    </w:rPr>
  </w:style>
  <w:style w:type="character" w:styleId="Hyperlink">
    <w:name w:val="Hyperlink"/>
    <w:basedOn w:val="DefaultParagraphFont"/>
    <w:uiPriority w:val="99"/>
    <w:semiHidden/>
    <w:unhideWhenUsed/>
    <w:rsid w:val="00D01D97"/>
    <w:rPr>
      <w:color w:val="0000FF" w:themeColor="hyperlink"/>
      <w:u w:val="single"/>
    </w:rPr>
  </w:style>
  <w:style w:type="paragraph" w:styleId="TOC1">
    <w:name w:val="toc 1"/>
    <w:basedOn w:val="Normal"/>
    <w:next w:val="Normal"/>
    <w:autoRedefine/>
    <w:uiPriority w:val="39"/>
    <w:semiHidden/>
    <w:unhideWhenUsed/>
    <w:rsid w:val="00D01D97"/>
    <w:pPr>
      <w:spacing w:after="100"/>
    </w:pPr>
  </w:style>
  <w:style w:type="paragraph" w:styleId="TOCHeading">
    <w:name w:val="TOC Heading"/>
    <w:basedOn w:val="Heading1"/>
    <w:next w:val="Normal"/>
    <w:uiPriority w:val="39"/>
    <w:semiHidden/>
    <w:unhideWhenUsed/>
    <w:qFormat/>
    <w:rsid w:val="00D01D97"/>
    <w:pPr>
      <w:spacing w:before="240" w:line="256" w:lineRule="auto"/>
      <w:outlineLvl w:val="9"/>
    </w:pPr>
    <w:rPr>
      <w:color w:val="1B263A"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67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file:///C:\Users\steakonsix\AppData\Local\Microsoft\Windows\INetCache\Content.Outlook\QONIUP7J\SUSTAINABLE%20HOSPITALITY%20%20TOURISM%20MANAGEMENT%20Copy%201.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teakonsix\AppData\Local\Microsoft\Windows\INetCache\Content.Outlook\QONIUP7J\SUSTAINABLE%20HOSPITALITY%20%20TOURISM%20MANAGEMENT%20Copy%201.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steakonsix\AppData\Local\Microsoft\Windows\INetCache\Content.Outlook\QONIUP7J\SUSTAINABLE%20HOSPITALITY%20%20TOURISM%20MANAGEMENT%20Copy%201.docx" TargetMode="External"/><Relationship Id="rId4" Type="http://schemas.openxmlformats.org/officeDocument/2006/relationships/styles" Target="styles.xml"/><Relationship Id="rId9" Type="http://schemas.openxmlformats.org/officeDocument/2006/relationships/hyperlink" Target="file:///C:\Users\steakonsix\AppData\Local\Microsoft\Windows\INetCache\Content.Outlook\QONIUP7J\SUSTAINABLE%20HOSPITALITY%20%20TOURISM%20MANAGEMENT%20Copy%201.docx"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akonsix\AppData\Roaming\Microsoft\Templates\Classic%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ACE5D8E1CD400A94E46B6DDC6AD65B">
    <w:name w:val="F7ACE5D8E1CD400A94E46B6DDC6AD65B"/>
  </w:style>
  <w:style w:type="paragraph" w:customStyle="1" w:styleId="6C0914FC45A44CB59E3D59E3322FD6EF">
    <w:name w:val="6C0914FC45A44CB59E3D59E3322FD6EF"/>
  </w:style>
  <w:style w:type="paragraph" w:customStyle="1" w:styleId="C287213F7DEE4B988EC3EDBAD5155F9C">
    <w:name w:val="C287213F7DEE4B988EC3EDBAD5155F9C"/>
  </w:style>
  <w:style w:type="paragraph" w:customStyle="1" w:styleId="DDDB52B0C74A49F09A9743502F274177">
    <w:name w:val="DDDB52B0C74A49F09A9743502F274177"/>
  </w:style>
  <w:style w:type="paragraph" w:customStyle="1" w:styleId="C014EE30C9DC4F3CA5C776F5DB838CC4">
    <w:name w:val="C014EE30C9DC4F3CA5C776F5DB838CC4"/>
  </w:style>
  <w:style w:type="paragraph" w:customStyle="1" w:styleId="FD36F7538CC94396B6523A68A39950E2">
    <w:name w:val="FD36F7538CC94396B6523A68A39950E2"/>
  </w:style>
  <w:style w:type="paragraph" w:customStyle="1" w:styleId="IntroductionText">
    <w:name w:val="Introduction Text"/>
    <w:basedOn w:val="Heading4"/>
    <w:uiPriority w:val="7"/>
    <w:qFormat/>
    <w:pPr>
      <w:spacing w:line="240" w:lineRule="auto"/>
    </w:pPr>
    <w:rPr>
      <w:rFonts w:asciiTheme="minorHAnsi" w:hAnsiTheme="minorHAnsi"/>
      <w:color w:val="5B9BD5" w:themeColor="accent1"/>
      <w:sz w:val="32"/>
      <w:szCs w:val="24"/>
      <w:lang w:val="en-US"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customStyle="1" w:styleId="79CD80079D684BE980A20AAF777BE513">
    <w:name w:val="79CD80079D684BE980A20AAF777BE513"/>
  </w:style>
  <w:style w:type="paragraph" w:customStyle="1" w:styleId="Text">
    <w:name w:val="Text"/>
    <w:basedOn w:val="Normal"/>
    <w:uiPriority w:val="5"/>
    <w:qFormat/>
    <w:pPr>
      <w:spacing w:after="0" w:line="240" w:lineRule="auto"/>
    </w:pPr>
    <w:rPr>
      <w:rFonts w:eastAsiaTheme="minorHAnsi"/>
      <w:i/>
      <w:color w:val="000000" w:themeColor="text1"/>
      <w:sz w:val="28"/>
      <w:szCs w:val="24"/>
      <w:lang w:val="en-US" w:eastAsia="en-US"/>
    </w:rPr>
  </w:style>
  <w:style w:type="paragraph" w:customStyle="1" w:styleId="50F93F08778E429ABA912156C232F9DA">
    <w:name w:val="50F93F08778E429ABA912156C232F9DA"/>
  </w:style>
  <w:style w:type="paragraph" w:customStyle="1" w:styleId="FEA15A165C794041BF1F755C1FF5EC90">
    <w:name w:val="FEA15A165C794041BF1F755C1FF5EC90"/>
  </w:style>
  <w:style w:type="paragraph" w:customStyle="1" w:styleId="4026B4679E6B4CE3AAD16AEAB7D56E20">
    <w:name w:val="4026B4679E6B4CE3AAD16AEAB7D56E20"/>
  </w:style>
  <w:style w:type="paragraph" w:customStyle="1" w:styleId="C058F972CC92449A8B4C3D8715EF19A2">
    <w:name w:val="C058F972CC92449A8B4C3D8715EF19A2"/>
  </w:style>
  <w:style w:type="paragraph" w:customStyle="1" w:styleId="2206DEE7FE4B4DECA201A8DEA1B0B8E2">
    <w:name w:val="2206DEE7FE4B4DECA201A8DEA1B0B8E2"/>
  </w:style>
  <w:style w:type="paragraph" w:customStyle="1" w:styleId="9E1A599512D047F9893105C6033063FF">
    <w:name w:val="9E1A599512D047F9893105C6033063FF"/>
  </w:style>
  <w:style w:type="paragraph" w:customStyle="1" w:styleId="CBA92657E192448CB926D23446E13A19">
    <w:name w:val="CBA92657E192448CB926D23446E13A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CAC1FA21-0704-45B8-A2C2-B71E5CB0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3.xml><?xml version="1.0" encoding="utf-8"?>
<ds:datastoreItem xmlns:ds="http://schemas.openxmlformats.org/officeDocument/2006/customXml" ds:itemID="{473E1B92-02B3-4FC3-8DE4-FAE462CE316F}">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16c05727-aa75-4e4a-9b5f-8a80a1165891"/>
    <ds:schemaRef ds:uri="http://purl.org/dc/terms/"/>
    <ds:schemaRef ds:uri="http://schemas.microsoft.com/office/infopath/2007/PartnerControls"/>
    <ds:schemaRef ds:uri="71af3243-3dd4-4a8d-8c0d-dd76da1f02a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Classic student report</Template>
  <TotalTime>0</TotalTime>
  <Pages>10</Pages>
  <Words>2924</Words>
  <Characters>16672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2024-02-27T09:37:00Z</dcterms:created>
  <dcterms:modified xsi:type="dcterms:W3CDTF">2024-02-27T09:39:00Z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