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widowControl w:val="0"/>
        <w:spacing w:line="240" w:lineRule="auto"/>
      </w:pPr>
    </w:p>
    <w:p>
      <w:pPr>
        <w:pStyle w:val="Body"/>
        <w:spacing w:after="0" w:line="360" w:lineRule="auto"/>
        <w:rPr>
          <w:b w:val="1"/>
          <w:bCs w:val="1"/>
          <w:sz w:val="24"/>
          <w:szCs w:val="24"/>
        </w:rPr>
      </w:pPr>
      <w:r>
        <w:rPr>
          <w:b w:val="1"/>
          <w:bCs w:val="1"/>
          <w:sz w:val="24"/>
          <w:szCs w:val="24"/>
          <w:rtl w:val="0"/>
          <w:lang w:val="en-US"/>
        </w:rPr>
        <w:t>Personal Brand for Sustainable Employability: Career Development towards Deputy Manager in Residential Mental Health</w:t>
      </w:r>
    </w:p>
    <w:p>
      <w:pPr>
        <w:pStyle w:val="Body"/>
        <w:spacing w:line="360" w:lineRule="auto"/>
        <w:jc w:val="both"/>
      </w:pPr>
      <w:r>
        <w:rPr>
          <w:rtl w:val="0"/>
          <w:lang w:val="en-US"/>
        </w:rPr>
        <w:t>Student Name : Iasmina Ratiu</w:t>
      </w:r>
    </w:p>
    <w:p>
      <w:pPr>
        <w:pStyle w:val="Body"/>
        <w:spacing w:line="360" w:lineRule="auto"/>
        <w:jc w:val="both"/>
      </w:pPr>
      <w:r>
        <w:rPr>
          <w:rtl w:val="0"/>
          <w:lang w:val="en-US"/>
        </w:rPr>
        <w:t>Student ID :2414787</w:t>
      </w:r>
    </w:p>
    <w:p>
      <w:pPr>
        <w:pStyle w:val="Body"/>
        <w:spacing w:line="360" w:lineRule="auto"/>
        <w:jc w:val="both"/>
      </w:pPr>
      <w:r>
        <w:rPr>
          <w:rtl w:val="0"/>
          <w:lang w:val="en-US"/>
        </w:rPr>
        <w:t>Lecturer: Brian</w:t>
      </w:r>
    </w:p>
    <w:p>
      <w:pPr>
        <w:pStyle w:val="Body"/>
        <w:spacing w:line="360" w:lineRule="auto"/>
        <w:jc w:val="both"/>
        <w:rPr>
          <w:lang w:val="en-US"/>
        </w:rPr>
      </w:pPr>
      <w:r>
        <w:rPr>
          <w:rtl w:val="0"/>
          <w:lang w:val="en-US"/>
        </w:rPr>
        <w:t>Module Code :</w:t>
      </w:r>
      <w:r>
        <w:rPr>
          <w:rtl w:val="0"/>
          <w:lang w:val="en-US"/>
        </w:rPr>
        <w:t>BMHP5015</w:t>
      </w:r>
    </w:p>
    <w:p>
      <w:pPr>
        <w:pStyle w:val="Body"/>
        <w:spacing w:line="360" w:lineRule="auto"/>
        <w:jc w:val="both"/>
      </w:pPr>
    </w:p>
    <w:p>
      <w:pPr>
        <w:pStyle w:val="Body"/>
        <w:spacing w:line="360" w:lineRule="auto"/>
        <w:jc w:val="both"/>
      </w:pPr>
      <w:r>
        <w:rPr>
          <w:rFonts w:ascii="Arial Unicode MS" w:cs="Arial Unicode MS" w:hAnsi="Arial Unicode MS" w:eastAsia="Arial Unicode MS"/>
          <w:b w:val="0"/>
          <w:bCs w:val="0"/>
          <w:i w:val="0"/>
          <w:iCs w:val="0"/>
        </w:rPr>
        <w:br w:type="page"/>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fr-FR"/>
          <w14:textFill>
            <w14:solidFill>
              <w14:srgbClr w14:val="000000"/>
            </w14:solidFill>
          </w14:textFill>
        </w:rPr>
        <w:t>1. Introduction</w:t>
      </w:r>
    </w:p>
    <w:p>
      <w:pPr>
        <w:pStyle w:val="Body"/>
        <w:spacing w:before="100" w:after="100" w:line="360" w:lineRule="auto"/>
        <w:jc w:val="both"/>
      </w:pPr>
      <w:r>
        <w:rPr>
          <w:rtl w:val="0"/>
          <w:lang w:val="en-US"/>
        </w:rPr>
        <w:t xml:space="preserve">I want to be a Deputy Manager in the field of residential mental health care in my future career. The position that I am interested in is the Deputy Manager </w:t>
      </w:r>
      <w:r>
        <w:rPr>
          <w:rtl w:val="0"/>
        </w:rPr>
        <w:t xml:space="preserve">– </w:t>
      </w:r>
      <w:r>
        <w:rPr>
          <w:rtl w:val="0"/>
          <w:lang w:val="en-US"/>
        </w:rPr>
        <w:t xml:space="preserve">Residential Mental Health with Active Pathways at Willow Rise, Droylsden, Manchester. The post is full-time for 37.5 hours each week and offers a salary of up to </w:t>
      </w:r>
      <w:r>
        <w:rPr>
          <w:rtl w:val="0"/>
        </w:rPr>
        <w:t>£</w:t>
      </w:r>
      <w:r>
        <w:rPr>
          <w:rtl w:val="0"/>
          <w:lang w:val="en-US"/>
        </w:rPr>
        <w:t>37,000. Willow Rise is a new residential mental health rehabilitation service, and the successful applicant will be part of the development of this service as well as helping to run the day-to-day service (Indeed, 2026).</w:t>
      </w:r>
    </w:p>
    <w:p>
      <w:pPr>
        <w:pStyle w:val="Body"/>
        <w:spacing w:before="100" w:after="100" w:line="360" w:lineRule="auto"/>
        <w:jc w:val="both"/>
      </w:pPr>
      <w:r>
        <w:rPr>
          <w:rtl w:val="0"/>
          <w:lang w:val="en-US"/>
        </w:rPr>
        <w:t>This report evaluates the level of employability at present against the actual requirements of this position. It explores leadership, safeguarding, governance, communication, mental health knowledge and professional development. It also takes into account whether the knowledge and understanding obtained in my current Health and Social Care education are adequate for the role. However, being able to acquire new skills is not enough, as skills need to be maintained and kept relevant to the changing needs of the workplace (G</w:t>
      </w:r>
      <w:r>
        <w:rPr>
          <w:rtl w:val="0"/>
        </w:rPr>
        <w:t>ü</w:t>
      </w:r>
      <w:r>
        <w:rPr>
          <w:rtl w:val="0"/>
        </w:rPr>
        <w:t>rb</w:t>
      </w:r>
      <w:r>
        <w:rPr>
          <w:rtl w:val="0"/>
        </w:rPr>
        <w:t>ü</w:t>
      </w:r>
      <w:r>
        <w:rPr>
          <w:rtl w:val="0"/>
          <w:lang w:val="en-US"/>
        </w:rPr>
        <w:t>z et al., 2023). Accordingly, the report highlights the identified development gaps and a realistic five-year plan to become a suitable Deputy Manager.</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2. Selected Job Opportunity and Role Requirements</w:t>
      </w:r>
    </w:p>
    <w:p>
      <w:pPr>
        <w:pStyle w:val="Body"/>
        <w:spacing w:before="100" w:after="100" w:line="360" w:lineRule="auto"/>
        <w:jc w:val="both"/>
      </w:pPr>
      <w:r>
        <w:rPr>
          <w:rtl w:val="0"/>
          <w:lang w:val="en-US"/>
        </w:rPr>
        <w:t>The Active Pathways vacancy will involve the Deputy Manager assisting the Registered Manager to establish and operate Willow Rise. This role will involve assisting with the development and establishment of the new service, staff development, maintaining standards and supporting those in need of mental health rehabilitation. The employer requires good leadership, communication, organisation and resilience skills. Experience of working in Health and Social Care is essential, and an NVQ Level 3 qualification in Health and Social Care or equivalent is required. A leadership or management qualification is desirable. Experience in opening or developing a service would also boost an application (Indeed, 2026).</w:t>
      </w:r>
    </w:p>
    <w:p>
      <w:pPr>
        <w:pStyle w:val="Body"/>
        <w:spacing w:before="100" w:after="100" w:line="360" w:lineRule="auto"/>
        <w:jc w:val="both"/>
      </w:pPr>
      <w:r>
        <w:rPr>
          <w:rtl w:val="0"/>
          <w:lang w:val="en-US"/>
        </w:rPr>
        <w:t>The job is not one that can be filled only by supporting service users. The Deputy Manager is required to make a contribution in relation to safeguarding, clinical governance, audits, quality control, training and compliance. This means that the role carries greater responsibility than a regular care position.</w:t>
      </w:r>
    </w:p>
    <w:p>
      <w:pPr>
        <w:pStyle w:val="Body"/>
        <w:spacing w:before="100" w:after="100" w:line="360" w:lineRule="auto"/>
        <w:jc w:val="both"/>
      </w:pPr>
      <w:r>
        <w:rPr>
          <w:rtl w:val="0"/>
          <w:lang w:val="en-US"/>
        </w:rPr>
        <w:t>The Care Quality Commission will be looking for providers to demonstrate clear leadership, effective governance and proof of risks being identified and managed (CQC, 2024). In addition, managers are required to ensure that they have effective systems, learn from concerns and ensure staff are aware of their responsibilities under current CQC guidance (CQC, 2026). So, if a candidate has good interpersonal skills but little evidence of accountability, then they would not meet the requirements completely.</w:t>
      </w:r>
    </w:p>
    <w:p>
      <w:pPr>
        <w:pStyle w:val="Body"/>
        <w:spacing w:before="100" w:after="100" w:line="360" w:lineRule="auto"/>
        <w:jc w:val="both"/>
        <w:rPr>
          <w:i w:val="1"/>
          <w:iCs w:val="1"/>
        </w:rPr>
      </w:pPr>
      <w:r>
        <w:rPr>
          <w:i w:val="1"/>
          <w:iCs w:val="1"/>
          <w:rtl w:val="0"/>
          <w:lang w:val="en-US"/>
        </w:rPr>
        <w:t>The complete vacancy is found in Appendix 1.</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 Critical Analysis of Employability Skills Required</w:t>
      </w:r>
    </w:p>
    <w:p>
      <w:pPr>
        <w:pStyle w:val="Heading 3"/>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3.1 Leadership and Team Development</w:t>
      </w:r>
    </w:p>
    <w:p>
      <w:pPr>
        <w:pStyle w:val="Body"/>
        <w:spacing w:before="100" w:after="100" w:line="360" w:lineRule="auto"/>
        <w:jc w:val="both"/>
      </w:pPr>
      <w:r>
        <w:rPr>
          <w:rtl w:val="0"/>
          <w:lang w:val="en-US"/>
        </w:rPr>
        <w:t>One of the key criteria for this job is leadership. Willow Rise is a new service, and the Deputy Manager will assist in building staff expectations and working standards. This implies that leaders need to be pragmatic. The successful applicant must delegate tasks, lead employees, call out poor work practices and assist with staff development.</w:t>
      </w:r>
    </w:p>
    <w:p>
      <w:pPr>
        <w:pStyle w:val="Body"/>
        <w:spacing w:before="100" w:after="100" w:line="360" w:lineRule="auto"/>
        <w:jc w:val="both"/>
      </w:pPr>
      <w:r>
        <w:rPr>
          <w:rtl w:val="0"/>
          <w:lang w:val="en-US"/>
        </w:rPr>
        <w:t>Collaborative and inclusive leadership is recognised as being important by the Department of Health and Social Care for the improvement of health and social care services (DHSC, 2022). Collaboration is relevant as the Deputy Manager collaborates closely with the Registered Manager and the wider team. But the collaborative approach is not limitless. Difficult decisions cannot be avoided simply to maintain good relationships. Sometimes, safe leadership involves challenging unsafe behaviour and/or poor staff performance.</w:t>
      </w:r>
    </w:p>
    <w:p>
      <w:pPr>
        <w:pStyle w:val="Body"/>
        <w:spacing w:before="100" w:after="100" w:line="360" w:lineRule="auto"/>
        <w:jc w:val="both"/>
      </w:pPr>
      <w:r>
        <w:rPr>
          <w:rtl w:val="0"/>
          <w:lang w:val="en-US"/>
        </w:rPr>
        <w:t>Psychological safety is also crucial. LaPlante, Ponte and Magny-Normilus (2025) found that psychologically safe healthcare teams can more easily express concerns and gain from problems. This can be useful in mental health services, as staff can identify risks early. Being approachable is not sufficient, however. The Deputy Manager should also ensure that concerns are followed up and result in action.</w:t>
      </w:r>
    </w:p>
    <w:p>
      <w:pPr>
        <w:pStyle w:val="Heading 3"/>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3.2 Safeguarding, Governance and Quality</w:t>
      </w:r>
    </w:p>
    <w:p>
      <w:pPr>
        <w:pStyle w:val="Body"/>
        <w:spacing w:before="100" w:after="100" w:line="360" w:lineRule="auto"/>
        <w:jc w:val="both"/>
      </w:pPr>
      <w:r>
        <w:rPr>
          <w:rtl w:val="0"/>
          <w:lang w:val="en-US"/>
        </w:rPr>
        <w:t>Safeguarding is not an indirect responsibility, but a direct one, as residents may be at risk of being subject to abuse, neglect and/or poor practice. The Deputy Manager is expected to identify concerns, document them appropriately and report them according to reporting protocols. Governance also involves having knowledge of audits, incidents, complaints, policies and action plans.</w:t>
      </w:r>
    </w:p>
    <w:p>
      <w:pPr>
        <w:pStyle w:val="Body"/>
        <w:spacing w:before="100" w:after="100" w:line="360" w:lineRule="auto"/>
        <w:jc w:val="both"/>
      </w:pPr>
      <w:r>
        <w:rPr>
          <w:rtl w:val="0"/>
          <w:lang w:val="en-US"/>
        </w:rPr>
        <w:t>CQC (2026) emphasises that good governance is rooted in effective oversight and accountability. So, academic knowledge of safeguarding would only meet part of the requirement. The employer would require proof that I can use this knowledge in real-life scenarios.</w:t>
      </w:r>
    </w:p>
    <w:p>
      <w:pPr>
        <w:pStyle w:val="Heading 3"/>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3.3 Mental Health Rehabilitation Knowledge</w:t>
      </w:r>
    </w:p>
    <w:p>
      <w:pPr>
        <w:pStyle w:val="Body"/>
        <w:spacing w:before="100" w:after="100" w:line="360" w:lineRule="auto"/>
        <w:jc w:val="both"/>
      </w:pPr>
      <w:r>
        <w:rPr>
          <w:rtl w:val="0"/>
          <w:lang w:val="en-US"/>
        </w:rPr>
        <w:t>This position is focused on the residential mental health rehabilitation setting. There is a need for general care knowledge, and it is useful, but it is not sufficient. NHS England (2024) defines rehabilitation as helping to maximise recovery, independence, safety and personal outcomes. The Deputy Manager should have an awareness of the impact of long-term mental health problems on behaviour, communication, daily living and recovery.</w:t>
      </w:r>
    </w:p>
    <w:p>
      <w:pPr>
        <w:pStyle w:val="Body"/>
        <w:spacing w:before="100" w:after="100" w:line="360" w:lineRule="auto"/>
        <w:jc w:val="both"/>
      </w:pPr>
      <w:r>
        <w:rPr>
          <w:rtl w:val="0"/>
          <w:lang w:val="en-US"/>
        </w:rPr>
        <w:t>This need leaves an important gap for candidates who have a predominantly academic background. There is no evidence that anyone who has a good grasp of the principles of person-centred care is necessarily able to attend to complex mental health issues.</w:t>
      </w:r>
    </w:p>
    <w:p>
      <w:pPr>
        <w:pStyle w:val="Heading 3"/>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3.4 Communication and Professional Relationships</w:t>
      </w:r>
    </w:p>
    <w:p>
      <w:pPr>
        <w:pStyle w:val="Body"/>
        <w:spacing w:before="100" w:after="100" w:line="360" w:lineRule="auto"/>
        <w:jc w:val="both"/>
      </w:pPr>
      <w:r>
        <w:rPr>
          <w:rtl w:val="0"/>
          <w:lang w:val="en-US"/>
        </w:rPr>
        <w:t>Communication with residents, staff, families, commissioners and other professionals is required. The Deputy Manager will ensure that decisions made are clearly explained, confidentiality is maintained, and professional boundaries are maintained.</w:t>
      </w:r>
    </w:p>
    <w:p>
      <w:pPr>
        <w:pStyle w:val="Body"/>
        <w:spacing w:before="100" w:after="100" w:line="360" w:lineRule="auto"/>
        <w:jc w:val="both"/>
      </w:pPr>
      <w:r>
        <w:rPr>
          <w:rtl w:val="0"/>
          <w:lang w:val="en-US"/>
        </w:rPr>
        <w:t>Deputy Manager is a recognised role in the Care Workforce Pathway in adult social care, with clear expectations of knowledge, behaviours and progression (DHSC, 2026). This reinforces the idea of evaluating communication by demonstrating this in the workplace, not by general confidence.</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4. Evaluation of My Current Employability Profile</w:t>
      </w:r>
    </w:p>
    <w:p>
      <w:pPr>
        <w:pStyle w:val="Body"/>
        <w:spacing w:before="100" w:after="100" w:line="360" w:lineRule="auto"/>
        <w:jc w:val="both"/>
      </w:pPr>
      <w:r>
        <w:rPr>
          <w:rtl w:val="0"/>
          <w:lang w:val="en-US"/>
        </w:rPr>
        <w:t>My BSc (Hons) Health and Social Care studies provide a relevant academic background. My course builds knowledge of person-centred practice, safeguarding, equality, communication, professional responsibility and service organisation. These areas are directly related to the selected vacancy.</w:t>
      </w:r>
    </w:p>
    <w:p>
      <w:pPr>
        <w:pStyle w:val="Body"/>
        <w:spacing w:before="100" w:after="100" w:line="360" w:lineRule="auto"/>
        <w:jc w:val="both"/>
      </w:pPr>
      <w:r>
        <w:rPr>
          <w:rtl w:val="0"/>
          <w:lang w:val="en-US"/>
        </w:rPr>
        <w:t>Academic study should not be considered equal to management experience, however. The Deputy Manager role encompasses the responsibilities of managing staff, risk and governance. My academic profile does not in itself mean that I will be able to carry out these functions independently.</w:t>
      </w:r>
    </w:p>
    <w:p>
      <w:pPr>
        <w:pStyle w:val="Body"/>
        <w:spacing w:before="100" w:after="100" w:line="360" w:lineRule="auto"/>
        <w:jc w:val="both"/>
      </w:pPr>
      <w:r>
        <w:rPr>
          <w:rtl w:val="0"/>
          <w:lang w:val="en-US"/>
        </w:rPr>
        <w:t>Ng, Wut and Chan (2022) found that the combination of academic learning and practical experiences in the workplace enhances employability. This is a good addition to my current role. While my degree provides me with knowledge that I can use, it is not until I receive the evidence that I know I can actually put that knowledge into practice.</w:t>
      </w:r>
    </w:p>
    <w:p>
      <w:pPr>
        <w:pStyle w:val="Body"/>
        <w:spacing w:before="100" w:after="100" w:line="360" w:lineRule="auto"/>
        <w:jc w:val="both"/>
      </w:pPr>
      <w:r>
        <w:rPr>
          <w:rtl w:val="0"/>
          <w:lang w:val="en-US"/>
        </w:rPr>
        <w:t>My understanding of person-centred care is one of my strengths. This is important as Willow Rise is about rehabilitation and independence. One strength is the use of evidence in discussions on care decisions, which I have been developing. This might help with leadership in the future, as managers should be able to give reasons for the appropriateness of an action.</w:t>
      </w:r>
    </w:p>
    <w:p>
      <w:pPr>
        <w:pStyle w:val="Body"/>
        <w:spacing w:before="100" w:after="100" w:line="360" w:lineRule="auto"/>
        <w:jc w:val="both"/>
      </w:pPr>
      <w:r>
        <w:rPr>
          <w:rtl w:val="0"/>
          <w:lang w:val="en-US"/>
        </w:rPr>
        <w:t>The leadership of staff is the largest gap. I do not yet have a strong body of evidence relating to the management of the work of others (supervision, appraisals, handling staff conflict, poor performance and delegation). These are essential components of a Deputy Manager's job.</w:t>
      </w:r>
    </w:p>
    <w:p>
      <w:pPr>
        <w:pStyle w:val="Body"/>
        <w:spacing w:before="100" w:after="100" w:line="360" w:lineRule="auto"/>
        <w:jc w:val="both"/>
      </w:pPr>
      <w:r>
        <w:rPr>
          <w:rtl w:val="0"/>
          <w:lang w:val="en-US"/>
        </w:rPr>
        <w:t>The other gap is in direct mental health rehabilitation experience. General knowledge and understanding of Health and Social Care provide a foundation, but the vacancy demands confidence in a particular mental health context.</w:t>
      </w:r>
    </w:p>
    <w:p>
      <w:pPr>
        <w:pStyle w:val="Body"/>
        <w:spacing w:before="100" w:after="100" w:line="360" w:lineRule="auto"/>
        <w:jc w:val="both"/>
      </w:pPr>
      <w:r>
        <w:rPr>
          <w:rtl w:val="0"/>
          <w:lang w:val="en-US"/>
        </w:rPr>
        <w:t>There is also a lack of governance experience. I need to get involved in audits, safeguarding procedures, incident reporting, quality monitoring and evidence relating to the CQC. In addition, I need experience in service development, as Willow Rise is a new service.</w:t>
      </w:r>
    </w:p>
    <w:p>
      <w:pPr>
        <w:pStyle w:val="Body"/>
        <w:spacing w:before="100" w:after="100" w:line="360" w:lineRule="auto"/>
        <w:jc w:val="both"/>
      </w:pPr>
      <w:r>
        <w:rPr>
          <w:rtl w:val="0"/>
          <w:lang w:val="en-US"/>
        </w:rPr>
        <w:t>I would undertake a regular skills audit to check my evidence against the vacancy requirements. I would also draw upon the feedback from tutors, supervisors and workplace managers. According to Heymann et al. (2022), reflection is a structured process that can facilitate the development of employability competence. But reflection is only of any use if it leads to some measurable action. For instance, if I am saying I need more confidence, I would write whether I have led a handover, completed an audit or supported staff supervision.</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5. Building My Personal Brand and Professional Identity</w:t>
      </w:r>
    </w:p>
    <w:p>
      <w:pPr>
        <w:pStyle w:val="Body"/>
        <w:spacing w:before="100" w:after="100" w:line="360" w:lineRule="auto"/>
        <w:jc w:val="both"/>
      </w:pPr>
      <w:r>
        <w:rPr>
          <w:rtl w:val="0"/>
          <w:lang w:val="en-US"/>
        </w:rPr>
        <w:t>My personal brand should be in keeping with who I am building myself to be as a professional. I would present myself as a future mental health care worker who is person-centred and accountable, and who values safe working practice, staff development and continuous improvement.</w:t>
      </w:r>
    </w:p>
    <w:p>
      <w:pPr>
        <w:pStyle w:val="Body"/>
        <w:spacing w:before="100" w:after="100" w:line="360" w:lineRule="auto"/>
        <w:jc w:val="both"/>
      </w:pPr>
      <w:r>
        <w:rPr>
          <w:rtl w:val="0"/>
          <w:lang w:val="en-US"/>
        </w:rPr>
        <w:t>This is a better description of myself than "caring". There is already a standard of compassion in Health and Social Care. This does not demonstrate how I may be able to contribute at the Deputy Manager level in the future.</w:t>
      </w:r>
    </w:p>
    <w:p>
      <w:pPr>
        <w:pStyle w:val="Body"/>
        <w:spacing w:before="100" w:after="100" w:line="360" w:lineRule="auto"/>
        <w:jc w:val="both"/>
      </w:pPr>
      <w:r>
        <w:rPr>
          <w:rtl w:val="0"/>
          <w:lang w:val="en-US"/>
        </w:rPr>
        <w:t>Personal branding can be a good enabler for employability if professional strengths are clearly communicated. Tomas and Pand</w:t>
      </w:r>
      <w:r>
        <w:rPr>
          <w:rtl w:val="0"/>
        </w:rPr>
        <w:t>ž</w:t>
      </w:r>
      <w:r>
        <w:rPr>
          <w:rtl w:val="0"/>
          <w:lang w:val="en-US"/>
        </w:rPr>
        <w:t>a Bajs (2023) identified the correlation between personal branding, perceived employability and career satisfaction. A positive relationship between personal branding and perceived employability for final-year university students was also found by Anggraini and Novita (2026).</w:t>
      </w:r>
    </w:p>
    <w:p>
      <w:pPr>
        <w:pStyle w:val="Body"/>
        <w:spacing w:before="100" w:after="100" w:line="360" w:lineRule="auto"/>
        <w:jc w:val="both"/>
      </w:pPr>
      <w:r>
        <w:rPr>
          <w:rtl w:val="0"/>
          <w:lang w:val="en-US"/>
        </w:rPr>
        <w:t>This does not imply that experience is not more valuable than having a good LinkedIn profile. There is a need for employers to have evidence of competence. The evidence should therefore be the basis of my personal brand instead of claims.</w:t>
      </w:r>
    </w:p>
    <w:p>
      <w:pPr>
        <w:pStyle w:val="Body"/>
        <w:spacing w:before="100" w:after="100" w:line="360" w:lineRule="auto"/>
        <w:jc w:val="both"/>
      </w:pPr>
      <w:r>
        <w:rPr>
          <w:rtl w:val="0"/>
          <w:lang w:val="en-US"/>
        </w:rPr>
        <w:t>My CV would comprise relevant qualifications, mental health experience, safeguarding training, leadership responsibilities and measurable achievements in work. The focus of my LinkedIn profile would be on Health and Social Care, mental health rehabilitation, leadership development and person-centred practice.</w:t>
      </w:r>
    </w:p>
    <w:p>
      <w:pPr>
        <w:pStyle w:val="Body"/>
        <w:spacing w:before="100" w:after="100" w:line="360" w:lineRule="auto"/>
        <w:jc w:val="both"/>
      </w:pPr>
      <w:r>
        <w:rPr>
          <w:rtl w:val="0"/>
          <w:lang w:val="en-US"/>
        </w:rPr>
        <w:t>I would keep a professional portfolio that includes certificates, reflective notes, feedback, training and quality-improvement notes. Skills for Care (2025) emphasises the need for the workforce to be developed with clear progression paths in adult social care. This will help me to keep changing and evolving instead of sticking with one qualification.</w:t>
      </w:r>
    </w:p>
    <w:p>
      <w:pPr>
        <w:pStyle w:val="Body"/>
        <w:spacing w:before="100" w:after="100" w:line="360" w:lineRule="auto"/>
        <w:jc w:val="both"/>
      </w:pPr>
      <w:r>
        <w:rPr>
          <w:rtl w:val="0"/>
          <w:lang w:val="en-US"/>
        </w:rPr>
        <w:t>My professional network would include registered managers, deputy managers, mental health providers, university tutors and Health and Social Care groups. Networking would allow me to gain insight into the expectations in recruitment and development opportunities.</w:t>
      </w:r>
    </w:p>
    <w:p>
      <w:pPr>
        <w:pStyle w:val="Body"/>
        <w:spacing w:before="100" w:after="100" w:line="360" w:lineRule="auto"/>
        <w:jc w:val="both"/>
      </w:pPr>
      <w:r>
        <w:rPr>
          <w:rtl w:val="0"/>
          <w:lang w:val="en-US"/>
        </w:rPr>
        <w:t>The academic Health and Social Care knowledge and the intended progression into leadership in mental health services based on evidence would be my USP. This is not yet a fully realised strength, but a developing strength. It will not add value to me until I can be of service.</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en-US"/>
          <w14:textFill>
            <w14:solidFill>
              <w14:srgbClr w14:val="000000"/>
            </w14:solidFill>
          </w14:textFill>
        </w:rPr>
        <w:t>6. Personal Development and Action Plan</w:t>
      </w:r>
    </w:p>
    <w:p>
      <w:pPr>
        <w:pStyle w:val="Body"/>
        <w:spacing w:before="100" w:after="100" w:line="360" w:lineRule="auto"/>
        <w:jc w:val="both"/>
      </w:pPr>
      <w:r>
        <w:rPr>
          <w:rtl w:val="0"/>
          <w:lang w:val="en-US"/>
        </w:rPr>
        <w:t>To bridge the gap between knowledge and skills in management is the primary objective of my development plan. Direct mental health experience is my top priority. Staff management should follow, as it is more meaningful if underpinned by a practical understanding of the service for leadership development..</w:t>
      </w:r>
    </w:p>
    <w:p>
      <w:pPr>
        <w:pStyle w:val="Body"/>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Five-Year Personal Development Action Plan</w:t>
      </w: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7"/>
        <w:gridCol w:w="2394"/>
        <w:gridCol w:w="1877"/>
        <w:gridCol w:w="1292"/>
        <w:gridCol w:w="2060"/>
      </w:tblGrid>
      <w:tr>
        <w:tblPrEx>
          <w:shd w:val="clear" w:color="auto" w:fill="ced7e7"/>
        </w:tblPrEx>
        <w:trPr>
          <w:trHeight w:val="587"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hd w:val="nil" w:color="auto" w:fill="auto"/>
                <w:rtl w:val="0"/>
                <w:lang w:val="en-US"/>
              </w:rPr>
              <w:t>Development Area</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Action Required</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Resources</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Timescale</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Evidence of Achievement</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Mental health experience</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Gain paid, voluntary or placement experience in residential or community mental health care</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Mental health provider, placement service or employer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12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Work record, supervisor feedback and reflective evidence</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Safeguarding</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 advanced adult safeguarding training and observe real safeguarding procedures</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 training or recognised provider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6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Training certificate and supervision evidence</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Mental health rehabilitation</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 relevant CPD in recovery-focused and person-centred mental health support</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NHS, employer or recognised training provider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0</w:t>
            </w:r>
            <w:r>
              <w:rPr>
                <w:shd w:val="nil" w:color="auto" w:fill="auto"/>
                <w:rtl w:val="0"/>
                <w:lang w:val="en-US"/>
              </w:rPr>
              <w:t>–</w:t>
            </w:r>
            <w:r>
              <w:rPr>
                <w:shd w:val="nil" w:color="auto" w:fill="auto"/>
                <w:rtl w:val="0"/>
                <w:lang w:val="en-US"/>
              </w:rPr>
              <w:t>12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CPD certificate</w:t>
            </w:r>
          </w:p>
        </w:tc>
      </w:tr>
      <w:tr>
        <w:tblPrEx>
          <w:shd w:val="clear" w:color="auto" w:fill="ced7e7"/>
        </w:tblPrEx>
        <w:trPr>
          <w:trHeight w:val="953"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Leadership</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Lead handovers, coordinate small tasks and support new staff</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Workplace manager or senior worker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6</w:t>
            </w:r>
            <w:r>
              <w:rPr>
                <w:shd w:val="nil" w:color="auto" w:fill="auto"/>
                <w:rtl w:val="0"/>
                <w:lang w:val="en-US"/>
              </w:rPr>
              <w:t>–</w:t>
            </w:r>
            <w:r>
              <w:rPr>
                <w:shd w:val="nil" w:color="auto" w:fill="auto"/>
                <w:rtl w:val="0"/>
                <w:lang w:val="en-US"/>
              </w:rPr>
              <w:t>18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Manager feedback and recorded examples</w:t>
            </w:r>
          </w:p>
        </w:tc>
      </w:tr>
      <w:tr>
        <w:tblPrEx>
          <w:shd w:val="clear" w:color="auto" w:fill="ced7e7"/>
        </w:tblPrEx>
        <w:trPr>
          <w:trHeight w:val="953"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Governance</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Participate in audits, incident reviews and quality checks</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Workplace quality lead and CQC resources</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6</w:t>
            </w:r>
            <w:r>
              <w:rPr>
                <w:shd w:val="nil" w:color="auto" w:fill="auto"/>
                <w:rtl w:val="0"/>
                <w:lang w:val="en-US"/>
              </w:rPr>
              <w:t>–</w:t>
            </w:r>
            <w:r>
              <w:rPr>
                <w:shd w:val="nil" w:color="auto" w:fill="auto"/>
                <w:rtl w:val="0"/>
                <w:lang w:val="en-US"/>
              </w:rPr>
              <w:t>18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Audit records and quality-improvement evidence</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Staff supervision</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Shadow staff supervision and appraisal meetings before taking supervised responsibility</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Registered Manager or Deputy Manager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12</w:t>
            </w:r>
            <w:r>
              <w:rPr>
                <w:shd w:val="nil" w:color="auto" w:fill="auto"/>
                <w:rtl w:val="0"/>
                <w:lang w:val="en-US"/>
              </w:rPr>
              <w:t>–</w:t>
            </w:r>
            <w:r>
              <w:rPr>
                <w:shd w:val="nil" w:color="auto" w:fill="auto"/>
                <w:rtl w:val="0"/>
                <w:lang w:val="en-US"/>
              </w:rPr>
              <w:t>24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Supervision records and manager feedback</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Leadership qualification</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 a suitable leadership and management qualification</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Approved training provider or employer</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w:t>
            </w:r>
            <w:r>
              <w:rPr>
                <w:shd w:val="nil" w:color="auto" w:fill="auto"/>
                <w:rtl w:val="0"/>
                <w:lang w:val="en-US"/>
              </w:rPr>
              <w:t>–</w:t>
            </w:r>
            <w:r>
              <w:rPr>
                <w:shd w:val="nil" w:color="auto" w:fill="auto"/>
                <w:rtl w:val="0"/>
                <w:lang w:val="en-US"/>
              </w:rPr>
              <w:t>3 years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Completed qualification</w:t>
            </w:r>
          </w:p>
        </w:tc>
      </w:tr>
      <w:tr>
        <w:tblPrEx>
          <w:shd w:val="clear" w:color="auto" w:fill="ced7e7"/>
        </w:tblPrEx>
        <w:trPr>
          <w:trHeight w:val="953"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Service improvement</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Participate in a care-quality or service-development project</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 or placement organisation</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18</w:t>
            </w:r>
            <w:r>
              <w:rPr>
                <w:shd w:val="nil" w:color="auto" w:fill="auto"/>
                <w:rtl w:val="0"/>
                <w:lang w:val="en-US"/>
              </w:rPr>
              <w:t>–</w:t>
            </w:r>
            <w:r>
              <w:rPr>
                <w:shd w:val="nil" w:color="auto" w:fill="auto"/>
                <w:rtl w:val="0"/>
                <w:lang w:val="en-US"/>
              </w:rPr>
              <w:t>36 months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Project evidence and measured outcome</w:t>
            </w:r>
          </w:p>
        </w:tc>
      </w:tr>
      <w:tr>
        <w:tblPrEx>
          <w:shd w:val="clear" w:color="auto" w:fill="ced7e7"/>
        </w:tblPrEx>
        <w:trPr>
          <w:trHeight w:val="953"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Senior responsibility</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Progress into Senior Care Worker, Team Leader or equivalent role if needed</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Employer and job-search platforms</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2</w:t>
            </w:r>
            <w:r>
              <w:rPr>
                <w:shd w:val="nil" w:color="auto" w:fill="auto"/>
                <w:rtl w:val="0"/>
                <w:lang w:val="en-US"/>
              </w:rPr>
              <w:t>–</w:t>
            </w:r>
            <w:r>
              <w:rPr>
                <w:shd w:val="nil" w:color="auto" w:fill="auto"/>
                <w:rtl w:val="0"/>
                <w:lang w:val="en-US"/>
              </w:rPr>
              <w:t>4 years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Promotion or employment evidence</w:t>
            </w:r>
          </w:p>
        </w:tc>
      </w:tr>
      <w:tr>
        <w:tblPrEx>
          <w:shd w:val="clear" w:color="auto" w:fill="ced7e7"/>
        </w:tblPrEx>
        <w:trPr>
          <w:trHeight w:val="1319" w:hRule="atLeast"/>
        </w:trPr>
        <w:tc>
          <w:tcPr>
            <w:tcW w:type="dxa" w:w="17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Deputy Manager applications</w:t>
            </w:r>
          </w:p>
        </w:tc>
        <w:tc>
          <w:tcPr>
            <w:tcW w:type="dxa" w:w="23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Apply for Deputy Manager roles once evidence matches essential criteria</w:t>
            </w:r>
          </w:p>
        </w:tc>
        <w:tc>
          <w:tcPr>
            <w:tcW w:type="dxa" w:w="1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Indeed, LinkedIn and employer websites</w:t>
            </w:r>
          </w:p>
        </w:tc>
        <w:tc>
          <w:tcPr>
            <w:tcW w:type="dxa" w:w="12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3</w:t>
            </w:r>
            <w:r>
              <w:rPr>
                <w:shd w:val="nil" w:color="auto" w:fill="auto"/>
                <w:rtl w:val="0"/>
                <w:lang w:val="en-US"/>
              </w:rPr>
              <w:t>–</w:t>
            </w:r>
            <w:r>
              <w:rPr>
                <w:shd w:val="nil" w:color="auto" w:fill="auto"/>
                <w:rtl w:val="0"/>
                <w:lang w:val="en-US"/>
              </w:rPr>
              <w:t>5 years</w:t>
            </w:r>
          </w:p>
        </w:tc>
        <w:tc>
          <w:tcPr>
            <w:tcW w:type="dxa" w:w="20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Interviews and successful appointment</w:t>
            </w:r>
          </w:p>
        </w:tc>
      </w:tr>
    </w:tbl>
    <w:p>
      <w:pPr>
        <w:pStyle w:val="Body"/>
        <w:widowControl w:val="0"/>
        <w:spacing w:line="240" w:lineRule="auto"/>
        <w:jc w:val="both"/>
        <w:rPr>
          <w:b w:val="1"/>
          <w:bCs w:val="1"/>
          <w:outline w:val="0"/>
          <w:color w:val="000000"/>
          <w:u w:color="000000"/>
          <w14:textFill>
            <w14:solidFill>
              <w14:srgbClr w14:val="000000"/>
            </w14:solidFill>
          </w14:textFill>
        </w:rPr>
      </w:pPr>
    </w:p>
    <w:p>
      <w:pPr>
        <w:pStyle w:val="Body"/>
        <w:spacing w:before="100" w:after="100" w:line="360" w:lineRule="auto"/>
        <w:jc w:val="both"/>
      </w:pPr>
      <w:r>
        <w:rPr>
          <w:rtl w:val="0"/>
          <w:lang w:val="en-US"/>
        </w:rPr>
        <w:t>These actions are in a particular sequence. It is possible that an initial application for a Deputy Manager role might lack evidence of practical mental health and leadership knowledge. It can also present a danger of accepting responsibility before I'm ready.</w:t>
      </w:r>
    </w:p>
    <w:p>
      <w:pPr>
        <w:pStyle w:val="Body"/>
        <w:spacing w:before="100" w:after="100" w:line="360" w:lineRule="auto"/>
        <w:jc w:val="both"/>
      </w:pPr>
      <w:r>
        <w:rPr>
          <w:rtl w:val="0"/>
          <w:lang w:val="en-US"/>
        </w:rPr>
        <w:t>Skills for Care (2025) supports improved training and career progression in adult social care. Thus, the plan takes a step from the knowledge phase to supervised responsibility, and then to management.</w:t>
      </w:r>
    </w:p>
    <w:p>
      <w:pPr>
        <w:pStyle w:val="Body"/>
        <w:spacing w:before="100" w:after="100" w:line="360" w:lineRule="auto"/>
        <w:jc w:val="both"/>
      </w:pPr>
      <w:r>
        <w:rPr>
          <w:rtl w:val="0"/>
          <w:lang w:val="en-US"/>
        </w:rPr>
        <w:t>I would check the action plan every six months. Earlier leadership responsibility may mean that some goals may be accomplished earlier. I would not exclude mental health experience, as this is a key component of the advertised vacancy, however.</w:t>
      </w:r>
    </w:p>
    <w:p>
      <w:pPr>
        <w:pStyle w:val="Body"/>
        <w:spacing w:before="100" w:after="100" w:line="360" w:lineRule="auto"/>
        <w:jc w:val="both"/>
      </w:pPr>
      <w:r>
        <w:rPr>
          <w:rtl w:val="0"/>
          <w:lang w:val="en-US"/>
        </w:rPr>
        <w:t>However, sustainable employability is not a one-size-fits-all approach that doesn't account for shifts within the sector, but should be continuously evaluated rather than followed as a set plan (G</w:t>
      </w:r>
      <w:r>
        <w:rPr>
          <w:rtl w:val="0"/>
        </w:rPr>
        <w:t>ü</w:t>
      </w:r>
      <w:r>
        <w:rPr>
          <w:rtl w:val="0"/>
        </w:rPr>
        <w:t>rb</w:t>
      </w:r>
      <w:r>
        <w:rPr>
          <w:rtl w:val="0"/>
        </w:rPr>
        <w:t>ü</w:t>
      </w:r>
      <w:r>
        <w:rPr>
          <w:rtl w:val="0"/>
          <w:lang w:val="en-US"/>
        </w:rPr>
        <w:t>z et al., 2023). I need to make my development plan flexible, though with the Deputy Manager position being my primary career target.</w:t>
      </w:r>
    </w:p>
    <w:p>
      <w:pPr>
        <w:pStyle w:val="Heading 2"/>
        <w:jc w:val="both"/>
        <w:rPr>
          <w:rFonts w:ascii="Calibri" w:cs="Calibri" w:hAnsi="Calibri" w:eastAsia="Calibri"/>
          <w:b w:val="1"/>
          <w:bCs w:val="1"/>
          <w:outline w:val="0"/>
          <w:color w:val="000000"/>
          <w:sz w:val="28"/>
          <w:szCs w:val="28"/>
          <w:u w:color="000000"/>
          <w14:textFill>
            <w14:solidFill>
              <w14:srgbClr w14:val="000000"/>
            </w14:solidFill>
          </w14:textFill>
        </w:rPr>
      </w:pPr>
      <w:r>
        <w:rPr>
          <w:rFonts w:ascii="Calibri" w:hAnsi="Calibri"/>
          <w:b w:val="1"/>
          <w:bCs w:val="1"/>
          <w:outline w:val="0"/>
          <w:color w:val="000000"/>
          <w:sz w:val="28"/>
          <w:szCs w:val="28"/>
          <w:u w:color="000000"/>
          <w:rtl w:val="0"/>
          <w:lang w:val="it-IT"/>
          <w14:textFill>
            <w14:solidFill>
              <w14:srgbClr w14:val="000000"/>
            </w14:solidFill>
          </w14:textFill>
        </w:rPr>
        <w:t>7. Conclusion</w:t>
      </w:r>
    </w:p>
    <w:p>
      <w:pPr>
        <w:pStyle w:val="Body"/>
        <w:spacing w:before="100" w:after="100" w:line="360" w:lineRule="auto"/>
        <w:jc w:val="both"/>
      </w:pPr>
      <w:r>
        <w:rPr>
          <w:rtl w:val="0"/>
          <w:lang w:val="en-US"/>
        </w:rPr>
        <w:t>The Active Pathways Deputy Manager job is a realistic future goal, but I currently do not have all of the skills required, only the academic skills. The BSc Health and Social Care studies are relevant to my work and give me knowledge of person-centred care, safeguarding, communication and professional practice. But further evidence in relation to mental health rehabilitation experience, staff leadership, governance, safeguarding responsibilities and service development is still required.</w:t>
      </w:r>
    </w:p>
    <w:p>
      <w:pPr>
        <w:pStyle w:val="Body"/>
        <w:spacing w:before="100" w:after="100" w:line="360" w:lineRule="auto"/>
        <w:jc w:val="both"/>
      </w:pPr>
      <w:r>
        <w:rPr>
          <w:rtl w:val="0"/>
          <w:lang w:val="en-US"/>
        </w:rPr>
        <w:t>My own brand is going to be about accountable and person-centred mental health leadership. This identity should be reinforced with evidence from the workplace, not statements of personal attributes. There is a clear five-year course of action based on experience, training, supervision, effective work and leadership development that can help advance my profile from academic preparation to credible Deputy Manager competence.</w:t>
      </w: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before="100" w:after="100" w:line="360" w:lineRule="auto"/>
        <w:jc w:val="center"/>
        <w:outlineLvl w:val="1"/>
        <w:rPr>
          <w:b w:val="1"/>
          <w:bCs w:val="1"/>
          <w:sz w:val="28"/>
          <w:szCs w:val="28"/>
        </w:rPr>
      </w:pPr>
      <w:r>
        <w:rPr>
          <w:b w:val="1"/>
          <w:bCs w:val="1"/>
          <w:sz w:val="28"/>
          <w:szCs w:val="28"/>
          <w:rtl w:val="0"/>
          <w:lang w:val="fr-FR"/>
        </w:rPr>
        <w:t>References</w:t>
      </w:r>
    </w:p>
    <w:p>
      <w:pPr>
        <w:pStyle w:val="Body"/>
        <w:spacing w:before="100" w:after="100" w:line="360" w:lineRule="auto"/>
        <w:ind w:left="720" w:hanging="720"/>
        <w:rPr>
          <w:rStyle w:val="None"/>
        </w:rPr>
      </w:pPr>
      <w:r>
        <w:rPr>
          <w:rtl w:val="0"/>
        </w:rPr>
        <w:t xml:space="preserve">Anggraini, V.D. and Novita, M.P. (2026) </w:t>
      </w:r>
      <w:r>
        <w:rPr>
          <w:rtl w:val="1"/>
        </w:rPr>
        <w:t>‘</w:t>
      </w:r>
      <w:r>
        <w:rPr>
          <w:rtl w:val="0"/>
          <w:lang w:val="en-US"/>
        </w:rPr>
        <w:t>Enhancing self-perceived employability through personal branding: A study of final-year university students</w:t>
      </w:r>
      <w:r>
        <w:rPr>
          <w:rtl w:val="1"/>
        </w:rPr>
        <w:t>’</w:t>
      </w:r>
      <w:r>
        <w:rPr>
          <w:rtl w:val="0"/>
        </w:rPr>
        <w:t xml:space="preserve">, </w:t>
      </w:r>
      <w:r>
        <w:rPr>
          <w:i w:val="1"/>
          <w:iCs w:val="1"/>
          <w:rtl w:val="0"/>
          <w:lang w:val="es-ES_tradnl"/>
        </w:rPr>
        <w:t>Jurnal Psikologi Wijaya Putra</w:t>
      </w:r>
      <w:r>
        <w:rPr>
          <w:rtl w:val="0"/>
          <w:lang w:val="en-US"/>
        </w:rPr>
        <w:t xml:space="preserve">, 7(1). Available at: </w:t>
      </w:r>
      <w:r>
        <w:rPr>
          <w:rStyle w:val="Hyperlink.0"/>
        </w:rPr>
        <w:fldChar w:fldCharType="begin" w:fldLock="0"/>
      </w:r>
      <w:r>
        <w:rPr>
          <w:rStyle w:val="Hyperlink.0"/>
        </w:rPr>
        <w:instrText xml:space="preserve"> HYPERLINK "https://jurnal.uwp.ac.id/fpsi/index.php/psikowipa/article/view/541"</w:instrText>
      </w:r>
      <w:r>
        <w:rPr>
          <w:rStyle w:val="Hyperlink.0"/>
        </w:rPr>
        <w:fldChar w:fldCharType="separate" w:fldLock="0"/>
      </w:r>
      <w:r>
        <w:rPr>
          <w:rStyle w:val="Hyperlink.0"/>
          <w:rtl w:val="0"/>
        </w:rPr>
        <w:t>https://jurnal.uwp.ac.id/fpsi/index.php/psikowipa/article/view/541</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Care Quality Commission (CQC) (2024) </w:t>
      </w:r>
      <w:r>
        <w:rPr>
          <w:rStyle w:val="None"/>
          <w:i w:val="1"/>
          <w:iCs w:val="1"/>
          <w:rtl w:val="0"/>
          <w:lang w:val="en-US"/>
        </w:rPr>
        <w:t>Assessing quality and performance</w:t>
      </w:r>
      <w:r>
        <w:rPr>
          <w:rStyle w:val="None"/>
          <w:rtl w:val="0"/>
          <w:lang w:val="en-US"/>
        </w:rPr>
        <w:t xml:space="preserve">. Available at: </w:t>
      </w:r>
      <w:r>
        <w:rPr>
          <w:rStyle w:val="Hyperlink.0"/>
        </w:rPr>
        <w:fldChar w:fldCharType="begin" w:fldLock="0"/>
      </w:r>
      <w:r>
        <w:rPr>
          <w:rStyle w:val="Hyperlink.0"/>
        </w:rPr>
        <w:instrText xml:space="preserve"> HYPERLINK "https://www.cqc.org.uk/guidance-regulation/providers/assessment/assessing-quality-and-performance"</w:instrText>
      </w:r>
      <w:r>
        <w:rPr>
          <w:rStyle w:val="Hyperlink.0"/>
        </w:rPr>
        <w:fldChar w:fldCharType="separate" w:fldLock="0"/>
      </w:r>
      <w:r>
        <w:rPr>
          <w:rStyle w:val="Hyperlink.0"/>
          <w:rtl w:val="0"/>
          <w:lang w:val="en-US"/>
        </w:rPr>
        <w:t>https://www.cqc.org.uk/guidance-regulation/providers/assessment/assessing-quality-and-performance</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 xml:space="preserve">Care Quality Commission (CQC) (2026) </w:t>
      </w:r>
      <w:r>
        <w:rPr>
          <w:rStyle w:val="None"/>
          <w:i w:val="1"/>
          <w:iCs w:val="1"/>
          <w:rtl w:val="0"/>
          <w:lang w:val="en-US"/>
        </w:rPr>
        <w:t>Governance, management and sustainability</w:t>
      </w:r>
      <w:r>
        <w:rPr>
          <w:rStyle w:val="None"/>
          <w:rtl w:val="0"/>
          <w:lang w:val="en-US"/>
        </w:rPr>
        <w:t xml:space="preserve">. Available at: </w:t>
      </w:r>
      <w:r>
        <w:rPr>
          <w:rStyle w:val="Hyperlink.0"/>
        </w:rPr>
        <w:fldChar w:fldCharType="begin" w:fldLock="0"/>
      </w:r>
      <w:r>
        <w:rPr>
          <w:rStyle w:val="Hyperlink.0"/>
        </w:rPr>
        <w:instrText xml:space="preserve"> HYPERLINK "https://www.cqc.org.uk/guidance-regulation/local-authorities/assessment-framework/theme4/governance"</w:instrText>
      </w:r>
      <w:r>
        <w:rPr>
          <w:rStyle w:val="Hyperlink.0"/>
        </w:rPr>
        <w:fldChar w:fldCharType="separate" w:fldLock="0"/>
      </w:r>
      <w:r>
        <w:rPr>
          <w:rStyle w:val="Hyperlink.0"/>
          <w:rtl w:val="0"/>
          <w:lang w:val="en-US"/>
        </w:rPr>
        <w:t>https://www.cqc.org.uk/guidance-regulation/local-authorities/assessment-framework/theme4/governance</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 xml:space="preserve">Department of Health and Social Care (DHSC) (2022) </w:t>
      </w:r>
      <w:r>
        <w:rPr>
          <w:rStyle w:val="None"/>
          <w:i w:val="1"/>
          <w:iCs w:val="1"/>
          <w:rtl w:val="0"/>
          <w:lang w:val="en-US"/>
        </w:rPr>
        <w:t>Health and social care review: Leadership for a collaborative and inclusive future</w:t>
      </w:r>
      <w:r>
        <w:rPr>
          <w:rStyle w:val="None"/>
          <w:rtl w:val="0"/>
          <w:lang w:val="en-US"/>
        </w:rPr>
        <w:t xml:space="preserve">. London: Department of Health and Social Care. Available at: </w:t>
      </w:r>
      <w:r>
        <w:rPr>
          <w:rStyle w:val="Hyperlink.0"/>
        </w:rPr>
        <w:fldChar w:fldCharType="begin" w:fldLock="0"/>
      </w:r>
      <w:r>
        <w:rPr>
          <w:rStyle w:val="Hyperlink.0"/>
        </w:rPr>
        <w:instrText xml:space="preserve"> HYPERLINK "https://www.gov.uk/government/publications/health-and-social-care-review-leadership-for-a-collaborative-and-inclusive-future"</w:instrText>
      </w:r>
      <w:r>
        <w:rPr>
          <w:rStyle w:val="Hyperlink.0"/>
        </w:rPr>
        <w:fldChar w:fldCharType="separate" w:fldLock="0"/>
      </w:r>
      <w:r>
        <w:rPr>
          <w:rStyle w:val="Hyperlink.0"/>
          <w:rtl w:val="0"/>
          <w:lang w:val="en-US"/>
        </w:rPr>
        <w:t>https://www.gov.uk/government/publications/health-and-social-care-review-leadership-for-a-collaborative-and-inclusive-future</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 xml:space="preserve">Department of Health and Social Care (DHSC) (2026) </w:t>
      </w:r>
      <w:r>
        <w:rPr>
          <w:rStyle w:val="None"/>
          <w:i w:val="1"/>
          <w:iCs w:val="1"/>
          <w:rtl w:val="0"/>
          <w:lang w:val="en-US"/>
        </w:rPr>
        <w:t>Care workforce pathway for adult social care: Overview</w:t>
      </w:r>
      <w:r>
        <w:rPr>
          <w:rStyle w:val="None"/>
          <w:rtl w:val="0"/>
          <w:lang w:val="en-US"/>
        </w:rPr>
        <w:t xml:space="preserve">. London: Department of Health and Social Care. Available at: </w:t>
      </w:r>
      <w:r>
        <w:rPr>
          <w:rStyle w:val="Hyperlink.0"/>
        </w:rPr>
        <w:fldChar w:fldCharType="begin" w:fldLock="0"/>
      </w:r>
      <w:r>
        <w:rPr>
          <w:rStyle w:val="Hyperlink.0"/>
        </w:rPr>
        <w:instrText xml:space="preserve"> HYPERLINK "https://www.gov.uk/government/publications/care-workforce-pathway-for-adult-social-care/care-workforce-pathway-for-adult-social-care-overview"</w:instrText>
      </w:r>
      <w:r>
        <w:rPr>
          <w:rStyle w:val="Hyperlink.0"/>
        </w:rPr>
        <w:fldChar w:fldCharType="separate" w:fldLock="0"/>
      </w:r>
      <w:r>
        <w:rPr>
          <w:rStyle w:val="Hyperlink.0"/>
          <w:rtl w:val="0"/>
          <w:lang w:val="en-US"/>
        </w:rPr>
        <w:t>https://www.gov.uk/government/publications/care-workforce-pathway-for-adult-social-care/care-workforce-pathway-for-adult-social-care-overview</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G</w:t>
      </w:r>
      <w:r>
        <w:rPr>
          <w:rStyle w:val="None"/>
          <w:rtl w:val="0"/>
        </w:rPr>
        <w:t>ü</w:t>
      </w:r>
      <w:r>
        <w:rPr>
          <w:rStyle w:val="None"/>
          <w:rtl w:val="0"/>
        </w:rPr>
        <w:t>rb</w:t>
      </w:r>
      <w:r>
        <w:rPr>
          <w:rStyle w:val="None"/>
          <w:rtl w:val="0"/>
        </w:rPr>
        <w:t>ü</w:t>
      </w:r>
      <w:r>
        <w:rPr>
          <w:rStyle w:val="None"/>
          <w:rtl w:val="0"/>
          <w:lang w:val="nl-NL"/>
        </w:rPr>
        <w:t xml:space="preserve">z, S., Bakker, A.B., Demerouti, E. and Brouwers, E.P.M. (2023) </w:t>
      </w:r>
      <w:r>
        <w:rPr>
          <w:rStyle w:val="None"/>
          <w:rtl w:val="1"/>
        </w:rPr>
        <w:t>‘</w:t>
      </w:r>
      <w:r>
        <w:rPr>
          <w:rStyle w:val="None"/>
          <w:rtl w:val="0"/>
          <w:lang w:val="en-US"/>
        </w:rPr>
        <w:t>Sustainable employability and work engagement: A three-wave study</w:t>
      </w:r>
      <w:r>
        <w:rPr>
          <w:rStyle w:val="None"/>
          <w:rtl w:val="1"/>
        </w:rPr>
        <w:t>’</w:t>
      </w:r>
      <w:r>
        <w:rPr>
          <w:rStyle w:val="None"/>
          <w:rtl w:val="0"/>
        </w:rPr>
        <w:t xml:space="preserve">, </w:t>
      </w:r>
      <w:r>
        <w:rPr>
          <w:rStyle w:val="None"/>
          <w:i w:val="1"/>
          <w:iCs w:val="1"/>
          <w:rtl w:val="0"/>
          <w:lang w:val="en-US"/>
        </w:rPr>
        <w:t>Frontiers in Psychology</w:t>
      </w:r>
      <w:r>
        <w:rPr>
          <w:rStyle w:val="None"/>
          <w:rtl w:val="0"/>
          <w:lang w:val="en-US"/>
        </w:rPr>
        <w:t xml:space="preserve">, 14, 1188728. Available at: </w:t>
      </w:r>
      <w:r>
        <w:rPr>
          <w:rStyle w:val="Hyperlink.0"/>
        </w:rPr>
        <w:fldChar w:fldCharType="begin" w:fldLock="0"/>
      </w:r>
      <w:r>
        <w:rPr>
          <w:rStyle w:val="Hyperlink.0"/>
        </w:rPr>
        <w:instrText xml:space="preserve"> HYPERLINK "https://www.frontiersin.org/journals/psychology/articles/10.3389/fpsyg.2023.1188728/full"</w:instrText>
      </w:r>
      <w:r>
        <w:rPr>
          <w:rStyle w:val="Hyperlink.0"/>
        </w:rPr>
        <w:fldChar w:fldCharType="separate" w:fldLock="0"/>
      </w:r>
      <w:r>
        <w:rPr>
          <w:rStyle w:val="Hyperlink.0"/>
          <w:rtl w:val="0"/>
          <w:lang w:val="en-US"/>
        </w:rPr>
        <w:t>https://www.frontiersin.org/journals/psychology/articles/10.3389/fpsyg.2023.1188728/full</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nl-NL"/>
        </w:rPr>
        <w:t xml:space="preserve">Heymann, P., Bastiaens, E., Jansen, A., van Rosmalen, P. and Beausaert, S. (2022) </w:t>
      </w:r>
      <w:r>
        <w:rPr>
          <w:rStyle w:val="None"/>
          <w:rtl w:val="1"/>
        </w:rPr>
        <w:t>‘</w:t>
      </w:r>
      <w:r>
        <w:rPr>
          <w:rStyle w:val="None"/>
          <w:rtl w:val="0"/>
          <w:lang w:val="en-US"/>
        </w:rPr>
        <w:t>A conceptual model of students</w:t>
      </w:r>
      <w:r>
        <w:rPr>
          <w:rStyle w:val="None"/>
          <w:rtl w:val="1"/>
        </w:rPr>
        <w:t xml:space="preserve">’ </w:t>
      </w:r>
      <w:r>
        <w:rPr>
          <w:rStyle w:val="None"/>
          <w:rtl w:val="0"/>
          <w:lang w:val="en-US"/>
        </w:rPr>
        <w:t>reflective practice for the development of employability competences, supported by an online learning platform</w:t>
      </w:r>
      <w:r>
        <w:rPr>
          <w:rStyle w:val="None"/>
          <w:rtl w:val="1"/>
        </w:rPr>
        <w:t>’</w:t>
      </w:r>
      <w:r>
        <w:rPr>
          <w:rStyle w:val="None"/>
          <w:rtl w:val="0"/>
        </w:rPr>
        <w:t xml:space="preserve">, </w:t>
      </w:r>
      <w:r>
        <w:rPr>
          <w:rStyle w:val="None"/>
          <w:i w:val="1"/>
          <w:iCs w:val="1"/>
          <w:rtl w:val="0"/>
          <w:lang w:val="en-US"/>
        </w:rPr>
        <w:t>Education + Training</w:t>
      </w:r>
      <w:r>
        <w:rPr>
          <w:rStyle w:val="None"/>
          <w:rtl w:val="0"/>
        </w:rPr>
        <w:t>, 64(3), pp. 380</w:t>
      </w:r>
      <w:r>
        <w:rPr>
          <w:rStyle w:val="None"/>
          <w:rtl w:val="0"/>
        </w:rPr>
        <w:t>–</w:t>
      </w:r>
      <w:r>
        <w:rPr>
          <w:rStyle w:val="None"/>
          <w:rtl w:val="0"/>
          <w:lang w:val="en-US"/>
        </w:rPr>
        <w:t xml:space="preserve">397. Available at: </w:t>
      </w:r>
      <w:r>
        <w:rPr>
          <w:rStyle w:val="Hyperlink.0"/>
        </w:rPr>
        <w:fldChar w:fldCharType="begin" w:fldLock="0"/>
      </w:r>
      <w:r>
        <w:rPr>
          <w:rStyle w:val="Hyperlink.0"/>
        </w:rPr>
        <w:instrText xml:space="preserve"> HYPERLINK "https://doi.org/10.1108/ET-05-2021-0161"</w:instrText>
      </w:r>
      <w:r>
        <w:rPr>
          <w:rStyle w:val="Hyperlink.0"/>
        </w:rPr>
        <w:fldChar w:fldCharType="separate" w:fldLock="0"/>
      </w:r>
      <w:r>
        <w:rPr>
          <w:rStyle w:val="Hyperlink.0"/>
          <w:rtl w:val="0"/>
          <w:lang w:val="en-US"/>
        </w:rPr>
        <w:t>https://doi.org/10.1108/ET-05-2021-0161</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Indeed (2026) </w:t>
      </w:r>
      <w:r>
        <w:rPr>
          <w:rStyle w:val="None"/>
          <w:i w:val="1"/>
          <w:iCs w:val="1"/>
          <w:rtl w:val="0"/>
        </w:rPr>
        <w:t xml:space="preserve">Deputy Manager </w:t>
      </w:r>
      <w:r>
        <w:rPr>
          <w:rStyle w:val="None"/>
          <w:i w:val="1"/>
          <w:iCs w:val="1"/>
          <w:rtl w:val="0"/>
        </w:rPr>
        <w:t xml:space="preserve">– </w:t>
      </w:r>
      <w:r>
        <w:rPr>
          <w:rStyle w:val="None"/>
          <w:i w:val="1"/>
          <w:iCs w:val="1"/>
          <w:rtl w:val="0"/>
          <w:lang w:val="en-US"/>
        </w:rPr>
        <w:t>Residential Mental Health: Active Pathways, Droylsden, Manchester</w:t>
      </w:r>
      <w:r>
        <w:rPr>
          <w:rStyle w:val="None"/>
          <w:rtl w:val="0"/>
          <w:lang w:val="en-US"/>
        </w:rPr>
        <w:t xml:space="preserve">. Available at: </w:t>
      </w:r>
      <w:r>
        <w:rPr>
          <w:rStyle w:val="Hyperlink.0"/>
        </w:rPr>
        <w:fldChar w:fldCharType="begin" w:fldLock="0"/>
      </w:r>
      <w:r>
        <w:rPr>
          <w:rStyle w:val="Hyperlink.0"/>
        </w:rPr>
        <w:instrText xml:space="preserve"> HYPERLINK "https://uk.indeed.com/viewjob?jk=7bb74d73ac068192"</w:instrText>
      </w:r>
      <w:r>
        <w:rPr>
          <w:rStyle w:val="Hyperlink.0"/>
        </w:rPr>
        <w:fldChar w:fldCharType="separate" w:fldLock="0"/>
      </w:r>
      <w:r>
        <w:rPr>
          <w:rStyle w:val="Hyperlink.0"/>
          <w:rtl w:val="0"/>
          <w:lang w:val="en-US"/>
        </w:rPr>
        <w:t>https://uk.indeed.com/viewjob?jk=7bb74d73ac068192</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pt-PT"/>
        </w:rPr>
        <w:t xml:space="preserve">LaPlante, R.D., Ponte, P.R. and Magny-Normilus, C. (2025) </w:t>
      </w:r>
      <w:r>
        <w:rPr>
          <w:rStyle w:val="None"/>
          <w:rtl w:val="1"/>
        </w:rPr>
        <w:t>‘</w:t>
      </w:r>
      <w:r>
        <w:rPr>
          <w:rStyle w:val="None"/>
          <w:rtl w:val="0"/>
          <w:lang w:val="en-US"/>
        </w:rPr>
        <w:t>Essential elements and outcomes of psychological safety in the healthcare practice setting: A systematic review</w:t>
      </w:r>
      <w:r>
        <w:rPr>
          <w:rStyle w:val="None"/>
          <w:rtl w:val="1"/>
        </w:rPr>
        <w:t>’</w:t>
      </w:r>
      <w:r>
        <w:rPr>
          <w:rStyle w:val="None"/>
          <w:rtl w:val="0"/>
        </w:rPr>
        <w:t xml:space="preserve">, </w:t>
      </w:r>
      <w:r>
        <w:rPr>
          <w:rStyle w:val="None"/>
          <w:i w:val="1"/>
          <w:iCs w:val="1"/>
          <w:rtl w:val="0"/>
          <w:lang w:val="en-US"/>
        </w:rPr>
        <w:t>Applied Nursing Research</w:t>
      </w:r>
      <w:r>
        <w:rPr>
          <w:rStyle w:val="None"/>
          <w:rtl w:val="0"/>
          <w:lang w:val="en-US"/>
        </w:rPr>
        <w:t xml:space="preserve">, 83, 151946. Available at: </w:t>
      </w:r>
      <w:r>
        <w:rPr>
          <w:rStyle w:val="Hyperlink.0"/>
        </w:rPr>
        <w:fldChar w:fldCharType="begin" w:fldLock="0"/>
      </w:r>
      <w:r>
        <w:rPr>
          <w:rStyle w:val="Hyperlink.0"/>
        </w:rPr>
        <w:instrText xml:space="preserve"> HYPERLINK "https://pubmed.ncbi.nlm.nih.gov/40473348/"</w:instrText>
      </w:r>
      <w:r>
        <w:rPr>
          <w:rStyle w:val="Hyperlink.0"/>
        </w:rPr>
        <w:fldChar w:fldCharType="separate" w:fldLock="0"/>
      </w:r>
      <w:r>
        <w:rPr>
          <w:rStyle w:val="Hyperlink.0"/>
          <w:rtl w:val="0"/>
        </w:rPr>
        <w:t>https://pubmed.ncbi.nlm.nih.gov/40473348/</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 xml:space="preserve">Ng, P.M.L., Wut, T.M. and Chan, J.K.Y. (2022) </w:t>
      </w:r>
      <w:r>
        <w:rPr>
          <w:rStyle w:val="None"/>
          <w:rtl w:val="1"/>
        </w:rPr>
        <w:t>‘</w:t>
      </w:r>
      <w:r>
        <w:rPr>
          <w:rStyle w:val="None"/>
          <w:rtl w:val="0"/>
          <w:lang w:val="en-US"/>
        </w:rPr>
        <w:t>Enhancing perceived employability through work-integrated learning</w:t>
      </w:r>
      <w:r>
        <w:rPr>
          <w:rStyle w:val="None"/>
          <w:rtl w:val="1"/>
        </w:rPr>
        <w:t>’</w:t>
      </w:r>
      <w:r>
        <w:rPr>
          <w:rStyle w:val="None"/>
          <w:rtl w:val="0"/>
        </w:rPr>
        <w:t xml:space="preserve">, </w:t>
      </w:r>
      <w:r>
        <w:rPr>
          <w:rStyle w:val="None"/>
          <w:i w:val="1"/>
          <w:iCs w:val="1"/>
          <w:rtl w:val="0"/>
          <w:lang w:val="en-US"/>
        </w:rPr>
        <w:t>Education + Training</w:t>
      </w:r>
      <w:r>
        <w:rPr>
          <w:rStyle w:val="None"/>
          <w:rtl w:val="0"/>
        </w:rPr>
        <w:t>, 64(4), pp. 559</w:t>
      </w:r>
      <w:r>
        <w:rPr>
          <w:rStyle w:val="None"/>
          <w:rtl w:val="0"/>
        </w:rPr>
        <w:t>–</w:t>
      </w:r>
      <w:r>
        <w:rPr>
          <w:rStyle w:val="None"/>
          <w:rtl w:val="0"/>
          <w:lang w:val="en-US"/>
        </w:rPr>
        <w:t xml:space="preserve">576. Available at: </w:t>
      </w:r>
      <w:r>
        <w:rPr>
          <w:rStyle w:val="Hyperlink.0"/>
        </w:rPr>
        <w:fldChar w:fldCharType="begin" w:fldLock="0"/>
      </w:r>
      <w:r>
        <w:rPr>
          <w:rStyle w:val="Hyperlink.0"/>
        </w:rPr>
        <w:instrText xml:space="preserve"> HYPERLINK "https://doi.org/10.1108/ET-12-2021-0476"</w:instrText>
      </w:r>
      <w:r>
        <w:rPr>
          <w:rStyle w:val="Hyperlink.0"/>
        </w:rPr>
        <w:fldChar w:fldCharType="separate" w:fldLock="0"/>
      </w:r>
      <w:r>
        <w:rPr>
          <w:rStyle w:val="Hyperlink.0"/>
          <w:rtl w:val="0"/>
          <w:lang w:val="en-US"/>
        </w:rPr>
        <w:t>https://doi.org/10.1108/ET-12-2021-0476</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NHS England (2024) </w:t>
      </w:r>
      <w:r>
        <w:rPr>
          <w:rStyle w:val="None"/>
          <w:i w:val="1"/>
          <w:iCs w:val="1"/>
          <w:rtl w:val="0"/>
          <w:lang w:val="en-US"/>
        </w:rPr>
        <w:t>Commissioner guidance for adult mental health rehabilitation inpatient services</w:t>
      </w:r>
      <w:r>
        <w:rPr>
          <w:rStyle w:val="None"/>
          <w:rtl w:val="0"/>
          <w:lang w:val="en-US"/>
        </w:rPr>
        <w:t xml:space="preserve">. London: NHS England. Available at: </w:t>
      </w:r>
      <w:r>
        <w:rPr>
          <w:rStyle w:val="Hyperlink.0"/>
        </w:rPr>
        <w:fldChar w:fldCharType="begin" w:fldLock="0"/>
      </w:r>
      <w:r>
        <w:rPr>
          <w:rStyle w:val="Hyperlink.0"/>
        </w:rPr>
        <w:instrText xml:space="preserve"> HYPERLINK "https://www.england.nhs.uk/long-read/commissioner-guidance-for-adult-mental-health-rehabilitation-inpatient-services/"</w:instrText>
      </w:r>
      <w:r>
        <w:rPr>
          <w:rStyle w:val="Hyperlink.0"/>
        </w:rPr>
        <w:fldChar w:fldCharType="separate" w:fldLock="0"/>
      </w:r>
      <w:r>
        <w:rPr>
          <w:rStyle w:val="Hyperlink.0"/>
          <w:rtl w:val="0"/>
          <w:lang w:val="en-US"/>
        </w:rPr>
        <w:t>https://www.england.nhs.uk/long-read/commissioner-guidance-for-adult-mental-health-rehabilitation-inpatient-services/</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Skills for Care (2025) </w:t>
      </w:r>
      <w:r>
        <w:rPr>
          <w:rStyle w:val="None"/>
          <w:i w:val="1"/>
          <w:iCs w:val="1"/>
          <w:rtl w:val="0"/>
          <w:lang w:val="en-US"/>
        </w:rPr>
        <w:t>A Workforce Strategy for Adult Social Care in England</w:t>
      </w:r>
      <w:r>
        <w:rPr>
          <w:rStyle w:val="None"/>
          <w:rtl w:val="0"/>
          <w:lang w:val="en-US"/>
        </w:rPr>
        <w:t xml:space="preserve">. Leeds: Skills for Care. Available at: </w:t>
      </w:r>
      <w:r>
        <w:rPr>
          <w:rStyle w:val="Hyperlink.0"/>
        </w:rPr>
        <w:fldChar w:fldCharType="begin" w:fldLock="0"/>
      </w:r>
      <w:r>
        <w:rPr>
          <w:rStyle w:val="Hyperlink.0"/>
        </w:rPr>
        <w:instrText xml:space="preserve"> HYPERLINK "https://www.skillsforcare.org.uk/Workforce-Strategy/resources/Supporting-resources/Workforce-Strategy-for-Adult-Social-Care-in-England-July-2025.pdf"</w:instrText>
      </w:r>
      <w:r>
        <w:rPr>
          <w:rStyle w:val="Hyperlink.0"/>
        </w:rPr>
        <w:fldChar w:fldCharType="separate" w:fldLock="0"/>
      </w:r>
      <w:r>
        <w:rPr>
          <w:rStyle w:val="Hyperlink.0"/>
          <w:rtl w:val="0"/>
          <w:lang w:val="en-US"/>
        </w:rPr>
        <w:t>https://www.skillsforcare.org.uk/Workforce-Strategy/resources/Supporting-resources/Workforce-Strategy-for-Adult-Social-Care-in-England-July-2025.pdf</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lang w:val="en-US"/>
        </w:rPr>
        <w:t>Tomas, M. and Pand</w:t>
      </w:r>
      <w:r>
        <w:rPr>
          <w:rStyle w:val="None"/>
          <w:rtl w:val="0"/>
        </w:rPr>
        <w:t>ž</w:t>
      </w:r>
      <w:r>
        <w:rPr>
          <w:rStyle w:val="None"/>
          <w:rtl w:val="0"/>
        </w:rPr>
        <w:t xml:space="preserve">a Bajs, I. (2023) </w:t>
      </w:r>
      <w:r>
        <w:rPr>
          <w:rStyle w:val="None"/>
          <w:rtl w:val="1"/>
        </w:rPr>
        <w:t>‘</w:t>
      </w:r>
      <w:r>
        <w:rPr>
          <w:rStyle w:val="None"/>
          <w:rtl w:val="0"/>
          <w:lang w:val="en-US"/>
        </w:rPr>
        <w:t>The effect of personal branding factors on Generation Y employability and career satisfaction: The case of Croatia</w:t>
      </w:r>
      <w:r>
        <w:rPr>
          <w:rStyle w:val="None"/>
          <w:rtl w:val="1"/>
        </w:rPr>
        <w:t>’</w:t>
      </w:r>
      <w:r>
        <w:rPr>
          <w:rStyle w:val="None"/>
          <w:rtl w:val="0"/>
        </w:rPr>
        <w:t>, in Demir, E., Bilgin, M.H., Danis, H. and D</w:t>
      </w:r>
      <w:r>
        <w:rPr>
          <w:rStyle w:val="None"/>
          <w:rtl w:val="1"/>
        </w:rPr>
        <w:t>’</w:t>
      </w:r>
      <w:r>
        <w:rPr>
          <w:rStyle w:val="None"/>
          <w:rtl w:val="0"/>
          <w:lang w:val="it-IT"/>
        </w:rPr>
        <w:t xml:space="preserve">Ascenzo, F. (eds.) </w:t>
      </w:r>
      <w:r>
        <w:rPr>
          <w:rStyle w:val="None"/>
          <w:i w:val="1"/>
          <w:iCs w:val="1"/>
          <w:rtl w:val="0"/>
          <w:lang w:val="en-US"/>
        </w:rPr>
        <w:t>Eurasian Business and Economics Perspectives</w:t>
      </w:r>
      <w:r>
        <w:rPr>
          <w:rStyle w:val="None"/>
          <w:rtl w:val="0"/>
        </w:rPr>
        <w:t>. Cham: Springer, pp. 39</w:t>
      </w:r>
      <w:r>
        <w:rPr>
          <w:rStyle w:val="None"/>
          <w:rtl w:val="0"/>
        </w:rPr>
        <w:t>–</w:t>
      </w:r>
      <w:r>
        <w:rPr>
          <w:rStyle w:val="None"/>
          <w:rtl w:val="0"/>
          <w:lang w:val="en-US"/>
        </w:rPr>
        <w:t xml:space="preserve">56. Available at: </w:t>
      </w:r>
      <w:r>
        <w:rPr>
          <w:rStyle w:val="Hyperlink.0"/>
        </w:rPr>
        <w:fldChar w:fldCharType="begin" w:fldLock="0"/>
      </w:r>
      <w:r>
        <w:rPr>
          <w:rStyle w:val="Hyperlink.0"/>
        </w:rPr>
        <w:instrText xml:space="preserve"> HYPERLINK "https://doi.org/10.1007/978-3-031-30061-5_3"</w:instrText>
      </w:r>
      <w:r>
        <w:rPr>
          <w:rStyle w:val="Hyperlink.0"/>
        </w:rPr>
        <w:fldChar w:fldCharType="separate" w:fldLock="0"/>
      </w:r>
      <w:r>
        <w:rPr>
          <w:rStyle w:val="Hyperlink.0"/>
          <w:rtl w:val="0"/>
          <w:lang w:val="en-US"/>
        </w:rPr>
        <w:t>https://doi.org/10.1007/978-3-031-30061-5_3</w:t>
      </w:r>
      <w:r>
        <w:rPr/>
        <w:fldChar w:fldCharType="end" w:fldLock="0"/>
      </w:r>
      <w:r>
        <w:rPr>
          <w:rStyle w:val="None"/>
          <w:rtl w:val="0"/>
          <w:lang w:val="en-US"/>
        </w:rPr>
        <w:t xml:space="preserve"> (Accessed: 7 August 2026).</w:t>
      </w:r>
    </w:p>
    <w:p>
      <w:pPr>
        <w:pStyle w:val="Body"/>
        <w:spacing w:before="100" w:after="100" w:line="360" w:lineRule="auto"/>
        <w:ind w:left="720" w:hanging="720"/>
        <w:rPr>
          <w:rStyle w:val="None"/>
        </w:rPr>
      </w:pPr>
      <w:r>
        <w:rPr>
          <w:rStyle w:val="None"/>
          <w:rtl w:val="0"/>
        </w:rPr>
        <w:t xml:space="preserve">Indeed (2026) Deputy Manager </w:t>
      </w:r>
      <w:r>
        <w:rPr>
          <w:rStyle w:val="None"/>
          <w:rtl w:val="0"/>
        </w:rPr>
        <w:t xml:space="preserve">– </w:t>
      </w:r>
      <w:r>
        <w:rPr>
          <w:rStyle w:val="None"/>
          <w:rtl w:val="0"/>
          <w:lang w:val="en-US"/>
        </w:rPr>
        <w:t xml:space="preserve">Residential Mental Health: Droylsden, Manchester. Available at: </w:t>
      </w:r>
      <w:r>
        <w:rPr>
          <w:rStyle w:val="Hyperlink.1"/>
        </w:rPr>
        <w:fldChar w:fldCharType="begin" w:fldLock="0"/>
      </w:r>
      <w:r>
        <w:rPr>
          <w:rStyle w:val="Hyperlink.1"/>
        </w:rPr>
        <w:instrText xml:space="preserve"> HYPERLINK "https://uk.indeed.com/viewjob?jk=7bb74d73ac068192%2520"</w:instrText>
      </w:r>
      <w:r>
        <w:rPr>
          <w:rStyle w:val="Hyperlink.1"/>
        </w:rPr>
        <w:fldChar w:fldCharType="separate" w:fldLock="0"/>
      </w:r>
      <w:r>
        <w:rPr>
          <w:rStyle w:val="Hyperlink.1"/>
          <w:rtl w:val="0"/>
          <w:lang w:val="en-US"/>
        </w:rPr>
        <w:t>https://uk.indeed.com/viewjob?jk=7bb74d73ac068192</w:t>
      </w:r>
      <w:r>
        <w:rPr/>
        <w:fldChar w:fldCharType="end" w:fldLock="0"/>
      </w:r>
      <w:r>
        <w:rPr>
          <w:rStyle w:val="None"/>
          <w:rtl w:val="0"/>
          <w:lang w:val="en-US"/>
        </w:rPr>
        <w:t xml:space="preserve"> (Accessed: 7 August 2026).</w:t>
      </w:r>
    </w:p>
    <w:p>
      <w:pPr>
        <w:pStyle w:val="Heading 2"/>
        <w:jc w:val="both"/>
        <w:rPr>
          <w:rStyle w:val="None"/>
          <w:rFonts w:ascii="Calibri" w:cs="Calibri" w:hAnsi="Calibri" w:eastAsia="Calibri"/>
          <w:b w:val="1"/>
          <w:bCs w:val="1"/>
        </w:rPr>
      </w:pPr>
    </w:p>
    <w:p>
      <w:pPr>
        <w:pStyle w:val="Heading 2"/>
        <w:jc w:val="both"/>
        <w:rPr>
          <w:rStyle w:val="None"/>
          <w:rFonts w:ascii="Calibri" w:cs="Calibri" w:hAnsi="Calibri" w:eastAsia="Calibri"/>
          <w:b w:val="1"/>
          <w:bCs w:val="1"/>
          <w:outline w:val="0"/>
          <w:color w:val="000000"/>
          <w:sz w:val="22"/>
          <w:szCs w:val="22"/>
          <w:u w:color="000000"/>
          <w14:textFill>
            <w14:solidFill>
              <w14:srgbClr w14:val="000000"/>
            </w14:solidFill>
          </w14:textFill>
        </w:rPr>
      </w:pPr>
      <w:r>
        <w:rPr>
          <w:rStyle w:val="None"/>
          <w:rFonts w:ascii="Calibri" w:hAnsi="Calibri"/>
          <w:b w:val="1"/>
          <w:bCs w:val="1"/>
          <w:outline w:val="0"/>
          <w:color w:val="000000"/>
          <w:sz w:val="22"/>
          <w:szCs w:val="22"/>
          <w:u w:color="000000"/>
          <w:rtl w:val="0"/>
          <w:lang w:val="nl-NL"/>
          <w14:textFill>
            <w14:solidFill>
              <w14:srgbClr w14:val="000000"/>
            </w14:solidFill>
          </w14:textFill>
        </w:rPr>
        <w:t>Indeed Job Advertisement</w:t>
      </w:r>
    </w:p>
    <w:p>
      <w:pPr>
        <w:pStyle w:val="Body"/>
        <w:spacing w:before="240"/>
        <w:rPr>
          <w:rStyle w:val="None"/>
          <w:b w:val="1"/>
          <w:bCs w:val="1"/>
        </w:rPr>
      </w:pPr>
      <w:r>
        <w:rPr>
          <w:rStyle w:val="None"/>
          <w:b w:val="1"/>
          <w:bCs w:val="1"/>
          <w:rtl w:val="0"/>
        </w:rPr>
        <w:t xml:space="preserve">Deputy Manager </w:t>
      </w:r>
      <w:r>
        <w:rPr>
          <w:rStyle w:val="None"/>
          <w:b w:val="1"/>
          <w:bCs w:val="1"/>
          <w:rtl w:val="0"/>
        </w:rPr>
        <w:t xml:space="preserve">– </w:t>
      </w:r>
      <w:r>
        <w:rPr>
          <w:rStyle w:val="None"/>
          <w:b w:val="1"/>
          <w:bCs w:val="1"/>
          <w:rtl w:val="0"/>
          <w:lang w:val="en-US"/>
        </w:rPr>
        <w:t>Residential Mental Health</w:t>
      </w:r>
    </w:p>
    <w:p>
      <w:pPr>
        <w:pStyle w:val="Body"/>
        <w:spacing w:before="100" w:after="100" w:line="360" w:lineRule="auto"/>
        <w:rPr>
          <w:rStyle w:val="None"/>
        </w:rPr>
      </w:pPr>
      <w:r>
        <w:rPr>
          <w:rStyle w:val="None"/>
          <w:b w:val="1"/>
          <w:bCs w:val="1"/>
          <w:rtl w:val="0"/>
        </w:rPr>
        <w:t>Job Title:</w:t>
      </w:r>
      <w:r>
        <w:rPr>
          <w:rStyle w:val="None"/>
          <w:rtl w:val="0"/>
        </w:rPr>
        <w:t xml:space="preserve"> Deputy Manager </w:t>
      </w:r>
      <w:r>
        <w:rPr>
          <w:rStyle w:val="None"/>
          <w:rtl w:val="0"/>
        </w:rPr>
        <w:t xml:space="preserve">– </w:t>
      </w:r>
      <w:r>
        <w:rPr>
          <w:rStyle w:val="None"/>
          <w:rtl w:val="0"/>
          <w:lang w:val="en-US"/>
        </w:rPr>
        <w:t>Residential Mental Health</w:t>
      </w:r>
      <w:r>
        <w:rPr>
          <w:rStyle w:val="None"/>
        </w:rPr>
        <w:br w:type="textWrapping"/>
      </w:r>
      <w:r>
        <w:rPr>
          <w:rStyle w:val="None"/>
          <w:b w:val="1"/>
          <w:bCs w:val="1"/>
          <w:rtl w:val="0"/>
          <w:lang w:val="en-US"/>
        </w:rPr>
        <w:t>Location:</w:t>
      </w:r>
      <w:r>
        <w:rPr>
          <w:rStyle w:val="None"/>
          <w:rtl w:val="0"/>
          <w:lang w:val="it-IT"/>
        </w:rPr>
        <w:t xml:space="preserve"> Droylsden, Manchester M11 4LE</w:t>
      </w:r>
      <w:r>
        <w:rPr>
          <w:rStyle w:val="None"/>
        </w:rPr>
        <w:br w:type="textWrapping"/>
      </w:r>
      <w:r>
        <w:rPr>
          <w:rStyle w:val="None"/>
          <w:b w:val="1"/>
          <w:bCs w:val="1"/>
          <w:rtl w:val="0"/>
        </w:rPr>
        <w:t>Salary:</w:t>
      </w:r>
      <w:r>
        <w:rPr>
          <w:rStyle w:val="None"/>
          <w:rtl w:val="0"/>
          <w:lang w:val="en-US"/>
        </w:rPr>
        <w:t xml:space="preserve"> Up to </w:t>
      </w:r>
      <w:r>
        <w:rPr>
          <w:rStyle w:val="None"/>
          <w:rtl w:val="0"/>
        </w:rPr>
        <w:t>£</w:t>
      </w:r>
      <w:r>
        <w:rPr>
          <w:rStyle w:val="None"/>
          <w:rtl w:val="0"/>
          <w:lang w:val="en-US"/>
        </w:rPr>
        <w:t>37,000 per year</w:t>
      </w:r>
      <w:r>
        <w:rPr>
          <w:rStyle w:val="None"/>
        </w:rPr>
        <w:br w:type="textWrapping"/>
      </w:r>
      <w:r>
        <w:rPr>
          <w:rStyle w:val="None"/>
          <w:b w:val="1"/>
          <w:bCs w:val="1"/>
          <w:rtl w:val="0"/>
          <w:lang w:val="fr-FR"/>
        </w:rPr>
        <w:t>Employment Type:</w:t>
      </w:r>
      <w:r>
        <w:rPr>
          <w:rStyle w:val="None"/>
          <w:rtl w:val="0"/>
        </w:rPr>
        <w:t xml:space="preserve"> Full-time</w:t>
      </w:r>
      <w:r>
        <w:rPr>
          <w:rStyle w:val="None"/>
        </w:rPr>
        <w:br w:type="textWrapping"/>
      </w:r>
      <w:r>
        <w:rPr>
          <w:rStyle w:val="None"/>
          <w:b w:val="1"/>
          <w:bCs w:val="1"/>
          <w:rtl w:val="0"/>
          <w:lang w:val="fr-FR"/>
        </w:rPr>
        <w:t>Hours:</w:t>
      </w:r>
      <w:r>
        <w:rPr>
          <w:rStyle w:val="None"/>
          <w:rtl w:val="0"/>
          <w:lang w:val="en-US"/>
        </w:rPr>
        <w:t xml:space="preserve"> 37.5 hours per week</w:t>
      </w:r>
      <w:r>
        <w:rPr>
          <w:rStyle w:val="None"/>
        </w:rPr>
        <w:br w:type="textWrapping"/>
      </w:r>
      <w:r>
        <w:rPr>
          <w:rStyle w:val="None"/>
          <w:b w:val="1"/>
          <w:bCs w:val="1"/>
          <w:rtl w:val="0"/>
          <w:lang w:val="en-US"/>
        </w:rPr>
        <w:t>Service:</w:t>
      </w:r>
      <w:r>
        <w:rPr>
          <w:rStyle w:val="None"/>
          <w:rtl w:val="0"/>
          <w:lang w:val="en-US"/>
        </w:rPr>
        <w:t xml:space="preserve"> Willow Rise Residential Mental Health Rehabilitation Service</w:t>
      </w:r>
      <w:r>
        <w:rPr>
          <w:rStyle w:val="None"/>
        </w:rPr>
        <w:br w:type="textWrapping"/>
      </w:r>
      <w:r>
        <w:rPr>
          <w:rStyle w:val="None"/>
          <w:b w:val="1"/>
          <w:bCs w:val="1"/>
          <w:rtl w:val="0"/>
          <w:lang w:val="en-US"/>
        </w:rPr>
        <w:t>Employer:</w:t>
      </w:r>
      <w:r>
        <w:rPr>
          <w:rStyle w:val="None"/>
          <w:rtl w:val="0"/>
          <w:lang w:val="en-US"/>
        </w:rPr>
        <w:t xml:space="preserve"> Active Pathways</w:t>
      </w:r>
      <w:r>
        <w:rPr>
          <w:rStyle w:val="None"/>
        </w:rPr>
        <w:br w:type="textWrapping"/>
      </w:r>
      <w:r>
        <w:rPr>
          <w:rStyle w:val="None"/>
          <w:b w:val="1"/>
          <w:bCs w:val="1"/>
          <w:rtl w:val="0"/>
          <w:lang w:val="en-US"/>
        </w:rPr>
        <w:t>Source:</w:t>
      </w:r>
      <w:r>
        <w:rPr>
          <w:rStyle w:val="None"/>
          <w:rtl w:val="0"/>
        </w:rPr>
        <w:t xml:space="preserve"> Indeed (2026)</w:t>
      </w:r>
    </w:p>
    <w:p>
      <w:pPr>
        <w:pStyle w:val="Body"/>
        <w:spacing w:before="100" w:after="100" w:line="360" w:lineRule="auto"/>
        <w:jc w:val="both"/>
        <w:rPr>
          <w:rStyle w:val="None"/>
          <w:b w:val="1"/>
          <w:bCs w:val="1"/>
        </w:rPr>
      </w:pPr>
      <w:r>
        <w:rPr>
          <w:rStyle w:val="None"/>
        </w:rPr>
        <w:drawing xmlns:a="http://schemas.openxmlformats.org/drawingml/2006/main">
          <wp:inline distT="0" distB="0" distL="0" distR="0">
            <wp:extent cx="4505325" cy="350520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rcRect l="2539" t="0" r="22406" b="0"/>
                    <a:stretch>
                      <a:fillRect/>
                    </a:stretch>
                  </pic:blipFill>
                  <pic:spPr>
                    <a:xfrm>
                      <a:off x="0" y="0"/>
                      <a:ext cx="4505325" cy="350520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1: Deputy Manager vacancy details on Indeed (Indeed, 2026).</w:t>
      </w:r>
    </w:p>
    <w:p>
      <w:pPr>
        <w:pStyle w:val="Body"/>
        <w:spacing w:before="100" w:after="100" w:line="360" w:lineRule="auto"/>
        <w:jc w:val="both"/>
        <w:rPr>
          <w:rStyle w:val="None"/>
          <w:b w:val="1"/>
          <w:bCs w:val="1"/>
        </w:rPr>
      </w:pPr>
    </w:p>
    <w:p>
      <w:pPr>
        <w:pStyle w:val="Body"/>
        <w:spacing w:before="100" w:after="100" w:line="360" w:lineRule="auto"/>
        <w:jc w:val="both"/>
        <w:rPr>
          <w:rStyle w:val="None"/>
          <w:b w:val="1"/>
          <w:bCs w:val="1"/>
        </w:rPr>
      </w:pPr>
    </w:p>
    <w:p>
      <w:pPr>
        <w:pStyle w:val="Body"/>
        <w:spacing w:before="100" w:after="100" w:line="360" w:lineRule="auto"/>
        <w:jc w:val="both"/>
        <w:rPr>
          <w:rStyle w:val="None"/>
          <w:b w:val="1"/>
          <w:bCs w:val="1"/>
        </w:rPr>
      </w:pPr>
      <w:r>
        <w:rPr>
          <w:rStyle w:val="None"/>
        </w:rPr>
        <w:drawing xmlns:a="http://schemas.openxmlformats.org/drawingml/2006/main">
          <wp:inline distT="0" distB="0" distL="0" distR="0">
            <wp:extent cx="3819526" cy="3064511"/>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5">
                      <a:extLst/>
                    </a:blip>
                    <a:srcRect l="17308" t="0" r="18430" b="0"/>
                    <a:stretch>
                      <a:fillRect/>
                    </a:stretch>
                  </pic:blipFill>
                  <pic:spPr>
                    <a:xfrm>
                      <a:off x="0" y="0"/>
                      <a:ext cx="3819526" cy="3064511"/>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2: Salary, employment type and job benefits (Indeed, 2026).</w:t>
      </w:r>
    </w:p>
    <w:p>
      <w:pPr>
        <w:pStyle w:val="Body"/>
        <w:spacing w:after="0" w:line="360" w:lineRule="auto"/>
        <w:jc w:val="both"/>
        <w:rPr>
          <w:rStyle w:val="None"/>
        </w:rPr>
      </w:pPr>
      <w:r>
        <w:rPr>
          <w:rStyle w:val="None"/>
        </w:rPr>
        <w:drawing xmlns:a="http://schemas.openxmlformats.org/drawingml/2006/main">
          <wp:inline distT="0" distB="0" distL="0" distR="0">
            <wp:extent cx="4381500" cy="1962150"/>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rcRect l="4976" t="0" r="21187" b="0"/>
                    <a:stretch>
                      <a:fillRect/>
                    </a:stretch>
                  </pic:blipFill>
                  <pic:spPr>
                    <a:xfrm>
                      <a:off x="0" y="0"/>
                      <a:ext cx="4381500" cy="196215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3: Job description and right-to-work requirements (Indeed, 2026).</w:t>
      </w:r>
    </w:p>
    <w:p>
      <w:pPr>
        <w:pStyle w:val="Body"/>
        <w:spacing w:after="0" w:line="360" w:lineRule="auto"/>
        <w:jc w:val="both"/>
        <w:rPr>
          <w:rStyle w:val="None"/>
        </w:rPr>
      </w:pPr>
      <w:r>
        <w:rPr>
          <w:rStyle w:val="None"/>
        </w:rPr>
        <w:drawing xmlns:a="http://schemas.openxmlformats.org/drawingml/2006/main">
          <wp:inline distT="0" distB="0" distL="0" distR="0">
            <wp:extent cx="5276850" cy="2438140"/>
            <wp:effectExtent l="0" t="0" r="0" b="0"/>
            <wp:docPr id="1073741828" name="officeArt object" descr="Picture 4"/>
            <wp:cNvGraphicFramePr/>
            <a:graphic xmlns:a="http://schemas.openxmlformats.org/drawingml/2006/main">
              <a:graphicData uri="http://schemas.openxmlformats.org/drawingml/2006/picture">
                <pic:pic xmlns:pic="http://schemas.openxmlformats.org/drawingml/2006/picture">
                  <pic:nvPicPr>
                    <pic:cNvPr id="1073741828" name="Picture 4" descr="Picture 4"/>
                    <pic:cNvPicPr>
                      <a:picLocks noChangeAspect="1"/>
                    </pic:cNvPicPr>
                  </pic:nvPicPr>
                  <pic:blipFill>
                    <a:blip r:embed="rId7">
                      <a:extLst/>
                    </a:blip>
                    <a:srcRect l="5449" t="0" r="5769" b="0"/>
                    <a:stretch>
                      <a:fillRect/>
                    </a:stretch>
                  </pic:blipFill>
                  <pic:spPr>
                    <a:xfrm>
                      <a:off x="0" y="0"/>
                      <a:ext cx="5276850" cy="2438140"/>
                    </a:xfrm>
                    <a:prstGeom prst="rect">
                      <a:avLst/>
                    </a:prstGeom>
                    <a:ln w="12700" cap="flat">
                      <a:noFill/>
                      <a:miter lim="400000"/>
                    </a:ln>
                    <a:effectLst/>
                  </pic:spPr>
                </pic:pic>
              </a:graphicData>
            </a:graphic>
          </wp:inline>
        </w:drawing>
      </w:r>
    </w:p>
    <w:p>
      <w:pPr>
        <w:pStyle w:val="Body"/>
        <w:spacing w:before="100" w:after="100" w:line="360" w:lineRule="auto"/>
        <w:jc w:val="both"/>
        <w:rPr>
          <w:rStyle w:val="None"/>
          <w:i w:val="1"/>
          <w:iCs w:val="1"/>
        </w:rPr>
      </w:pPr>
      <w:r>
        <w:rPr>
          <w:rStyle w:val="None"/>
          <w:i w:val="1"/>
          <w:iCs w:val="1"/>
          <w:rtl w:val="0"/>
          <w:lang w:val="en-US"/>
        </w:rPr>
        <w:t>Figure 4: Willow Rise service, salary and working hours (Indeed, 2026).</w:t>
      </w:r>
    </w:p>
    <w:p>
      <w:pPr>
        <w:pStyle w:val="Body"/>
        <w:spacing w:after="0" w:line="360" w:lineRule="auto"/>
        <w:jc w:val="both"/>
        <w:rPr>
          <w:rStyle w:val="None"/>
        </w:rPr>
      </w:pPr>
      <w:r>
        <w:rPr>
          <w:rStyle w:val="None"/>
        </w:rPr>
        <w:drawing xmlns:a="http://schemas.openxmlformats.org/drawingml/2006/main">
          <wp:inline distT="0" distB="0" distL="0" distR="0">
            <wp:extent cx="5943600" cy="2755900"/>
            <wp:effectExtent l="0" t="0" r="0" b="0"/>
            <wp:docPr id="1073741829" name="officeArt object" descr="Picture 6"/>
            <wp:cNvGraphicFramePr/>
            <a:graphic xmlns:a="http://schemas.openxmlformats.org/drawingml/2006/main">
              <a:graphicData uri="http://schemas.openxmlformats.org/drawingml/2006/picture">
                <pic:pic xmlns:pic="http://schemas.openxmlformats.org/drawingml/2006/picture">
                  <pic:nvPicPr>
                    <pic:cNvPr id="1073741829" name="Picture 6" descr="Picture 6"/>
                    <pic:cNvPicPr>
                      <a:picLocks noChangeAspect="1"/>
                    </pic:cNvPicPr>
                  </pic:nvPicPr>
                  <pic:blipFill>
                    <a:blip r:embed="rId8">
                      <a:extLst/>
                    </a:blip>
                    <a:stretch>
                      <a:fillRect/>
                    </a:stretch>
                  </pic:blipFill>
                  <pic:spPr>
                    <a:xfrm>
                      <a:off x="0" y="0"/>
                      <a:ext cx="5943600" cy="2755900"/>
                    </a:xfrm>
                    <a:prstGeom prst="rect">
                      <a:avLst/>
                    </a:prstGeom>
                    <a:ln w="12700" cap="flat">
                      <a:noFill/>
                      <a:miter lim="400000"/>
                    </a:ln>
                    <a:effectLst/>
                  </pic:spPr>
                </pic:pic>
              </a:graphicData>
            </a:graphic>
          </wp:inline>
        </w:drawing>
      </w:r>
    </w:p>
    <w:p>
      <w:pPr>
        <w:pStyle w:val="Body"/>
        <w:spacing w:before="100" w:after="100" w:line="360" w:lineRule="auto"/>
        <w:jc w:val="both"/>
      </w:pPr>
      <w:r>
        <w:rPr>
          <w:rStyle w:val="None"/>
          <w:i w:val="1"/>
          <w:iCs w:val="1"/>
          <w:rtl w:val="0"/>
          <w:lang w:val="en-US"/>
        </w:rPr>
        <w:t>Figure 5: Key duties and leadership responsibilities (Indeed, 2026).</w:t>
      </w:r>
    </w:p>
    <w:sectPr>
      <w:headerReference w:type="default" r:id="rId9"/>
      <w:footerReference w:type="default" r:id="rId10"/>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0"/>
    </w:pPr>
    <w:rPr>
      <w:rFonts w:ascii="Cambria Bold" w:cs="Arial Unicode MS" w:hAnsi="Cambria Bold" w:eastAsia="Arial Unicode MS"/>
      <w:b w:val="0"/>
      <w:bCs w:val="0"/>
      <w:i w:val="0"/>
      <w:iCs w:val="0"/>
      <w:caps w:val="0"/>
      <w:smallCaps w:val="0"/>
      <w:strike w:val="0"/>
      <w:dstrike w:val="0"/>
      <w:outline w:val="0"/>
      <w:color w:val="4f81bd"/>
      <w:spacing w:val="0"/>
      <w:kern w:val="0"/>
      <w:position w:val="0"/>
      <w:sz w:val="26"/>
      <w:szCs w:val="26"/>
      <w:u w:val="none" w:color="4f81bd"/>
      <w:shd w:val="nil" w:color="auto" w:fill="auto"/>
      <w:vertAlign w:val="baseline"/>
      <w:lang w:val="fr-FR"/>
      <w14:textOutline>
        <w14:noFill/>
      </w14:textOutline>
      <w14:textFill>
        <w14:solidFill>
          <w14:srgbClr w14:val="4F81BD"/>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200" w:after="0" w:line="276" w:lineRule="auto"/>
      <w:ind w:left="0" w:right="0" w:firstLine="0"/>
      <w:jc w:val="left"/>
      <w:outlineLvl w:val="1"/>
    </w:pPr>
    <w:rPr>
      <w:rFonts w:ascii="Cambria Bold" w:cs="Arial Unicode MS" w:hAnsi="Cambria Bold" w:eastAsia="Arial Unicode MS"/>
      <w:b w:val="0"/>
      <w:bCs w:val="0"/>
      <w:i w:val="0"/>
      <w:iCs w:val="0"/>
      <w:caps w:val="0"/>
      <w:smallCaps w:val="0"/>
      <w:strike w:val="0"/>
      <w:dstrike w:val="0"/>
      <w:outline w:val="0"/>
      <w:color w:val="4f81bd"/>
      <w:spacing w:val="0"/>
      <w:kern w:val="0"/>
      <w:position w:val="0"/>
      <w:sz w:val="22"/>
      <w:szCs w:val="22"/>
      <w:u w:val="none" w:color="4f81bd"/>
      <w:shd w:val="nil" w:color="auto" w:fill="auto"/>
      <w:vertAlign w:val="baseline"/>
      <w:lang w:val="en-US"/>
      <w14:textOutline>
        <w14:noFill/>
      </w14:textOutline>
      <w14:textFill>
        <w14:solidFill>
          <w14:srgbClr w14:val="4F81BD"/>
        </w14:solidFill>
      </w14:textFill>
    </w:rPr>
  </w:style>
  <w:style w:type="character" w:styleId="None">
    <w:name w:val="None"/>
  </w:style>
  <w:style w:type="character" w:styleId="Hyperlink.0">
    <w:name w:val="Hyperlink.0"/>
    <w:basedOn w:val="None"/>
    <w:next w:val="Hyperlink.0"/>
    <w:rPr>
      <w:rFonts w:ascii="Calibri" w:cs="Calibri" w:hAnsi="Calibri" w:eastAsia="Calibri"/>
      <w:outline w:val="0"/>
      <w:color w:val="0000ff"/>
      <w:u w:val="single" w:color="0000ff"/>
      <w14:textFill>
        <w14:solidFill>
          <w14:srgbClr w14:val="0000FF"/>
        </w14:solidFill>
      </w14:textFill>
    </w:rPr>
  </w:style>
  <w:style w:type="character" w:styleId="Link">
    <w:name w:val="Link"/>
    <w:rPr>
      <w:outline w:val="0"/>
      <w:color w:val="0000ff"/>
      <w:u w:val="single" w:color="0000ff"/>
      <w14:textFill>
        <w14:solidFill>
          <w14:srgbClr w14:val="0000FF"/>
        </w14:solidFill>
      </w14:textFill>
    </w:rPr>
  </w:style>
  <w:style w:type="character" w:styleId="Hyperlink.1">
    <w:name w:val="Hyperlink.1"/>
    <w:basedOn w:val="Link"/>
    <w:next w:val="Hyperlink.1"/>
    <w:rPr>
      <w:rFonts w:ascii="Calibri" w:cs="Calibri" w:hAnsi="Calibri" w:eastAsia="Calibri"/>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