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0631B1" w14:textId="77777777" w:rsidR="00656DAD" w:rsidRDefault="00656DAD" w:rsidP="00320F76">
      <w:pPr>
        <w:spacing w:line="360" w:lineRule="auto"/>
      </w:pPr>
    </w:p>
    <w:p w14:paraId="6AF184E7" w14:textId="77777777" w:rsidR="00656DAD" w:rsidRDefault="00656DAD" w:rsidP="00320F76">
      <w:pPr>
        <w:spacing w:line="360" w:lineRule="auto"/>
        <w:jc w:val="right"/>
        <w:rPr>
          <w:color w:val="000000" w:themeColor="text1"/>
          <w:sz w:val="28"/>
          <w:szCs w:val="28"/>
          <w:lang w:val="ro-RO"/>
        </w:rPr>
      </w:pPr>
      <w:r>
        <w:rPr>
          <w:b/>
          <w:bCs/>
          <w:noProof/>
          <w:color w:val="000000" w:themeColor="text1"/>
          <w:sz w:val="56"/>
          <w:szCs w:val="56"/>
        </w:rPr>
        <w:drawing>
          <wp:inline distT="0" distB="0" distL="0" distR="0" wp14:anchorId="6EE8C004" wp14:editId="721B43C6">
            <wp:extent cx="5733415" cy="5733415"/>
            <wp:effectExtent l="0" t="0" r="635" b="63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3415" cy="5733415"/>
                    </a:xfrm>
                    <a:prstGeom prst="rect">
                      <a:avLst/>
                    </a:prstGeom>
                    <a:noFill/>
                    <a:ln>
                      <a:noFill/>
                    </a:ln>
                  </pic:spPr>
                </pic:pic>
              </a:graphicData>
            </a:graphic>
          </wp:inline>
        </w:drawing>
      </w:r>
    </w:p>
    <w:p w14:paraId="4E84713A" w14:textId="77777777" w:rsidR="00656DAD" w:rsidRDefault="00656DAD" w:rsidP="00320F76">
      <w:pPr>
        <w:spacing w:line="360" w:lineRule="auto"/>
        <w:jc w:val="right"/>
        <w:rPr>
          <w:color w:val="000000" w:themeColor="text1"/>
          <w:sz w:val="28"/>
          <w:szCs w:val="28"/>
          <w:lang w:val="ro-RO"/>
        </w:rPr>
      </w:pPr>
    </w:p>
    <w:p w14:paraId="49F899B5" w14:textId="77777777" w:rsidR="00656DAD" w:rsidRDefault="00656DAD" w:rsidP="00320F76">
      <w:pPr>
        <w:spacing w:line="360" w:lineRule="auto"/>
        <w:jc w:val="center"/>
        <w:rPr>
          <w:color w:val="000000" w:themeColor="text1"/>
          <w:sz w:val="28"/>
          <w:szCs w:val="28"/>
          <w:lang w:val="ro-RO"/>
        </w:rPr>
      </w:pPr>
      <w:r>
        <w:rPr>
          <w:b/>
          <w:bCs/>
          <w:color w:val="000000" w:themeColor="text1"/>
          <w:sz w:val="28"/>
          <w:szCs w:val="28"/>
          <w:lang w:val="ro-RO"/>
        </w:rPr>
        <w:t>LECTURER’S NAME</w:t>
      </w:r>
      <w:r>
        <w:rPr>
          <w:color w:val="000000" w:themeColor="text1"/>
          <w:sz w:val="28"/>
          <w:szCs w:val="28"/>
          <w:lang w:val="ro-RO"/>
        </w:rPr>
        <w:t>: Laura Knight</w:t>
      </w:r>
    </w:p>
    <w:p w14:paraId="612D9436" w14:textId="77777777" w:rsidR="00656DAD" w:rsidRDefault="00656DAD" w:rsidP="00320F76">
      <w:pPr>
        <w:spacing w:line="360" w:lineRule="auto"/>
        <w:jc w:val="center"/>
        <w:rPr>
          <w:color w:val="000000" w:themeColor="text1"/>
          <w:sz w:val="28"/>
          <w:szCs w:val="28"/>
          <w:lang w:val="ro-RO"/>
        </w:rPr>
      </w:pPr>
      <w:r>
        <w:rPr>
          <w:b/>
          <w:bCs/>
          <w:color w:val="000000" w:themeColor="text1"/>
          <w:sz w:val="28"/>
          <w:szCs w:val="28"/>
          <w:lang w:val="ro-RO"/>
        </w:rPr>
        <w:t>STUDENT’S NAME</w:t>
      </w:r>
      <w:r>
        <w:rPr>
          <w:color w:val="000000" w:themeColor="text1"/>
          <w:sz w:val="28"/>
          <w:szCs w:val="28"/>
          <w:lang w:val="ro-RO"/>
        </w:rPr>
        <w:t>: Andreea-Teodora Calin</w:t>
      </w:r>
    </w:p>
    <w:p w14:paraId="2C9BC531" w14:textId="77777777" w:rsidR="00656DAD" w:rsidRDefault="00656DAD" w:rsidP="00320F76">
      <w:pPr>
        <w:spacing w:line="360" w:lineRule="auto"/>
        <w:jc w:val="center"/>
        <w:rPr>
          <w:color w:val="000000" w:themeColor="text1"/>
          <w:sz w:val="28"/>
          <w:szCs w:val="28"/>
          <w:lang w:val="ro-RO"/>
        </w:rPr>
      </w:pPr>
      <w:r>
        <w:rPr>
          <w:b/>
          <w:bCs/>
          <w:color w:val="000000" w:themeColor="text1"/>
          <w:sz w:val="28"/>
          <w:szCs w:val="28"/>
          <w:lang w:val="ro-RO"/>
        </w:rPr>
        <w:t>STUDENT’S NUMBER</w:t>
      </w:r>
      <w:r>
        <w:rPr>
          <w:color w:val="000000" w:themeColor="text1"/>
          <w:sz w:val="28"/>
          <w:szCs w:val="28"/>
          <w:lang w:val="ro-RO"/>
        </w:rPr>
        <w:t>: 2207380</w:t>
      </w:r>
    </w:p>
    <w:p w14:paraId="6CE3BB33" w14:textId="77777777" w:rsidR="00656DAD" w:rsidRDefault="00656DAD" w:rsidP="00320F76">
      <w:pPr>
        <w:spacing w:line="360" w:lineRule="auto"/>
      </w:pPr>
    </w:p>
    <w:p w14:paraId="2755F940" w14:textId="77777777" w:rsidR="00656DAD" w:rsidRDefault="00656DAD" w:rsidP="00320F76">
      <w:pPr>
        <w:spacing w:line="360" w:lineRule="auto"/>
      </w:pPr>
    </w:p>
    <w:p w14:paraId="675EA887" w14:textId="77777777" w:rsidR="00656DAD" w:rsidRDefault="00656DAD" w:rsidP="00320F76">
      <w:pPr>
        <w:spacing w:line="360" w:lineRule="auto"/>
      </w:pPr>
    </w:p>
    <w:p w14:paraId="466D2EC5" w14:textId="77777777" w:rsidR="00656DAD" w:rsidRDefault="00656DAD" w:rsidP="00320F76">
      <w:pPr>
        <w:spacing w:line="360" w:lineRule="auto"/>
      </w:pPr>
    </w:p>
    <w:p w14:paraId="7A056293" w14:textId="77777777" w:rsidR="00656DAD" w:rsidRDefault="00656DAD" w:rsidP="00320F76">
      <w:pPr>
        <w:spacing w:line="360" w:lineRule="auto"/>
      </w:pPr>
    </w:p>
    <w:p w14:paraId="5D069ECF" w14:textId="77777777" w:rsidR="00656DAD" w:rsidRDefault="00656DAD" w:rsidP="00320F76">
      <w:pPr>
        <w:spacing w:line="360" w:lineRule="auto"/>
      </w:pPr>
    </w:p>
    <w:p w14:paraId="35314CAF" w14:textId="61766A50" w:rsidR="00A03B28" w:rsidRDefault="00A03B28" w:rsidP="00320F76">
      <w:pPr>
        <w:spacing w:line="360" w:lineRule="auto"/>
        <w:jc w:val="both"/>
        <w:rPr>
          <w:sz w:val="24"/>
          <w:szCs w:val="24"/>
        </w:rPr>
      </w:pPr>
      <w:r>
        <w:rPr>
          <w:sz w:val="24"/>
          <w:szCs w:val="24"/>
        </w:rPr>
        <w:lastRenderedPageBreak/>
        <w:t xml:space="preserve">        </w:t>
      </w:r>
      <w:r w:rsidRPr="007674D7">
        <w:rPr>
          <w:sz w:val="24"/>
          <w:szCs w:val="24"/>
        </w:rPr>
        <w:t>Firstly it will be talked about when Hadley jumped over Ronan’s House fence and broke the bench that he landed which is known as being Criminal Damage according to Section 1 of the Criminal Damage Act 1971, which says "A person who without lawful excuse destroys or damages any property belonging to another intending to destroy or damage any such property or being reckless as to whether any such property would be destroyed or damaged shall be guilty of an offence.” (</w:t>
      </w:r>
      <w:hyperlink r:id="rId6">
        <w:r w:rsidR="00BF4D91" w:rsidRPr="00CE344C">
          <w:rPr>
            <w:color w:val="000000" w:themeColor="text1"/>
            <w:sz w:val="24"/>
            <w:szCs w:val="24"/>
          </w:rPr>
          <w:t>Criminal</w:t>
        </w:r>
      </w:hyperlink>
      <w:r w:rsidR="00BF4D91" w:rsidRPr="00CE344C">
        <w:rPr>
          <w:color w:val="000000" w:themeColor="text1"/>
          <w:sz w:val="24"/>
          <w:szCs w:val="24"/>
        </w:rPr>
        <w:t xml:space="preserve"> Damage Act </w:t>
      </w:r>
      <w:r w:rsidR="00BF4D91">
        <w:rPr>
          <w:color w:val="000000" w:themeColor="text1"/>
          <w:sz w:val="24"/>
          <w:szCs w:val="24"/>
        </w:rPr>
        <w:t>1971</w:t>
      </w:r>
      <w:r w:rsidRPr="007674D7">
        <w:rPr>
          <w:sz w:val="24"/>
          <w:szCs w:val="24"/>
        </w:rPr>
        <w:t xml:space="preserve">). There are five elements of criminal damage, there is property, that belongs to another, Defendant’s conduct, destroys or damages the property, Defendant does not have a lawful excuse and Defendant intends or is reckless to destroying or damaging property. </w:t>
      </w:r>
    </w:p>
    <w:p w14:paraId="74B3CBB3" w14:textId="06F50154" w:rsidR="00F01E69" w:rsidRDefault="00A03B28" w:rsidP="00320F76">
      <w:pPr>
        <w:spacing w:line="360" w:lineRule="auto"/>
        <w:jc w:val="both"/>
        <w:rPr>
          <w:sz w:val="24"/>
          <w:szCs w:val="24"/>
        </w:rPr>
      </w:pPr>
      <w:r>
        <w:rPr>
          <w:sz w:val="24"/>
          <w:szCs w:val="24"/>
        </w:rPr>
        <w:t xml:space="preserve">        </w:t>
      </w:r>
      <w:r w:rsidR="003525BD">
        <w:rPr>
          <w:sz w:val="24"/>
          <w:szCs w:val="24"/>
        </w:rPr>
        <w:t>The s</w:t>
      </w:r>
      <w:r w:rsidRPr="007674D7">
        <w:rPr>
          <w:sz w:val="24"/>
          <w:szCs w:val="24"/>
        </w:rPr>
        <w:t xml:space="preserve">ame actions </w:t>
      </w:r>
      <w:r w:rsidR="003525BD" w:rsidRPr="007674D7">
        <w:rPr>
          <w:sz w:val="24"/>
          <w:szCs w:val="24"/>
        </w:rPr>
        <w:t>were</w:t>
      </w:r>
      <w:r w:rsidRPr="007674D7">
        <w:rPr>
          <w:sz w:val="24"/>
          <w:szCs w:val="24"/>
        </w:rPr>
        <w:t xml:space="preserve"> seen in the case of </w:t>
      </w:r>
      <w:r w:rsidRPr="007674D7">
        <w:rPr>
          <w:color w:val="212529"/>
          <w:sz w:val="24"/>
          <w:szCs w:val="24"/>
        </w:rPr>
        <w:t>R v Miller [1983] 2 AC 161</w:t>
      </w:r>
      <w:r w:rsidRPr="007674D7">
        <w:rPr>
          <w:sz w:val="24"/>
          <w:szCs w:val="24"/>
        </w:rPr>
        <w:t xml:space="preserve"> where Mr Miller fell asleep intoxicated with a lit cigarette causing the house to catch on fire creating 800 pounds worth of damage </w:t>
      </w:r>
      <w:r w:rsidRPr="00B60248">
        <w:rPr>
          <w:color w:val="000000" w:themeColor="text1"/>
          <w:sz w:val="24"/>
          <w:szCs w:val="24"/>
        </w:rPr>
        <w:t>(</w:t>
      </w:r>
      <w:r w:rsidR="00315F93" w:rsidRPr="00CE344C">
        <w:rPr>
          <w:color w:val="000000" w:themeColor="text1"/>
          <w:sz w:val="24"/>
          <w:szCs w:val="24"/>
        </w:rPr>
        <w:t>R v Miller</w:t>
      </w:r>
      <w:r w:rsidR="00315F93">
        <w:rPr>
          <w:color w:val="000000" w:themeColor="text1"/>
          <w:sz w:val="24"/>
          <w:szCs w:val="24"/>
        </w:rPr>
        <w:t>, Law Teacher, 2021</w:t>
      </w:r>
      <w:r w:rsidRPr="007674D7">
        <w:rPr>
          <w:sz w:val="24"/>
          <w:szCs w:val="24"/>
        </w:rPr>
        <w:t xml:space="preserve">) even though that was not his intention the recklessness around his actions showed enough to the judge to charge him with criminal damage. </w:t>
      </w:r>
      <w:r w:rsidR="007971A8" w:rsidRPr="007971A8">
        <w:rPr>
          <w:sz w:val="24"/>
          <w:szCs w:val="24"/>
        </w:rPr>
        <w:t xml:space="preserve">In this case, even though Hadley did not intend to break the bench in Ronan's yard, his recklessness in doing so and later going in to steal and commit arson is enough for the judge to charge him with criminal </w:t>
      </w:r>
      <w:r w:rsidR="00712B25" w:rsidRPr="007971A8">
        <w:rPr>
          <w:sz w:val="24"/>
          <w:szCs w:val="24"/>
        </w:rPr>
        <w:t>damage</w:t>
      </w:r>
      <w:r w:rsidR="00712B25" w:rsidRPr="007674D7">
        <w:rPr>
          <w:sz w:val="24"/>
          <w:szCs w:val="24"/>
        </w:rPr>
        <w:t xml:space="preserve">. </w:t>
      </w:r>
    </w:p>
    <w:p w14:paraId="6DDD97C7" w14:textId="3560D724" w:rsidR="00784C10" w:rsidRDefault="00F01E69" w:rsidP="00320F76">
      <w:pPr>
        <w:spacing w:line="360" w:lineRule="auto"/>
        <w:jc w:val="both"/>
        <w:rPr>
          <w:sz w:val="24"/>
          <w:szCs w:val="24"/>
          <w:highlight w:val="white"/>
        </w:rPr>
      </w:pPr>
      <w:r>
        <w:rPr>
          <w:sz w:val="24"/>
          <w:szCs w:val="24"/>
        </w:rPr>
        <w:t xml:space="preserve">        </w:t>
      </w:r>
      <w:r w:rsidR="00712B25" w:rsidRPr="00712B25">
        <w:rPr>
          <w:sz w:val="24"/>
          <w:szCs w:val="24"/>
        </w:rPr>
        <w:t xml:space="preserve">The </w:t>
      </w:r>
      <w:proofErr w:type="spellStart"/>
      <w:r w:rsidR="00712B25" w:rsidRPr="00712B25">
        <w:rPr>
          <w:sz w:val="24"/>
          <w:szCs w:val="24"/>
        </w:rPr>
        <w:t>mens</w:t>
      </w:r>
      <w:proofErr w:type="spellEnd"/>
      <w:r w:rsidR="00712B25" w:rsidRPr="00712B25">
        <w:rPr>
          <w:sz w:val="24"/>
          <w:szCs w:val="24"/>
        </w:rPr>
        <w:t xml:space="preserve"> rea for this situation is in place due to Hadley intending to destroy or damage the property or being reckless by trying to gain access to the property with intent to steal and create arson </w:t>
      </w:r>
      <w:proofErr w:type="gramStart"/>
      <w:r w:rsidR="00712B25" w:rsidRPr="00712B25">
        <w:rPr>
          <w:sz w:val="24"/>
          <w:szCs w:val="24"/>
        </w:rPr>
        <w:t>later on</w:t>
      </w:r>
      <w:proofErr w:type="gramEnd"/>
      <w:r w:rsidR="00712B25" w:rsidRPr="00712B25">
        <w:rPr>
          <w:sz w:val="24"/>
          <w:szCs w:val="24"/>
        </w:rPr>
        <w:t>.</w:t>
      </w:r>
      <w:r w:rsidRPr="007674D7">
        <w:rPr>
          <w:sz w:val="24"/>
          <w:szCs w:val="24"/>
        </w:rPr>
        <w:t xml:space="preserve"> The actus reus is viable as well due to Hadley causing damage to a “tangible item, real or personal”, in this case the bench and he did caused damage to it by breaking it which occurred from his reckless actions of trying to gain access to the property. After breaking the bench, Hadley wanted to gain access to the house which he did by using a piece of bamboo found in the garden to insert through the cat flap and hook the keys from the inside which is classed as Burglary according to Section 9, 1 (a) of the Theft Act 1968 “</w:t>
      </w:r>
      <w:r w:rsidRPr="007674D7">
        <w:rPr>
          <w:sz w:val="24"/>
          <w:szCs w:val="24"/>
          <w:highlight w:val="white"/>
        </w:rPr>
        <w:t>he enters any building or part of a building as a trespasser and with intent to commit any such offence as is mentioned</w:t>
      </w:r>
      <w:r w:rsidR="00AD744C">
        <w:rPr>
          <w:sz w:val="24"/>
          <w:szCs w:val="24"/>
          <w:highlight w:val="white"/>
        </w:rPr>
        <w:t> </w:t>
      </w:r>
      <w:r w:rsidR="00115D97" w:rsidRPr="007674D7">
        <w:rPr>
          <w:sz w:val="24"/>
          <w:szCs w:val="24"/>
          <w:highlight w:val="white"/>
        </w:rPr>
        <w:t>in subsection</w:t>
      </w:r>
      <w:r w:rsidR="00AD744C">
        <w:rPr>
          <w:sz w:val="24"/>
          <w:szCs w:val="24"/>
          <w:highlight w:val="white"/>
        </w:rPr>
        <w:t> </w:t>
      </w:r>
      <w:r w:rsidRPr="007674D7">
        <w:rPr>
          <w:sz w:val="24"/>
          <w:szCs w:val="24"/>
          <w:highlight w:val="white"/>
        </w:rPr>
        <w:t>(2)</w:t>
      </w:r>
      <w:r w:rsidR="00AD744C">
        <w:rPr>
          <w:sz w:val="24"/>
          <w:szCs w:val="24"/>
          <w:highlight w:val="white"/>
        </w:rPr>
        <w:t> </w:t>
      </w:r>
      <w:r w:rsidRPr="007674D7">
        <w:rPr>
          <w:sz w:val="24"/>
          <w:szCs w:val="24"/>
          <w:highlight w:val="white"/>
        </w:rPr>
        <w:t>below;</w:t>
      </w:r>
      <w:r w:rsidR="00AD744C">
        <w:rPr>
          <w:sz w:val="24"/>
          <w:szCs w:val="24"/>
          <w:highlight w:val="white"/>
        </w:rPr>
        <w:t> </w:t>
      </w:r>
      <w:r w:rsidR="0085507C">
        <w:rPr>
          <w:sz w:val="24"/>
          <w:szCs w:val="24"/>
          <w:highlight w:val="white"/>
        </w:rPr>
        <w:t>o</w:t>
      </w:r>
      <w:r w:rsidRPr="007674D7">
        <w:rPr>
          <w:sz w:val="24"/>
          <w:szCs w:val="24"/>
          <w:highlight w:val="white"/>
        </w:rPr>
        <w:t>r”</w:t>
      </w:r>
      <w:r w:rsidRPr="00784C10">
        <w:rPr>
          <w:color w:val="000000" w:themeColor="text1"/>
          <w:sz w:val="24"/>
          <w:szCs w:val="24"/>
          <w:highlight w:val="white"/>
        </w:rPr>
        <w:t>(</w:t>
      </w:r>
      <w:hyperlink r:id="rId7">
        <w:r w:rsidR="00603E8B" w:rsidRPr="00CE344C">
          <w:rPr>
            <w:color w:val="000000" w:themeColor="text1"/>
            <w:sz w:val="24"/>
            <w:szCs w:val="24"/>
            <w:highlight w:val="white"/>
          </w:rPr>
          <w:t>Theft</w:t>
        </w:r>
      </w:hyperlink>
      <w:r w:rsidR="00603E8B" w:rsidRPr="00CE344C">
        <w:rPr>
          <w:color w:val="000000" w:themeColor="text1"/>
          <w:sz w:val="24"/>
          <w:szCs w:val="24"/>
          <w:highlight w:val="white"/>
        </w:rPr>
        <w:t xml:space="preserve"> Act</w:t>
      </w:r>
      <w:r w:rsidR="00603E8B">
        <w:rPr>
          <w:color w:val="000000" w:themeColor="text1"/>
          <w:sz w:val="24"/>
          <w:szCs w:val="24"/>
          <w:highlight w:val="white"/>
        </w:rPr>
        <w:t xml:space="preserve"> 1968</w:t>
      </w:r>
      <w:r w:rsidRPr="007674D7">
        <w:rPr>
          <w:sz w:val="24"/>
          <w:szCs w:val="24"/>
          <w:highlight w:val="white"/>
        </w:rPr>
        <w:t>).</w:t>
      </w:r>
    </w:p>
    <w:p w14:paraId="40714F92" w14:textId="740A8636" w:rsidR="00DE26C0" w:rsidRDefault="00784C10" w:rsidP="00320F76">
      <w:pPr>
        <w:pStyle w:val="NormalWeb"/>
        <w:spacing w:line="360" w:lineRule="auto"/>
        <w:jc w:val="both"/>
        <w:rPr>
          <w:rFonts w:ascii="Arial" w:hAnsi="Arial" w:cs="Arial"/>
          <w:color w:val="000000" w:themeColor="text1"/>
        </w:rPr>
      </w:pPr>
      <w:r w:rsidRPr="006675E8">
        <w:rPr>
          <w:color w:val="000000" w:themeColor="text1"/>
          <w:highlight w:val="white"/>
        </w:rPr>
        <w:t xml:space="preserve">        </w:t>
      </w:r>
      <w:r w:rsidRPr="006675E8">
        <w:rPr>
          <w:rFonts w:ascii="Arial" w:hAnsi="Arial" w:cs="Arial"/>
          <w:color w:val="000000" w:themeColor="text1"/>
          <w:highlight w:val="white"/>
        </w:rPr>
        <w:t xml:space="preserve">As it is said in the legislation already, it </w:t>
      </w:r>
      <w:r w:rsidR="00E164A1" w:rsidRPr="006675E8">
        <w:rPr>
          <w:rFonts w:ascii="Arial" w:hAnsi="Arial" w:cs="Arial"/>
          <w:color w:val="000000" w:themeColor="text1"/>
          <w:highlight w:val="white"/>
        </w:rPr>
        <w:t>doesn’t</w:t>
      </w:r>
      <w:r w:rsidRPr="006675E8">
        <w:rPr>
          <w:rFonts w:ascii="Arial" w:hAnsi="Arial" w:cs="Arial"/>
          <w:color w:val="000000" w:themeColor="text1"/>
          <w:highlight w:val="white"/>
        </w:rPr>
        <w:t xml:space="preserve"> matter if his body did not enter the premises but once he uses an object to gain access to the goods inside the property or to gain access to the property itself it is classed as </w:t>
      </w:r>
      <w:r w:rsidR="00594734" w:rsidRPr="006675E8">
        <w:rPr>
          <w:rFonts w:ascii="Arial" w:hAnsi="Arial" w:cs="Arial"/>
          <w:color w:val="000000" w:themeColor="text1"/>
          <w:highlight w:val="white"/>
        </w:rPr>
        <w:t>b</w:t>
      </w:r>
      <w:r w:rsidRPr="006675E8">
        <w:rPr>
          <w:rFonts w:ascii="Arial" w:hAnsi="Arial" w:cs="Arial"/>
          <w:color w:val="000000" w:themeColor="text1"/>
          <w:highlight w:val="white"/>
        </w:rPr>
        <w:t xml:space="preserve">urglary. Same as in the case of [R v Brown 1985] where the defendant </w:t>
      </w:r>
      <w:r w:rsidRPr="00320F76">
        <w:rPr>
          <w:rFonts w:ascii="Arial" w:hAnsi="Arial" w:cs="Arial"/>
          <w:color w:val="000000" w:themeColor="text1"/>
          <w:highlight w:val="white"/>
        </w:rPr>
        <w:t xml:space="preserve">broke a window from a shop and only stick </w:t>
      </w:r>
      <w:r w:rsidRPr="00320F76">
        <w:rPr>
          <w:rFonts w:ascii="Arial" w:hAnsi="Arial" w:cs="Arial"/>
          <w:color w:val="000000" w:themeColor="text1"/>
          <w:highlight w:val="white"/>
        </w:rPr>
        <w:lastRenderedPageBreak/>
        <w:t xml:space="preserve">half of his body inside the shop to steal from the property, </w:t>
      </w:r>
      <w:r w:rsidR="00260FB7" w:rsidRPr="00320F76">
        <w:rPr>
          <w:rFonts w:ascii="Arial" w:hAnsi="Arial" w:cs="Arial"/>
          <w:color w:val="000000" w:themeColor="text1"/>
        </w:rPr>
        <w:t xml:space="preserve">that is an effective entry, and </w:t>
      </w:r>
      <w:proofErr w:type="gramStart"/>
      <w:r w:rsidR="00260FB7" w:rsidRPr="00320F76">
        <w:rPr>
          <w:rFonts w:ascii="Arial" w:hAnsi="Arial" w:cs="Arial"/>
          <w:color w:val="000000" w:themeColor="text1"/>
        </w:rPr>
        <w:t>as long as</w:t>
      </w:r>
      <w:proofErr w:type="gramEnd"/>
      <w:r w:rsidR="00260FB7" w:rsidRPr="00320F76">
        <w:rPr>
          <w:rFonts w:ascii="Arial" w:hAnsi="Arial" w:cs="Arial"/>
          <w:color w:val="000000" w:themeColor="text1"/>
        </w:rPr>
        <w:t xml:space="preserve"> an effective entry is in place, a burglary has been committed.</w:t>
      </w:r>
      <w:r w:rsidR="00DE26C0">
        <w:rPr>
          <w:rFonts w:ascii="Arial" w:hAnsi="Arial" w:cs="Arial"/>
          <w:color w:val="000000" w:themeColor="text1"/>
        </w:rPr>
        <w:t xml:space="preserve"> </w:t>
      </w:r>
      <w:r w:rsidR="00FC351C" w:rsidRPr="00320F76">
        <w:rPr>
          <w:rFonts w:ascii="Arial" w:hAnsi="Arial" w:cs="Arial"/>
          <w:color w:val="000000" w:themeColor="text1"/>
          <w:highlight w:val="white"/>
        </w:rPr>
        <w:t>There</w:t>
      </w:r>
      <w:r w:rsidRPr="00320F76">
        <w:rPr>
          <w:rFonts w:ascii="Arial" w:hAnsi="Arial" w:cs="Arial"/>
          <w:color w:val="000000" w:themeColor="text1"/>
          <w:highlight w:val="white"/>
        </w:rPr>
        <w:t xml:space="preserve"> </w:t>
      </w:r>
      <w:r w:rsidR="00320F76" w:rsidRPr="00320F76">
        <w:rPr>
          <w:rFonts w:ascii="Arial" w:hAnsi="Arial" w:cs="Arial"/>
          <w:color w:val="000000" w:themeColor="text1"/>
          <w:highlight w:val="white"/>
        </w:rPr>
        <w:t>are</w:t>
      </w:r>
      <w:r w:rsidRPr="00320F76">
        <w:rPr>
          <w:rFonts w:ascii="Arial" w:hAnsi="Arial" w:cs="Arial"/>
          <w:color w:val="000000" w:themeColor="text1"/>
          <w:highlight w:val="white"/>
        </w:rPr>
        <w:t xml:space="preserve"> two elements for </w:t>
      </w:r>
      <w:r w:rsidR="00320F76">
        <w:rPr>
          <w:rFonts w:ascii="Arial" w:hAnsi="Arial" w:cs="Arial"/>
          <w:color w:val="000000" w:themeColor="text1"/>
          <w:highlight w:val="white"/>
        </w:rPr>
        <w:t>b</w:t>
      </w:r>
      <w:r w:rsidRPr="00320F76">
        <w:rPr>
          <w:rFonts w:ascii="Arial" w:hAnsi="Arial" w:cs="Arial"/>
          <w:color w:val="000000" w:themeColor="text1"/>
          <w:highlight w:val="white"/>
        </w:rPr>
        <w:t>urglary, entering a building or part of a building as a trespasser with intent to commit theft, grievous bodily harm or criminal damage or having entered as a trespasser, stealing</w:t>
      </w:r>
      <w:r w:rsidR="00F2783F">
        <w:rPr>
          <w:rFonts w:ascii="Arial" w:hAnsi="Arial" w:cs="Arial"/>
          <w:color w:val="000000" w:themeColor="text1"/>
          <w:highlight w:val="white"/>
        </w:rPr>
        <w:t>,</w:t>
      </w:r>
      <w:r w:rsidRPr="00320F76">
        <w:rPr>
          <w:rFonts w:ascii="Arial" w:hAnsi="Arial" w:cs="Arial"/>
          <w:color w:val="000000" w:themeColor="text1"/>
          <w:highlight w:val="white"/>
        </w:rPr>
        <w:t xml:space="preserve"> or inflicting/attempting to inflict grievous bodily harm, is this scenario Hadley entered the building as a trespasser with intent to </w:t>
      </w:r>
      <w:r w:rsidR="00320F76" w:rsidRPr="00320F76">
        <w:rPr>
          <w:rFonts w:ascii="Arial" w:hAnsi="Arial" w:cs="Arial"/>
          <w:color w:val="000000" w:themeColor="text1"/>
          <w:highlight w:val="white"/>
        </w:rPr>
        <w:t>steal.</w:t>
      </w:r>
    </w:p>
    <w:p w14:paraId="01CADBC0" w14:textId="1F4B88A8" w:rsidR="009F6FC6" w:rsidRDefault="00DE26C0" w:rsidP="00320F76">
      <w:pPr>
        <w:pStyle w:val="NormalWeb"/>
        <w:spacing w:line="360" w:lineRule="auto"/>
        <w:jc w:val="both"/>
        <w:rPr>
          <w:rFonts w:ascii="Arial" w:hAnsi="Arial" w:cs="Arial"/>
          <w:color w:val="000000" w:themeColor="text1"/>
        </w:rPr>
      </w:pPr>
      <w:r>
        <w:rPr>
          <w:rFonts w:ascii="Arial" w:hAnsi="Arial" w:cs="Arial"/>
          <w:color w:val="000000" w:themeColor="text1"/>
        </w:rPr>
        <w:t xml:space="preserve">        </w:t>
      </w:r>
      <w:r w:rsidR="00320F76" w:rsidRPr="00320F76">
        <w:rPr>
          <w:rFonts w:ascii="Arial" w:hAnsi="Arial" w:cs="Arial"/>
          <w:color w:val="000000" w:themeColor="text1"/>
        </w:rPr>
        <w:t>The</w:t>
      </w:r>
      <w:r w:rsidRPr="00320F76">
        <w:rPr>
          <w:rFonts w:ascii="Arial" w:hAnsi="Arial" w:cs="Arial"/>
          <w:color w:val="000000" w:themeColor="text1"/>
        </w:rPr>
        <w:t xml:space="preserve"> </w:t>
      </w:r>
      <w:proofErr w:type="spellStart"/>
      <w:r w:rsidRPr="00320F76">
        <w:rPr>
          <w:rFonts w:ascii="Arial" w:hAnsi="Arial" w:cs="Arial"/>
          <w:color w:val="000000" w:themeColor="text1"/>
        </w:rPr>
        <w:t>mens</w:t>
      </w:r>
      <w:proofErr w:type="spellEnd"/>
      <w:r w:rsidRPr="00320F76">
        <w:rPr>
          <w:rFonts w:ascii="Arial" w:hAnsi="Arial" w:cs="Arial"/>
          <w:color w:val="000000" w:themeColor="text1"/>
        </w:rPr>
        <w:t xml:space="preserve"> rea is there for the actual offence in this case </w:t>
      </w:r>
      <w:r w:rsidR="0064502A">
        <w:rPr>
          <w:rFonts w:ascii="Arial" w:hAnsi="Arial" w:cs="Arial"/>
          <w:color w:val="000000" w:themeColor="text1"/>
        </w:rPr>
        <w:t>b</w:t>
      </w:r>
      <w:r w:rsidRPr="00320F76">
        <w:rPr>
          <w:rFonts w:ascii="Arial" w:hAnsi="Arial" w:cs="Arial"/>
          <w:color w:val="000000" w:themeColor="text1"/>
        </w:rPr>
        <w:t xml:space="preserve">urglary with intent to commit theft due to Section 9(1)(b) of Theft Act 1968 because of Hadley knowing that he was a trespasser once he set up his mind that he wants to steal from Ronan when he overheard him at the bar, plus he knew that the structure was a building in this case, clearly a house which is a building, and the intent to steal was there at the beginning of the whole scenario when he set it up in his mind. The Actus Reus is there as </w:t>
      </w:r>
      <w:r w:rsidR="00543D09" w:rsidRPr="00320F76">
        <w:rPr>
          <w:rFonts w:ascii="Arial" w:hAnsi="Arial" w:cs="Arial"/>
          <w:color w:val="000000" w:themeColor="text1"/>
        </w:rPr>
        <w:t>well,</w:t>
      </w:r>
      <w:r w:rsidRPr="00320F76">
        <w:rPr>
          <w:rFonts w:ascii="Arial" w:hAnsi="Arial" w:cs="Arial"/>
          <w:color w:val="000000" w:themeColor="text1"/>
        </w:rPr>
        <w:t xml:space="preserve"> and it is confirmed due to Hadley entering the structure as a trespasser and the fact that he was aware of it. Next offence that was done by Hadley was when he was inside the house looking for a pair of trainers to steal and instead found a watch which he stole, this is classed as Theft due to Section 1(1) of the Theft Act 1968 which states "A person is guilty of theft if he dishonestly appropriates property belonging to another</w:t>
      </w:r>
      <w:r w:rsidR="009E6DC2">
        <w:rPr>
          <w:rFonts w:ascii="Arial" w:hAnsi="Arial" w:cs="Arial"/>
          <w:color w:val="000000" w:themeColor="text1"/>
        </w:rPr>
        <w:t> </w:t>
      </w:r>
      <w:r w:rsidRPr="00320F76">
        <w:rPr>
          <w:rFonts w:ascii="Arial" w:hAnsi="Arial" w:cs="Arial"/>
          <w:color w:val="000000" w:themeColor="text1"/>
        </w:rPr>
        <w:t>with</w:t>
      </w:r>
      <w:r w:rsidR="009E6DC2">
        <w:rPr>
          <w:rFonts w:ascii="Arial" w:hAnsi="Arial" w:cs="Arial"/>
          <w:color w:val="000000" w:themeColor="text1"/>
        </w:rPr>
        <w:t> </w:t>
      </w:r>
      <w:r w:rsidRPr="00320F76">
        <w:rPr>
          <w:rFonts w:ascii="Arial" w:hAnsi="Arial" w:cs="Arial"/>
          <w:color w:val="000000" w:themeColor="text1"/>
        </w:rPr>
        <w:t>the</w:t>
      </w:r>
      <w:r w:rsidR="009E6DC2">
        <w:rPr>
          <w:rFonts w:ascii="Arial" w:hAnsi="Arial" w:cs="Arial"/>
          <w:color w:val="000000" w:themeColor="text1"/>
        </w:rPr>
        <w:t> </w:t>
      </w:r>
      <w:r w:rsidRPr="00320F76">
        <w:rPr>
          <w:rFonts w:ascii="Arial" w:hAnsi="Arial" w:cs="Arial"/>
          <w:color w:val="000000" w:themeColor="text1"/>
        </w:rPr>
        <w:t>intention</w:t>
      </w:r>
      <w:r w:rsidR="009E6DC2">
        <w:rPr>
          <w:rFonts w:ascii="Arial" w:hAnsi="Arial" w:cs="Arial"/>
          <w:color w:val="000000" w:themeColor="text1"/>
        </w:rPr>
        <w:t> </w:t>
      </w:r>
      <w:r w:rsidRPr="00320F76">
        <w:rPr>
          <w:rFonts w:ascii="Arial" w:hAnsi="Arial" w:cs="Arial"/>
          <w:color w:val="000000" w:themeColor="text1"/>
        </w:rPr>
        <w:t>of</w:t>
      </w:r>
      <w:r w:rsidR="009E6DC2">
        <w:rPr>
          <w:rFonts w:ascii="Arial" w:hAnsi="Arial" w:cs="Arial"/>
          <w:color w:val="000000" w:themeColor="text1"/>
        </w:rPr>
        <w:t> </w:t>
      </w:r>
      <w:r w:rsidRPr="00320F76">
        <w:rPr>
          <w:rFonts w:ascii="Arial" w:hAnsi="Arial" w:cs="Arial"/>
          <w:color w:val="000000" w:themeColor="text1"/>
        </w:rPr>
        <w:t>permanently</w:t>
      </w:r>
      <w:r w:rsidR="009E6DC2">
        <w:rPr>
          <w:rFonts w:ascii="Arial" w:hAnsi="Arial" w:cs="Arial"/>
          <w:color w:val="000000" w:themeColor="text1"/>
        </w:rPr>
        <w:t> </w:t>
      </w:r>
      <w:r w:rsidRPr="00320F76">
        <w:rPr>
          <w:rFonts w:ascii="Arial" w:hAnsi="Arial" w:cs="Arial"/>
          <w:color w:val="000000" w:themeColor="text1"/>
        </w:rPr>
        <w:t>depriving</w:t>
      </w:r>
      <w:r w:rsidR="009E6DC2">
        <w:rPr>
          <w:rFonts w:ascii="Arial" w:hAnsi="Arial" w:cs="Arial"/>
          <w:color w:val="000000" w:themeColor="text1"/>
        </w:rPr>
        <w:t> </w:t>
      </w:r>
      <w:r w:rsidRPr="00320F76">
        <w:rPr>
          <w:rFonts w:ascii="Arial" w:hAnsi="Arial" w:cs="Arial"/>
          <w:color w:val="000000" w:themeColor="text1"/>
        </w:rPr>
        <w:t>the</w:t>
      </w:r>
      <w:r w:rsidR="009E6DC2">
        <w:rPr>
          <w:rFonts w:ascii="Arial" w:hAnsi="Arial" w:cs="Arial"/>
          <w:color w:val="000000" w:themeColor="text1"/>
        </w:rPr>
        <w:t> </w:t>
      </w:r>
      <w:r w:rsidRPr="00320F76">
        <w:rPr>
          <w:rFonts w:ascii="Arial" w:hAnsi="Arial" w:cs="Arial"/>
          <w:color w:val="000000" w:themeColor="text1"/>
        </w:rPr>
        <w:t>other</w:t>
      </w:r>
      <w:r w:rsidR="009E6DC2">
        <w:rPr>
          <w:rFonts w:ascii="Arial" w:hAnsi="Arial" w:cs="Arial"/>
          <w:color w:val="000000" w:themeColor="text1"/>
        </w:rPr>
        <w:t> </w:t>
      </w:r>
      <w:r w:rsidRPr="00320F76">
        <w:rPr>
          <w:rFonts w:ascii="Arial" w:hAnsi="Arial" w:cs="Arial"/>
          <w:color w:val="000000" w:themeColor="text1"/>
        </w:rPr>
        <w:t>of</w:t>
      </w:r>
      <w:r w:rsidR="009E6DC2">
        <w:rPr>
          <w:rFonts w:ascii="Arial" w:hAnsi="Arial" w:cs="Arial"/>
          <w:color w:val="000000" w:themeColor="text1"/>
        </w:rPr>
        <w:t> </w:t>
      </w:r>
      <w:r w:rsidRPr="00320F76">
        <w:rPr>
          <w:rFonts w:ascii="Arial" w:hAnsi="Arial" w:cs="Arial"/>
          <w:color w:val="000000" w:themeColor="text1"/>
        </w:rPr>
        <w:t>it“</w:t>
      </w:r>
      <w:r w:rsidR="00A274C6">
        <w:rPr>
          <w:rFonts w:ascii="Arial" w:hAnsi="Arial" w:cs="Arial"/>
          <w:color w:val="000000" w:themeColor="text1"/>
        </w:rPr>
        <w:t> </w:t>
      </w:r>
      <w:r w:rsidRPr="00320F76">
        <w:rPr>
          <w:rFonts w:ascii="Arial" w:hAnsi="Arial" w:cs="Arial"/>
          <w:color w:val="000000" w:themeColor="text1"/>
        </w:rPr>
        <w:t>(</w:t>
      </w:r>
      <w:hyperlink r:id="rId8">
        <w:r w:rsidR="009E6DC2" w:rsidRPr="00CE344C">
          <w:rPr>
            <w:rFonts w:ascii="Arial" w:hAnsi="Arial" w:cs="Arial"/>
            <w:color w:val="000000" w:themeColor="text1"/>
          </w:rPr>
          <w:t>Theft</w:t>
        </w:r>
      </w:hyperlink>
      <w:r w:rsidR="009E6DC2" w:rsidRPr="00CE344C">
        <w:rPr>
          <w:rFonts w:ascii="Arial" w:hAnsi="Arial" w:cs="Arial"/>
          <w:color w:val="000000" w:themeColor="text1"/>
        </w:rPr>
        <w:t> Act </w:t>
      </w:r>
      <w:r w:rsidR="009E6DC2">
        <w:rPr>
          <w:rFonts w:ascii="Arial" w:hAnsi="Arial" w:cs="Arial"/>
          <w:color w:val="000000" w:themeColor="text1"/>
        </w:rPr>
        <w:t>1968</w:t>
      </w:r>
      <w:r w:rsidRPr="00320F76">
        <w:rPr>
          <w:rFonts w:ascii="Arial" w:hAnsi="Arial" w:cs="Arial"/>
          <w:color w:val="000000" w:themeColor="text1"/>
        </w:rPr>
        <w:t xml:space="preserve">). The elements of theft are, </w:t>
      </w:r>
      <w:r w:rsidR="00543D09">
        <w:rPr>
          <w:rFonts w:ascii="Arial" w:hAnsi="Arial" w:cs="Arial"/>
          <w:color w:val="000000" w:themeColor="text1"/>
        </w:rPr>
        <w:t>d</w:t>
      </w:r>
      <w:r w:rsidRPr="00320F76">
        <w:rPr>
          <w:rFonts w:ascii="Arial" w:hAnsi="Arial" w:cs="Arial"/>
          <w:color w:val="000000" w:themeColor="text1"/>
        </w:rPr>
        <w:t xml:space="preserve">efendant’s dishonesty, </w:t>
      </w:r>
      <w:r w:rsidR="00543D09">
        <w:rPr>
          <w:rFonts w:ascii="Arial" w:hAnsi="Arial" w:cs="Arial"/>
          <w:color w:val="000000" w:themeColor="text1"/>
        </w:rPr>
        <w:t>a</w:t>
      </w:r>
      <w:r w:rsidRPr="00320F76">
        <w:rPr>
          <w:rFonts w:ascii="Arial" w:hAnsi="Arial" w:cs="Arial"/>
          <w:color w:val="000000" w:themeColor="text1"/>
        </w:rPr>
        <w:t xml:space="preserve">ppropriates, </w:t>
      </w:r>
      <w:r w:rsidR="00543D09">
        <w:rPr>
          <w:rFonts w:ascii="Arial" w:hAnsi="Arial" w:cs="Arial"/>
          <w:color w:val="000000" w:themeColor="text1"/>
        </w:rPr>
        <w:t>p</w:t>
      </w:r>
      <w:r w:rsidRPr="00320F76">
        <w:rPr>
          <w:rFonts w:ascii="Arial" w:hAnsi="Arial" w:cs="Arial"/>
          <w:color w:val="000000" w:themeColor="text1"/>
        </w:rPr>
        <w:t xml:space="preserve">roperty, </w:t>
      </w:r>
      <w:r w:rsidR="00543D09">
        <w:rPr>
          <w:rFonts w:ascii="Arial" w:hAnsi="Arial" w:cs="Arial"/>
          <w:color w:val="000000" w:themeColor="text1"/>
        </w:rPr>
        <w:t>b</w:t>
      </w:r>
      <w:r w:rsidRPr="00320F76">
        <w:rPr>
          <w:rFonts w:ascii="Arial" w:hAnsi="Arial" w:cs="Arial"/>
          <w:color w:val="000000" w:themeColor="text1"/>
        </w:rPr>
        <w:t xml:space="preserve">elonging to another, </w:t>
      </w:r>
      <w:r w:rsidR="00543D09">
        <w:rPr>
          <w:rFonts w:ascii="Arial" w:hAnsi="Arial" w:cs="Arial"/>
          <w:color w:val="000000" w:themeColor="text1"/>
        </w:rPr>
        <w:t>w</w:t>
      </w:r>
      <w:r w:rsidRPr="00320F76">
        <w:rPr>
          <w:rFonts w:ascii="Arial" w:hAnsi="Arial" w:cs="Arial"/>
          <w:color w:val="000000" w:themeColor="text1"/>
        </w:rPr>
        <w:t xml:space="preserve">ith the intention of permanently depriving the other of it. </w:t>
      </w:r>
    </w:p>
    <w:p w14:paraId="74AC15C8" w14:textId="77777777" w:rsidR="001E7D86" w:rsidRDefault="009F6FC6" w:rsidP="00320F76">
      <w:pPr>
        <w:pStyle w:val="NormalWeb"/>
        <w:spacing w:line="360" w:lineRule="auto"/>
        <w:jc w:val="both"/>
        <w:rPr>
          <w:rFonts w:ascii="Arial" w:hAnsi="Arial" w:cs="Arial"/>
          <w:color w:val="000000" w:themeColor="text1"/>
        </w:rPr>
      </w:pPr>
      <w:r>
        <w:rPr>
          <w:rFonts w:ascii="Arial" w:hAnsi="Arial" w:cs="Arial"/>
          <w:color w:val="000000" w:themeColor="text1"/>
        </w:rPr>
        <w:t xml:space="preserve">        </w:t>
      </w:r>
      <w:r w:rsidRPr="00320F76">
        <w:rPr>
          <w:rFonts w:ascii="Arial" w:hAnsi="Arial" w:cs="Arial"/>
          <w:color w:val="000000" w:themeColor="text1"/>
        </w:rPr>
        <w:t xml:space="preserve">In this case the </w:t>
      </w:r>
      <w:proofErr w:type="spellStart"/>
      <w:r w:rsidRPr="00320F76">
        <w:rPr>
          <w:rFonts w:ascii="Arial" w:hAnsi="Arial" w:cs="Arial"/>
          <w:color w:val="000000" w:themeColor="text1"/>
        </w:rPr>
        <w:t>mens</w:t>
      </w:r>
      <w:proofErr w:type="spellEnd"/>
      <w:r w:rsidRPr="00320F76">
        <w:rPr>
          <w:rFonts w:ascii="Arial" w:hAnsi="Arial" w:cs="Arial"/>
          <w:color w:val="000000" w:themeColor="text1"/>
        </w:rPr>
        <w:t xml:space="preserve"> rea was </w:t>
      </w:r>
      <w:r w:rsidR="00537B3C" w:rsidRPr="00537B3C">
        <w:rPr>
          <w:rFonts w:ascii="Arial" w:hAnsi="Arial" w:cs="Arial"/>
          <w:color w:val="000000" w:themeColor="text1"/>
        </w:rPr>
        <w:t>established</w:t>
      </w:r>
      <w:r w:rsidRPr="00320F76">
        <w:rPr>
          <w:rFonts w:ascii="Arial" w:hAnsi="Arial" w:cs="Arial"/>
          <w:color w:val="000000" w:themeColor="text1"/>
        </w:rPr>
        <w:t xml:space="preserve"> at the beginning where Hadley already wanted to steal the trainers that Ronan was talking about to his friends, but in the </w:t>
      </w:r>
      <w:r w:rsidR="00A82DC8" w:rsidRPr="00320F76">
        <w:rPr>
          <w:rFonts w:ascii="Arial" w:hAnsi="Arial" w:cs="Arial"/>
          <w:color w:val="000000" w:themeColor="text1"/>
        </w:rPr>
        <w:t>end,</w:t>
      </w:r>
      <w:r w:rsidRPr="00320F76">
        <w:rPr>
          <w:rFonts w:ascii="Arial" w:hAnsi="Arial" w:cs="Arial"/>
          <w:color w:val="000000" w:themeColor="text1"/>
        </w:rPr>
        <w:t xml:space="preserve"> Hadley couldn’t find the trainers so instead took a watch. The dishonesty can be tested using the “Ghosh Test”, but the facts are </w:t>
      </w:r>
      <w:r w:rsidR="00537B3C" w:rsidRPr="00320F76">
        <w:rPr>
          <w:rFonts w:ascii="Arial" w:hAnsi="Arial" w:cs="Arial"/>
          <w:color w:val="000000" w:themeColor="text1"/>
        </w:rPr>
        <w:t>clearly</w:t>
      </w:r>
      <w:r w:rsidRPr="00320F76">
        <w:rPr>
          <w:rFonts w:ascii="Arial" w:hAnsi="Arial" w:cs="Arial"/>
          <w:color w:val="000000" w:themeColor="text1"/>
        </w:rPr>
        <w:t xml:space="preserve"> stating his dishonesty because of his intent that were set up at the beginning and the fact that he kept on going with his intents without hesitation, not that hesitation would have made any difference but as a matter of fact he did not have any hesitation along the way .The actus reus is viable as well due to him already wanting to deprive Ronan of his good/property at the time when Hadley overheard Ronan. </w:t>
      </w:r>
    </w:p>
    <w:p w14:paraId="4636DFCA" w14:textId="7D4B27CD" w:rsidR="00C25A47" w:rsidRDefault="001E7D86" w:rsidP="00320F76">
      <w:pPr>
        <w:pStyle w:val="NormalWeb"/>
        <w:spacing w:line="360" w:lineRule="auto"/>
        <w:jc w:val="both"/>
        <w:rPr>
          <w:rFonts w:ascii="Arial" w:hAnsi="Arial" w:cs="Arial"/>
          <w:color w:val="000000" w:themeColor="text1"/>
        </w:rPr>
      </w:pPr>
      <w:r>
        <w:rPr>
          <w:rFonts w:ascii="Arial" w:hAnsi="Arial" w:cs="Arial"/>
          <w:color w:val="000000" w:themeColor="text1"/>
        </w:rPr>
        <w:t xml:space="preserve">        </w:t>
      </w:r>
      <w:r w:rsidR="009F6FC6" w:rsidRPr="00320F76">
        <w:rPr>
          <w:rFonts w:ascii="Arial" w:hAnsi="Arial" w:cs="Arial"/>
          <w:color w:val="000000" w:themeColor="text1"/>
        </w:rPr>
        <w:t xml:space="preserve">Next offence committed by Hadley is Arson, classed under Section 1 (3) of the Criminal Damage Act 1971. This piece of legislation states “An offence committed under this section by destroying or damaging property by fire shall be charged as </w:t>
      </w:r>
      <w:r w:rsidR="007D7669" w:rsidRPr="00320F76">
        <w:rPr>
          <w:rFonts w:ascii="Arial" w:hAnsi="Arial" w:cs="Arial"/>
          <w:color w:val="000000" w:themeColor="text1"/>
        </w:rPr>
        <w:lastRenderedPageBreak/>
        <w:t>arson” (</w:t>
      </w:r>
      <w:hyperlink r:id="rId9">
        <w:r w:rsidR="006675E8" w:rsidRPr="00C930A1">
          <w:rPr>
            <w:rFonts w:ascii="Arial" w:hAnsi="Arial" w:cs="Arial"/>
            <w:color w:val="000000" w:themeColor="text1"/>
          </w:rPr>
          <w:t>Criminal</w:t>
        </w:r>
      </w:hyperlink>
      <w:r w:rsidR="006675E8" w:rsidRPr="00C930A1">
        <w:rPr>
          <w:rFonts w:ascii="Arial" w:hAnsi="Arial" w:cs="Arial"/>
          <w:color w:val="000000" w:themeColor="text1"/>
        </w:rPr>
        <w:t xml:space="preserve"> Damage</w:t>
      </w:r>
      <w:r w:rsidR="006675E8">
        <w:rPr>
          <w:rFonts w:ascii="Arial" w:hAnsi="Arial" w:cs="Arial"/>
          <w:color w:val="000000" w:themeColor="text1"/>
        </w:rPr>
        <w:t xml:space="preserve"> 1971</w:t>
      </w:r>
      <w:r w:rsidR="009F6FC6" w:rsidRPr="00320F76">
        <w:rPr>
          <w:rFonts w:ascii="Arial" w:hAnsi="Arial" w:cs="Arial"/>
          <w:color w:val="000000" w:themeColor="text1"/>
        </w:rPr>
        <w:t>). This happened when after he stole the watch he poured after shave into the bin and set it on fire which led to creating damage to the property by fire. The elements are the same as criminal damage which of course applies to him in this situation because of th</w:t>
      </w:r>
      <w:r w:rsidR="000A0120">
        <w:rPr>
          <w:rFonts w:ascii="Arial" w:hAnsi="Arial" w:cs="Arial"/>
          <w:color w:val="000000" w:themeColor="text1"/>
        </w:rPr>
        <w:t>e</w:t>
      </w:r>
      <w:r w:rsidR="009F6FC6" w:rsidRPr="00320F76">
        <w:rPr>
          <w:rFonts w:ascii="Arial" w:hAnsi="Arial" w:cs="Arial"/>
          <w:color w:val="000000" w:themeColor="text1"/>
        </w:rPr>
        <w:t>s</w:t>
      </w:r>
      <w:r w:rsidR="000A0120">
        <w:rPr>
          <w:rFonts w:ascii="Arial" w:hAnsi="Arial" w:cs="Arial"/>
          <w:color w:val="000000" w:themeColor="text1"/>
        </w:rPr>
        <w:t>e</w:t>
      </w:r>
      <w:r w:rsidR="009F6FC6" w:rsidRPr="00320F76">
        <w:rPr>
          <w:rFonts w:ascii="Arial" w:hAnsi="Arial" w:cs="Arial"/>
          <w:color w:val="000000" w:themeColor="text1"/>
        </w:rPr>
        <w:t xml:space="preserve"> actions being the second Criminal Damage offence </w:t>
      </w:r>
      <w:r w:rsidR="000D5606" w:rsidRPr="00320F76">
        <w:rPr>
          <w:rFonts w:ascii="Arial" w:hAnsi="Arial" w:cs="Arial"/>
          <w:color w:val="000000" w:themeColor="text1"/>
        </w:rPr>
        <w:t>committed</w:t>
      </w:r>
      <w:r w:rsidR="009F6FC6" w:rsidRPr="00320F76">
        <w:rPr>
          <w:rFonts w:ascii="Arial" w:hAnsi="Arial" w:cs="Arial"/>
          <w:color w:val="000000" w:themeColor="text1"/>
        </w:rPr>
        <w:t xml:space="preserve"> by him within this scenario. </w:t>
      </w:r>
    </w:p>
    <w:p w14:paraId="0A6CE8DD" w14:textId="70154F1B" w:rsidR="008E24F5" w:rsidRDefault="00C25A47" w:rsidP="00320F76">
      <w:pPr>
        <w:pStyle w:val="NormalWeb"/>
        <w:spacing w:line="360" w:lineRule="auto"/>
        <w:jc w:val="both"/>
        <w:rPr>
          <w:rFonts w:ascii="Arial" w:hAnsi="Arial" w:cs="Arial"/>
          <w:color w:val="000000" w:themeColor="text1"/>
        </w:rPr>
      </w:pPr>
      <w:r>
        <w:rPr>
          <w:rFonts w:ascii="Arial" w:hAnsi="Arial" w:cs="Arial"/>
          <w:color w:val="000000" w:themeColor="text1"/>
        </w:rPr>
        <w:t xml:space="preserve">        </w:t>
      </w:r>
      <w:r w:rsidRPr="00320F76">
        <w:rPr>
          <w:rFonts w:ascii="Arial" w:hAnsi="Arial" w:cs="Arial"/>
          <w:color w:val="000000" w:themeColor="text1"/>
        </w:rPr>
        <w:t xml:space="preserve">The </w:t>
      </w:r>
      <w:proofErr w:type="spellStart"/>
      <w:r w:rsidR="000B2073">
        <w:rPr>
          <w:rFonts w:ascii="Arial" w:hAnsi="Arial" w:cs="Arial"/>
          <w:color w:val="000000" w:themeColor="text1"/>
        </w:rPr>
        <w:t>m</w:t>
      </w:r>
      <w:r w:rsidRPr="00320F76">
        <w:rPr>
          <w:rFonts w:ascii="Arial" w:hAnsi="Arial" w:cs="Arial"/>
          <w:color w:val="000000" w:themeColor="text1"/>
        </w:rPr>
        <w:t>ens</w:t>
      </w:r>
      <w:proofErr w:type="spellEnd"/>
      <w:r w:rsidRPr="00320F76">
        <w:rPr>
          <w:rFonts w:ascii="Arial" w:hAnsi="Arial" w:cs="Arial"/>
          <w:color w:val="000000" w:themeColor="text1"/>
        </w:rPr>
        <w:t xml:space="preserve"> </w:t>
      </w:r>
      <w:r w:rsidR="000B2073">
        <w:rPr>
          <w:rFonts w:ascii="Arial" w:hAnsi="Arial" w:cs="Arial"/>
          <w:color w:val="000000" w:themeColor="text1"/>
        </w:rPr>
        <w:t>r</w:t>
      </w:r>
      <w:r w:rsidRPr="00320F76">
        <w:rPr>
          <w:rFonts w:ascii="Arial" w:hAnsi="Arial" w:cs="Arial"/>
          <w:color w:val="000000" w:themeColor="text1"/>
        </w:rPr>
        <w:t>ea in this case is the recklessness of Hadley’s intention to create the fire</w:t>
      </w:r>
      <w:r w:rsidR="000B2073">
        <w:rPr>
          <w:rFonts w:ascii="Arial" w:hAnsi="Arial" w:cs="Arial"/>
          <w:color w:val="000000" w:themeColor="text1"/>
        </w:rPr>
        <w:t>,</w:t>
      </w:r>
      <w:r w:rsidRPr="00320F76">
        <w:rPr>
          <w:rFonts w:ascii="Arial" w:hAnsi="Arial" w:cs="Arial"/>
          <w:color w:val="000000" w:themeColor="text1"/>
        </w:rPr>
        <w:t xml:space="preserve"> knowing that creating an unprotected fire within the premises of the house will cause damage to it. Secondly it will be discussed about Freya’s charge which is Assault occasioning Actual Bodily Harm, under Section 47 Offences Against the Person Act 186. This legislation states “The offence is committed when a person intentionally or recklessly assaults another, thereby causing Actual Bodily Harm. It must be proved that the assault (which includes “battery”) “occasioned” or caused the bodily harm” (</w:t>
      </w:r>
      <w:hyperlink r:id="rId10">
        <w:r w:rsidR="00301F21" w:rsidRPr="003A370C">
          <w:rPr>
            <w:rFonts w:ascii="Arial" w:hAnsi="Arial" w:cs="Arial"/>
            <w:color w:val="000000" w:themeColor="text1"/>
          </w:rPr>
          <w:t>Offences</w:t>
        </w:r>
      </w:hyperlink>
      <w:r w:rsidR="00301F21" w:rsidRPr="003A370C">
        <w:rPr>
          <w:rFonts w:ascii="Arial" w:hAnsi="Arial" w:cs="Arial"/>
          <w:color w:val="000000" w:themeColor="text1"/>
        </w:rPr>
        <w:t xml:space="preserve"> against the Person Act </w:t>
      </w:r>
      <w:r w:rsidR="00301F21">
        <w:rPr>
          <w:rFonts w:ascii="Arial" w:hAnsi="Arial" w:cs="Arial"/>
          <w:color w:val="000000" w:themeColor="text1"/>
        </w:rPr>
        <w:t>1861</w:t>
      </w:r>
      <w:r w:rsidRPr="00320F76">
        <w:rPr>
          <w:rFonts w:ascii="Arial" w:hAnsi="Arial" w:cs="Arial"/>
          <w:color w:val="000000" w:themeColor="text1"/>
        </w:rPr>
        <w:t xml:space="preserve">). As it was stated in the legislation the offence needs to be committed intentionally or recklessly, in this case neither of them can apply du to Freya’s condition and the circumstances when the offence </w:t>
      </w:r>
      <w:r w:rsidR="0044753E" w:rsidRPr="00320F76">
        <w:rPr>
          <w:rFonts w:ascii="Arial" w:hAnsi="Arial" w:cs="Arial"/>
          <w:color w:val="000000" w:themeColor="text1"/>
        </w:rPr>
        <w:t>occurred</w:t>
      </w:r>
      <w:r w:rsidRPr="00320F76">
        <w:rPr>
          <w:rFonts w:ascii="Arial" w:hAnsi="Arial" w:cs="Arial"/>
          <w:color w:val="000000" w:themeColor="text1"/>
        </w:rPr>
        <w:t xml:space="preserve">. It is stated in the scenario that Freya was diagnosed with epilepsy when she was </w:t>
      </w:r>
      <w:r w:rsidR="0044753E" w:rsidRPr="00320F76">
        <w:rPr>
          <w:rFonts w:ascii="Arial" w:hAnsi="Arial" w:cs="Arial"/>
          <w:color w:val="000000" w:themeColor="text1"/>
        </w:rPr>
        <w:t>younger,</w:t>
      </w:r>
      <w:r w:rsidRPr="00320F76">
        <w:rPr>
          <w:rFonts w:ascii="Arial" w:hAnsi="Arial" w:cs="Arial"/>
          <w:color w:val="000000" w:themeColor="text1"/>
        </w:rPr>
        <w:t xml:space="preserve"> but her condition eased over </w:t>
      </w:r>
      <w:r w:rsidR="00080D66" w:rsidRPr="00320F76">
        <w:rPr>
          <w:rFonts w:ascii="Arial" w:hAnsi="Arial" w:cs="Arial"/>
          <w:color w:val="000000" w:themeColor="text1"/>
        </w:rPr>
        <w:t>time,</w:t>
      </w:r>
      <w:r w:rsidRPr="00320F76">
        <w:rPr>
          <w:rFonts w:ascii="Arial" w:hAnsi="Arial" w:cs="Arial"/>
          <w:color w:val="000000" w:themeColor="text1"/>
        </w:rPr>
        <w:t xml:space="preserve"> and she did not have to take medication anymore which could mean that she was just careful about her </w:t>
      </w:r>
      <w:r w:rsidR="00080D66" w:rsidRPr="00320F76">
        <w:rPr>
          <w:rFonts w:ascii="Arial" w:hAnsi="Arial" w:cs="Arial"/>
          <w:color w:val="000000" w:themeColor="text1"/>
        </w:rPr>
        <w:t>lifestyle,</w:t>
      </w:r>
      <w:r w:rsidRPr="00320F76">
        <w:rPr>
          <w:rFonts w:ascii="Arial" w:hAnsi="Arial" w:cs="Arial"/>
          <w:color w:val="000000" w:themeColor="text1"/>
        </w:rPr>
        <w:t xml:space="preserve"> and she did things that could not trigger her condition. </w:t>
      </w:r>
    </w:p>
    <w:p w14:paraId="437DE81F" w14:textId="01FA15FF" w:rsidR="00C94494" w:rsidRDefault="008E24F5" w:rsidP="00320F76">
      <w:pPr>
        <w:pStyle w:val="NormalWeb"/>
        <w:spacing w:line="360" w:lineRule="auto"/>
        <w:jc w:val="both"/>
        <w:rPr>
          <w:rFonts w:ascii="Arial" w:hAnsi="Arial" w:cs="Arial"/>
          <w:color w:val="000000" w:themeColor="text1"/>
        </w:rPr>
      </w:pPr>
      <w:r>
        <w:rPr>
          <w:rFonts w:ascii="Arial" w:hAnsi="Arial" w:cs="Arial"/>
          <w:color w:val="000000" w:themeColor="text1"/>
        </w:rPr>
        <w:t xml:space="preserve">        </w:t>
      </w:r>
      <w:r w:rsidRPr="00320F76">
        <w:rPr>
          <w:rFonts w:ascii="Arial" w:hAnsi="Arial" w:cs="Arial"/>
          <w:color w:val="000000" w:themeColor="text1"/>
        </w:rPr>
        <w:t xml:space="preserve">In the given day Freya had a lot of alcohol without the intention of harming anybody but to have some fun and have a good night, so the intoxication even though has a difference on her condition should not have any impact on the case because of the intention of having a good night and with no intention to harm others. It was proven that alcohol even in small amounts can be a trigger of a seizure for people with the condition of epilepsy, “Many people with epilepsy are at a high risk of seizures after drinking three or more alcoholic beverages” </w:t>
      </w:r>
      <w:r w:rsidR="00787EDA" w:rsidRPr="00787EDA">
        <w:rPr>
          <w:rFonts w:ascii="Arial" w:hAnsi="Arial" w:cs="Arial"/>
          <w:noProof/>
          <w:color w:val="000000" w:themeColor="text1"/>
          <w:lang w:val="ro-RO"/>
        </w:rPr>
        <w:t>Schachter</w:t>
      </w:r>
      <w:r w:rsidR="006C7D81">
        <w:rPr>
          <w:rFonts w:ascii="Arial" w:hAnsi="Arial" w:cs="Arial"/>
          <w:color w:val="000000" w:themeColor="text1"/>
        </w:rPr>
        <w:t xml:space="preserve"> (2022) was a useful source of information</w:t>
      </w:r>
      <w:r w:rsidRPr="00320F76">
        <w:rPr>
          <w:rFonts w:ascii="Arial" w:hAnsi="Arial" w:cs="Arial"/>
          <w:color w:val="000000" w:themeColor="text1"/>
        </w:rPr>
        <w:t>. In my opinion a doctor should do a thorough investigation of Freya’s condition to prove that she was in a state of insanity when the offence occurred. Freya punched Mike when she was having a seizure therefore no control over her body. What is a seizure, well a seizure is “Uncontrollable jerking movements of the arms and legs.</w:t>
      </w:r>
      <w:r w:rsidR="003C13E7">
        <w:rPr>
          <w:rFonts w:ascii="Arial" w:hAnsi="Arial" w:cs="Arial"/>
          <w:color w:val="000000" w:themeColor="text1"/>
        </w:rPr>
        <w:t> </w:t>
      </w:r>
      <w:r w:rsidRPr="00320F76">
        <w:rPr>
          <w:rFonts w:ascii="Arial" w:hAnsi="Arial" w:cs="Arial"/>
          <w:color w:val="000000" w:themeColor="text1"/>
        </w:rPr>
        <w:t>Loss</w:t>
      </w:r>
      <w:r w:rsidR="003C13E7">
        <w:rPr>
          <w:rFonts w:ascii="Arial" w:hAnsi="Arial" w:cs="Arial"/>
          <w:color w:val="000000" w:themeColor="text1"/>
        </w:rPr>
        <w:t> </w:t>
      </w:r>
      <w:r w:rsidRPr="00320F76">
        <w:rPr>
          <w:rFonts w:ascii="Arial" w:hAnsi="Arial" w:cs="Arial"/>
          <w:color w:val="000000" w:themeColor="text1"/>
        </w:rPr>
        <w:t>of</w:t>
      </w:r>
      <w:r w:rsidR="003C13E7">
        <w:rPr>
          <w:rFonts w:ascii="Arial" w:hAnsi="Arial" w:cs="Arial"/>
          <w:color w:val="000000" w:themeColor="text1"/>
        </w:rPr>
        <w:t> </w:t>
      </w:r>
      <w:r w:rsidRPr="00320F76">
        <w:rPr>
          <w:rFonts w:ascii="Arial" w:hAnsi="Arial" w:cs="Arial"/>
          <w:color w:val="000000" w:themeColor="text1"/>
        </w:rPr>
        <w:t>consciousness</w:t>
      </w:r>
      <w:r w:rsidR="003C13E7">
        <w:rPr>
          <w:rFonts w:ascii="Arial" w:hAnsi="Arial" w:cs="Arial"/>
          <w:color w:val="000000" w:themeColor="text1"/>
        </w:rPr>
        <w:t> </w:t>
      </w:r>
      <w:r w:rsidRPr="00320F76">
        <w:rPr>
          <w:rFonts w:ascii="Arial" w:hAnsi="Arial" w:cs="Arial"/>
          <w:color w:val="000000" w:themeColor="text1"/>
        </w:rPr>
        <w:t>or</w:t>
      </w:r>
      <w:r w:rsidR="003C13E7">
        <w:rPr>
          <w:rFonts w:ascii="Arial" w:hAnsi="Arial" w:cs="Arial"/>
          <w:color w:val="000000" w:themeColor="text1"/>
        </w:rPr>
        <w:t> </w:t>
      </w:r>
      <w:r w:rsidRPr="00320F76">
        <w:rPr>
          <w:rFonts w:ascii="Arial" w:hAnsi="Arial" w:cs="Arial"/>
          <w:color w:val="000000" w:themeColor="text1"/>
        </w:rPr>
        <w:t>awareness.</w:t>
      </w:r>
      <w:r w:rsidR="003C13E7">
        <w:rPr>
          <w:rFonts w:ascii="Arial" w:hAnsi="Arial" w:cs="Arial"/>
          <w:color w:val="000000" w:themeColor="text1"/>
        </w:rPr>
        <w:t> </w:t>
      </w:r>
      <w:r w:rsidRPr="00320F76">
        <w:rPr>
          <w:rFonts w:ascii="Arial" w:hAnsi="Arial" w:cs="Arial"/>
          <w:color w:val="000000" w:themeColor="text1"/>
        </w:rPr>
        <w:t>Cognitive</w:t>
      </w:r>
      <w:r w:rsidR="003C13E7">
        <w:rPr>
          <w:rFonts w:ascii="Arial" w:hAnsi="Arial" w:cs="Arial"/>
          <w:color w:val="000000" w:themeColor="text1"/>
        </w:rPr>
        <w:t> </w:t>
      </w:r>
      <w:r w:rsidRPr="00320F76">
        <w:rPr>
          <w:rFonts w:ascii="Arial" w:hAnsi="Arial" w:cs="Arial"/>
          <w:color w:val="000000" w:themeColor="text1"/>
        </w:rPr>
        <w:t>or</w:t>
      </w:r>
      <w:r w:rsidR="003C13E7">
        <w:rPr>
          <w:rFonts w:ascii="Arial" w:hAnsi="Arial" w:cs="Arial"/>
          <w:color w:val="000000" w:themeColor="text1"/>
        </w:rPr>
        <w:t> </w:t>
      </w:r>
      <w:r w:rsidRPr="00320F76">
        <w:rPr>
          <w:rFonts w:ascii="Arial" w:hAnsi="Arial" w:cs="Arial"/>
          <w:color w:val="000000" w:themeColor="text1"/>
        </w:rPr>
        <w:t>emotional</w:t>
      </w:r>
      <w:r w:rsidR="00AD744C">
        <w:rPr>
          <w:rFonts w:ascii="Arial" w:hAnsi="Arial" w:cs="Arial"/>
          <w:color w:val="000000" w:themeColor="text1"/>
        </w:rPr>
        <w:t> </w:t>
      </w:r>
      <w:r w:rsidRPr="00320F76">
        <w:rPr>
          <w:rFonts w:ascii="Arial" w:hAnsi="Arial" w:cs="Arial"/>
          <w:color w:val="000000" w:themeColor="text1"/>
        </w:rPr>
        <w:t>symptoms,</w:t>
      </w:r>
      <w:r w:rsidR="00AD744C">
        <w:rPr>
          <w:rFonts w:ascii="Arial" w:hAnsi="Arial" w:cs="Arial"/>
          <w:color w:val="000000" w:themeColor="text1"/>
        </w:rPr>
        <w:t> </w:t>
      </w:r>
      <w:r w:rsidRPr="00320F76">
        <w:rPr>
          <w:rFonts w:ascii="Arial" w:hAnsi="Arial" w:cs="Arial"/>
          <w:color w:val="000000" w:themeColor="text1"/>
        </w:rPr>
        <w:t>such</w:t>
      </w:r>
      <w:r w:rsidR="00844271">
        <w:rPr>
          <w:rFonts w:ascii="Arial" w:hAnsi="Arial" w:cs="Arial"/>
          <w:color w:val="000000" w:themeColor="text1"/>
        </w:rPr>
        <w:t xml:space="preserve"> a</w:t>
      </w:r>
      <w:r w:rsidRPr="00320F76">
        <w:rPr>
          <w:rFonts w:ascii="Arial" w:hAnsi="Arial" w:cs="Arial"/>
          <w:color w:val="000000" w:themeColor="text1"/>
        </w:rPr>
        <w:t>s</w:t>
      </w:r>
      <w:r w:rsidR="00AD744C">
        <w:rPr>
          <w:rFonts w:ascii="Arial" w:hAnsi="Arial" w:cs="Arial"/>
          <w:color w:val="000000" w:themeColor="text1"/>
        </w:rPr>
        <w:t> </w:t>
      </w:r>
      <w:r w:rsidRPr="00320F76">
        <w:rPr>
          <w:rFonts w:ascii="Arial" w:hAnsi="Arial" w:cs="Arial"/>
          <w:color w:val="000000" w:themeColor="text1"/>
        </w:rPr>
        <w:t>fear,</w:t>
      </w:r>
      <w:r w:rsidR="00AD744C">
        <w:rPr>
          <w:rFonts w:ascii="Arial" w:hAnsi="Arial" w:cs="Arial"/>
          <w:color w:val="000000" w:themeColor="text1"/>
        </w:rPr>
        <w:t> </w:t>
      </w:r>
      <w:r w:rsidRPr="00320F76">
        <w:rPr>
          <w:rFonts w:ascii="Arial" w:hAnsi="Arial" w:cs="Arial"/>
          <w:color w:val="000000" w:themeColor="text1"/>
        </w:rPr>
        <w:t>anxiety</w:t>
      </w:r>
      <w:r w:rsidR="00AD744C">
        <w:rPr>
          <w:rFonts w:ascii="Arial" w:hAnsi="Arial" w:cs="Arial"/>
          <w:color w:val="000000" w:themeColor="text1"/>
        </w:rPr>
        <w:t> </w:t>
      </w:r>
      <w:r w:rsidRPr="00320F76">
        <w:rPr>
          <w:rFonts w:ascii="Arial" w:hAnsi="Arial" w:cs="Arial"/>
          <w:color w:val="000000" w:themeColor="text1"/>
        </w:rPr>
        <w:t>or</w:t>
      </w:r>
      <w:r w:rsidR="00AD744C">
        <w:rPr>
          <w:rFonts w:ascii="Arial" w:hAnsi="Arial" w:cs="Arial"/>
          <w:color w:val="000000" w:themeColor="text1"/>
        </w:rPr>
        <w:t> </w:t>
      </w:r>
      <w:proofErr w:type="spellStart"/>
      <w:r w:rsidRPr="00320F76">
        <w:rPr>
          <w:rFonts w:ascii="Arial" w:hAnsi="Arial" w:cs="Arial"/>
          <w:color w:val="000000" w:themeColor="text1"/>
        </w:rPr>
        <w:t>deja</w:t>
      </w:r>
      <w:proofErr w:type="spellEnd"/>
      <w:r w:rsidR="00AD744C">
        <w:rPr>
          <w:rFonts w:ascii="Arial" w:hAnsi="Arial" w:cs="Arial"/>
          <w:color w:val="000000" w:themeColor="text1"/>
        </w:rPr>
        <w:t> </w:t>
      </w:r>
      <w:r w:rsidRPr="00320F76">
        <w:rPr>
          <w:rFonts w:ascii="Arial" w:hAnsi="Arial" w:cs="Arial"/>
          <w:color w:val="000000" w:themeColor="text1"/>
        </w:rPr>
        <w:t>vu”</w:t>
      </w:r>
      <w:r w:rsidR="008C3A78">
        <w:rPr>
          <w:rFonts w:ascii="Arial" w:hAnsi="Arial" w:cs="Arial"/>
          <w:color w:val="000000" w:themeColor="text1"/>
        </w:rPr>
        <w:t xml:space="preserve"> </w:t>
      </w:r>
      <w:r w:rsidRPr="00320F76">
        <w:rPr>
          <w:rFonts w:ascii="Arial" w:hAnsi="Arial" w:cs="Arial"/>
          <w:color w:val="000000" w:themeColor="text1"/>
        </w:rPr>
        <w:t>(</w:t>
      </w:r>
      <w:r w:rsidR="00657798">
        <w:rPr>
          <w:rFonts w:ascii="Arial" w:hAnsi="Arial" w:cs="Arial"/>
          <w:color w:val="000000" w:themeColor="text1"/>
        </w:rPr>
        <w:t>Mayo Clinic, 2021</w:t>
      </w:r>
      <w:r w:rsidRPr="00320F76">
        <w:rPr>
          <w:rFonts w:ascii="Arial" w:hAnsi="Arial" w:cs="Arial"/>
          <w:color w:val="000000" w:themeColor="text1"/>
        </w:rPr>
        <w:t>).</w:t>
      </w:r>
    </w:p>
    <w:p w14:paraId="18831758" w14:textId="3C3D7AAC" w:rsidR="00334E80" w:rsidRDefault="00C94494" w:rsidP="00320F76">
      <w:pPr>
        <w:pStyle w:val="NormalWeb"/>
        <w:spacing w:line="360" w:lineRule="auto"/>
        <w:jc w:val="both"/>
        <w:rPr>
          <w:rFonts w:ascii="Arial" w:hAnsi="Arial" w:cs="Arial"/>
          <w:color w:val="000000" w:themeColor="text1"/>
        </w:rPr>
      </w:pPr>
      <w:r>
        <w:rPr>
          <w:rFonts w:ascii="Arial" w:hAnsi="Arial" w:cs="Arial"/>
          <w:color w:val="000000" w:themeColor="text1"/>
        </w:rPr>
        <w:lastRenderedPageBreak/>
        <w:t xml:space="preserve">        </w:t>
      </w:r>
      <w:r w:rsidRPr="00320F76">
        <w:rPr>
          <w:rFonts w:ascii="Arial" w:hAnsi="Arial" w:cs="Arial"/>
          <w:color w:val="000000" w:themeColor="text1"/>
        </w:rPr>
        <w:t xml:space="preserve">For Freya to be criminally liable for the charges brought upon her she should be medically sane, and she should have been in control the whole time when the offence happened. Freya was under the influence of alcohol which was done by her. An insanity plea is the appropriate defence where D’s Mind has been affected by an internal factor, for example epilepsy </w:t>
      </w:r>
      <w:r w:rsidRPr="00AD744C">
        <w:rPr>
          <w:rFonts w:ascii="Arial" w:hAnsi="Arial" w:cs="Arial"/>
          <w:color w:val="000000" w:themeColor="text1"/>
        </w:rPr>
        <w:t>(</w:t>
      </w:r>
      <w:r w:rsidR="00864EAD">
        <w:rPr>
          <w:rFonts w:ascii="Arial" w:hAnsi="Arial" w:cs="Arial"/>
          <w:color w:val="000000" w:themeColor="text1"/>
        </w:rPr>
        <w:t>Criminal Procedure Insanity Act 1964</w:t>
      </w:r>
      <w:r w:rsidRPr="00320F76">
        <w:rPr>
          <w:rFonts w:ascii="Arial" w:hAnsi="Arial" w:cs="Arial"/>
          <w:color w:val="000000" w:themeColor="text1"/>
        </w:rPr>
        <w:t>).</w:t>
      </w:r>
      <w:r w:rsidR="00334E80">
        <w:rPr>
          <w:rFonts w:ascii="Arial" w:hAnsi="Arial" w:cs="Arial"/>
          <w:color w:val="000000" w:themeColor="text1"/>
        </w:rPr>
        <w:t xml:space="preserve"> </w:t>
      </w:r>
      <w:r w:rsidRPr="00320F76">
        <w:rPr>
          <w:rFonts w:ascii="Arial" w:hAnsi="Arial" w:cs="Arial"/>
          <w:color w:val="000000" w:themeColor="text1"/>
        </w:rPr>
        <w:t xml:space="preserve">In this case Freya’s act have been involuntarily and it is called </w:t>
      </w:r>
      <w:r w:rsidR="00413F47" w:rsidRPr="00320F76">
        <w:rPr>
          <w:rFonts w:ascii="Arial" w:hAnsi="Arial" w:cs="Arial"/>
          <w:color w:val="000000" w:themeColor="text1"/>
        </w:rPr>
        <w:t>a</w:t>
      </w:r>
      <w:r w:rsidRPr="00320F76">
        <w:rPr>
          <w:rFonts w:ascii="Arial" w:hAnsi="Arial" w:cs="Arial"/>
          <w:color w:val="000000" w:themeColor="text1"/>
        </w:rPr>
        <w:t xml:space="preserve"> plea of automatism, there are two types of automatism “non sane automatism” which refers to an involuntary action that was not because of disease of mind and “insane automatism” which refers to an involuntary action that was caused by a disease of mind. In this case insane automatism is the type of plea that applies due to Freya’s condition.</w:t>
      </w:r>
    </w:p>
    <w:p w14:paraId="0E66EFB3" w14:textId="2E327A62" w:rsidR="00586BC7" w:rsidRDefault="00334E80" w:rsidP="00320F76">
      <w:pPr>
        <w:pStyle w:val="NormalWeb"/>
        <w:spacing w:line="360" w:lineRule="auto"/>
        <w:jc w:val="both"/>
        <w:rPr>
          <w:rFonts w:ascii="Arial" w:hAnsi="Arial" w:cs="Arial"/>
          <w:color w:val="000000" w:themeColor="text1"/>
        </w:rPr>
      </w:pPr>
      <w:r>
        <w:rPr>
          <w:rFonts w:ascii="Arial" w:hAnsi="Arial" w:cs="Arial"/>
          <w:color w:val="000000" w:themeColor="text1"/>
        </w:rPr>
        <w:t xml:space="preserve">        </w:t>
      </w:r>
      <w:r w:rsidRPr="00320F76">
        <w:rPr>
          <w:rFonts w:ascii="Arial" w:hAnsi="Arial" w:cs="Arial"/>
          <w:color w:val="000000" w:themeColor="text1"/>
        </w:rPr>
        <w:t xml:space="preserve">The elements of offence in this case are “ an external factor” which is Freya’s condition, which results in involuntary conduct by Freya because of the “external factor” where Freya is not at fault because of her condition, same happened in the case of [Falconer 1990] where the defendant was in a state of </w:t>
      </w:r>
      <w:r w:rsidRPr="00320F76">
        <w:rPr>
          <w:rFonts w:ascii="Arial" w:hAnsi="Arial" w:cs="Arial"/>
          <w:color w:val="000000" w:themeColor="text1"/>
          <w:highlight w:val="white"/>
        </w:rPr>
        <w:t>dissociation due to a series of psychological problems at the time of committing the criminal offence, at the time of committing the offence the defendant was held to be in a state of dissociation and did not remember the criminal act that they committed.</w:t>
      </w:r>
    </w:p>
    <w:p w14:paraId="618DD392" w14:textId="18FA7D4E" w:rsidR="00CB5043" w:rsidRDefault="00CB5043" w:rsidP="00320F76">
      <w:pPr>
        <w:pStyle w:val="NormalWeb"/>
        <w:spacing w:line="360" w:lineRule="auto"/>
        <w:jc w:val="both"/>
        <w:rPr>
          <w:rFonts w:ascii="Arial" w:hAnsi="Arial" w:cs="Arial"/>
          <w:color w:val="000000" w:themeColor="text1"/>
        </w:rPr>
      </w:pPr>
    </w:p>
    <w:p w14:paraId="5CA5D713" w14:textId="6138E784" w:rsidR="00CB5043" w:rsidRDefault="00CB5043" w:rsidP="00320F76">
      <w:pPr>
        <w:pStyle w:val="NormalWeb"/>
        <w:spacing w:line="360" w:lineRule="auto"/>
        <w:jc w:val="both"/>
        <w:rPr>
          <w:rFonts w:ascii="Arial" w:hAnsi="Arial" w:cs="Arial"/>
          <w:color w:val="000000" w:themeColor="text1"/>
        </w:rPr>
      </w:pPr>
    </w:p>
    <w:p w14:paraId="5F169735" w14:textId="00B3A772" w:rsidR="00CB5043" w:rsidRDefault="00CB5043" w:rsidP="00320F76">
      <w:pPr>
        <w:pStyle w:val="NormalWeb"/>
        <w:spacing w:line="360" w:lineRule="auto"/>
        <w:jc w:val="both"/>
        <w:rPr>
          <w:rFonts w:ascii="Arial" w:hAnsi="Arial" w:cs="Arial"/>
          <w:color w:val="000000" w:themeColor="text1"/>
        </w:rPr>
      </w:pPr>
    </w:p>
    <w:p w14:paraId="072B7611" w14:textId="295D1FC1" w:rsidR="00CB5043" w:rsidRDefault="00CB5043" w:rsidP="00320F76">
      <w:pPr>
        <w:pStyle w:val="NormalWeb"/>
        <w:spacing w:line="360" w:lineRule="auto"/>
        <w:jc w:val="both"/>
        <w:rPr>
          <w:rFonts w:ascii="Arial" w:hAnsi="Arial" w:cs="Arial"/>
          <w:color w:val="000000" w:themeColor="text1"/>
        </w:rPr>
      </w:pPr>
    </w:p>
    <w:p w14:paraId="7497E938" w14:textId="02DAF116" w:rsidR="00CB5043" w:rsidRDefault="00CB5043" w:rsidP="00320F76">
      <w:pPr>
        <w:pStyle w:val="NormalWeb"/>
        <w:spacing w:line="360" w:lineRule="auto"/>
        <w:jc w:val="both"/>
        <w:rPr>
          <w:rFonts w:ascii="Arial" w:hAnsi="Arial" w:cs="Arial"/>
          <w:color w:val="000000" w:themeColor="text1"/>
        </w:rPr>
      </w:pPr>
    </w:p>
    <w:p w14:paraId="245F8BDF" w14:textId="754D1D6E" w:rsidR="00CB5043" w:rsidRDefault="00CB5043" w:rsidP="00320F76">
      <w:pPr>
        <w:pStyle w:val="NormalWeb"/>
        <w:spacing w:line="360" w:lineRule="auto"/>
        <w:jc w:val="both"/>
        <w:rPr>
          <w:rFonts w:ascii="Arial" w:hAnsi="Arial" w:cs="Arial"/>
          <w:color w:val="000000" w:themeColor="text1"/>
        </w:rPr>
      </w:pPr>
    </w:p>
    <w:p w14:paraId="2A6F0551" w14:textId="002BADC0" w:rsidR="00D349A1" w:rsidRDefault="00D349A1" w:rsidP="00320F76">
      <w:pPr>
        <w:pStyle w:val="NormalWeb"/>
        <w:spacing w:line="360" w:lineRule="auto"/>
        <w:jc w:val="both"/>
        <w:rPr>
          <w:rFonts w:ascii="Arial" w:hAnsi="Arial" w:cs="Arial"/>
          <w:color w:val="000000" w:themeColor="text1"/>
        </w:rPr>
      </w:pPr>
    </w:p>
    <w:p w14:paraId="26B55081" w14:textId="77777777" w:rsidR="00D349A1" w:rsidRDefault="00D349A1" w:rsidP="00320F76">
      <w:pPr>
        <w:pStyle w:val="NormalWeb"/>
        <w:spacing w:line="360" w:lineRule="auto"/>
        <w:jc w:val="both"/>
        <w:rPr>
          <w:rFonts w:ascii="Arial" w:hAnsi="Arial" w:cs="Arial"/>
          <w:color w:val="000000" w:themeColor="text1"/>
        </w:rPr>
      </w:pPr>
    </w:p>
    <w:sdt>
      <w:sdtPr>
        <w:rPr>
          <w:sz w:val="22"/>
          <w:szCs w:val="22"/>
        </w:rPr>
        <w:id w:val="983734405"/>
        <w:docPartObj>
          <w:docPartGallery w:val="Bibliographies"/>
          <w:docPartUnique/>
        </w:docPartObj>
      </w:sdtPr>
      <w:sdtContent>
        <w:p w14:paraId="42E8212B" w14:textId="77777777" w:rsidR="00CB5043" w:rsidRPr="00CB5043" w:rsidRDefault="00CB5043" w:rsidP="00CB5043">
          <w:pPr>
            <w:pStyle w:val="Heading1"/>
            <w:spacing w:line="360" w:lineRule="auto"/>
            <w:jc w:val="center"/>
            <w:rPr>
              <w:b/>
              <w:bCs/>
              <w:sz w:val="24"/>
              <w:szCs w:val="24"/>
            </w:rPr>
          </w:pPr>
          <w:r w:rsidRPr="00CB5043">
            <w:rPr>
              <w:b/>
              <w:bCs/>
              <w:sz w:val="24"/>
              <w:szCs w:val="24"/>
            </w:rPr>
            <w:t>References</w:t>
          </w:r>
        </w:p>
        <w:p w14:paraId="5E4D42B0" w14:textId="77777777" w:rsidR="00CB5043" w:rsidRPr="00CB5043" w:rsidRDefault="00CB5043" w:rsidP="00CB5043">
          <w:pPr>
            <w:spacing w:line="360" w:lineRule="auto"/>
            <w:rPr>
              <w:sz w:val="24"/>
              <w:szCs w:val="24"/>
            </w:rPr>
          </w:pPr>
        </w:p>
        <w:sdt>
          <w:sdtPr>
            <w:rPr>
              <w:sz w:val="24"/>
              <w:szCs w:val="24"/>
              <w:lang w:val="en-GB"/>
            </w:rPr>
            <w:id w:val="-573587230"/>
            <w:bibliography/>
          </w:sdtPr>
          <w:sdtEndPr>
            <w:rPr>
              <w:sz w:val="22"/>
              <w:szCs w:val="22"/>
            </w:rPr>
          </w:sdtEndPr>
          <w:sdtContent>
            <w:p w14:paraId="5504527F" w14:textId="77777777" w:rsidR="00CB5043" w:rsidRPr="00CB5043" w:rsidRDefault="00CB5043" w:rsidP="00CB5043">
              <w:pPr>
                <w:pStyle w:val="Bibliography"/>
                <w:spacing w:line="360" w:lineRule="auto"/>
                <w:rPr>
                  <w:i/>
                  <w:iCs/>
                  <w:sz w:val="24"/>
                  <w:szCs w:val="24"/>
                </w:rPr>
              </w:pPr>
              <w:r w:rsidRPr="00CB5043">
                <w:rPr>
                  <w:sz w:val="24"/>
                  <w:szCs w:val="24"/>
                </w:rPr>
                <w:t xml:space="preserve">Consortio Law Firm (2019) </w:t>
              </w:r>
              <w:r w:rsidRPr="00CB5043">
                <w:rPr>
                  <w:i/>
                  <w:iCs/>
                  <w:sz w:val="24"/>
                  <w:szCs w:val="24"/>
                </w:rPr>
                <w:t>Law Firm</w:t>
              </w:r>
            </w:p>
            <w:p w14:paraId="21DDB5F2" w14:textId="26DE496A" w:rsidR="00CB5043" w:rsidRPr="00CB5043" w:rsidRDefault="00CB5043" w:rsidP="00CB5043">
              <w:pPr>
                <w:spacing w:line="360" w:lineRule="auto"/>
                <w:rPr>
                  <w:sz w:val="24"/>
                  <w:szCs w:val="24"/>
                </w:rPr>
              </w:pPr>
              <w:r w:rsidRPr="00CB5043">
                <w:rPr>
                  <w:sz w:val="24"/>
                  <w:szCs w:val="24"/>
                </w:rPr>
                <w:t>Available at:</w:t>
              </w:r>
              <w:r w:rsidRPr="00D349A1">
                <w:rPr>
                  <w:color w:val="000000" w:themeColor="text1"/>
                  <w:sz w:val="24"/>
                  <w:szCs w:val="24"/>
                </w:rPr>
                <w:t xml:space="preserve"> </w:t>
              </w:r>
              <w:hyperlink r:id="rId11" w:history="1">
                <w:r w:rsidR="00864EAD" w:rsidRPr="00D349A1">
                  <w:rPr>
                    <w:rStyle w:val="Hyperlink"/>
                    <w:color w:val="000000" w:themeColor="text1"/>
                    <w:sz w:val="24"/>
                    <w:szCs w:val="24"/>
                    <w:u w:val="none"/>
                  </w:rPr>
                  <w:t>https://www.consortiolawfirm.com/portfolio-items/criminal-law/</w:t>
                </w:r>
              </w:hyperlink>
            </w:p>
            <w:p w14:paraId="5199B64B" w14:textId="77777777" w:rsidR="00CB5043" w:rsidRPr="00CB5043" w:rsidRDefault="00CB5043" w:rsidP="00CB5043">
              <w:pPr>
                <w:spacing w:line="360" w:lineRule="auto"/>
                <w:rPr>
                  <w:sz w:val="24"/>
                  <w:szCs w:val="24"/>
                </w:rPr>
              </w:pPr>
              <w:r w:rsidRPr="00CB5043">
                <w:rPr>
                  <w:sz w:val="24"/>
                  <w:szCs w:val="24"/>
                </w:rPr>
                <w:t>(Accessed: 04 January 2023).</w:t>
              </w:r>
            </w:p>
            <w:p w14:paraId="10F329A0" w14:textId="77777777" w:rsidR="00CB5043" w:rsidRPr="00CB5043" w:rsidRDefault="00CB5043" w:rsidP="00CB5043">
              <w:pPr>
                <w:pStyle w:val="Bibliography"/>
                <w:spacing w:line="360" w:lineRule="auto"/>
                <w:rPr>
                  <w:sz w:val="24"/>
                  <w:szCs w:val="24"/>
                </w:rPr>
              </w:pPr>
            </w:p>
            <w:p w14:paraId="5B909273" w14:textId="77777777" w:rsidR="00CB5043" w:rsidRPr="00CB5043" w:rsidRDefault="00CB5043" w:rsidP="00CB5043">
              <w:pPr>
                <w:pStyle w:val="Bibliography"/>
                <w:spacing w:line="360" w:lineRule="auto"/>
                <w:rPr>
                  <w:noProof/>
                  <w:sz w:val="24"/>
                  <w:szCs w:val="24"/>
                  <w:lang w:val="ro-RO"/>
                </w:rPr>
              </w:pPr>
              <w:r w:rsidRPr="00CB5043">
                <w:rPr>
                  <w:i/>
                  <w:iCs/>
                  <w:noProof/>
                  <w:sz w:val="24"/>
                  <w:szCs w:val="24"/>
                  <w:lang w:val="ro-RO"/>
                </w:rPr>
                <w:t xml:space="preserve">Criminal Damage Act 1971 c. 48 </w:t>
              </w:r>
              <w:r w:rsidRPr="00CB5043">
                <w:rPr>
                  <w:noProof/>
                  <w:sz w:val="24"/>
                  <w:szCs w:val="24"/>
                  <w:lang w:val="ro-RO"/>
                </w:rPr>
                <w:br/>
                <w:t>Available at: https://www.legislation.gov.uk/ukpga/1971/48</w:t>
              </w:r>
            </w:p>
            <w:p w14:paraId="544F2FE0" w14:textId="77777777" w:rsidR="00CB5043" w:rsidRPr="00CB5043" w:rsidRDefault="00CB5043" w:rsidP="00CB5043">
              <w:pPr>
                <w:spacing w:line="360" w:lineRule="auto"/>
                <w:rPr>
                  <w:sz w:val="24"/>
                  <w:szCs w:val="24"/>
                  <w:lang w:val="ro-RO"/>
                </w:rPr>
              </w:pPr>
              <w:r w:rsidRPr="00CB5043">
                <w:rPr>
                  <w:sz w:val="24"/>
                  <w:szCs w:val="24"/>
                  <w:lang w:val="ro-RO"/>
                </w:rPr>
                <w:t>(Accessed: 31 December 2022).</w:t>
              </w:r>
            </w:p>
            <w:p w14:paraId="7CEC8601" w14:textId="77777777" w:rsidR="00CB5043" w:rsidRPr="00CB5043" w:rsidRDefault="00CB5043" w:rsidP="00CB5043">
              <w:pPr>
                <w:spacing w:line="360" w:lineRule="auto"/>
                <w:rPr>
                  <w:sz w:val="24"/>
                  <w:szCs w:val="24"/>
                  <w:lang w:val="ro-RO"/>
                </w:rPr>
              </w:pPr>
            </w:p>
            <w:p w14:paraId="18DDC835" w14:textId="77777777" w:rsidR="00CB5043" w:rsidRPr="00CB5043" w:rsidRDefault="00CB5043" w:rsidP="00CB5043">
              <w:pPr>
                <w:pStyle w:val="Bibliography"/>
                <w:spacing w:line="360" w:lineRule="auto"/>
                <w:rPr>
                  <w:noProof/>
                  <w:sz w:val="24"/>
                  <w:szCs w:val="24"/>
                  <w:lang w:val="ro-RO"/>
                </w:rPr>
              </w:pPr>
              <w:r w:rsidRPr="00CB5043">
                <w:rPr>
                  <w:i/>
                  <w:iCs/>
                  <w:noProof/>
                  <w:sz w:val="24"/>
                  <w:szCs w:val="24"/>
                  <w:lang w:val="ro-RO"/>
                </w:rPr>
                <w:t>Criminal Damage Act 1971 Section 1</w:t>
              </w:r>
              <w:r w:rsidRPr="00CB5043">
                <w:rPr>
                  <w:noProof/>
                  <w:sz w:val="24"/>
                  <w:szCs w:val="24"/>
                  <w:lang w:val="ro-RO"/>
                </w:rPr>
                <w:br/>
                <w:t>Available at: https://www.legislation.gov.uk/ukpga/1971/48/section/1</w:t>
              </w:r>
            </w:p>
            <w:p w14:paraId="0F5645D7" w14:textId="77777777" w:rsidR="00CB5043" w:rsidRPr="00CB5043" w:rsidRDefault="00CB5043" w:rsidP="00CB5043">
              <w:pPr>
                <w:spacing w:line="360" w:lineRule="auto"/>
                <w:rPr>
                  <w:sz w:val="24"/>
                  <w:szCs w:val="24"/>
                  <w:lang w:val="ro-RO"/>
                </w:rPr>
              </w:pPr>
              <w:r w:rsidRPr="00CB5043">
                <w:rPr>
                  <w:sz w:val="24"/>
                  <w:szCs w:val="24"/>
                  <w:lang w:val="ro-RO"/>
                </w:rPr>
                <w:t>(Accessed: 31 December 2022).</w:t>
              </w:r>
            </w:p>
            <w:p w14:paraId="7BC1FF80" w14:textId="77777777" w:rsidR="00CB5043" w:rsidRPr="00CB5043" w:rsidRDefault="00CB5043" w:rsidP="00CB5043">
              <w:pPr>
                <w:spacing w:line="360" w:lineRule="auto"/>
                <w:rPr>
                  <w:sz w:val="24"/>
                  <w:szCs w:val="24"/>
                  <w:lang w:val="ro-RO"/>
                </w:rPr>
              </w:pPr>
            </w:p>
            <w:p w14:paraId="5C73CCC1" w14:textId="77777777" w:rsidR="00CB5043" w:rsidRPr="00CB5043" w:rsidRDefault="00CB5043" w:rsidP="00CB5043">
              <w:pPr>
                <w:pStyle w:val="Bibliography"/>
                <w:spacing w:line="360" w:lineRule="auto"/>
                <w:rPr>
                  <w:noProof/>
                  <w:sz w:val="24"/>
                  <w:szCs w:val="24"/>
                  <w:lang w:val="ro-RO"/>
                </w:rPr>
              </w:pPr>
              <w:r w:rsidRPr="00CB5043">
                <w:rPr>
                  <w:i/>
                  <w:iCs/>
                  <w:noProof/>
                  <w:sz w:val="24"/>
                  <w:szCs w:val="24"/>
                  <w:lang w:val="ro-RO"/>
                </w:rPr>
                <w:t>Criminal Procedure (Insanity) Act 1964</w:t>
              </w:r>
              <w:r w:rsidRPr="00CB5043">
                <w:rPr>
                  <w:noProof/>
                  <w:sz w:val="24"/>
                  <w:szCs w:val="24"/>
                  <w:lang w:val="ro-RO"/>
                </w:rPr>
                <w:br/>
                <w:t>Available at: https://www.legislation.gov.uk/ukpga/1964/84</w:t>
              </w:r>
            </w:p>
            <w:p w14:paraId="618300AC" w14:textId="77777777" w:rsidR="00CB5043" w:rsidRPr="00CB5043" w:rsidRDefault="00CB5043" w:rsidP="00CB5043">
              <w:pPr>
                <w:spacing w:line="360" w:lineRule="auto"/>
                <w:rPr>
                  <w:sz w:val="24"/>
                  <w:szCs w:val="24"/>
                  <w:lang w:val="ro-RO"/>
                </w:rPr>
              </w:pPr>
              <w:r w:rsidRPr="00CB5043">
                <w:rPr>
                  <w:sz w:val="24"/>
                  <w:szCs w:val="24"/>
                  <w:lang w:val="ro-RO"/>
                </w:rPr>
                <w:t>(Accessed: 30 December 2022).</w:t>
              </w:r>
            </w:p>
            <w:p w14:paraId="79BDAA49" w14:textId="77777777" w:rsidR="00CB5043" w:rsidRPr="00CB5043" w:rsidRDefault="00CB5043" w:rsidP="00CB5043">
              <w:pPr>
                <w:spacing w:line="360" w:lineRule="auto"/>
                <w:rPr>
                  <w:sz w:val="24"/>
                  <w:szCs w:val="24"/>
                  <w:lang w:val="ro-RO"/>
                </w:rPr>
              </w:pPr>
            </w:p>
            <w:p w14:paraId="7C3AB09F" w14:textId="77777777" w:rsidR="00CB5043" w:rsidRPr="00CB5043" w:rsidRDefault="00CB5043" w:rsidP="00CB5043">
              <w:pPr>
                <w:pStyle w:val="Bibliography"/>
                <w:spacing w:line="360" w:lineRule="auto"/>
                <w:rPr>
                  <w:noProof/>
                  <w:sz w:val="24"/>
                  <w:szCs w:val="24"/>
                  <w:u w:val="single"/>
                  <w:lang w:val="ro-RO"/>
                </w:rPr>
              </w:pPr>
              <w:r w:rsidRPr="00CB5043">
                <w:rPr>
                  <w:noProof/>
                  <w:sz w:val="24"/>
                  <w:szCs w:val="24"/>
                  <w:lang w:val="ro-RO"/>
                </w:rPr>
                <w:t xml:space="preserve">LawTeacher (2021) </w:t>
              </w:r>
              <w:r w:rsidRPr="00CB5043">
                <w:rPr>
                  <w:i/>
                  <w:iCs/>
                  <w:noProof/>
                  <w:sz w:val="24"/>
                  <w:szCs w:val="24"/>
                  <w:lang w:val="ro-RO"/>
                </w:rPr>
                <w:t>R v Miller 1983 2 AC 161.</w:t>
              </w:r>
              <w:r w:rsidRPr="00CB5043">
                <w:rPr>
                  <w:noProof/>
                  <w:sz w:val="24"/>
                  <w:szCs w:val="24"/>
                  <w:lang w:val="ro-RO"/>
                </w:rPr>
                <w:t xml:space="preserve"> </w:t>
              </w:r>
              <w:r w:rsidRPr="00CB5043">
                <w:rPr>
                  <w:noProof/>
                  <w:sz w:val="24"/>
                  <w:szCs w:val="24"/>
                  <w:lang w:val="ro-RO"/>
                </w:rPr>
                <w:br/>
                <w:t>Available at: https://www.lawteacher.net/cases/r-v-miller.php</w:t>
              </w:r>
            </w:p>
            <w:p w14:paraId="7296B892" w14:textId="77777777" w:rsidR="00CB5043" w:rsidRPr="00CB5043" w:rsidRDefault="00CB5043" w:rsidP="00CB5043">
              <w:pPr>
                <w:spacing w:line="360" w:lineRule="auto"/>
                <w:rPr>
                  <w:sz w:val="24"/>
                  <w:szCs w:val="24"/>
                  <w:lang w:val="ro-RO"/>
                </w:rPr>
              </w:pPr>
              <w:r w:rsidRPr="00CB5043">
                <w:rPr>
                  <w:sz w:val="24"/>
                  <w:szCs w:val="24"/>
                  <w:lang w:val="ro-RO"/>
                </w:rPr>
                <w:t>(Accessed: 28 December 2022).</w:t>
              </w:r>
            </w:p>
            <w:p w14:paraId="1B33C023" w14:textId="77777777" w:rsidR="00CB5043" w:rsidRPr="00CB5043" w:rsidRDefault="00CB5043" w:rsidP="00CB5043">
              <w:pPr>
                <w:spacing w:line="360" w:lineRule="auto"/>
                <w:rPr>
                  <w:sz w:val="24"/>
                  <w:szCs w:val="24"/>
                  <w:lang w:val="ro-RO"/>
                </w:rPr>
              </w:pPr>
            </w:p>
            <w:p w14:paraId="2B5EC560" w14:textId="77777777" w:rsidR="00CB5043" w:rsidRPr="00CB5043" w:rsidRDefault="00CB5043" w:rsidP="00CB5043">
              <w:pPr>
                <w:pStyle w:val="Bibliography"/>
                <w:spacing w:line="360" w:lineRule="auto"/>
                <w:rPr>
                  <w:noProof/>
                  <w:sz w:val="24"/>
                  <w:szCs w:val="24"/>
                  <w:u w:val="single"/>
                  <w:lang w:val="ro-RO"/>
                </w:rPr>
              </w:pPr>
              <w:r w:rsidRPr="00CB5043">
                <w:rPr>
                  <w:noProof/>
                  <w:sz w:val="24"/>
                  <w:szCs w:val="24"/>
                  <w:lang w:val="ro-RO"/>
                </w:rPr>
                <w:t xml:space="preserve">Mayoclinic (2021) </w:t>
              </w:r>
              <w:r w:rsidRPr="00CB5043">
                <w:rPr>
                  <w:i/>
                  <w:iCs/>
                  <w:noProof/>
                  <w:sz w:val="24"/>
                  <w:szCs w:val="24"/>
                  <w:lang w:val="ro-RO"/>
                </w:rPr>
                <w:t>Seizures</w:t>
              </w:r>
              <w:r w:rsidRPr="00CB5043">
                <w:rPr>
                  <w:noProof/>
                  <w:sz w:val="24"/>
                  <w:szCs w:val="24"/>
                  <w:lang w:val="ro-RO"/>
                </w:rPr>
                <w:br/>
                <w:t>Available at: https://www.mayoclinic.org/diseases-conditions/seizure/symptoms-causes/syc-20365711</w:t>
              </w:r>
            </w:p>
            <w:p w14:paraId="6DC6B25D" w14:textId="77777777" w:rsidR="00CB5043" w:rsidRPr="00CB5043" w:rsidRDefault="00CB5043" w:rsidP="00CB5043">
              <w:pPr>
                <w:spacing w:line="360" w:lineRule="auto"/>
                <w:rPr>
                  <w:sz w:val="24"/>
                  <w:szCs w:val="24"/>
                  <w:lang w:val="ro-RO"/>
                </w:rPr>
              </w:pPr>
              <w:r w:rsidRPr="00CB5043">
                <w:rPr>
                  <w:sz w:val="24"/>
                  <w:szCs w:val="24"/>
                  <w:lang w:val="ro-RO"/>
                </w:rPr>
                <w:t>(Accessed: 29 December 2022).</w:t>
              </w:r>
            </w:p>
            <w:p w14:paraId="7AB5865A" w14:textId="77777777" w:rsidR="00CB5043" w:rsidRPr="00CB5043" w:rsidRDefault="00CB5043" w:rsidP="00CB5043">
              <w:pPr>
                <w:spacing w:line="360" w:lineRule="auto"/>
                <w:rPr>
                  <w:sz w:val="24"/>
                  <w:szCs w:val="24"/>
                  <w:lang w:val="ro-RO"/>
                </w:rPr>
              </w:pPr>
            </w:p>
            <w:p w14:paraId="20F0328B" w14:textId="77777777" w:rsidR="00CB5043" w:rsidRPr="00CB5043" w:rsidRDefault="00CB5043" w:rsidP="00CB5043">
              <w:pPr>
                <w:spacing w:line="360" w:lineRule="auto"/>
                <w:rPr>
                  <w:sz w:val="24"/>
                  <w:szCs w:val="24"/>
                  <w:lang w:val="ro-RO"/>
                </w:rPr>
              </w:pPr>
              <w:r w:rsidRPr="00CB5043">
                <w:rPr>
                  <w:sz w:val="24"/>
                  <w:szCs w:val="24"/>
                  <w:lang w:val="ro-RO"/>
                </w:rPr>
                <w:t xml:space="preserve">Michael, E.S. and John, S. (2019) </w:t>
              </w:r>
              <w:r w:rsidRPr="00CB5043">
                <w:rPr>
                  <w:i/>
                  <w:iCs/>
                  <w:sz w:val="24"/>
                  <w:szCs w:val="24"/>
                  <w:lang w:val="ro-RO"/>
                </w:rPr>
                <w:t xml:space="preserve"> A Practical Approach to Criminal Procedure</w:t>
              </w:r>
              <w:r w:rsidRPr="00CB5043">
                <w:rPr>
                  <w:sz w:val="24"/>
                  <w:szCs w:val="24"/>
                  <w:lang w:val="ro-RO"/>
                </w:rPr>
                <w:t>. United Kingdom: Oxford University Press.</w:t>
              </w:r>
            </w:p>
            <w:p w14:paraId="39CFBE1C" w14:textId="77777777" w:rsidR="00CB5043" w:rsidRPr="00CB5043" w:rsidRDefault="00CB5043" w:rsidP="00CB5043">
              <w:pPr>
                <w:pStyle w:val="Bibliography"/>
                <w:spacing w:line="360" w:lineRule="auto"/>
                <w:rPr>
                  <w:sz w:val="24"/>
                  <w:szCs w:val="24"/>
                  <w:lang w:val="ro-RO"/>
                </w:rPr>
              </w:pPr>
              <w:r w:rsidRPr="00CB5043">
                <w:rPr>
                  <w:sz w:val="24"/>
                  <w:szCs w:val="24"/>
                </w:rPr>
                <w:fldChar w:fldCharType="begin"/>
              </w:r>
              <w:r w:rsidRPr="00CB5043">
                <w:rPr>
                  <w:sz w:val="24"/>
                  <w:szCs w:val="24"/>
                </w:rPr>
                <w:instrText xml:space="preserve"> BIBLIOGRAPHY </w:instrText>
              </w:r>
              <w:r w:rsidRPr="00CB5043">
                <w:rPr>
                  <w:sz w:val="24"/>
                  <w:szCs w:val="24"/>
                </w:rPr>
                <w:fldChar w:fldCharType="separate"/>
              </w:r>
            </w:p>
            <w:p w14:paraId="71BD1A2D" w14:textId="77777777" w:rsidR="00CB5043" w:rsidRPr="00CB5043" w:rsidRDefault="00CB5043" w:rsidP="00CB5043">
              <w:pPr>
                <w:pStyle w:val="Bibliography"/>
                <w:spacing w:line="360" w:lineRule="auto"/>
                <w:rPr>
                  <w:noProof/>
                  <w:sz w:val="24"/>
                  <w:szCs w:val="24"/>
                  <w:lang w:val="en-GB"/>
                </w:rPr>
              </w:pPr>
              <w:r w:rsidRPr="00CB5043">
                <w:rPr>
                  <w:i/>
                  <w:iCs/>
                  <w:noProof/>
                  <w:sz w:val="24"/>
                  <w:szCs w:val="24"/>
                  <w:lang w:val="ro-RO"/>
                </w:rPr>
                <w:t>Offences against the Person Act 1861</w:t>
              </w:r>
              <w:r w:rsidRPr="00CB5043">
                <w:rPr>
                  <w:noProof/>
                  <w:sz w:val="24"/>
                  <w:szCs w:val="24"/>
                  <w:lang w:val="ro-RO"/>
                </w:rPr>
                <w:br/>
                <w:t xml:space="preserve">Available at: </w:t>
              </w:r>
              <w:r w:rsidRPr="00CB5043">
                <w:rPr>
                  <w:noProof/>
                  <w:sz w:val="24"/>
                  <w:szCs w:val="24"/>
                  <w:lang w:val="en-GB"/>
                </w:rPr>
                <w:t>https://www.legislation.gov.uk/ukpga/Vict/24-25/100/section/47</w:t>
              </w:r>
            </w:p>
            <w:p w14:paraId="7EA220A9" w14:textId="77777777" w:rsidR="00CB5043" w:rsidRPr="00CB5043" w:rsidRDefault="00CB5043" w:rsidP="00CB5043">
              <w:pPr>
                <w:spacing w:line="360" w:lineRule="auto"/>
                <w:rPr>
                  <w:sz w:val="24"/>
                  <w:szCs w:val="24"/>
                </w:rPr>
              </w:pPr>
              <w:r w:rsidRPr="00CB5043">
                <w:rPr>
                  <w:sz w:val="24"/>
                  <w:szCs w:val="24"/>
                </w:rPr>
                <w:t>(Accessed: 29 December 2022).</w:t>
              </w:r>
            </w:p>
            <w:p w14:paraId="2CCBFE63" w14:textId="77777777" w:rsidR="00CB5043" w:rsidRPr="00CB5043" w:rsidRDefault="00CB5043" w:rsidP="00CB5043">
              <w:pPr>
                <w:spacing w:line="360" w:lineRule="auto"/>
                <w:rPr>
                  <w:sz w:val="24"/>
                  <w:szCs w:val="24"/>
                </w:rPr>
              </w:pPr>
            </w:p>
            <w:p w14:paraId="28EAF3B5" w14:textId="77777777" w:rsidR="00CB5043" w:rsidRPr="00CB5043" w:rsidRDefault="00CB5043" w:rsidP="00CB5043">
              <w:pPr>
                <w:pStyle w:val="Bibliography"/>
                <w:spacing w:line="360" w:lineRule="auto"/>
                <w:rPr>
                  <w:noProof/>
                  <w:sz w:val="24"/>
                  <w:szCs w:val="24"/>
                  <w:u w:val="single"/>
                  <w:lang w:val="ro-RO"/>
                </w:rPr>
              </w:pPr>
              <w:r w:rsidRPr="00CB5043">
                <w:rPr>
                  <w:noProof/>
                  <w:sz w:val="24"/>
                  <w:szCs w:val="24"/>
                  <w:lang w:val="ro-RO"/>
                </w:rPr>
                <w:t xml:space="preserve">Schachter, S. C. (2022) </w:t>
              </w:r>
              <w:r w:rsidRPr="00CB5043">
                <w:rPr>
                  <w:i/>
                  <w:iCs/>
                  <w:noProof/>
                  <w:sz w:val="24"/>
                  <w:szCs w:val="24"/>
                  <w:lang w:val="ro-RO"/>
                </w:rPr>
                <w:t>Alcohol as a Seizure Triggers</w:t>
              </w:r>
              <w:r w:rsidRPr="00CB5043">
                <w:rPr>
                  <w:noProof/>
                  <w:sz w:val="24"/>
                  <w:szCs w:val="24"/>
                  <w:lang w:val="ro-RO"/>
                </w:rPr>
                <w:br/>
                <w:t>Available at: https://www.epilepsy.com/what-is-epilepsy/seizure-triggers/alcohol</w:t>
              </w:r>
            </w:p>
            <w:p w14:paraId="58943521" w14:textId="77777777" w:rsidR="00CB5043" w:rsidRPr="00CB5043" w:rsidRDefault="00CB5043" w:rsidP="00CB5043">
              <w:pPr>
                <w:spacing w:line="360" w:lineRule="auto"/>
                <w:rPr>
                  <w:sz w:val="24"/>
                  <w:szCs w:val="24"/>
                  <w:lang w:val="ro-RO"/>
                </w:rPr>
              </w:pPr>
              <w:r w:rsidRPr="00CB5043">
                <w:rPr>
                  <w:sz w:val="24"/>
                  <w:szCs w:val="24"/>
                  <w:lang w:val="ro-RO"/>
                </w:rPr>
                <w:t>(Accessed: 30 December 2022).</w:t>
              </w:r>
            </w:p>
            <w:p w14:paraId="48C70CAD" w14:textId="77777777" w:rsidR="00CB5043" w:rsidRPr="00CB5043" w:rsidRDefault="00CB5043" w:rsidP="00CB5043">
              <w:pPr>
                <w:spacing w:line="360" w:lineRule="auto"/>
                <w:rPr>
                  <w:sz w:val="24"/>
                  <w:szCs w:val="24"/>
                  <w:lang w:val="ro-RO"/>
                </w:rPr>
              </w:pPr>
            </w:p>
            <w:p w14:paraId="173E32F3" w14:textId="77777777" w:rsidR="00CB5043" w:rsidRPr="00CB5043" w:rsidRDefault="00CB5043" w:rsidP="00CB5043">
              <w:pPr>
                <w:pStyle w:val="Bibliography"/>
                <w:spacing w:line="360" w:lineRule="auto"/>
                <w:rPr>
                  <w:noProof/>
                  <w:sz w:val="24"/>
                  <w:szCs w:val="24"/>
                  <w:lang w:val="ro-RO"/>
                </w:rPr>
              </w:pPr>
              <w:r w:rsidRPr="00CB5043">
                <w:rPr>
                  <w:i/>
                  <w:iCs/>
                  <w:noProof/>
                  <w:sz w:val="24"/>
                  <w:szCs w:val="24"/>
                  <w:lang w:val="ro-RO"/>
                </w:rPr>
                <w:t>Theft Act 1968 Section 9</w:t>
              </w:r>
              <w:r w:rsidRPr="00CB5043">
                <w:rPr>
                  <w:noProof/>
                  <w:sz w:val="24"/>
                  <w:szCs w:val="24"/>
                  <w:lang w:val="ro-RO"/>
                </w:rPr>
                <w:br/>
                <w:t>Available at: https://www.legislation.gov.uk/ukpga/1968/60/section/9</w:t>
              </w:r>
            </w:p>
            <w:p w14:paraId="48354F8C" w14:textId="77777777" w:rsidR="00CB5043" w:rsidRPr="00CB5043" w:rsidRDefault="00CB5043" w:rsidP="00CB5043">
              <w:pPr>
                <w:spacing w:line="360" w:lineRule="auto"/>
                <w:rPr>
                  <w:sz w:val="24"/>
                  <w:szCs w:val="24"/>
                  <w:lang w:val="ro-RO"/>
                </w:rPr>
              </w:pPr>
              <w:r w:rsidRPr="00CB5043">
                <w:rPr>
                  <w:sz w:val="24"/>
                  <w:szCs w:val="24"/>
                  <w:lang w:val="ro-RO"/>
                </w:rPr>
                <w:t>(Accessed: 30 December 2022).</w:t>
              </w:r>
            </w:p>
            <w:p w14:paraId="40397B56" w14:textId="77777777" w:rsidR="00CB5043" w:rsidRPr="00CB5043" w:rsidRDefault="00CB5043" w:rsidP="00CB5043">
              <w:pPr>
                <w:spacing w:line="360" w:lineRule="auto"/>
                <w:rPr>
                  <w:sz w:val="24"/>
                  <w:szCs w:val="24"/>
                  <w:lang w:val="ro-RO"/>
                </w:rPr>
              </w:pPr>
            </w:p>
            <w:p w14:paraId="783D6509" w14:textId="77777777" w:rsidR="00CB5043" w:rsidRPr="00CB5043" w:rsidRDefault="00CB5043" w:rsidP="00CB5043">
              <w:pPr>
                <w:pStyle w:val="Bibliography"/>
                <w:spacing w:line="360" w:lineRule="auto"/>
                <w:rPr>
                  <w:noProof/>
                  <w:sz w:val="24"/>
                  <w:szCs w:val="24"/>
                  <w:lang w:val="ro-RO"/>
                </w:rPr>
              </w:pPr>
              <w:r w:rsidRPr="00CB5043">
                <w:rPr>
                  <w:i/>
                  <w:iCs/>
                  <w:noProof/>
                  <w:sz w:val="24"/>
                  <w:szCs w:val="24"/>
                  <w:lang w:val="ro-RO"/>
                </w:rPr>
                <w:t>Theft Act 1968 Section 1</w:t>
              </w:r>
              <w:r w:rsidRPr="00CB5043">
                <w:rPr>
                  <w:noProof/>
                  <w:sz w:val="24"/>
                  <w:szCs w:val="24"/>
                  <w:lang w:val="ro-RO"/>
                </w:rPr>
                <w:br/>
                <w:t>Available at: https://www.legislation.gov.uk/ukpga/1968/60/section/1</w:t>
              </w:r>
            </w:p>
            <w:p w14:paraId="6659FF75" w14:textId="77777777" w:rsidR="00CB5043" w:rsidRPr="00CB5043" w:rsidRDefault="00CB5043" w:rsidP="00CB5043">
              <w:pPr>
                <w:spacing w:line="360" w:lineRule="auto"/>
                <w:rPr>
                  <w:sz w:val="24"/>
                  <w:szCs w:val="24"/>
                  <w:lang w:val="ro-RO"/>
                </w:rPr>
              </w:pPr>
              <w:r w:rsidRPr="00CB5043">
                <w:rPr>
                  <w:sz w:val="24"/>
                  <w:szCs w:val="24"/>
                  <w:lang w:val="ro-RO"/>
                </w:rPr>
                <w:t>(Accessed: 30 December 2022).</w:t>
              </w:r>
            </w:p>
            <w:p w14:paraId="22E336F9" w14:textId="6B9F0383" w:rsidR="00CB5043" w:rsidRPr="00E12347" w:rsidRDefault="00CB5043" w:rsidP="00E12347">
              <w:pPr>
                <w:spacing w:line="360" w:lineRule="auto"/>
              </w:pPr>
              <w:r w:rsidRPr="00CB5043">
                <w:rPr>
                  <w:b/>
                  <w:bCs/>
                  <w:noProof/>
                  <w:sz w:val="24"/>
                  <w:szCs w:val="24"/>
                </w:rPr>
                <w:fldChar w:fldCharType="end"/>
              </w:r>
            </w:p>
          </w:sdtContent>
        </w:sdt>
      </w:sdtContent>
    </w:sdt>
    <w:sectPr w:rsidR="00CB5043" w:rsidRPr="00E12347">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377E"/>
    <w:rsid w:val="00080D66"/>
    <w:rsid w:val="000A0120"/>
    <w:rsid w:val="000B2073"/>
    <w:rsid w:val="000D5606"/>
    <w:rsid w:val="000F377E"/>
    <w:rsid w:val="00115D97"/>
    <w:rsid w:val="00182C3E"/>
    <w:rsid w:val="001E7D86"/>
    <w:rsid w:val="00221A60"/>
    <w:rsid w:val="00260FB7"/>
    <w:rsid w:val="00301F21"/>
    <w:rsid w:val="00315F93"/>
    <w:rsid w:val="00320F76"/>
    <w:rsid w:val="00334E80"/>
    <w:rsid w:val="003525BD"/>
    <w:rsid w:val="003A370C"/>
    <w:rsid w:val="003C13E7"/>
    <w:rsid w:val="00413F47"/>
    <w:rsid w:val="0044753E"/>
    <w:rsid w:val="00537B3C"/>
    <w:rsid w:val="00543D09"/>
    <w:rsid w:val="00586BC7"/>
    <w:rsid w:val="00594734"/>
    <w:rsid w:val="00603E8B"/>
    <w:rsid w:val="0064502A"/>
    <w:rsid w:val="00656DAD"/>
    <w:rsid w:val="00657798"/>
    <w:rsid w:val="006675E8"/>
    <w:rsid w:val="006C7D81"/>
    <w:rsid w:val="00712B25"/>
    <w:rsid w:val="007674D7"/>
    <w:rsid w:val="00784C10"/>
    <w:rsid w:val="00787EDA"/>
    <w:rsid w:val="007971A8"/>
    <w:rsid w:val="007D7669"/>
    <w:rsid w:val="00844271"/>
    <w:rsid w:val="0085507C"/>
    <w:rsid w:val="00864EAD"/>
    <w:rsid w:val="008C3A78"/>
    <w:rsid w:val="008E24F5"/>
    <w:rsid w:val="009E6DC2"/>
    <w:rsid w:val="009F6FC6"/>
    <w:rsid w:val="00A03B28"/>
    <w:rsid w:val="00A274C6"/>
    <w:rsid w:val="00A659C9"/>
    <w:rsid w:val="00A82DC8"/>
    <w:rsid w:val="00A8551E"/>
    <w:rsid w:val="00AD744C"/>
    <w:rsid w:val="00B42021"/>
    <w:rsid w:val="00B60248"/>
    <w:rsid w:val="00BF4D91"/>
    <w:rsid w:val="00C25A47"/>
    <w:rsid w:val="00C930A1"/>
    <w:rsid w:val="00C94494"/>
    <w:rsid w:val="00CB5043"/>
    <w:rsid w:val="00CE344C"/>
    <w:rsid w:val="00D349A1"/>
    <w:rsid w:val="00DE26C0"/>
    <w:rsid w:val="00E12347"/>
    <w:rsid w:val="00E164A1"/>
    <w:rsid w:val="00F01E69"/>
    <w:rsid w:val="00F2783F"/>
    <w:rsid w:val="00FC35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0C562C"/>
  <w15:docId w15:val="{D1C0A85A-490E-4D29-8D46-7D194EB57F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rmalWeb">
    <w:name w:val="Normal (Web)"/>
    <w:basedOn w:val="Normal"/>
    <w:uiPriority w:val="99"/>
    <w:unhideWhenUsed/>
    <w:rsid w:val="00260FB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CB5043"/>
    <w:rPr>
      <w:sz w:val="40"/>
      <w:szCs w:val="40"/>
    </w:rPr>
  </w:style>
  <w:style w:type="paragraph" w:styleId="Bibliography">
    <w:name w:val="Bibliography"/>
    <w:basedOn w:val="Normal"/>
    <w:next w:val="Normal"/>
    <w:uiPriority w:val="37"/>
    <w:unhideWhenUsed/>
    <w:rsid w:val="00CB5043"/>
    <w:rPr>
      <w:lang w:val="ro"/>
    </w:rPr>
  </w:style>
  <w:style w:type="character" w:styleId="Hyperlink">
    <w:name w:val="Hyperlink"/>
    <w:basedOn w:val="DefaultParagraphFont"/>
    <w:uiPriority w:val="99"/>
    <w:unhideWhenUsed/>
    <w:rsid w:val="00CB5043"/>
    <w:rPr>
      <w:color w:val="0000FF" w:themeColor="hyperlink"/>
      <w:u w:val="single"/>
    </w:rPr>
  </w:style>
  <w:style w:type="character" w:styleId="UnresolvedMention">
    <w:name w:val="Unresolved Mention"/>
    <w:basedOn w:val="DefaultParagraphFont"/>
    <w:uiPriority w:val="99"/>
    <w:semiHidden/>
    <w:unhideWhenUsed/>
    <w:rsid w:val="00AD74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06664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68/60/section/1"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legislation.gov.uk/ukpga/1968/60/section/9"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legislation.gov.uk/ukpga/1971/48/section/1" TargetMode="External"/><Relationship Id="rId11" Type="http://schemas.openxmlformats.org/officeDocument/2006/relationships/hyperlink" Target="https://www.consortiolawfirm.com/portfolio-items/criminal-law/" TargetMode="External"/><Relationship Id="rId5" Type="http://schemas.openxmlformats.org/officeDocument/2006/relationships/image" Target="media/image1.jpeg"/><Relationship Id="rId10" Type="http://schemas.openxmlformats.org/officeDocument/2006/relationships/hyperlink" Target="https://www.legislation.gov.uk/ukpga/Vict/24-25/100/section/47" TargetMode="External"/><Relationship Id="rId4" Type="http://schemas.openxmlformats.org/officeDocument/2006/relationships/webSettings" Target="webSettings.xml"/><Relationship Id="rId9" Type="http://schemas.openxmlformats.org/officeDocument/2006/relationships/hyperlink" Target="https://www.legislation.gov.uk/ukpga/1971/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UKP71</b:Tag>
    <b:SourceType>InternetSite</b:SourceType>
    <b:Guid>{25D9E9C1-5252-480B-9773-F51BC5970A03}</b:Guid>
    <b:Author>
      <b:Author>
        <b:Corporate>Legislation Gov UK</b:Corporate>
      </b:Author>
    </b:Author>
    <b:Title>legislation.gov.uk</b:Title>
    <b:Year>1971</b:Year>
    <b:URL>https://www.legislation.gov.uk/ukpga/1971/48/section/1</b:URL>
    <b:RefOrder>1</b:RefOrder>
  </b:Source>
  <b:Source>
    <b:Tag>law83</b:Tag>
    <b:SourceType>InternetSite</b:SourceType>
    <b:Guid>{EF9BE0CE-5EEA-4A32-BDEC-E2E856B42729}</b:Guid>
    <b:Title>lawteacher</b:Title>
    <b:Year>1983</b:Year>
    <b:Author>
      <b:Author>
        <b:Corporate>lawteacher</b:Corporate>
      </b:Author>
    </b:Author>
    <b:URL>https://www.lawteacher.net/cases/r-v-miller.php</b:URL>
    <b:RefOrder>2</b:RefOrder>
  </b:Source>
  <b:Source>
    <b:Tag>Leg68</b:Tag>
    <b:SourceType>InternetSite</b:SourceType>
    <b:Guid>{D0F1FB99-A3F2-4052-8667-661435C81838}</b:Guid>
    <b:Author>
      <b:Author>
        <b:Corporate>Legislation Gov UK</b:Corporate>
      </b:Author>
    </b:Author>
    <b:Title>legislation.gov.uk</b:Title>
    <b:Year>1968</b:Year>
    <b:URL>https://www.legislation.gov.uk/ukpga/1968/60/section/9</b:URL>
    <b:RefOrder>3</b:RefOrder>
  </b:Source>
  <b:Source>
    <b:Tag>Leg681</b:Tag>
    <b:SourceType>InternetSite</b:SourceType>
    <b:Guid>{7F7345B8-6ED8-4899-B705-15DECFAA6276}</b:Guid>
    <b:Author>
      <b:Author>
        <b:Corporate>Legislation Gov UK</b:Corporate>
      </b:Author>
    </b:Author>
    <b:Title>legislation.gov.uk</b:Title>
    <b:Year>1968</b:Year>
    <b:URL>https://www.legislation.gov.uk/ukpga/1968/60/section/1</b:URL>
    <b:RefOrder>4</b:RefOrder>
  </b:Source>
  <b:Source>
    <b:Tag>Leg71</b:Tag>
    <b:SourceType>InternetSite</b:SourceType>
    <b:Guid>{CDA5406C-A05F-4263-A3F9-27D3D2630EE3}</b:Guid>
    <b:Author>
      <b:Author>
        <b:Corporate>Legislation Gov UK</b:Corporate>
      </b:Author>
    </b:Author>
    <b:Title>legislation.gov.uk</b:Title>
    <b:Year>1971</b:Year>
    <b:URL>https://www.legislation.gov.uk/ukpga/1971/48</b:URL>
    <b:RefOrder>5</b:RefOrder>
  </b:Source>
  <b:Source>
    <b:Tag>Leg61</b:Tag>
    <b:SourceType>InternetSite</b:SourceType>
    <b:Guid>{850C9132-08AE-475F-B6EA-485787A92D09}</b:Guid>
    <b:Author>
      <b:Author>
        <b:Corporate>Legislation Gov UK</b:Corporate>
      </b:Author>
    </b:Author>
    <b:Title>legislation.gov.uk</b:Title>
    <b:Year>1861</b:Year>
    <b:URL>https://www.legislation.gov.uk/ukpga/Vict/24-25/100/section/47</b:URL>
    <b:RefOrder>6</b:RefOrder>
  </b:Source>
  <b:Source>
    <b:Tag>Ste</b:Tag>
    <b:SourceType>InternetSite</b:SourceType>
    <b:Guid>{49CB8AFD-15A1-40AD-A965-7F473550CCEE}</b:Guid>
    <b:Author>
      <b:Author>
        <b:NameList>
          <b:Person>
            <b:Last>Schachter</b:Last>
            <b:First>Steven</b:First>
            <b:Middle>C.</b:Middle>
          </b:Person>
        </b:NameList>
      </b:Author>
    </b:Author>
    <b:Title>epilepsy</b:Title>
    <b:URL>https://www.epilepsy.com/what-is-epilepsy/seizure-triggers/alcohol</b:URL>
    <b:RefOrder>7</b:RefOrder>
  </b:Source>
  <b:Source>
    <b:Tag>may</b:Tag>
    <b:SourceType>InternetSite</b:SourceType>
    <b:Guid>{43FEDA11-8859-4273-91E9-0AF07B32D9D1}</b:Guid>
    <b:Author>
      <b:Author>
        <b:Corporate>mayoclinic staff</b:Corporate>
      </b:Author>
    </b:Author>
    <b:Title>mayoclinic</b:Title>
    <b:URL>https://www.mayoclinic.org/diseases-conditions/seizure/symptoms-causes/syc-20365711</b:URL>
    <b:RefOrder>8</b:RefOrder>
  </b:Source>
  <b:Source>
    <b:Tag>Leg64</b:Tag>
    <b:SourceType>InternetSite</b:SourceType>
    <b:Guid>{1D4D6CD6-69E5-4FDD-B464-E6E2550935BD}</b:Guid>
    <b:Author>
      <b:Author>
        <b:Corporate>Legislation Gov UK</b:Corporate>
      </b:Author>
    </b:Author>
    <b:Title>legislation.gov.uk</b:Title>
    <b:Year>1964</b:Year>
    <b:URL>https://www.legislation.gov.uk/ukpga/1964/84</b:URL>
    <b:RefOrder>9</b:RefOrder>
  </b:Source>
</b:Sources>
</file>

<file path=customXml/itemProps1.xml><?xml version="1.0" encoding="utf-8"?>
<ds:datastoreItem xmlns:ds="http://schemas.openxmlformats.org/officeDocument/2006/customXml" ds:itemID="{2EEC1120-23ED-4916-9948-152125084D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7</Pages>
  <Words>1698</Words>
  <Characters>9685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Andreea Calin (2207380)</cp:lastModifiedBy>
  <cp:revision>61</cp:revision>
  <dcterms:created xsi:type="dcterms:W3CDTF">2023-01-12T13:30:00Z</dcterms:created>
  <dcterms:modified xsi:type="dcterms:W3CDTF">2023-01-12T16:18:00Z</dcterms:modified>
</cp:coreProperties>
</file>