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9054352"/>
        <w:docPartObj>
          <w:docPartGallery w:val="Cover Pages"/>
          <w:docPartUnique/>
        </w:docPartObj>
      </w:sdtPr>
      <w:sdtEndPr>
        <w:rPr>
          <w:rFonts w:eastAsiaTheme="minorHAnsi"/>
          <w:lang w:val="en-GB"/>
        </w:rPr>
      </w:sdtEndPr>
      <w:sdtContent>
        <w:p w14:paraId="6A7C0B8E" w14:textId="4B0A5AD4" w:rsidR="00C142D3" w:rsidRDefault="00C142D3">
          <w:pPr>
            <w:pStyle w:val="NoSpacing"/>
          </w:pPr>
          <w:r>
            <w:rPr>
              <w:noProof/>
            </w:rPr>
            <mc:AlternateContent>
              <mc:Choice Requires="wpg">
                <w:drawing>
                  <wp:anchor distT="0" distB="0" distL="114300" distR="114300" simplePos="0" relativeHeight="251659264" behindDoc="1" locked="0" layoutInCell="1" allowOverlap="1" wp14:anchorId="33D448AA" wp14:editId="71F461D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1-13T00:00:00Z">
                                      <w:dateFormat w:val="M/d/yyyy"/>
                                      <w:lid w:val="en-US"/>
                                      <w:storeMappedDataAs w:val="dateTime"/>
                                      <w:calendar w:val="gregorian"/>
                                    </w:date>
                                  </w:sdtPr>
                                  <w:sdtContent>
                                    <w:p w14:paraId="6D6828D0" w14:textId="02AC1060" w:rsidR="00C142D3" w:rsidRDefault="00C142D3">
                                      <w:pPr>
                                        <w:pStyle w:val="NoSpacing"/>
                                        <w:jc w:val="right"/>
                                        <w:rPr>
                                          <w:color w:val="FFFFFF" w:themeColor="background1"/>
                                          <w:sz w:val="28"/>
                                          <w:szCs w:val="28"/>
                                        </w:rPr>
                                      </w:pPr>
                                      <w:r>
                                        <w:rPr>
                                          <w:color w:val="FFFFFF" w:themeColor="background1"/>
                                          <w:sz w:val="28"/>
                                          <w:szCs w:val="28"/>
                                        </w:rPr>
                                        <w:t>1/13/2023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3D448A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1-13T00:00:00Z">
                                <w:dateFormat w:val="M/d/yyyy"/>
                                <w:lid w:val="en-US"/>
                                <w:storeMappedDataAs w:val="dateTime"/>
                                <w:calendar w:val="gregorian"/>
                              </w:date>
                            </w:sdtPr>
                            <w:sdtContent>
                              <w:p w14:paraId="6D6828D0" w14:textId="02AC1060" w:rsidR="00C142D3" w:rsidRDefault="00C142D3">
                                <w:pPr>
                                  <w:pStyle w:val="NoSpacing"/>
                                  <w:jc w:val="right"/>
                                  <w:rPr>
                                    <w:color w:val="FFFFFF" w:themeColor="background1"/>
                                    <w:sz w:val="28"/>
                                    <w:szCs w:val="28"/>
                                  </w:rPr>
                                </w:pPr>
                                <w:r>
                                  <w:rPr>
                                    <w:color w:val="FFFFFF" w:themeColor="background1"/>
                                    <w:sz w:val="28"/>
                                    <w:szCs w:val="28"/>
                                  </w:rPr>
                                  <w:t>1/13/2023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7599ABE" wp14:editId="539242C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42218" w14:textId="5AA4DCB9" w:rsidR="00C142D3" w:rsidRPr="001B4E7D" w:rsidRDefault="00C142D3">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B4E7D" w:rsidRPr="001B4E7D">
                                      <w:rPr>
                                        <w:color w:val="000000" w:themeColor="text1"/>
                                        <w:sz w:val="26"/>
                                        <w:szCs w:val="26"/>
                                      </w:rPr>
                                      <w:t xml:space="preserve">Irina Popescu </w:t>
                                    </w:r>
                                    <w:proofErr w:type="spellStart"/>
                                    <w:r w:rsidR="001B4E7D" w:rsidRPr="001B4E7D">
                                      <w:rPr>
                                        <w:color w:val="000000" w:themeColor="text1"/>
                                        <w:sz w:val="26"/>
                                        <w:szCs w:val="26"/>
                                      </w:rPr>
                                      <w:t>Serban</w:t>
                                    </w:r>
                                    <w:proofErr w:type="spellEnd"/>
                                    <w:r w:rsidR="001B4E7D" w:rsidRPr="001B4E7D">
                                      <w:rPr>
                                        <w:color w:val="000000" w:themeColor="text1"/>
                                        <w:sz w:val="26"/>
                                        <w:szCs w:val="26"/>
                                      </w:rPr>
                                      <w:t>(1908279</w:t>
                                    </w:r>
                                    <w:r w:rsidRPr="001B4E7D">
                                      <w:rPr>
                                        <w:color w:val="000000" w:themeColor="text1"/>
                                        <w:sz w:val="26"/>
                                        <w:szCs w:val="26"/>
                                      </w:rPr>
                                      <w:t>)</w:t>
                                    </w:r>
                                  </w:sdtContent>
                                </w:sdt>
                              </w:p>
                              <w:p w14:paraId="359CB867" w14:textId="7E29CF31" w:rsidR="00C142D3" w:rsidRDefault="00C142D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B4E7D">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7599AB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C042218" w14:textId="5AA4DCB9" w:rsidR="00C142D3" w:rsidRPr="001B4E7D" w:rsidRDefault="00C142D3">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B4E7D" w:rsidRPr="001B4E7D">
                                <w:rPr>
                                  <w:color w:val="000000" w:themeColor="text1"/>
                                  <w:sz w:val="26"/>
                                  <w:szCs w:val="26"/>
                                </w:rPr>
                                <w:t xml:space="preserve">Irina Popescu </w:t>
                              </w:r>
                              <w:proofErr w:type="spellStart"/>
                              <w:r w:rsidR="001B4E7D" w:rsidRPr="001B4E7D">
                                <w:rPr>
                                  <w:color w:val="000000" w:themeColor="text1"/>
                                  <w:sz w:val="26"/>
                                  <w:szCs w:val="26"/>
                                </w:rPr>
                                <w:t>Serban</w:t>
                              </w:r>
                              <w:proofErr w:type="spellEnd"/>
                              <w:r w:rsidR="001B4E7D" w:rsidRPr="001B4E7D">
                                <w:rPr>
                                  <w:color w:val="000000" w:themeColor="text1"/>
                                  <w:sz w:val="26"/>
                                  <w:szCs w:val="26"/>
                                </w:rPr>
                                <w:t>(1908279</w:t>
                              </w:r>
                              <w:r w:rsidRPr="001B4E7D">
                                <w:rPr>
                                  <w:color w:val="000000" w:themeColor="text1"/>
                                  <w:sz w:val="26"/>
                                  <w:szCs w:val="26"/>
                                </w:rPr>
                                <w:t>)</w:t>
                              </w:r>
                            </w:sdtContent>
                          </w:sdt>
                        </w:p>
                        <w:p w14:paraId="359CB867" w14:textId="7E29CF31" w:rsidR="00C142D3" w:rsidRDefault="00C142D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B4E7D">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D182794" wp14:editId="12B3327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A7790" w14:textId="52A462A8" w:rsidR="00C142D3" w:rsidRDefault="00C142D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Scenario question</w:t>
                                    </w:r>
                                  </w:sdtContent>
                                </w:sdt>
                              </w:p>
                              <w:p w14:paraId="38B9ABDA" w14:textId="46152D0F" w:rsidR="00C142D3" w:rsidRDefault="00C142D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Criminal Law/BMLW4005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D18279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AAA7790" w14:textId="52A462A8" w:rsidR="00C142D3" w:rsidRDefault="00C142D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Scenario question</w:t>
                              </w:r>
                            </w:sdtContent>
                          </w:sdt>
                        </w:p>
                        <w:p w14:paraId="38B9ABDA" w14:textId="46152D0F" w:rsidR="00C142D3" w:rsidRDefault="00C142D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Criminal Law/BMLW4005</w:t>
                              </w:r>
                            </w:sdtContent>
                          </w:sdt>
                        </w:p>
                      </w:txbxContent>
                    </v:textbox>
                    <w10:wrap anchorx="page" anchory="page"/>
                  </v:shape>
                </w:pict>
              </mc:Fallback>
            </mc:AlternateContent>
          </w:r>
        </w:p>
        <w:p w14:paraId="7D771972" w14:textId="7FA3763C" w:rsidR="00C142D3" w:rsidRDefault="00C142D3">
          <w:r>
            <w:br w:type="page"/>
          </w:r>
        </w:p>
      </w:sdtContent>
    </w:sdt>
    <w:p w14:paraId="24F04B73" w14:textId="77777777" w:rsidR="001B4E7D" w:rsidRPr="008E2398" w:rsidRDefault="001B4E7D" w:rsidP="001B4E7D">
      <w:pPr>
        <w:spacing w:line="480" w:lineRule="auto"/>
        <w:rPr>
          <w:rFonts w:ascii="Times New Roman" w:hAnsi="Times New Roman" w:cs="Times New Roman"/>
          <w:b/>
          <w:sz w:val="24"/>
          <w:szCs w:val="24"/>
        </w:rPr>
      </w:pPr>
      <w:r w:rsidRPr="008E2398">
        <w:rPr>
          <w:rFonts w:ascii="Times New Roman" w:hAnsi="Times New Roman" w:cs="Times New Roman"/>
          <w:b/>
          <w:sz w:val="24"/>
          <w:szCs w:val="24"/>
        </w:rPr>
        <w:lastRenderedPageBreak/>
        <w:t>Part A</w:t>
      </w:r>
    </w:p>
    <w:p w14:paraId="318B324D" w14:textId="77777777" w:rsidR="001B4E7D" w:rsidRPr="00E664A1" w:rsidRDefault="001B4E7D" w:rsidP="001B4E7D">
      <w:pPr>
        <w:spacing w:line="480" w:lineRule="auto"/>
        <w:ind w:firstLine="720"/>
        <w:rPr>
          <w:rFonts w:ascii="Times New Roman" w:hAnsi="Times New Roman" w:cs="Times New Roman"/>
          <w:sz w:val="24"/>
          <w:szCs w:val="24"/>
        </w:rPr>
      </w:pPr>
      <w:r w:rsidRPr="00E664A1">
        <w:rPr>
          <w:rFonts w:ascii="Times New Roman" w:hAnsi="Times New Roman" w:cs="Times New Roman"/>
          <w:sz w:val="24"/>
          <w:szCs w:val="24"/>
        </w:rPr>
        <w:t xml:space="preserve">Hadley committed </w:t>
      </w:r>
      <w:r>
        <w:rPr>
          <w:rFonts w:ascii="Times New Roman" w:hAnsi="Times New Roman" w:cs="Times New Roman"/>
          <w:sz w:val="24"/>
          <w:szCs w:val="24"/>
        </w:rPr>
        <w:t>several</w:t>
      </w:r>
      <w:r w:rsidRPr="00E664A1">
        <w:rPr>
          <w:rFonts w:ascii="Times New Roman" w:hAnsi="Times New Roman" w:cs="Times New Roman"/>
          <w:sz w:val="24"/>
          <w:szCs w:val="24"/>
        </w:rPr>
        <w:t xml:space="preserve"> potential criminal offen</w:t>
      </w:r>
      <w:r>
        <w:rPr>
          <w:rFonts w:ascii="Times New Roman" w:hAnsi="Times New Roman" w:cs="Times New Roman"/>
          <w:sz w:val="24"/>
          <w:szCs w:val="24"/>
        </w:rPr>
        <w:t>s</w:t>
      </w:r>
      <w:r w:rsidRPr="00E664A1">
        <w:rPr>
          <w:rFonts w:ascii="Times New Roman" w:hAnsi="Times New Roman" w:cs="Times New Roman"/>
          <w:sz w:val="24"/>
          <w:szCs w:val="24"/>
        </w:rPr>
        <w:t>es according to UK law. The first offen</w:t>
      </w:r>
      <w:r>
        <w:rPr>
          <w:rFonts w:ascii="Times New Roman" w:hAnsi="Times New Roman" w:cs="Times New Roman"/>
          <w:sz w:val="24"/>
          <w:szCs w:val="24"/>
        </w:rPr>
        <w:t>se is burglary, defined as</w:t>
      </w:r>
      <w:r w:rsidRPr="007F0A84">
        <w:rPr>
          <w:rFonts w:ascii="Times New Roman" w:hAnsi="Times New Roman" w:cs="Times New Roman"/>
          <w:sz w:val="24"/>
          <w:szCs w:val="24"/>
        </w:rPr>
        <w:t xml:space="preserve"> trespassing into any enclosed space or area to</w:t>
      </w:r>
      <w:r>
        <w:rPr>
          <w:rFonts w:ascii="Times New Roman" w:hAnsi="Times New Roman" w:cs="Times New Roman"/>
          <w:sz w:val="24"/>
          <w:szCs w:val="24"/>
        </w:rPr>
        <w:t xml:space="preserve"> commit a criminal act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{"citationID":"ppIdeWKi","properties":{"formattedCitation":"(Government of U.K, 2022)","plainCitation":"(Government of U.K, 2022)","noteIndex":0},"citationItems":[{"id":362,"uris":["http://zotero.org/users/local/k0o7EKuI/items/QXL8HDI9"],"itemData":{"id":362,"type":"webpage","title":"Theft Act Offences | The Crown Prosecution Service","URL":"https://www.cps.gov.uk/legal-guidance/theft-act-offences","author":[{"family":"Government of U.K","given":""}],"accessed":{"date-parts":[["2023",1,3]]},"issued":{"date-parts":[["2022"]]}}}],"schema":"https://github.com/citation-style-language/schema/raw/master/csl-citation.json"} </w:instrText>
      </w:r>
      <w:r>
        <w:rPr>
          <w:rFonts w:ascii="Times New Roman" w:hAnsi="Times New Roman" w:cs="Times New Roman"/>
          <w:sz w:val="24"/>
          <w:szCs w:val="24"/>
        </w:rPr>
        <w:fldChar w:fldCharType="separate"/>
      </w:r>
      <w:r w:rsidRPr="00B92034">
        <w:rPr>
          <w:rFonts w:ascii="Times New Roman" w:hAnsi="Times New Roman" w:cs="Times New Roman"/>
          <w:sz w:val="24"/>
        </w:rPr>
        <w:t>(Government of UK, 2022)</w:t>
      </w:r>
      <w:r>
        <w:rPr>
          <w:rFonts w:ascii="Times New Roman" w:hAnsi="Times New Roman" w:cs="Times New Roman"/>
          <w:sz w:val="24"/>
          <w:szCs w:val="24"/>
        </w:rPr>
        <w:fldChar w:fldCharType="end"/>
      </w:r>
      <w:r w:rsidRPr="00E664A1">
        <w:rPr>
          <w:rFonts w:ascii="Times New Roman" w:hAnsi="Times New Roman" w:cs="Times New Roman"/>
          <w:sz w:val="24"/>
          <w:szCs w:val="24"/>
        </w:rPr>
        <w:t xml:space="preserve">. In this case, Hadley entered Ronan’s house as a trespasser and </w:t>
      </w:r>
      <w:r>
        <w:rPr>
          <w:rFonts w:ascii="Times New Roman" w:hAnsi="Times New Roman" w:cs="Times New Roman"/>
          <w:sz w:val="24"/>
          <w:szCs w:val="24"/>
        </w:rPr>
        <w:t>intended to steal</w:t>
      </w:r>
      <w:r w:rsidRPr="00E664A1">
        <w:rPr>
          <w:rFonts w:ascii="Times New Roman" w:hAnsi="Times New Roman" w:cs="Times New Roman"/>
          <w:sz w:val="24"/>
          <w:szCs w:val="24"/>
        </w:rPr>
        <w:t xml:space="preserve"> the </w:t>
      </w:r>
      <w:r>
        <w:rPr>
          <w:rFonts w:ascii="Times New Roman" w:hAnsi="Times New Roman" w:cs="Times New Roman"/>
          <w:sz w:val="24"/>
          <w:szCs w:val="24"/>
        </w:rPr>
        <w:t>B</w:t>
      </w:r>
      <w:r w:rsidRPr="00E664A1">
        <w:rPr>
          <w:rFonts w:ascii="Times New Roman" w:hAnsi="Times New Roman" w:cs="Times New Roman"/>
          <w:sz w:val="24"/>
          <w:szCs w:val="24"/>
        </w:rPr>
        <w:t>ucci trainers, so he committed the offen</w:t>
      </w:r>
      <w:r>
        <w:rPr>
          <w:rFonts w:ascii="Times New Roman" w:hAnsi="Times New Roman" w:cs="Times New Roman"/>
          <w:sz w:val="24"/>
          <w:szCs w:val="24"/>
        </w:rPr>
        <w:t>s</w:t>
      </w:r>
      <w:r w:rsidRPr="00E664A1">
        <w:rPr>
          <w:rFonts w:ascii="Times New Roman" w:hAnsi="Times New Roman" w:cs="Times New Roman"/>
          <w:sz w:val="24"/>
          <w:szCs w:val="24"/>
        </w:rPr>
        <w:t>e of burglary. The second offen</w:t>
      </w:r>
      <w:r>
        <w:rPr>
          <w:rFonts w:ascii="Times New Roman" w:hAnsi="Times New Roman" w:cs="Times New Roman"/>
          <w:sz w:val="24"/>
          <w:szCs w:val="24"/>
        </w:rPr>
        <w:t>s</w:t>
      </w:r>
      <w:r w:rsidRPr="00E664A1">
        <w:rPr>
          <w:rFonts w:ascii="Times New Roman" w:hAnsi="Times New Roman" w:cs="Times New Roman"/>
          <w:sz w:val="24"/>
          <w:szCs w:val="24"/>
        </w:rPr>
        <w:t xml:space="preserve">e is theft, </w:t>
      </w:r>
      <w:r w:rsidRPr="00115F42">
        <w:rPr>
          <w:rFonts w:ascii="Times New Roman" w:hAnsi="Times New Roman" w:cs="Times New Roman"/>
          <w:sz w:val="24"/>
          <w:szCs w:val="24"/>
        </w:rPr>
        <w:t xml:space="preserve">which entails improperly obtaining someone else's belongings </w:t>
      </w:r>
      <w:r>
        <w:rPr>
          <w:rFonts w:ascii="Times New Roman" w:hAnsi="Times New Roman" w:cs="Times New Roman"/>
          <w:sz w:val="24"/>
          <w:szCs w:val="24"/>
        </w:rPr>
        <w:t>to never return</w:t>
      </w:r>
      <w:r w:rsidRPr="00115F42">
        <w:rPr>
          <w:rFonts w:ascii="Times New Roman" w:hAnsi="Times New Roman" w:cs="Times New Roman"/>
          <w:sz w:val="24"/>
          <w:szCs w:val="24"/>
        </w:rPr>
        <w:t xml:space="preserve"> them</w:t>
      </w:r>
      <w:r>
        <w:rPr>
          <w:rFonts w:ascii="Times New Roman" w:hAnsi="Times New Roman" w:cs="Times New Roman"/>
          <w:sz w:val="24"/>
          <w:szCs w:val="24"/>
        </w:rPr>
        <w:t xml:space="preserve">. </w:t>
      </w:r>
      <w:r w:rsidRPr="00E664A1">
        <w:rPr>
          <w:rFonts w:ascii="Times New Roman" w:hAnsi="Times New Roman" w:cs="Times New Roman"/>
          <w:sz w:val="24"/>
          <w:szCs w:val="24"/>
        </w:rPr>
        <w:t xml:space="preserve">In this case, Hadley took the </w:t>
      </w:r>
      <w:proofErr w:type="spellStart"/>
      <w:r w:rsidRPr="00E664A1">
        <w:rPr>
          <w:rFonts w:ascii="Times New Roman" w:hAnsi="Times New Roman" w:cs="Times New Roman"/>
          <w:sz w:val="24"/>
          <w:szCs w:val="24"/>
        </w:rPr>
        <w:t>Kolex</w:t>
      </w:r>
      <w:proofErr w:type="spellEnd"/>
      <w:r w:rsidRPr="00E664A1">
        <w:rPr>
          <w:rFonts w:ascii="Times New Roman" w:hAnsi="Times New Roman" w:cs="Times New Roman"/>
          <w:sz w:val="24"/>
          <w:szCs w:val="24"/>
        </w:rPr>
        <w:t xml:space="preserve"> watch, which did not belong to him</w:t>
      </w:r>
      <w:r>
        <w:rPr>
          <w:rFonts w:ascii="Times New Roman" w:hAnsi="Times New Roman" w:cs="Times New Roman"/>
          <w:sz w:val="24"/>
          <w:szCs w:val="24"/>
        </w:rPr>
        <w:t>,</w:t>
      </w:r>
      <w:r w:rsidRPr="00E664A1">
        <w:rPr>
          <w:rFonts w:ascii="Times New Roman" w:hAnsi="Times New Roman" w:cs="Times New Roman"/>
          <w:sz w:val="24"/>
          <w:szCs w:val="24"/>
        </w:rPr>
        <w:t xml:space="preserve"> </w:t>
      </w:r>
      <w:r>
        <w:rPr>
          <w:rFonts w:ascii="Times New Roman" w:hAnsi="Times New Roman" w:cs="Times New Roman"/>
          <w:sz w:val="24"/>
          <w:szCs w:val="24"/>
        </w:rPr>
        <w:t>to permanently deprive</w:t>
      </w:r>
      <w:r w:rsidRPr="00E664A1">
        <w:rPr>
          <w:rFonts w:ascii="Times New Roman" w:hAnsi="Times New Roman" w:cs="Times New Roman"/>
          <w:sz w:val="24"/>
          <w:szCs w:val="24"/>
        </w:rPr>
        <w:t xml:space="preserve"> Ronan of it, so he has committed the offen</w:t>
      </w:r>
      <w:r>
        <w:rPr>
          <w:rFonts w:ascii="Times New Roman" w:hAnsi="Times New Roman" w:cs="Times New Roman"/>
          <w:sz w:val="24"/>
          <w:szCs w:val="24"/>
        </w:rPr>
        <w:t>s</w:t>
      </w:r>
      <w:r w:rsidRPr="00E664A1">
        <w:rPr>
          <w:rFonts w:ascii="Times New Roman" w:hAnsi="Times New Roman" w:cs="Times New Roman"/>
          <w:sz w:val="24"/>
          <w:szCs w:val="24"/>
        </w:rPr>
        <w:t>e of theft. The third offen</w:t>
      </w:r>
      <w:r>
        <w:rPr>
          <w:rFonts w:ascii="Times New Roman" w:hAnsi="Times New Roman" w:cs="Times New Roman"/>
          <w:sz w:val="24"/>
          <w:szCs w:val="24"/>
        </w:rPr>
        <w:t>s</w:t>
      </w:r>
      <w:r w:rsidRPr="00E664A1">
        <w:rPr>
          <w:rFonts w:ascii="Times New Roman" w:hAnsi="Times New Roman" w:cs="Times New Roman"/>
          <w:sz w:val="24"/>
          <w:szCs w:val="24"/>
        </w:rPr>
        <w:t>e is c</w:t>
      </w:r>
      <w:r>
        <w:rPr>
          <w:rFonts w:ascii="Times New Roman" w:hAnsi="Times New Roman" w:cs="Times New Roman"/>
          <w:sz w:val="24"/>
          <w:szCs w:val="24"/>
        </w:rPr>
        <w:t xml:space="preserve">riminal damage, which </w:t>
      </w:r>
      <w:r w:rsidRPr="007F0A84">
        <w:rPr>
          <w:rFonts w:ascii="Times New Roman" w:hAnsi="Times New Roman" w:cs="Times New Roman"/>
          <w:sz w:val="24"/>
          <w:szCs w:val="24"/>
        </w:rPr>
        <w:t>involves maliciously destroying or damaging another's property.</w:t>
      </w:r>
      <w:r w:rsidRPr="00E664A1">
        <w:rPr>
          <w:rFonts w:ascii="Times New Roman" w:hAnsi="Times New Roman" w:cs="Times New Roman"/>
          <w:sz w:val="24"/>
          <w:szCs w:val="24"/>
        </w:rPr>
        <w:t xml:space="preserve"> In this case, Hadley set fire to the bin in Ronan's dressing room, which is</w:t>
      </w:r>
      <w:r>
        <w:rPr>
          <w:rFonts w:ascii="Times New Roman" w:hAnsi="Times New Roman" w:cs="Times New Roman"/>
          <w:sz w:val="24"/>
          <w:szCs w:val="24"/>
        </w:rPr>
        <w:t xml:space="preserve"> </w:t>
      </w:r>
      <w:r w:rsidRPr="00E664A1">
        <w:rPr>
          <w:rFonts w:ascii="Times New Roman" w:hAnsi="Times New Roman" w:cs="Times New Roman"/>
          <w:sz w:val="24"/>
          <w:szCs w:val="24"/>
        </w:rPr>
        <w:t>property of Ronan, so he has committed the offen</w:t>
      </w:r>
      <w:r>
        <w:rPr>
          <w:rFonts w:ascii="Times New Roman" w:hAnsi="Times New Roman" w:cs="Times New Roman"/>
          <w:sz w:val="24"/>
          <w:szCs w:val="24"/>
        </w:rPr>
        <w:t>s</w:t>
      </w:r>
      <w:r w:rsidRPr="00E664A1">
        <w:rPr>
          <w:rFonts w:ascii="Times New Roman" w:hAnsi="Times New Roman" w:cs="Times New Roman"/>
          <w:sz w:val="24"/>
          <w:szCs w:val="24"/>
        </w:rPr>
        <w:t xml:space="preserve">e of criminal damage. </w:t>
      </w:r>
    </w:p>
    <w:p w14:paraId="44157E4D" w14:textId="77777777" w:rsidR="001B4E7D" w:rsidRPr="00E664A1" w:rsidRDefault="001B4E7D" w:rsidP="001B4E7D">
      <w:pPr>
        <w:spacing w:line="480" w:lineRule="auto"/>
        <w:ind w:firstLine="720"/>
        <w:rPr>
          <w:rFonts w:ascii="Times New Roman" w:hAnsi="Times New Roman" w:cs="Times New Roman"/>
          <w:sz w:val="24"/>
          <w:szCs w:val="24"/>
        </w:rPr>
      </w:pPr>
      <w:r w:rsidRPr="00E664A1">
        <w:rPr>
          <w:rFonts w:ascii="Times New Roman" w:hAnsi="Times New Roman" w:cs="Times New Roman"/>
          <w:sz w:val="24"/>
          <w:szCs w:val="24"/>
        </w:rPr>
        <w:t xml:space="preserve">Here, Hadley has violated several sections of UK criminal law. In this case, Hadley took the </w:t>
      </w:r>
      <w:proofErr w:type="spellStart"/>
      <w:r w:rsidRPr="00E664A1">
        <w:rPr>
          <w:rFonts w:ascii="Times New Roman" w:hAnsi="Times New Roman" w:cs="Times New Roman"/>
          <w:sz w:val="24"/>
          <w:szCs w:val="24"/>
        </w:rPr>
        <w:t>Kolex</w:t>
      </w:r>
      <w:proofErr w:type="spellEnd"/>
      <w:r w:rsidRPr="00E664A1">
        <w:rPr>
          <w:rFonts w:ascii="Times New Roman" w:hAnsi="Times New Roman" w:cs="Times New Roman"/>
          <w:sz w:val="24"/>
          <w:szCs w:val="24"/>
        </w:rPr>
        <w:t xml:space="preserve"> watch </w:t>
      </w:r>
      <w:r>
        <w:rPr>
          <w:rFonts w:ascii="Times New Roman" w:hAnsi="Times New Roman" w:cs="Times New Roman"/>
          <w:sz w:val="24"/>
          <w:szCs w:val="24"/>
        </w:rPr>
        <w:t>to permanently deprive</w:t>
      </w:r>
      <w:r w:rsidRPr="00E664A1">
        <w:rPr>
          <w:rFonts w:ascii="Times New Roman" w:hAnsi="Times New Roman" w:cs="Times New Roman"/>
          <w:sz w:val="24"/>
          <w:szCs w:val="24"/>
        </w:rPr>
        <w:t xml:space="preserve"> Ronan of it, so he violated Section 9</w:t>
      </w:r>
      <w:r>
        <w:rPr>
          <w:rFonts w:ascii="Times New Roman" w:hAnsi="Times New Roman" w:cs="Times New Roman"/>
          <w:sz w:val="24"/>
          <w:szCs w:val="24"/>
        </w:rPr>
        <w:t xml:space="preserve"> (1)</w:t>
      </w:r>
      <w:r w:rsidRPr="00E664A1">
        <w:rPr>
          <w:rFonts w:ascii="Times New Roman" w:hAnsi="Times New Roman" w:cs="Times New Roman"/>
          <w:sz w:val="24"/>
          <w:szCs w:val="24"/>
        </w:rPr>
        <w:t xml:space="preserve"> of the Theft Act 1968. </w:t>
      </w:r>
      <w:r>
        <w:rPr>
          <w:rFonts w:ascii="Times New Roman" w:hAnsi="Times New Roman" w:cs="Times New Roman"/>
          <w:sz w:val="24"/>
          <w:szCs w:val="24"/>
        </w:rPr>
        <w:t xml:space="preserve">Secondly, </w:t>
      </w:r>
      <w:r w:rsidRPr="00E664A1">
        <w:rPr>
          <w:rFonts w:ascii="Times New Roman" w:hAnsi="Times New Roman" w:cs="Times New Roman"/>
          <w:sz w:val="24"/>
          <w:szCs w:val="24"/>
        </w:rPr>
        <w:t>Hadley set fire to the bin in Ronan’s dressing room, wh</w:t>
      </w:r>
      <w:r>
        <w:rPr>
          <w:rFonts w:ascii="Times New Roman" w:hAnsi="Times New Roman" w:cs="Times New Roman"/>
          <w:sz w:val="24"/>
          <w:szCs w:val="24"/>
        </w:rPr>
        <w:t xml:space="preserve">ich is the property of Ronan, and hence, </w:t>
      </w:r>
      <w:r w:rsidRPr="00E664A1">
        <w:rPr>
          <w:rFonts w:ascii="Times New Roman" w:hAnsi="Times New Roman" w:cs="Times New Roman"/>
          <w:sz w:val="24"/>
          <w:szCs w:val="24"/>
        </w:rPr>
        <w:t>he has violated Section 9</w:t>
      </w:r>
      <w:r>
        <w:rPr>
          <w:rFonts w:ascii="Times New Roman" w:hAnsi="Times New Roman" w:cs="Times New Roman"/>
          <w:sz w:val="24"/>
          <w:szCs w:val="24"/>
        </w:rPr>
        <w:t xml:space="preserve"> of the Criminal Damage Act</w:t>
      </w:r>
      <w:r w:rsidRPr="00E664A1">
        <w:rPr>
          <w:rFonts w:ascii="Times New Roman" w:hAnsi="Times New Roman" w:cs="Times New Roman"/>
          <w:sz w:val="24"/>
          <w:szCs w:val="24"/>
        </w:rPr>
        <w:t>. The third section is Se</w:t>
      </w:r>
      <w:r>
        <w:rPr>
          <w:rFonts w:ascii="Times New Roman" w:hAnsi="Times New Roman" w:cs="Times New Roman"/>
          <w:sz w:val="24"/>
          <w:szCs w:val="24"/>
        </w:rPr>
        <w:t>ction 9 of the Burglary Act</w:t>
      </w:r>
      <w:r w:rsidRPr="00E664A1">
        <w:rPr>
          <w:rFonts w:ascii="Times New Roman" w:hAnsi="Times New Roman" w:cs="Times New Roman"/>
          <w:sz w:val="24"/>
          <w:szCs w:val="24"/>
        </w:rPr>
        <w:t>, which states that</w:t>
      </w:r>
      <w:r>
        <w:rPr>
          <w:rFonts w:ascii="Times New Roman" w:hAnsi="Times New Roman" w:cs="Times New Roman"/>
          <w:sz w:val="24"/>
          <w:szCs w:val="24"/>
        </w:rPr>
        <w:t xml:space="preserve"> </w:t>
      </w:r>
      <w:r w:rsidRPr="007F0A84">
        <w:rPr>
          <w:rFonts w:ascii="Times New Roman" w:hAnsi="Times New Roman" w:cs="Times New Roman"/>
          <w:sz w:val="24"/>
          <w:szCs w:val="24"/>
        </w:rPr>
        <w:t xml:space="preserve">if </w:t>
      </w:r>
      <w:r>
        <w:rPr>
          <w:rFonts w:ascii="Times New Roman" w:hAnsi="Times New Roman" w:cs="Times New Roman"/>
          <w:sz w:val="24"/>
          <w:szCs w:val="24"/>
        </w:rPr>
        <w:t>a</w:t>
      </w:r>
      <w:r w:rsidRPr="007F0A84">
        <w:rPr>
          <w:rFonts w:ascii="Times New Roman" w:hAnsi="Times New Roman" w:cs="Times New Roman"/>
          <w:sz w:val="24"/>
          <w:szCs w:val="24"/>
        </w:rPr>
        <w:t xml:space="preserve">ny individual unlawfully enters a building or section of a structure </w:t>
      </w:r>
      <w:r>
        <w:rPr>
          <w:rFonts w:ascii="Times New Roman" w:hAnsi="Times New Roman" w:cs="Times New Roman"/>
          <w:sz w:val="24"/>
          <w:szCs w:val="24"/>
        </w:rPr>
        <w:t xml:space="preserve">to commit any crime, </w:t>
      </w:r>
      <w:r w:rsidRPr="00E664A1">
        <w:rPr>
          <w:rFonts w:ascii="Times New Roman" w:hAnsi="Times New Roman" w:cs="Times New Roman"/>
          <w:sz w:val="24"/>
          <w:szCs w:val="24"/>
        </w:rPr>
        <w:t>then they are guilty of the offen</w:t>
      </w:r>
      <w:r>
        <w:rPr>
          <w:rFonts w:ascii="Times New Roman" w:hAnsi="Times New Roman" w:cs="Times New Roman"/>
          <w:sz w:val="24"/>
          <w:szCs w:val="24"/>
        </w:rPr>
        <w:t>s</w:t>
      </w:r>
      <w:r w:rsidRPr="00E664A1">
        <w:rPr>
          <w:rFonts w:ascii="Times New Roman" w:hAnsi="Times New Roman" w:cs="Times New Roman"/>
          <w:sz w:val="24"/>
          <w:szCs w:val="24"/>
        </w:rPr>
        <w:t>e of burglary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{"citationID":"kUyqeVs8","properties":{"formattedCitation":"(Legislation of UK, 2004)","plainCitation":"(Legislation of UK, 2004)","noteIndex":0},"citationItems":[{"id":364,"uris":["http://zotero.org/users/local/k0o7EKuI/items/QPASYE79"],"itemData":{"id":364,"type":"webpage","abstract":"An Act to revise the law of England and Wales as to theft and similar or associated offences, and in connection therewith to make provision as to criminal proceedings by one party to a marriage against the other, and to make certain amendments extending beyond England and Wales in the Post Office Act 1953 and other enactments; and for other purposes connected therewith.","genre":"Text","language":"eng","note":"publisher: Statute Law Database","title":"Theft Act 1968","URL":"https://www.legislation.gov.uk/ukpga/1968/60/section/9","author":[{"family":"Legislation of UK","given":"Expert"}],"accessed":{"date-parts":[["2023",1,3]]},"issued":{"date-parts":[["2004"]]}}}],"schema":"https://github.com/citation-style-language/schema/raw/master/csl-citation.json"} </w:instrText>
      </w:r>
      <w:r>
        <w:rPr>
          <w:rFonts w:ascii="Times New Roman" w:hAnsi="Times New Roman" w:cs="Times New Roman"/>
          <w:sz w:val="24"/>
          <w:szCs w:val="24"/>
        </w:rPr>
        <w:fldChar w:fldCharType="separate"/>
      </w:r>
      <w:r w:rsidRPr="00115F42">
        <w:rPr>
          <w:rFonts w:ascii="Times New Roman" w:hAnsi="Times New Roman" w:cs="Times New Roman"/>
          <w:sz w:val="24"/>
        </w:rPr>
        <w:t>(Legislation of UK, 2004)</w:t>
      </w:r>
      <w:r>
        <w:rPr>
          <w:rFonts w:ascii="Times New Roman" w:hAnsi="Times New Roman" w:cs="Times New Roman"/>
          <w:sz w:val="24"/>
          <w:szCs w:val="24"/>
        </w:rPr>
        <w:fldChar w:fldCharType="end"/>
      </w:r>
      <w:r w:rsidRPr="00E664A1">
        <w:rPr>
          <w:rFonts w:ascii="Times New Roman" w:hAnsi="Times New Roman" w:cs="Times New Roman"/>
          <w:sz w:val="24"/>
          <w:szCs w:val="24"/>
        </w:rPr>
        <w:t>. In this case, Hadley entered Ro</w:t>
      </w:r>
      <w:r>
        <w:rPr>
          <w:rFonts w:ascii="Times New Roman" w:hAnsi="Times New Roman" w:cs="Times New Roman"/>
          <w:sz w:val="24"/>
          <w:szCs w:val="24"/>
        </w:rPr>
        <w:t>nan’s house intending to steal</w:t>
      </w:r>
      <w:r w:rsidRPr="00E664A1">
        <w:rPr>
          <w:rFonts w:ascii="Times New Roman" w:hAnsi="Times New Roman" w:cs="Times New Roman"/>
          <w:sz w:val="24"/>
          <w:szCs w:val="24"/>
        </w:rPr>
        <w:t xml:space="preserve"> trainers, so he violated Sec</w:t>
      </w:r>
      <w:r>
        <w:rPr>
          <w:rFonts w:ascii="Times New Roman" w:hAnsi="Times New Roman" w:cs="Times New Roman"/>
          <w:sz w:val="24"/>
          <w:szCs w:val="24"/>
        </w:rPr>
        <w:t xml:space="preserve">tion 9 of the Burglary Act 1968. </w:t>
      </w:r>
    </w:p>
    <w:p w14:paraId="079B3102" w14:textId="77777777" w:rsidR="001B4E7D" w:rsidRDefault="001B4E7D" w:rsidP="001B4E7D">
      <w:pPr>
        <w:spacing w:line="480" w:lineRule="auto"/>
        <w:ind w:firstLine="720"/>
        <w:rPr>
          <w:rFonts w:ascii="Times New Roman" w:hAnsi="Times New Roman" w:cs="Times New Roman"/>
          <w:sz w:val="24"/>
          <w:szCs w:val="24"/>
        </w:rPr>
      </w:pPr>
      <w:r w:rsidRPr="00E664A1">
        <w:rPr>
          <w:rFonts w:ascii="Times New Roman" w:hAnsi="Times New Roman" w:cs="Times New Roman"/>
          <w:sz w:val="24"/>
          <w:szCs w:val="24"/>
        </w:rPr>
        <w:t>Moreover, to prove a person guilty of a crime two terminologies are used, and these are used to judge the action of the person. One is Actus reus meaning ‘guilty act’ and refers to the physical act of committing a crime</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{"citationID":"0Y5Bxlk7","properties":{"formattedCitation":"(Robinson, 2017)","plainCitation":"(Robinson, 2017)","noteIndex":0},"citationItems":[{"id":366,"uris":["http://zotero.org/users/local/k0o7EKuI/items/Y9BSNM5R"],"itemData":{"id":366,"type":"chapter","container-title":"The Structure and Limits of Criminal Law","ISBN":"1-315-08515-1","page":"3-28","publisher":"Routledge","title":"Should the Criminal Law Abandon the Actus Reus-Mens Rea Distinction?","author":[{"family":"Robinson","given":"Paul H."}],"issued":{"date-parts":[["2017"]]}}}],"schema":"https://github.com/citation-style-language/schema/raw/master/csl-citation.json"} </w:instrText>
      </w:r>
      <w:r>
        <w:rPr>
          <w:rFonts w:ascii="Times New Roman" w:hAnsi="Times New Roman" w:cs="Times New Roman"/>
          <w:sz w:val="24"/>
          <w:szCs w:val="24"/>
        </w:rPr>
        <w:fldChar w:fldCharType="separate"/>
      </w:r>
      <w:r w:rsidRPr="00115F42">
        <w:rPr>
          <w:rFonts w:ascii="Times New Roman" w:hAnsi="Times New Roman" w:cs="Times New Roman"/>
          <w:sz w:val="24"/>
        </w:rPr>
        <w:t>(Robinson, 2017)</w:t>
      </w:r>
      <w:r>
        <w:rPr>
          <w:rFonts w:ascii="Times New Roman" w:hAnsi="Times New Roman" w:cs="Times New Roman"/>
          <w:sz w:val="24"/>
          <w:szCs w:val="24"/>
        </w:rPr>
        <w:fldChar w:fldCharType="end"/>
      </w:r>
      <w:r w:rsidRPr="00E664A1">
        <w:rPr>
          <w:rFonts w:ascii="Times New Roman" w:hAnsi="Times New Roman" w:cs="Times New Roman"/>
          <w:sz w:val="24"/>
          <w:szCs w:val="24"/>
        </w:rPr>
        <w:t>. In this case, Hadley did commit actus reus as he entered Ro</w:t>
      </w:r>
      <w:r>
        <w:rPr>
          <w:rFonts w:ascii="Times New Roman" w:hAnsi="Times New Roman" w:cs="Times New Roman"/>
          <w:sz w:val="24"/>
          <w:szCs w:val="24"/>
        </w:rPr>
        <w:t>nan’s house to steal</w:t>
      </w:r>
      <w:r w:rsidRPr="00E664A1">
        <w:rPr>
          <w:rFonts w:ascii="Times New Roman" w:hAnsi="Times New Roman" w:cs="Times New Roman"/>
          <w:sz w:val="24"/>
          <w:szCs w:val="24"/>
        </w:rPr>
        <w:t xml:space="preserve"> the </w:t>
      </w:r>
      <w:r>
        <w:rPr>
          <w:rFonts w:ascii="Times New Roman" w:hAnsi="Times New Roman" w:cs="Times New Roman"/>
          <w:sz w:val="24"/>
          <w:szCs w:val="24"/>
        </w:rPr>
        <w:t>B</w:t>
      </w:r>
      <w:r w:rsidRPr="00E664A1">
        <w:rPr>
          <w:rFonts w:ascii="Times New Roman" w:hAnsi="Times New Roman" w:cs="Times New Roman"/>
          <w:sz w:val="24"/>
          <w:szCs w:val="24"/>
        </w:rPr>
        <w:t xml:space="preserve">ucci trainers, took the </w:t>
      </w:r>
      <w:proofErr w:type="spellStart"/>
      <w:r w:rsidRPr="00E664A1">
        <w:rPr>
          <w:rFonts w:ascii="Times New Roman" w:hAnsi="Times New Roman" w:cs="Times New Roman"/>
          <w:sz w:val="24"/>
          <w:szCs w:val="24"/>
        </w:rPr>
        <w:t>Kolex</w:t>
      </w:r>
      <w:proofErr w:type="spellEnd"/>
      <w:r w:rsidRPr="00E664A1">
        <w:rPr>
          <w:rFonts w:ascii="Times New Roman" w:hAnsi="Times New Roman" w:cs="Times New Roman"/>
          <w:sz w:val="24"/>
          <w:szCs w:val="24"/>
        </w:rPr>
        <w:t xml:space="preserve"> watch, and set fire to the bin in Ronan’s dressing room. </w:t>
      </w:r>
      <w:r>
        <w:rPr>
          <w:rFonts w:ascii="Times New Roman" w:hAnsi="Times New Roman" w:cs="Times New Roman"/>
          <w:sz w:val="24"/>
          <w:szCs w:val="24"/>
        </w:rPr>
        <w:t xml:space="preserve">In </w:t>
      </w:r>
      <w:proofErr w:type="gramStart"/>
      <w:r>
        <w:rPr>
          <w:rFonts w:ascii="Times New Roman" w:hAnsi="Times New Roman" w:cs="Times New Roman"/>
          <w:sz w:val="24"/>
          <w:szCs w:val="24"/>
        </w:rPr>
        <w:t>a</w:t>
      </w:r>
      <w:r w:rsidRPr="00E664A1">
        <w:rPr>
          <w:rFonts w:ascii="Times New Roman" w:hAnsi="Times New Roman" w:cs="Times New Roman"/>
          <w:sz w:val="24"/>
          <w:szCs w:val="24"/>
        </w:rPr>
        <w:t>ll of</w:t>
      </w:r>
      <w:proofErr w:type="gramEnd"/>
      <w:r w:rsidRPr="00E664A1">
        <w:rPr>
          <w:rFonts w:ascii="Times New Roman" w:hAnsi="Times New Roman" w:cs="Times New Roman"/>
          <w:sz w:val="24"/>
          <w:szCs w:val="24"/>
        </w:rPr>
        <w:t xml:space="preserve"> these acts</w:t>
      </w:r>
      <w:r>
        <w:rPr>
          <w:rFonts w:ascii="Times New Roman" w:hAnsi="Times New Roman" w:cs="Times New Roman"/>
          <w:sz w:val="24"/>
          <w:szCs w:val="24"/>
        </w:rPr>
        <w:t xml:space="preserve">, Hadley was physically </w:t>
      </w:r>
      <w:r>
        <w:rPr>
          <w:rFonts w:ascii="Times New Roman" w:hAnsi="Times New Roman" w:cs="Times New Roman"/>
          <w:sz w:val="24"/>
          <w:szCs w:val="24"/>
        </w:rPr>
        <w:lastRenderedPageBreak/>
        <w:t>present when he</w:t>
      </w:r>
      <w:r w:rsidRPr="00E664A1">
        <w:rPr>
          <w:rFonts w:ascii="Times New Roman" w:hAnsi="Times New Roman" w:cs="Times New Roman"/>
          <w:sz w:val="24"/>
          <w:szCs w:val="24"/>
        </w:rPr>
        <w:t xml:space="preserve"> violated the criminal law, so Hadley did commit actus reus. </w:t>
      </w:r>
      <w:r>
        <w:rPr>
          <w:rFonts w:ascii="Times New Roman" w:hAnsi="Times New Roman" w:cs="Times New Roman"/>
          <w:sz w:val="24"/>
          <w:szCs w:val="24"/>
        </w:rPr>
        <w:t>The s</w:t>
      </w:r>
      <w:r w:rsidRPr="00E664A1">
        <w:rPr>
          <w:rFonts w:ascii="Times New Roman" w:hAnsi="Times New Roman" w:cs="Times New Roman"/>
          <w:sz w:val="24"/>
          <w:szCs w:val="24"/>
        </w:rPr>
        <w:t>econd is Men's rea meaning ‘guilty mind’ and refers to the mental element of a crime, which is the intention to commit a crime</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{"citationID":"07XyqLED","properties":{"formattedCitation":"(Robinson, 2017)","plainCitation":"(Robinson, 2017)","noteIndex":0},"citationItems":[{"id":366,"uris":["http://zotero.org/users/local/k0o7EKuI/items/Y9BSNM5R"],"itemData":{"id":366,"type":"chapter","container-title":"The Structure and Limits of Criminal Law","ISBN":"1-315-08515-1","page":"3-28","publisher":"Routledge","title":"Should the Criminal Law Abandon the Actus Reus-Mens Rea Distinction?","author":[{"family":"Robinson","given":"Paul H."}],"issued":{"date-parts":[["2017"]]}}}],"schema":"https://github.com/citation-style-language/schema/raw/master/csl-citation.json"} </w:instrText>
      </w:r>
      <w:r>
        <w:rPr>
          <w:rFonts w:ascii="Times New Roman" w:hAnsi="Times New Roman" w:cs="Times New Roman"/>
          <w:sz w:val="24"/>
          <w:szCs w:val="24"/>
        </w:rPr>
        <w:fldChar w:fldCharType="separate"/>
      </w:r>
      <w:r w:rsidRPr="00D56FA8">
        <w:rPr>
          <w:rFonts w:ascii="Times New Roman" w:hAnsi="Times New Roman" w:cs="Times New Roman"/>
          <w:sz w:val="24"/>
        </w:rPr>
        <w:t>(Robinson, 2017)</w:t>
      </w:r>
      <w:r>
        <w:rPr>
          <w:rFonts w:ascii="Times New Roman" w:hAnsi="Times New Roman" w:cs="Times New Roman"/>
          <w:sz w:val="24"/>
          <w:szCs w:val="24"/>
        </w:rPr>
        <w:fldChar w:fldCharType="end"/>
      </w:r>
      <w:r w:rsidRPr="00E664A1">
        <w:rPr>
          <w:rFonts w:ascii="Times New Roman" w:hAnsi="Times New Roman" w:cs="Times New Roman"/>
          <w:sz w:val="24"/>
          <w:szCs w:val="24"/>
        </w:rPr>
        <w:t xml:space="preserve">. </w:t>
      </w:r>
      <w:r w:rsidRPr="006E379B">
        <w:rPr>
          <w:rFonts w:ascii="Times New Roman" w:hAnsi="Times New Roman" w:cs="Times New Roman"/>
          <w:sz w:val="24"/>
          <w:szCs w:val="24"/>
        </w:rPr>
        <w:t>To be legally convicted of a crime, an individual must possess the intent to commit it.</w:t>
      </w:r>
      <w:r w:rsidRPr="00E664A1">
        <w:rPr>
          <w:rFonts w:ascii="Times New Roman" w:hAnsi="Times New Roman" w:cs="Times New Roman"/>
          <w:sz w:val="24"/>
          <w:szCs w:val="24"/>
        </w:rPr>
        <w:t xml:space="preserve"> In this case, Hadley did commit </w:t>
      </w:r>
      <w:proofErr w:type="spellStart"/>
      <w:r w:rsidRPr="00E664A1">
        <w:rPr>
          <w:rFonts w:ascii="Times New Roman" w:hAnsi="Times New Roman" w:cs="Times New Roman"/>
          <w:sz w:val="24"/>
          <w:szCs w:val="24"/>
        </w:rPr>
        <w:t>Mens</w:t>
      </w:r>
      <w:proofErr w:type="spellEnd"/>
      <w:r w:rsidRPr="00E664A1">
        <w:rPr>
          <w:rFonts w:ascii="Times New Roman" w:hAnsi="Times New Roman" w:cs="Times New Roman"/>
          <w:sz w:val="24"/>
          <w:szCs w:val="24"/>
        </w:rPr>
        <w:t xml:space="preserve"> rea as he </w:t>
      </w:r>
      <w:r>
        <w:rPr>
          <w:rFonts w:ascii="Times New Roman" w:hAnsi="Times New Roman" w:cs="Times New Roman"/>
          <w:sz w:val="24"/>
          <w:szCs w:val="24"/>
        </w:rPr>
        <w:t xml:space="preserve">has the intention to enter Ronan's house without his permission and stole Bucci trainers when entering Ronan’s home. Thus, his actions of </w:t>
      </w:r>
      <w:proofErr w:type="gramStart"/>
      <w:r>
        <w:rPr>
          <w:rFonts w:ascii="Times New Roman" w:hAnsi="Times New Roman" w:cs="Times New Roman"/>
          <w:sz w:val="24"/>
          <w:szCs w:val="24"/>
        </w:rPr>
        <w:t>entering into</w:t>
      </w:r>
      <w:proofErr w:type="gramEnd"/>
      <w:r>
        <w:rPr>
          <w:rFonts w:ascii="Times New Roman" w:hAnsi="Times New Roman" w:cs="Times New Roman"/>
          <w:sz w:val="24"/>
          <w:szCs w:val="24"/>
        </w:rPr>
        <w:t xml:space="preserve"> someone's house without permission in order to steal something show that Hadley has the intention to commit a crime. Hence, Hadley did commit Men’s rea.</w:t>
      </w:r>
    </w:p>
    <w:p w14:paraId="67B3D5D1" w14:textId="77777777" w:rsidR="001B4E7D" w:rsidRPr="00E664A1" w:rsidRDefault="001B4E7D" w:rsidP="001B4E7D">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w:t>
      </w:r>
      <w:r w:rsidRPr="00E664A1">
        <w:rPr>
          <w:rFonts w:ascii="Times New Roman" w:hAnsi="Times New Roman" w:cs="Times New Roman"/>
          <w:sz w:val="24"/>
          <w:szCs w:val="24"/>
        </w:rPr>
        <w:t xml:space="preserve"> case of Hadley </w:t>
      </w:r>
      <w:r>
        <w:rPr>
          <w:rFonts w:ascii="Times New Roman" w:hAnsi="Times New Roman" w:cs="Times New Roman"/>
          <w:sz w:val="24"/>
          <w:szCs w:val="24"/>
        </w:rPr>
        <w:t xml:space="preserve">being </w:t>
      </w:r>
      <w:r w:rsidRPr="00E664A1">
        <w:rPr>
          <w:rFonts w:ascii="Times New Roman" w:hAnsi="Times New Roman" w:cs="Times New Roman"/>
          <w:sz w:val="24"/>
          <w:szCs w:val="24"/>
        </w:rPr>
        <w:t>guilty of entering into Ronan’s place, stealing his watch</w:t>
      </w:r>
      <w:r>
        <w:rPr>
          <w:rFonts w:ascii="Times New Roman" w:hAnsi="Times New Roman" w:cs="Times New Roman"/>
          <w:sz w:val="24"/>
          <w:szCs w:val="24"/>
        </w:rPr>
        <w:t>,</w:t>
      </w:r>
      <w:r w:rsidRPr="00E664A1">
        <w:rPr>
          <w:rFonts w:ascii="Times New Roman" w:hAnsi="Times New Roman" w:cs="Times New Roman"/>
          <w:sz w:val="24"/>
          <w:szCs w:val="24"/>
        </w:rPr>
        <w:t xml:space="preserve"> and destroying his property is supported by </w:t>
      </w:r>
      <w:r>
        <w:rPr>
          <w:rFonts w:ascii="Times New Roman" w:hAnsi="Times New Roman" w:cs="Times New Roman"/>
          <w:sz w:val="24"/>
          <w:szCs w:val="24"/>
        </w:rPr>
        <w:t xml:space="preserve">a </w:t>
      </w:r>
      <w:r w:rsidRPr="00E664A1">
        <w:rPr>
          <w:rFonts w:ascii="Times New Roman" w:hAnsi="Times New Roman" w:cs="Times New Roman"/>
          <w:sz w:val="24"/>
          <w:szCs w:val="24"/>
        </w:rPr>
        <w:t xml:space="preserve">few case laws. </w:t>
      </w:r>
      <w:r>
        <w:rPr>
          <w:rFonts w:ascii="Times New Roman" w:hAnsi="Times New Roman" w:cs="Times New Roman"/>
          <w:sz w:val="24"/>
          <w:szCs w:val="24"/>
        </w:rPr>
        <w:t xml:space="preserve">In the case of </w:t>
      </w:r>
      <w:r w:rsidRPr="00223773">
        <w:rPr>
          <w:rFonts w:ascii="Times New Roman" w:hAnsi="Times New Roman" w:cs="Times New Roman"/>
          <w:i/>
          <w:sz w:val="24"/>
          <w:szCs w:val="24"/>
        </w:rPr>
        <w:t>R v Gough</w:t>
      </w:r>
      <w:r>
        <w:rPr>
          <w:rFonts w:ascii="Times New Roman" w:hAnsi="Times New Roman" w:cs="Times New Roman"/>
          <w:sz w:val="24"/>
          <w:szCs w:val="24"/>
        </w:rPr>
        <w:t xml:space="preserve"> (1993)</w:t>
      </w:r>
      <w:r w:rsidRPr="00E664A1">
        <w:rPr>
          <w:rFonts w:ascii="Times New Roman" w:hAnsi="Times New Roman" w:cs="Times New Roman"/>
          <w:sz w:val="24"/>
          <w:szCs w:val="24"/>
        </w:rPr>
        <w:t>, the House of Lords established that burglary requires an intention to commit an offen</w:t>
      </w:r>
      <w:r>
        <w:rPr>
          <w:rFonts w:ascii="Times New Roman" w:hAnsi="Times New Roman" w:cs="Times New Roman"/>
          <w:sz w:val="24"/>
          <w:szCs w:val="24"/>
        </w:rPr>
        <w:t>s</w:t>
      </w:r>
      <w:r w:rsidRPr="00E664A1">
        <w:rPr>
          <w:rFonts w:ascii="Times New Roman" w:hAnsi="Times New Roman" w:cs="Times New Roman"/>
          <w:sz w:val="24"/>
          <w:szCs w:val="24"/>
        </w:rPr>
        <w:t>e at the time of entry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{"citationID":"zHyIJy8a","properties":{"formattedCitation":"(Hanif, 2005)","plainCitation":"(Hanif, 2005)","noteIndex":0},"citationItems":[{"id":367,"uris":["http://zotero.org/users/local/k0o7EKuI/items/G56KPQSK"],"itemData":{"id":367,"type":"article-journal","container-title":"Judicial Review","issue":"1","note":"ISBN: 1085-4681\npublisher: Taylor &amp; Francis","page":"78-83","title":"The Use of the Bystander Test for Apparent Bias","volume":"10","author":[{"family":"Hanif","given":"Saima"}],"issued":{"date-parts":[["2005"]]}}}],"schema":"https://github.com/citation-style-language/schema/raw/master/csl-citation.json"} </w:instrText>
      </w:r>
      <w:r>
        <w:rPr>
          <w:rFonts w:ascii="Times New Roman" w:hAnsi="Times New Roman" w:cs="Times New Roman"/>
          <w:sz w:val="24"/>
          <w:szCs w:val="24"/>
        </w:rPr>
        <w:fldChar w:fldCharType="separate"/>
      </w:r>
      <w:r w:rsidRPr="00D56FA8">
        <w:rPr>
          <w:rFonts w:ascii="Times New Roman" w:hAnsi="Times New Roman" w:cs="Times New Roman"/>
          <w:sz w:val="24"/>
        </w:rPr>
        <w:t>(Hanif, 2005)</w:t>
      </w:r>
      <w:r>
        <w:rPr>
          <w:rFonts w:ascii="Times New Roman" w:hAnsi="Times New Roman" w:cs="Times New Roman"/>
          <w:sz w:val="24"/>
          <w:szCs w:val="24"/>
        </w:rPr>
        <w:fldChar w:fldCharType="end"/>
      </w:r>
      <w:r w:rsidRPr="00E664A1">
        <w:rPr>
          <w:rFonts w:ascii="Times New Roman" w:hAnsi="Times New Roman" w:cs="Times New Roman"/>
          <w:sz w:val="24"/>
          <w:szCs w:val="24"/>
        </w:rPr>
        <w:t xml:space="preserve">. In this case, Hadley entered Ronan’s house </w:t>
      </w:r>
      <w:r>
        <w:rPr>
          <w:rFonts w:ascii="Times New Roman" w:hAnsi="Times New Roman" w:cs="Times New Roman"/>
          <w:sz w:val="24"/>
          <w:szCs w:val="24"/>
        </w:rPr>
        <w:t>to steal</w:t>
      </w:r>
      <w:r w:rsidRPr="00E664A1">
        <w:rPr>
          <w:rFonts w:ascii="Times New Roman" w:hAnsi="Times New Roman" w:cs="Times New Roman"/>
          <w:sz w:val="24"/>
          <w:szCs w:val="24"/>
        </w:rPr>
        <w:t xml:space="preserve"> the </w:t>
      </w:r>
      <w:r>
        <w:rPr>
          <w:rFonts w:ascii="Times New Roman" w:hAnsi="Times New Roman" w:cs="Times New Roman"/>
          <w:sz w:val="24"/>
          <w:szCs w:val="24"/>
        </w:rPr>
        <w:t>B</w:t>
      </w:r>
      <w:r w:rsidRPr="00E664A1">
        <w:rPr>
          <w:rFonts w:ascii="Times New Roman" w:hAnsi="Times New Roman" w:cs="Times New Roman"/>
          <w:sz w:val="24"/>
          <w:szCs w:val="24"/>
        </w:rPr>
        <w:t xml:space="preserve">ucci trainers, so his actions would </w:t>
      </w:r>
      <w:proofErr w:type="spellStart"/>
      <w:r w:rsidRPr="00E664A1">
        <w:rPr>
          <w:rFonts w:ascii="Times New Roman" w:hAnsi="Times New Roman" w:cs="Times New Roman"/>
          <w:sz w:val="24"/>
          <w:szCs w:val="24"/>
        </w:rPr>
        <w:t>fulfill</w:t>
      </w:r>
      <w:proofErr w:type="spellEnd"/>
      <w:r w:rsidRPr="00E664A1">
        <w:rPr>
          <w:rFonts w:ascii="Times New Roman" w:hAnsi="Times New Roman" w:cs="Times New Roman"/>
          <w:sz w:val="24"/>
          <w:szCs w:val="24"/>
        </w:rPr>
        <w:t xml:space="preserve"> the criteria for burglary established in this case law. </w:t>
      </w:r>
      <w:r>
        <w:rPr>
          <w:rFonts w:ascii="Times New Roman" w:hAnsi="Times New Roman" w:cs="Times New Roman"/>
          <w:sz w:val="24"/>
          <w:szCs w:val="24"/>
        </w:rPr>
        <w:t>Moreover, i</w:t>
      </w:r>
      <w:r w:rsidRPr="00E664A1">
        <w:rPr>
          <w:rFonts w:ascii="Times New Roman" w:hAnsi="Times New Roman" w:cs="Times New Roman"/>
          <w:sz w:val="24"/>
          <w:szCs w:val="24"/>
        </w:rPr>
        <w:t>n the</w:t>
      </w:r>
      <w:r>
        <w:rPr>
          <w:rFonts w:ascii="Times New Roman" w:hAnsi="Times New Roman" w:cs="Times New Roman"/>
          <w:sz w:val="24"/>
          <w:szCs w:val="24"/>
        </w:rPr>
        <w:t xml:space="preserve"> case of R v Gomez 1993</w:t>
      </w:r>
      <w:r w:rsidRPr="00E664A1">
        <w:rPr>
          <w:rFonts w:ascii="Times New Roman" w:hAnsi="Times New Roman" w:cs="Times New Roman"/>
          <w:sz w:val="24"/>
          <w:szCs w:val="24"/>
        </w:rPr>
        <w:t xml:space="preserve">, </w:t>
      </w:r>
      <w:r>
        <w:rPr>
          <w:rFonts w:ascii="Times New Roman" w:hAnsi="Times New Roman" w:cs="Times New Roman"/>
          <w:sz w:val="24"/>
          <w:szCs w:val="24"/>
        </w:rPr>
        <w:t>t</w:t>
      </w:r>
      <w:r w:rsidRPr="008D30AC">
        <w:rPr>
          <w:rFonts w:ascii="Times New Roman" w:hAnsi="Times New Roman" w:cs="Times New Roman"/>
          <w:sz w:val="24"/>
          <w:szCs w:val="24"/>
        </w:rPr>
        <w:t>he House of Lords determined that in order to be defined as theft, the thief must have had an explicit goal to forever take away property from its rightful owner at the moment it was taken</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{"citationID":"YDDnhaL9","properties":{"formattedCitation":"(Hanif, 2005)","plainCitation":"(Hanif, 2005)","noteIndex":0},"citationItems":[{"id":367,"uris":["http://zotero.org/users/local/k0o7EKuI/items/G56KPQSK"],"itemData":{"id":367,"type":"article-journal","container-title":"Judicial Review","issue":"1","note":"ISBN: 1085-4681\npublisher: Taylor &amp; Francis","page":"78-83","title":"The Use of the Bystander Test for Apparent Bias","volume":"10","author":[{"family":"Hanif","given":"Saima"}],"issued":{"date-parts":[["2005"]]}}}],"schema":"https://github.com/citation-style-language/schema/raw/master/csl-citation.json"} </w:instrText>
      </w:r>
      <w:r>
        <w:rPr>
          <w:rFonts w:ascii="Times New Roman" w:hAnsi="Times New Roman" w:cs="Times New Roman"/>
          <w:sz w:val="24"/>
          <w:szCs w:val="24"/>
        </w:rPr>
        <w:fldChar w:fldCharType="separate"/>
      </w:r>
      <w:r w:rsidRPr="00D56FA8">
        <w:rPr>
          <w:rFonts w:ascii="Times New Roman" w:hAnsi="Times New Roman" w:cs="Times New Roman"/>
          <w:sz w:val="24"/>
        </w:rPr>
        <w:t>(Hanif, 2005)</w:t>
      </w:r>
      <w:r>
        <w:rPr>
          <w:rFonts w:ascii="Times New Roman" w:hAnsi="Times New Roman" w:cs="Times New Roman"/>
          <w:sz w:val="24"/>
          <w:szCs w:val="24"/>
        </w:rPr>
        <w:fldChar w:fldCharType="end"/>
      </w:r>
      <w:r w:rsidRPr="00E664A1">
        <w:rPr>
          <w:rFonts w:ascii="Times New Roman" w:hAnsi="Times New Roman" w:cs="Times New Roman"/>
          <w:sz w:val="24"/>
          <w:szCs w:val="24"/>
        </w:rPr>
        <w:t xml:space="preserve">. In this case, Hadley took the </w:t>
      </w:r>
      <w:proofErr w:type="spellStart"/>
      <w:r w:rsidRPr="00E664A1">
        <w:rPr>
          <w:rFonts w:ascii="Times New Roman" w:hAnsi="Times New Roman" w:cs="Times New Roman"/>
          <w:sz w:val="24"/>
          <w:szCs w:val="24"/>
        </w:rPr>
        <w:t>Kolex</w:t>
      </w:r>
      <w:proofErr w:type="spellEnd"/>
      <w:r w:rsidRPr="00E664A1">
        <w:rPr>
          <w:rFonts w:ascii="Times New Roman" w:hAnsi="Times New Roman" w:cs="Times New Roman"/>
          <w:sz w:val="24"/>
          <w:szCs w:val="24"/>
        </w:rPr>
        <w:t xml:space="preserve"> watch </w:t>
      </w:r>
      <w:r>
        <w:rPr>
          <w:rFonts w:ascii="Times New Roman" w:hAnsi="Times New Roman" w:cs="Times New Roman"/>
          <w:sz w:val="24"/>
          <w:szCs w:val="24"/>
        </w:rPr>
        <w:t>intending to deprive</w:t>
      </w:r>
      <w:r w:rsidRPr="00E664A1">
        <w:rPr>
          <w:rFonts w:ascii="Times New Roman" w:hAnsi="Times New Roman" w:cs="Times New Roman"/>
          <w:sz w:val="24"/>
          <w:szCs w:val="24"/>
        </w:rPr>
        <w:t xml:space="preserve"> Ronan of it, so his actions would </w:t>
      </w:r>
      <w:proofErr w:type="spellStart"/>
      <w:r w:rsidRPr="00E664A1">
        <w:rPr>
          <w:rFonts w:ascii="Times New Roman" w:hAnsi="Times New Roman" w:cs="Times New Roman"/>
          <w:sz w:val="24"/>
          <w:szCs w:val="24"/>
        </w:rPr>
        <w:t>fulfill</w:t>
      </w:r>
      <w:proofErr w:type="spellEnd"/>
      <w:r w:rsidRPr="00E664A1">
        <w:rPr>
          <w:rFonts w:ascii="Times New Roman" w:hAnsi="Times New Roman" w:cs="Times New Roman"/>
          <w:sz w:val="24"/>
          <w:szCs w:val="24"/>
        </w:rPr>
        <w:t xml:space="preserve"> the criteria for theft established in this case law. </w:t>
      </w:r>
      <w:r>
        <w:rPr>
          <w:rFonts w:ascii="Times New Roman" w:hAnsi="Times New Roman" w:cs="Times New Roman"/>
          <w:sz w:val="24"/>
          <w:szCs w:val="24"/>
        </w:rPr>
        <w:t>Lastly,</w:t>
      </w:r>
      <w:r w:rsidRPr="00E664A1">
        <w:rPr>
          <w:rFonts w:ascii="Times New Roman" w:hAnsi="Times New Roman" w:cs="Times New Roman"/>
          <w:sz w:val="24"/>
          <w:szCs w:val="24"/>
        </w:rPr>
        <w:t xml:space="preserve"> </w:t>
      </w:r>
      <w:r>
        <w:rPr>
          <w:rFonts w:ascii="Times New Roman" w:hAnsi="Times New Roman" w:cs="Times New Roman"/>
          <w:sz w:val="24"/>
          <w:szCs w:val="24"/>
        </w:rPr>
        <w:t xml:space="preserve">in </w:t>
      </w:r>
      <w:r w:rsidRPr="00E664A1">
        <w:rPr>
          <w:rFonts w:ascii="Times New Roman" w:hAnsi="Times New Roman" w:cs="Times New Roman"/>
          <w:sz w:val="24"/>
          <w:szCs w:val="24"/>
        </w:rPr>
        <w:t>th</w:t>
      </w:r>
      <w:r>
        <w:rPr>
          <w:rFonts w:ascii="Times New Roman" w:hAnsi="Times New Roman" w:cs="Times New Roman"/>
          <w:sz w:val="24"/>
          <w:szCs w:val="24"/>
        </w:rPr>
        <w:t>e case of R v Savage 1991</w:t>
      </w:r>
      <w:r w:rsidRPr="00E664A1">
        <w:rPr>
          <w:rFonts w:ascii="Times New Roman" w:hAnsi="Times New Roman" w:cs="Times New Roman"/>
          <w:sz w:val="24"/>
          <w:szCs w:val="24"/>
        </w:rPr>
        <w:t>, the House of Lords established that criminal damage requires an intention to destroy or damage the property</w:t>
      </w:r>
      <w:r>
        <w:rPr>
          <w:rFonts w:ascii="Times New Roman" w:hAnsi="Times New Roman" w:cs="Times New Roman"/>
          <w:sz w:val="24"/>
          <w:szCs w:val="24"/>
        </w:rPr>
        <w:t xml:space="preserve"> </w:t>
      </w:r>
      <w:r w:rsidRPr="00D56FA8">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{"citationID":"r2aJSYEY","properties":{"formattedCitation":"(Hanif, 2005)","plainCitation":"(Hanif, 2005)","noteIndex":0},"citationItems":[{"id":367,"uris":["http://zotero.org/users/local/k0o7EKuI/items/G56KPQSK"],"itemData":{"id":367,"type":"article-journal","container-title":"Judicial Review","issue":"1","note":"ISBN: 1085-4681\npublisher: Taylor &amp; Francis","page":"78-83","title":"The Use of the Bystander Test for Apparent Bias","volume":"10","author":[{"family":"Hanif","given":"Saima"}],"issued":{"date-parts":[["2005"]]}}}],"schema":"https://github.com/citation-style-language/schema/raw/master/csl-citation.json"} </w:instrText>
      </w:r>
      <w:r w:rsidRPr="00D56FA8">
        <w:rPr>
          <w:rFonts w:ascii="Times New Roman" w:hAnsi="Times New Roman" w:cs="Times New Roman"/>
          <w:sz w:val="24"/>
          <w:szCs w:val="24"/>
        </w:rPr>
        <w:fldChar w:fldCharType="separate"/>
      </w:r>
      <w:r w:rsidRPr="00D56FA8">
        <w:rPr>
          <w:rFonts w:ascii="Times New Roman" w:hAnsi="Times New Roman" w:cs="Times New Roman"/>
          <w:sz w:val="24"/>
          <w:szCs w:val="24"/>
        </w:rPr>
        <w:t>(Hanif, 2005)</w:t>
      </w:r>
      <w:r w:rsidRPr="00D56FA8">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E664A1">
        <w:rPr>
          <w:rFonts w:ascii="Times New Roman" w:hAnsi="Times New Roman" w:cs="Times New Roman"/>
          <w:sz w:val="24"/>
          <w:szCs w:val="24"/>
        </w:rPr>
        <w:t xml:space="preserve">In this case, Hadley set fire to the bin in Ronan’s dressing room </w:t>
      </w:r>
      <w:r>
        <w:rPr>
          <w:rFonts w:ascii="Times New Roman" w:hAnsi="Times New Roman" w:cs="Times New Roman"/>
          <w:sz w:val="24"/>
          <w:szCs w:val="24"/>
        </w:rPr>
        <w:t>to destroy</w:t>
      </w:r>
      <w:r w:rsidRPr="00E664A1">
        <w:rPr>
          <w:rFonts w:ascii="Times New Roman" w:hAnsi="Times New Roman" w:cs="Times New Roman"/>
          <w:sz w:val="24"/>
          <w:szCs w:val="24"/>
        </w:rPr>
        <w:t xml:space="preserve"> it, so his actions would </w:t>
      </w:r>
      <w:proofErr w:type="spellStart"/>
      <w:r w:rsidRPr="00E664A1">
        <w:rPr>
          <w:rFonts w:ascii="Times New Roman" w:hAnsi="Times New Roman" w:cs="Times New Roman"/>
          <w:sz w:val="24"/>
          <w:szCs w:val="24"/>
        </w:rPr>
        <w:t>fulfill</w:t>
      </w:r>
      <w:proofErr w:type="spellEnd"/>
      <w:r w:rsidRPr="00E664A1">
        <w:rPr>
          <w:rFonts w:ascii="Times New Roman" w:hAnsi="Times New Roman" w:cs="Times New Roman"/>
          <w:sz w:val="24"/>
          <w:szCs w:val="24"/>
        </w:rPr>
        <w:t xml:space="preserve"> the criteria for criminal damage established in this case law.</w:t>
      </w:r>
      <w:r>
        <w:rPr>
          <w:rFonts w:ascii="Times New Roman" w:hAnsi="Times New Roman" w:cs="Times New Roman"/>
          <w:sz w:val="24"/>
          <w:szCs w:val="24"/>
        </w:rPr>
        <w:t xml:space="preserve"> Hence</w:t>
      </w:r>
      <w:r w:rsidRPr="00E664A1">
        <w:rPr>
          <w:rFonts w:ascii="Times New Roman" w:hAnsi="Times New Roman" w:cs="Times New Roman"/>
          <w:sz w:val="24"/>
          <w:szCs w:val="24"/>
        </w:rPr>
        <w:t>, Hadley is liable for the criminal offen</w:t>
      </w:r>
      <w:r>
        <w:rPr>
          <w:rFonts w:ascii="Times New Roman" w:hAnsi="Times New Roman" w:cs="Times New Roman"/>
          <w:sz w:val="24"/>
          <w:szCs w:val="24"/>
        </w:rPr>
        <w:t>s</w:t>
      </w:r>
      <w:r w:rsidRPr="00E664A1">
        <w:rPr>
          <w:rFonts w:ascii="Times New Roman" w:hAnsi="Times New Roman" w:cs="Times New Roman"/>
          <w:sz w:val="24"/>
          <w:szCs w:val="24"/>
        </w:rPr>
        <w:t>es he has committed</w:t>
      </w:r>
      <w:r>
        <w:rPr>
          <w:rFonts w:ascii="Times New Roman" w:hAnsi="Times New Roman" w:cs="Times New Roman"/>
          <w:sz w:val="24"/>
          <w:szCs w:val="24"/>
        </w:rPr>
        <w:t>, which include burglary, theft, and criminal damage</w:t>
      </w:r>
      <w:r w:rsidRPr="00E664A1">
        <w:rPr>
          <w:rFonts w:ascii="Times New Roman" w:hAnsi="Times New Roman" w:cs="Times New Roman"/>
          <w:sz w:val="24"/>
          <w:szCs w:val="24"/>
        </w:rPr>
        <w:t xml:space="preserve">. </w:t>
      </w:r>
    </w:p>
    <w:p w14:paraId="791EA6B0" w14:textId="77777777" w:rsidR="001B4E7D" w:rsidRDefault="001B4E7D" w:rsidP="001B4E7D">
      <w:pPr>
        <w:spacing w:line="480" w:lineRule="auto"/>
        <w:rPr>
          <w:rFonts w:ascii="Times New Roman" w:hAnsi="Times New Roman" w:cs="Times New Roman"/>
          <w:b/>
          <w:sz w:val="24"/>
          <w:szCs w:val="24"/>
        </w:rPr>
      </w:pPr>
    </w:p>
    <w:p w14:paraId="27EDA021" w14:textId="77777777" w:rsidR="001B4E7D" w:rsidRPr="008E2398" w:rsidRDefault="001B4E7D" w:rsidP="001B4E7D">
      <w:pPr>
        <w:spacing w:line="480" w:lineRule="auto"/>
        <w:rPr>
          <w:rFonts w:ascii="Times New Roman" w:hAnsi="Times New Roman" w:cs="Times New Roman"/>
          <w:b/>
          <w:sz w:val="24"/>
          <w:szCs w:val="24"/>
        </w:rPr>
      </w:pPr>
      <w:r w:rsidRPr="008E2398">
        <w:rPr>
          <w:rFonts w:ascii="Times New Roman" w:hAnsi="Times New Roman" w:cs="Times New Roman"/>
          <w:b/>
          <w:sz w:val="24"/>
          <w:szCs w:val="24"/>
        </w:rPr>
        <w:lastRenderedPageBreak/>
        <w:t>Part B</w:t>
      </w:r>
    </w:p>
    <w:p w14:paraId="6224E4EF" w14:textId="77777777" w:rsidR="001B4E7D" w:rsidRPr="00E664A1" w:rsidRDefault="001B4E7D" w:rsidP="001B4E7D">
      <w:pPr>
        <w:spacing w:line="480" w:lineRule="auto"/>
        <w:ind w:firstLine="720"/>
        <w:rPr>
          <w:rFonts w:ascii="Times New Roman" w:hAnsi="Times New Roman" w:cs="Times New Roman"/>
          <w:sz w:val="24"/>
          <w:szCs w:val="24"/>
        </w:rPr>
      </w:pPr>
      <w:r w:rsidRPr="00E664A1">
        <w:rPr>
          <w:rFonts w:ascii="Times New Roman" w:hAnsi="Times New Roman" w:cs="Times New Roman"/>
          <w:sz w:val="24"/>
          <w:szCs w:val="24"/>
        </w:rPr>
        <w:t>F</w:t>
      </w:r>
      <w:r>
        <w:rPr>
          <w:rFonts w:ascii="Times New Roman" w:hAnsi="Times New Roman" w:cs="Times New Roman"/>
          <w:sz w:val="24"/>
          <w:szCs w:val="24"/>
        </w:rPr>
        <w:t xml:space="preserve">reya could have been charged with </w:t>
      </w:r>
      <w:r w:rsidRPr="00E664A1">
        <w:rPr>
          <w:rFonts w:ascii="Times New Roman" w:hAnsi="Times New Roman" w:cs="Times New Roman"/>
          <w:sz w:val="24"/>
          <w:szCs w:val="24"/>
        </w:rPr>
        <w:t>the offen</w:t>
      </w:r>
      <w:r>
        <w:rPr>
          <w:rFonts w:ascii="Times New Roman" w:hAnsi="Times New Roman" w:cs="Times New Roman"/>
          <w:sz w:val="24"/>
          <w:szCs w:val="24"/>
        </w:rPr>
        <w:t>s</w:t>
      </w:r>
      <w:r w:rsidRPr="00E664A1">
        <w:rPr>
          <w:rFonts w:ascii="Times New Roman" w:hAnsi="Times New Roman" w:cs="Times New Roman"/>
          <w:sz w:val="24"/>
          <w:szCs w:val="24"/>
        </w:rPr>
        <w:t>e of common assault according to UK law. The potential criminal offen</w:t>
      </w:r>
      <w:r>
        <w:rPr>
          <w:rFonts w:ascii="Times New Roman" w:hAnsi="Times New Roman" w:cs="Times New Roman"/>
          <w:sz w:val="24"/>
          <w:szCs w:val="24"/>
        </w:rPr>
        <w:t xml:space="preserve">se Freya could be charged </w:t>
      </w:r>
      <w:r w:rsidRPr="00E664A1">
        <w:rPr>
          <w:rFonts w:ascii="Times New Roman" w:hAnsi="Times New Roman" w:cs="Times New Roman"/>
          <w:sz w:val="24"/>
          <w:szCs w:val="24"/>
        </w:rPr>
        <w:t>with is battery. The battery is an offen</w:t>
      </w:r>
      <w:r>
        <w:rPr>
          <w:rFonts w:ascii="Times New Roman" w:hAnsi="Times New Roman" w:cs="Times New Roman"/>
          <w:sz w:val="24"/>
          <w:szCs w:val="24"/>
        </w:rPr>
        <w:t>s</w:t>
      </w:r>
      <w:r w:rsidRPr="00E664A1">
        <w:rPr>
          <w:rFonts w:ascii="Times New Roman" w:hAnsi="Times New Roman" w:cs="Times New Roman"/>
          <w:sz w:val="24"/>
          <w:szCs w:val="24"/>
        </w:rPr>
        <w:t>e under section 39 of t</w:t>
      </w:r>
      <w:r>
        <w:rPr>
          <w:rFonts w:ascii="Times New Roman" w:hAnsi="Times New Roman" w:cs="Times New Roman"/>
          <w:sz w:val="24"/>
          <w:szCs w:val="24"/>
        </w:rPr>
        <w:t>he Criminal Justice Act 1988 that occurs</w:t>
      </w:r>
      <w:r w:rsidRPr="00E664A1">
        <w:rPr>
          <w:rFonts w:ascii="Times New Roman" w:hAnsi="Times New Roman" w:cs="Times New Roman"/>
          <w:sz w:val="24"/>
          <w:szCs w:val="24"/>
        </w:rPr>
        <w:t xml:space="preserve"> </w:t>
      </w:r>
      <w:r>
        <w:rPr>
          <w:rFonts w:ascii="Times New Roman" w:hAnsi="Times New Roman" w:cs="Times New Roman"/>
          <w:sz w:val="24"/>
          <w:szCs w:val="24"/>
        </w:rPr>
        <w:t>w</w:t>
      </w:r>
      <w:r w:rsidRPr="007F6F75">
        <w:rPr>
          <w:rFonts w:ascii="Times New Roman" w:hAnsi="Times New Roman" w:cs="Times New Roman"/>
          <w:sz w:val="24"/>
          <w:szCs w:val="24"/>
        </w:rPr>
        <w:t>hen someone deliberately or negligently inflicts physica</w:t>
      </w:r>
      <w:r>
        <w:rPr>
          <w:rFonts w:ascii="Times New Roman" w:hAnsi="Times New Roman" w:cs="Times New Roman"/>
          <w:sz w:val="24"/>
          <w:szCs w:val="24"/>
        </w:rPr>
        <w:t xml:space="preserve">l pain on another person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{"citationID":"Fd46ANtT","properties":{"formattedCitation":"(Government of U.K, n.d.)","plainCitation":"(Government of U.K, n.d.)","noteIndex":0},"citationItems":[{"id":460,"uris":["http://zotero.org/users/local/k0o7EKuI/items/FQ2EQVMV"],"itemData":{"id":460,"type":"webpage","title":"Offences against the Person, incorporating the Charging Standard | The Crown Prosecution Service","URL":"https://www.cps.gov.uk/legal-guidance/offences-against-person-incorporating-charging-standard","author":[{"family":"Government of U.K","given":""}],"accessed":{"date-parts":[["2023",1,10]]}}}],"schema":"https://github.com/citation-style-language/schema/raw/master/csl-citation.json"}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(Government of UK, 2022</w:t>
      </w:r>
      <w:r w:rsidRPr="004A7F53">
        <w:rPr>
          <w:rFonts w:ascii="Times New Roman" w:hAnsi="Times New Roman" w:cs="Times New Roman"/>
          <w:sz w:val="24"/>
        </w:rPr>
        <w:t>.)</w:t>
      </w:r>
      <w:r>
        <w:rPr>
          <w:rFonts w:ascii="Times New Roman" w:hAnsi="Times New Roman" w:cs="Times New Roman"/>
          <w:sz w:val="24"/>
          <w:szCs w:val="24"/>
        </w:rPr>
        <w:fldChar w:fldCharType="end"/>
      </w:r>
      <w:r w:rsidRPr="00E664A1">
        <w:rPr>
          <w:rFonts w:ascii="Times New Roman" w:hAnsi="Times New Roman" w:cs="Times New Roman"/>
          <w:sz w:val="24"/>
          <w:szCs w:val="24"/>
        </w:rPr>
        <w:t>. In this case, Freya punched Mike while in a seizure and caused him to have a black eye. This constitutes battery and</w:t>
      </w:r>
      <w:r>
        <w:rPr>
          <w:rFonts w:ascii="Times New Roman" w:hAnsi="Times New Roman" w:cs="Times New Roman"/>
          <w:sz w:val="24"/>
          <w:szCs w:val="24"/>
        </w:rPr>
        <w:t>,</w:t>
      </w:r>
      <w:r w:rsidRPr="00E664A1">
        <w:rPr>
          <w:rFonts w:ascii="Times New Roman" w:hAnsi="Times New Roman" w:cs="Times New Roman"/>
          <w:sz w:val="24"/>
          <w:szCs w:val="24"/>
        </w:rPr>
        <w:t xml:space="preserve"> therefore</w:t>
      </w:r>
      <w:r>
        <w:rPr>
          <w:rFonts w:ascii="Times New Roman" w:hAnsi="Times New Roman" w:cs="Times New Roman"/>
          <w:sz w:val="24"/>
          <w:szCs w:val="24"/>
        </w:rPr>
        <w:t>,</w:t>
      </w:r>
      <w:r w:rsidRPr="00E664A1">
        <w:rPr>
          <w:rFonts w:ascii="Times New Roman" w:hAnsi="Times New Roman" w:cs="Times New Roman"/>
          <w:sz w:val="24"/>
          <w:szCs w:val="24"/>
        </w:rPr>
        <w:t xml:space="preserve"> could potentially be a criminal offen</w:t>
      </w:r>
      <w:r>
        <w:rPr>
          <w:rFonts w:ascii="Times New Roman" w:hAnsi="Times New Roman" w:cs="Times New Roman"/>
          <w:sz w:val="24"/>
          <w:szCs w:val="24"/>
        </w:rPr>
        <w:t>s</w:t>
      </w:r>
      <w:r w:rsidRPr="00E664A1">
        <w:rPr>
          <w:rFonts w:ascii="Times New Roman" w:hAnsi="Times New Roman" w:cs="Times New Roman"/>
          <w:sz w:val="24"/>
          <w:szCs w:val="24"/>
        </w:rPr>
        <w:t>e.</w:t>
      </w:r>
    </w:p>
    <w:p w14:paraId="3C6F8196" w14:textId="77777777" w:rsidR="001B4E7D" w:rsidRPr="00E664A1" w:rsidRDefault="001B4E7D" w:rsidP="001B4E7D">
      <w:pPr>
        <w:spacing w:line="480" w:lineRule="auto"/>
        <w:ind w:firstLine="720"/>
        <w:rPr>
          <w:rFonts w:ascii="Times New Roman" w:hAnsi="Times New Roman" w:cs="Times New Roman"/>
          <w:sz w:val="24"/>
          <w:szCs w:val="24"/>
        </w:rPr>
      </w:pPr>
      <w:r>
        <w:rPr>
          <w:rFonts w:ascii="Times New Roman" w:hAnsi="Times New Roman" w:cs="Times New Roman"/>
          <w:sz w:val="24"/>
          <w:szCs w:val="24"/>
        </w:rPr>
        <w:t>Moreover, Freya can also be</w:t>
      </w:r>
      <w:r w:rsidRPr="00E664A1">
        <w:rPr>
          <w:rFonts w:ascii="Times New Roman" w:hAnsi="Times New Roman" w:cs="Times New Roman"/>
          <w:sz w:val="24"/>
          <w:szCs w:val="24"/>
        </w:rPr>
        <w:t xml:space="preserve"> charged under s</w:t>
      </w:r>
      <w:r>
        <w:rPr>
          <w:rFonts w:ascii="Times New Roman" w:hAnsi="Times New Roman" w:cs="Times New Roman"/>
          <w:sz w:val="24"/>
          <w:szCs w:val="24"/>
        </w:rPr>
        <w:t xml:space="preserve">ection </w:t>
      </w:r>
      <w:r w:rsidRPr="00E664A1">
        <w:rPr>
          <w:rFonts w:ascii="Times New Roman" w:hAnsi="Times New Roman" w:cs="Times New Roman"/>
          <w:sz w:val="24"/>
          <w:szCs w:val="24"/>
        </w:rPr>
        <w:t xml:space="preserve">47 Offences against the Person Act 1861 because she caused physical harm to another </w:t>
      </w:r>
      <w:r>
        <w:rPr>
          <w:rFonts w:ascii="Times New Roman" w:hAnsi="Times New Roman" w:cs="Times New Roman"/>
          <w:sz w:val="24"/>
          <w:szCs w:val="24"/>
        </w:rPr>
        <w:t>person. Section 47 states, "</w:t>
      </w:r>
      <w:r w:rsidRPr="00053DB2">
        <w:rPr>
          <w:rFonts w:ascii="Times New Roman" w:hAnsi="Times New Roman" w:cs="Times New Roman"/>
          <w:sz w:val="24"/>
          <w:szCs w:val="24"/>
        </w:rPr>
        <w:t xml:space="preserve">If anyone is found guilty of unlawful and maliciously wounding or causing harm to another person, the court will decide their punishment with regards to penal servitude for up to ten years or imprisonment for two years at most. This sentence could include hard </w:t>
      </w:r>
      <w:proofErr w:type="spellStart"/>
      <w:r w:rsidRPr="00053DB2">
        <w:rPr>
          <w:rFonts w:ascii="Times New Roman" w:hAnsi="Times New Roman" w:cs="Times New Roman"/>
          <w:sz w:val="24"/>
          <w:szCs w:val="24"/>
        </w:rPr>
        <w:t>labor</w:t>
      </w:r>
      <w:proofErr w:type="spellEnd"/>
      <w:r w:rsidRPr="00053DB2">
        <w:rPr>
          <w:rFonts w:ascii="Times New Roman" w:hAnsi="Times New Roman" w:cs="Times New Roman"/>
          <w:sz w:val="24"/>
          <w:szCs w:val="24"/>
        </w:rPr>
        <w:t xml:space="preserve"> as an additional penalty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{"citationID":"hruVVTgi","properties":{"formattedCitation":"(Ministry of Justice, 2022)","plainCitation":"(Ministry of Justice, 2022)","noteIndex":0},"citationItems":[{"id":370,"uris":["http://zotero.org/users/local/k0o7EKuI/items/F5QFVK3B"],"itemData":{"id":370,"type":"webpage","title":"Assault Offences - Ministry of Justice - Citizen Space","URL":"https://consult.justice.gov.uk/sentencing-council/revised-assault-offences-guideline/","author":[{"family":"Ministry of Justice","given":""}],"accessed":{"date-parts":[["2023",1,3]]},"issued":{"date-parts":[["2022"]]}}}],"schema":"https://github.com/citation-style-language/schema/raw/master/csl-citation.json"} </w:instrText>
      </w:r>
      <w:r>
        <w:rPr>
          <w:rFonts w:ascii="Times New Roman" w:hAnsi="Times New Roman" w:cs="Times New Roman"/>
          <w:sz w:val="24"/>
          <w:szCs w:val="24"/>
        </w:rPr>
        <w:fldChar w:fldCharType="separate"/>
      </w:r>
      <w:r w:rsidRPr="004B0AD1">
        <w:rPr>
          <w:rFonts w:ascii="Times New Roman" w:hAnsi="Times New Roman" w:cs="Times New Roman"/>
          <w:sz w:val="24"/>
        </w:rPr>
        <w:t>(Ministry of Justice, 2022)</w:t>
      </w:r>
      <w:r>
        <w:rPr>
          <w:rFonts w:ascii="Times New Roman" w:hAnsi="Times New Roman" w:cs="Times New Roman"/>
          <w:sz w:val="24"/>
          <w:szCs w:val="24"/>
        </w:rPr>
        <w:fldChar w:fldCharType="end"/>
      </w:r>
      <w:r w:rsidRPr="00E664A1">
        <w:rPr>
          <w:rFonts w:ascii="Times New Roman" w:hAnsi="Times New Roman" w:cs="Times New Roman"/>
          <w:sz w:val="24"/>
          <w:szCs w:val="24"/>
        </w:rPr>
        <w:t xml:space="preserve">. Therefore, Freya could be charged under this act for causing physical harm to another person. Moreover, to prove a person guilty of a crime two terminologies are </w:t>
      </w:r>
      <w:proofErr w:type="gramStart"/>
      <w:r w:rsidRPr="00E664A1">
        <w:rPr>
          <w:rFonts w:ascii="Times New Roman" w:hAnsi="Times New Roman" w:cs="Times New Roman"/>
          <w:sz w:val="24"/>
          <w:szCs w:val="24"/>
        </w:rPr>
        <w:t>used</w:t>
      </w:r>
      <w:proofErr w:type="gramEnd"/>
      <w:r w:rsidRPr="00E664A1">
        <w:rPr>
          <w:rFonts w:ascii="Times New Roman" w:hAnsi="Times New Roman" w:cs="Times New Roman"/>
          <w:sz w:val="24"/>
          <w:szCs w:val="24"/>
        </w:rPr>
        <w:t xml:space="preserve"> and these are used to judge the action of the person</w:t>
      </w:r>
      <w:r>
        <w:rPr>
          <w:rFonts w:ascii="Times New Roman" w:hAnsi="Times New Roman" w:cs="Times New Roman"/>
          <w:sz w:val="24"/>
          <w:szCs w:val="24"/>
        </w:rPr>
        <w:t>.</w:t>
      </w:r>
      <w:r w:rsidRPr="00E664A1">
        <w:rPr>
          <w:rFonts w:ascii="Times New Roman" w:hAnsi="Times New Roman" w:cs="Times New Roman"/>
          <w:sz w:val="24"/>
          <w:szCs w:val="24"/>
        </w:rPr>
        <w:t xml:space="preserve"> In this case, Freya punched Mike while in a seizure and caused him to have a black eye. This constitutes battery, and</w:t>
      </w:r>
      <w:r>
        <w:rPr>
          <w:rFonts w:ascii="Times New Roman" w:hAnsi="Times New Roman" w:cs="Times New Roman"/>
          <w:sz w:val="24"/>
          <w:szCs w:val="24"/>
        </w:rPr>
        <w:t xml:space="preserve"> she was also physically present at the place of possible offense,</w:t>
      </w:r>
      <w:r w:rsidRPr="00E664A1">
        <w:rPr>
          <w:rFonts w:ascii="Times New Roman" w:hAnsi="Times New Roman" w:cs="Times New Roman"/>
          <w:sz w:val="24"/>
          <w:szCs w:val="24"/>
        </w:rPr>
        <w:t xml:space="preserve"> therefore</w:t>
      </w:r>
      <w:r>
        <w:rPr>
          <w:rFonts w:ascii="Times New Roman" w:hAnsi="Times New Roman" w:cs="Times New Roman"/>
          <w:sz w:val="24"/>
          <w:szCs w:val="24"/>
        </w:rPr>
        <w:t>,</w:t>
      </w:r>
      <w:r w:rsidRPr="00E664A1">
        <w:rPr>
          <w:rFonts w:ascii="Times New Roman" w:hAnsi="Times New Roman" w:cs="Times New Roman"/>
          <w:sz w:val="24"/>
          <w:szCs w:val="24"/>
        </w:rPr>
        <w:t xml:space="preserve"> Freya did commit an actus reus.  Secondly</w:t>
      </w:r>
      <w:r>
        <w:rPr>
          <w:rFonts w:ascii="Times New Roman" w:hAnsi="Times New Roman" w:cs="Times New Roman"/>
          <w:sz w:val="24"/>
          <w:szCs w:val="24"/>
        </w:rPr>
        <w:t>,</w:t>
      </w:r>
      <w:r w:rsidRPr="00E664A1">
        <w:rPr>
          <w:rFonts w:ascii="Times New Roman" w:hAnsi="Times New Roman" w:cs="Times New Roman"/>
          <w:sz w:val="24"/>
          <w:szCs w:val="24"/>
        </w:rPr>
        <w:t xml:space="preserve"> it is unclear whether Freya acted with intent or recklessness; however, given the fact that she was in a seizure, it is likely that she did not act with intent. Therefore, it is unlikely that she committed a </w:t>
      </w:r>
      <w:proofErr w:type="spellStart"/>
      <w:r w:rsidRPr="00E664A1">
        <w:rPr>
          <w:rFonts w:ascii="Times New Roman" w:hAnsi="Times New Roman" w:cs="Times New Roman"/>
          <w:sz w:val="24"/>
          <w:szCs w:val="24"/>
        </w:rPr>
        <w:t>mens</w:t>
      </w:r>
      <w:proofErr w:type="spellEnd"/>
      <w:r w:rsidRPr="00E664A1">
        <w:rPr>
          <w:rFonts w:ascii="Times New Roman" w:hAnsi="Times New Roman" w:cs="Times New Roman"/>
          <w:sz w:val="24"/>
          <w:szCs w:val="24"/>
        </w:rPr>
        <w:t xml:space="preserve"> rea. </w:t>
      </w:r>
    </w:p>
    <w:p w14:paraId="1CCB2C63" w14:textId="77777777" w:rsidR="001B4E7D" w:rsidRPr="00E664A1" w:rsidRDefault="001B4E7D" w:rsidP="001B4E7D">
      <w:pPr>
        <w:spacing w:line="480" w:lineRule="auto"/>
        <w:ind w:firstLine="720"/>
        <w:rPr>
          <w:rFonts w:ascii="Times New Roman" w:hAnsi="Times New Roman" w:cs="Times New Roman"/>
          <w:sz w:val="24"/>
          <w:szCs w:val="24"/>
        </w:rPr>
      </w:pPr>
      <w:r w:rsidRPr="00E664A1">
        <w:rPr>
          <w:rFonts w:ascii="Times New Roman" w:hAnsi="Times New Roman" w:cs="Times New Roman"/>
          <w:sz w:val="24"/>
          <w:szCs w:val="24"/>
        </w:rPr>
        <w:t xml:space="preserve">Freya could potentially use intoxication and automatism as </w:t>
      </w:r>
      <w:proofErr w:type="spellStart"/>
      <w:r w:rsidRPr="00E664A1">
        <w:rPr>
          <w:rFonts w:ascii="Times New Roman" w:hAnsi="Times New Roman" w:cs="Times New Roman"/>
          <w:sz w:val="24"/>
          <w:szCs w:val="24"/>
        </w:rPr>
        <w:t>defenses</w:t>
      </w:r>
      <w:proofErr w:type="spellEnd"/>
      <w:r w:rsidRPr="00E664A1">
        <w:rPr>
          <w:rFonts w:ascii="Times New Roman" w:hAnsi="Times New Roman" w:cs="Times New Roman"/>
          <w:sz w:val="24"/>
          <w:szCs w:val="24"/>
        </w:rPr>
        <w:t xml:space="preserve"> </w:t>
      </w:r>
      <w:r>
        <w:rPr>
          <w:rFonts w:ascii="Times New Roman" w:hAnsi="Times New Roman" w:cs="Times New Roman"/>
          <w:sz w:val="24"/>
          <w:szCs w:val="24"/>
        </w:rPr>
        <w:t xml:space="preserve">against the offense that she could likely be charged with in section 39 and section 47 </w:t>
      </w:r>
      <w:r w:rsidRPr="00E664A1">
        <w:rPr>
          <w:rFonts w:ascii="Times New Roman" w:hAnsi="Times New Roman" w:cs="Times New Roman"/>
          <w:sz w:val="24"/>
          <w:szCs w:val="24"/>
        </w:rPr>
        <w:t xml:space="preserve">if she did not intentionally punch Mike. Intoxication is when an individual consumes an intoxicating substance that renders them substantially incapable of forming the intent to commit a crime. </w:t>
      </w:r>
      <w:r w:rsidRPr="00E664A1">
        <w:rPr>
          <w:rFonts w:ascii="Times New Roman" w:hAnsi="Times New Roman" w:cs="Times New Roman"/>
          <w:sz w:val="24"/>
          <w:szCs w:val="24"/>
        </w:rPr>
        <w:lastRenderedPageBreak/>
        <w:t xml:space="preserve">Intoxication is a </w:t>
      </w:r>
      <w:proofErr w:type="spellStart"/>
      <w:r w:rsidRPr="00E664A1">
        <w:rPr>
          <w:rFonts w:ascii="Times New Roman" w:hAnsi="Times New Roman" w:cs="Times New Roman"/>
          <w:sz w:val="24"/>
          <w:szCs w:val="24"/>
        </w:rPr>
        <w:t>defense</w:t>
      </w:r>
      <w:proofErr w:type="spellEnd"/>
      <w:r w:rsidRPr="00E664A1">
        <w:rPr>
          <w:rFonts w:ascii="Times New Roman" w:hAnsi="Times New Roman" w:cs="Times New Roman"/>
          <w:sz w:val="24"/>
          <w:szCs w:val="24"/>
        </w:rPr>
        <w:t xml:space="preserve"> where the defendant can argue that they were too intoxicated to be aware of their actions or the consequences of their actions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{"citationID":"jOWjm6kF","properties":{"formattedCitation":"(Loughnan &amp; Wake, 2016)","plainCitation":"(Loughnan &amp; Wake, 2016)","noteIndex":0},"citationItems":[{"id":372,"uris":["http://zotero.org/users/local/k0o7EKuI/items/HVF8L4P2"],"itemData":{"id":372,"type":"chapter","container-title":"General defences in criminal law","ISBN":"1-315-58426-3","page":"113-132","publisher":"Routledge","title":"Of blurred boundaries and prior fault: Insanity, automatism and intoxication","author":[{"family":"Loughnan","given":"Arlie"},{"family":"Wake","given":"Nicola"}],"issued":{"date-parts":[["2016"]]}}}],"schema":"https://github.com/citation-style-language/schema/raw/master/csl-citation.json"} </w:instrText>
      </w:r>
      <w:r>
        <w:rPr>
          <w:rFonts w:ascii="Times New Roman" w:hAnsi="Times New Roman" w:cs="Times New Roman"/>
          <w:sz w:val="24"/>
          <w:szCs w:val="24"/>
        </w:rPr>
        <w:fldChar w:fldCharType="separate"/>
      </w:r>
      <w:r w:rsidRPr="004B0AD1">
        <w:rPr>
          <w:rFonts w:ascii="Times New Roman" w:hAnsi="Times New Roman" w:cs="Times New Roman"/>
          <w:sz w:val="24"/>
        </w:rPr>
        <w:t>(Loughnan &amp; Wake, 2016)</w:t>
      </w:r>
      <w:r>
        <w:rPr>
          <w:rFonts w:ascii="Times New Roman" w:hAnsi="Times New Roman" w:cs="Times New Roman"/>
          <w:sz w:val="24"/>
          <w:szCs w:val="24"/>
        </w:rPr>
        <w:fldChar w:fldCharType="end"/>
      </w:r>
      <w:r w:rsidRPr="00E664A1">
        <w:rPr>
          <w:rFonts w:ascii="Times New Roman" w:hAnsi="Times New Roman" w:cs="Times New Roman"/>
          <w:sz w:val="24"/>
          <w:szCs w:val="24"/>
        </w:rPr>
        <w:t xml:space="preserve">. In this case, Freya had consumed a large amount of alcohol </w:t>
      </w:r>
      <w:r>
        <w:rPr>
          <w:rFonts w:ascii="Times New Roman" w:hAnsi="Times New Roman" w:cs="Times New Roman"/>
          <w:sz w:val="24"/>
          <w:szCs w:val="24"/>
        </w:rPr>
        <w:t>before</w:t>
      </w:r>
      <w:r w:rsidRPr="00E664A1">
        <w:rPr>
          <w:rFonts w:ascii="Times New Roman" w:hAnsi="Times New Roman" w:cs="Times New Roman"/>
          <w:sz w:val="24"/>
          <w:szCs w:val="24"/>
        </w:rPr>
        <w:t xml:space="preserve"> the incident, which could be used as a </w:t>
      </w:r>
      <w:proofErr w:type="spellStart"/>
      <w:r w:rsidRPr="00E664A1">
        <w:rPr>
          <w:rFonts w:ascii="Times New Roman" w:hAnsi="Times New Roman" w:cs="Times New Roman"/>
          <w:sz w:val="24"/>
          <w:szCs w:val="24"/>
        </w:rPr>
        <w:t>defense</w:t>
      </w:r>
      <w:proofErr w:type="spellEnd"/>
      <w:r>
        <w:rPr>
          <w:rFonts w:ascii="Times New Roman" w:hAnsi="Times New Roman" w:cs="Times New Roman"/>
          <w:sz w:val="24"/>
          <w:szCs w:val="24"/>
        </w:rPr>
        <w:t xml:space="preserve"> that her intention was not actually to punch Mike</w:t>
      </w:r>
      <w:r w:rsidRPr="00E664A1">
        <w:rPr>
          <w:rFonts w:ascii="Times New Roman" w:hAnsi="Times New Roman" w:cs="Times New Roman"/>
          <w:sz w:val="24"/>
          <w:szCs w:val="24"/>
        </w:rPr>
        <w:t>. Mor</w:t>
      </w:r>
      <w:r>
        <w:rPr>
          <w:rFonts w:ascii="Times New Roman" w:hAnsi="Times New Roman" w:cs="Times New Roman"/>
          <w:sz w:val="24"/>
          <w:szCs w:val="24"/>
        </w:rPr>
        <w:t>eover, a</w:t>
      </w:r>
      <w:r w:rsidRPr="00E664A1">
        <w:rPr>
          <w:rFonts w:ascii="Times New Roman" w:hAnsi="Times New Roman" w:cs="Times New Roman"/>
          <w:sz w:val="24"/>
          <w:szCs w:val="24"/>
        </w:rPr>
        <w:t xml:space="preserve">utomatism is when a person commits a criminal act without conscious control or awareness. Automatism is a </w:t>
      </w:r>
      <w:proofErr w:type="spellStart"/>
      <w:r w:rsidRPr="00E664A1">
        <w:rPr>
          <w:rFonts w:ascii="Times New Roman" w:hAnsi="Times New Roman" w:cs="Times New Roman"/>
          <w:sz w:val="24"/>
          <w:szCs w:val="24"/>
        </w:rPr>
        <w:t>defense</w:t>
      </w:r>
      <w:proofErr w:type="spellEnd"/>
      <w:r w:rsidRPr="00E664A1">
        <w:rPr>
          <w:rFonts w:ascii="Times New Roman" w:hAnsi="Times New Roman" w:cs="Times New Roman"/>
          <w:sz w:val="24"/>
          <w:szCs w:val="24"/>
        </w:rPr>
        <w:t xml:space="preserve"> where the defendant can argue that their actions were involuntary and that they were not aware of their actions or the consequences of their actions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{"citationID":"fylxXjXC","properties":{"formattedCitation":"(Chmielewski, Zink, Chmielewski, Beste, &amp; Stock, 2020)","plainCitation":"(Chmielewski, Zink, Chmielewski, Beste, &amp; Stock, 2020)","dontUpdate":true,"noteIndex":0},"citationItems":[{"id":377,"uris":["http://zotero.org/users/local/k0o7EKuI/items/SFLPSV56"],"itemData":{"id":377,"type":"article-journal","container-title":"Addiction biology","issue":"1","note":"ISBN: 1355-6215\npublisher: Wiley Online Library","page":"e12700","title":"How high‐dose alcohol intoxication affects the interplay of automatic and controlled processes","volume":"25","author":[{"family":"Chmielewski","given":"Witold X."},{"family":"Zink","given":"Nicolas"},{"family":"Chmielewski","given":"Keluf Ylva"},{"family":"Beste","given":"Christian"},{"family":"Stock","given":"Ann-Kathrin"}],"issued":{"date-parts":[["2020"]]}}}],"schema":"https://github.com/citation-style-language/schema/raw/master/csl-citation.json"}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(Chmielewski et al.</w:t>
      </w:r>
      <w:r w:rsidRPr="004B0AD1">
        <w:rPr>
          <w:rFonts w:ascii="Times New Roman" w:hAnsi="Times New Roman" w:cs="Times New Roman"/>
          <w:sz w:val="24"/>
        </w:rPr>
        <w:t>, 2020)</w:t>
      </w:r>
      <w:r>
        <w:rPr>
          <w:rFonts w:ascii="Times New Roman" w:hAnsi="Times New Roman" w:cs="Times New Roman"/>
          <w:sz w:val="24"/>
          <w:szCs w:val="24"/>
        </w:rPr>
        <w:fldChar w:fldCharType="end"/>
      </w:r>
      <w:r w:rsidRPr="00E664A1">
        <w:rPr>
          <w:rFonts w:ascii="Times New Roman" w:hAnsi="Times New Roman" w:cs="Times New Roman"/>
          <w:sz w:val="24"/>
          <w:szCs w:val="24"/>
        </w:rPr>
        <w:t xml:space="preserve">. This </w:t>
      </w:r>
      <w:proofErr w:type="spellStart"/>
      <w:r w:rsidRPr="00E664A1">
        <w:rPr>
          <w:rFonts w:ascii="Times New Roman" w:hAnsi="Times New Roman" w:cs="Times New Roman"/>
          <w:sz w:val="24"/>
          <w:szCs w:val="24"/>
        </w:rPr>
        <w:t>defense</w:t>
      </w:r>
      <w:proofErr w:type="spellEnd"/>
      <w:r w:rsidRPr="00E664A1">
        <w:rPr>
          <w:rFonts w:ascii="Times New Roman" w:hAnsi="Times New Roman" w:cs="Times New Roman"/>
          <w:sz w:val="24"/>
          <w:szCs w:val="24"/>
        </w:rPr>
        <w:t xml:space="preserve"> could be used in Freya's case as she was in a seizure at the time of the incident, suggesting that her actions were involuntary. </w:t>
      </w:r>
      <w:r w:rsidRPr="007F6F75">
        <w:rPr>
          <w:rFonts w:ascii="Times New Roman" w:hAnsi="Times New Roman" w:cs="Times New Roman"/>
          <w:sz w:val="24"/>
          <w:szCs w:val="24"/>
        </w:rPr>
        <w:t xml:space="preserve">If Freya were to mount a </w:t>
      </w:r>
      <w:proofErr w:type="spellStart"/>
      <w:r w:rsidRPr="007F6F75">
        <w:rPr>
          <w:rFonts w:ascii="Times New Roman" w:hAnsi="Times New Roman" w:cs="Times New Roman"/>
          <w:sz w:val="24"/>
          <w:szCs w:val="24"/>
        </w:rPr>
        <w:t>defense</w:t>
      </w:r>
      <w:proofErr w:type="spellEnd"/>
      <w:r w:rsidRPr="007F6F75">
        <w:rPr>
          <w:rFonts w:ascii="Times New Roman" w:hAnsi="Times New Roman" w:cs="Times New Roman"/>
          <w:sz w:val="24"/>
          <w:szCs w:val="24"/>
        </w:rPr>
        <w:t xml:space="preserve"> of intoxication or automatism, she would need to present evidence that she was either impaired by drugs and/or alcohol at the time in question or else demonstrate through medical records her condition of automatism resulting from some ment</w:t>
      </w:r>
      <w:r>
        <w:rPr>
          <w:rFonts w:ascii="Times New Roman" w:hAnsi="Times New Roman" w:cs="Times New Roman"/>
          <w:sz w:val="24"/>
          <w:szCs w:val="24"/>
        </w:rPr>
        <w:t>al illness or physical disorder</w:t>
      </w:r>
      <w:r w:rsidRPr="00E664A1">
        <w:rPr>
          <w:rFonts w:ascii="Times New Roman" w:hAnsi="Times New Roman" w:cs="Times New Roman"/>
          <w:sz w:val="24"/>
          <w:szCs w:val="24"/>
        </w:rPr>
        <w:t>. If Freya can successfully prove that she was in a state of intoxication or automatism at the time of the incident, then she may be able to successfully defend herself against any charges brought against her. However, she would still need to prove that she did not intend to hit Mike. Freya could do this by providing evidence or testimony from witnesses that she did not have the necessary intent to punch Mike at the time of the incident. Furthermore, Freya can also rely on any other evidence that could demonstrate that she did not have the necessary intent to punch Mike, such as security footage of the incident.</w:t>
      </w:r>
      <w:r>
        <w:rPr>
          <w:rFonts w:ascii="Times New Roman" w:hAnsi="Times New Roman" w:cs="Times New Roman"/>
          <w:sz w:val="24"/>
          <w:szCs w:val="24"/>
        </w:rPr>
        <w:t xml:space="preserve"> </w:t>
      </w:r>
      <w:r w:rsidRPr="00E664A1">
        <w:rPr>
          <w:rFonts w:ascii="Times New Roman" w:hAnsi="Times New Roman" w:cs="Times New Roman"/>
          <w:sz w:val="24"/>
          <w:szCs w:val="24"/>
        </w:rPr>
        <w:t xml:space="preserve">Freya’s case can be justified by the case of </w:t>
      </w:r>
      <w:r w:rsidRPr="00FE4CB9">
        <w:rPr>
          <w:rFonts w:ascii="Times New Roman" w:hAnsi="Times New Roman" w:cs="Times New Roman"/>
          <w:i/>
          <w:sz w:val="24"/>
          <w:szCs w:val="24"/>
        </w:rPr>
        <w:t>R v</w:t>
      </w:r>
      <w:r>
        <w:rPr>
          <w:rFonts w:ascii="Times New Roman" w:hAnsi="Times New Roman" w:cs="Times New Roman"/>
          <w:i/>
          <w:sz w:val="24"/>
          <w:szCs w:val="24"/>
        </w:rPr>
        <w:t>s.</w:t>
      </w:r>
      <w:r w:rsidRPr="00FE4CB9">
        <w:rPr>
          <w:rFonts w:ascii="Times New Roman" w:hAnsi="Times New Roman" w:cs="Times New Roman"/>
          <w:i/>
          <w:sz w:val="24"/>
          <w:szCs w:val="24"/>
        </w:rPr>
        <w:t xml:space="preserve"> Hardie</w:t>
      </w:r>
      <w:r w:rsidRPr="00E664A1">
        <w:rPr>
          <w:rFonts w:ascii="Times New Roman" w:hAnsi="Times New Roman" w:cs="Times New Roman"/>
          <w:sz w:val="24"/>
          <w:szCs w:val="24"/>
        </w:rPr>
        <w:t xml:space="preserve"> (1984), the defendant, who was suffering from epileptic seizures, was accused of deliberately setting fire to a shed. The court found that the defendant had not acted with intent, as he was unaware of his actions due to his medical condition. This case supports the argument that Freya has not done this intentionally, as she was in a seizure at the time of the incident. </w:t>
      </w:r>
    </w:p>
    <w:p w14:paraId="3972A416" w14:textId="64008CC2" w:rsidR="001B4E7D" w:rsidRDefault="001B4E7D" w:rsidP="001B4E7D">
      <w:pPr>
        <w:spacing w:line="480" w:lineRule="auto"/>
        <w:ind w:firstLine="720"/>
        <w:rPr>
          <w:rFonts w:ascii="Times New Roman" w:hAnsi="Times New Roman" w:cs="Times New Roman"/>
          <w:sz w:val="24"/>
          <w:szCs w:val="24"/>
        </w:rPr>
      </w:pPr>
      <w:r w:rsidRPr="00E664A1">
        <w:rPr>
          <w:rFonts w:ascii="Times New Roman" w:hAnsi="Times New Roman" w:cs="Times New Roman"/>
          <w:sz w:val="24"/>
          <w:szCs w:val="24"/>
        </w:rPr>
        <w:lastRenderedPageBreak/>
        <w:t>Based on the facts given, it is likely that Freya will be found liable for battery. In this case, Freya punched Mike while in a seizure and caused him to have a black eye. This constitutes battery, and therefore Freya could be found liable for this offen</w:t>
      </w:r>
      <w:r>
        <w:rPr>
          <w:rFonts w:ascii="Times New Roman" w:hAnsi="Times New Roman" w:cs="Times New Roman"/>
          <w:sz w:val="24"/>
          <w:szCs w:val="24"/>
        </w:rPr>
        <w:t>s</w:t>
      </w:r>
      <w:r w:rsidRPr="00E664A1">
        <w:rPr>
          <w:rFonts w:ascii="Times New Roman" w:hAnsi="Times New Roman" w:cs="Times New Roman"/>
          <w:sz w:val="24"/>
          <w:szCs w:val="24"/>
        </w:rPr>
        <w:t xml:space="preserve">e. However, Freya may be able to use the </w:t>
      </w:r>
      <w:proofErr w:type="spellStart"/>
      <w:r w:rsidRPr="00E664A1">
        <w:rPr>
          <w:rFonts w:ascii="Times New Roman" w:hAnsi="Times New Roman" w:cs="Times New Roman"/>
          <w:sz w:val="24"/>
          <w:szCs w:val="24"/>
        </w:rPr>
        <w:t>defenses</w:t>
      </w:r>
      <w:proofErr w:type="spellEnd"/>
      <w:r w:rsidRPr="00E664A1">
        <w:rPr>
          <w:rFonts w:ascii="Times New Roman" w:hAnsi="Times New Roman" w:cs="Times New Roman"/>
          <w:sz w:val="24"/>
          <w:szCs w:val="24"/>
        </w:rPr>
        <w:t xml:space="preserve"> of intoxication or automatism, as she had consumed a large amount of alcohol </w:t>
      </w:r>
      <w:r>
        <w:rPr>
          <w:rFonts w:ascii="Times New Roman" w:hAnsi="Times New Roman" w:cs="Times New Roman"/>
          <w:sz w:val="24"/>
          <w:szCs w:val="24"/>
        </w:rPr>
        <w:t>before</w:t>
      </w:r>
      <w:r w:rsidRPr="00E664A1">
        <w:rPr>
          <w:rFonts w:ascii="Times New Roman" w:hAnsi="Times New Roman" w:cs="Times New Roman"/>
          <w:sz w:val="24"/>
          <w:szCs w:val="24"/>
        </w:rPr>
        <w:t xml:space="preserve"> the incident and was in a seizure at the time of the incident</w:t>
      </w:r>
      <w:r>
        <w:rPr>
          <w:rFonts w:ascii="Times New Roman" w:hAnsi="Times New Roman" w:cs="Times New Roman"/>
          <w:sz w:val="24"/>
          <w:szCs w:val="24"/>
        </w:rPr>
        <w:t>, and her intention was not actually harming anyone</w:t>
      </w:r>
      <w:r w:rsidRPr="00E664A1">
        <w:rPr>
          <w:rFonts w:ascii="Times New Roman" w:hAnsi="Times New Roman" w:cs="Times New Roman"/>
          <w:sz w:val="24"/>
          <w:szCs w:val="24"/>
        </w:rPr>
        <w:t>.</w:t>
      </w:r>
    </w:p>
    <w:p w14:paraId="0424E877" w14:textId="16F6C59F" w:rsidR="001B4E7D" w:rsidRDefault="001B4E7D" w:rsidP="001B4E7D">
      <w:pPr>
        <w:spacing w:line="480" w:lineRule="auto"/>
        <w:ind w:firstLine="720"/>
        <w:rPr>
          <w:rFonts w:ascii="Times New Roman" w:hAnsi="Times New Roman" w:cs="Times New Roman"/>
          <w:sz w:val="24"/>
          <w:szCs w:val="24"/>
        </w:rPr>
      </w:pPr>
    </w:p>
    <w:p w14:paraId="14081492" w14:textId="1509D42C" w:rsidR="001B4E7D" w:rsidRDefault="001B4E7D" w:rsidP="001B4E7D">
      <w:pPr>
        <w:spacing w:line="480" w:lineRule="auto"/>
        <w:ind w:firstLine="720"/>
        <w:rPr>
          <w:rFonts w:ascii="Times New Roman" w:hAnsi="Times New Roman" w:cs="Times New Roman"/>
          <w:sz w:val="24"/>
          <w:szCs w:val="24"/>
        </w:rPr>
      </w:pPr>
    </w:p>
    <w:p w14:paraId="351D5920" w14:textId="41F102DB" w:rsidR="001B4E7D" w:rsidRDefault="001B4E7D" w:rsidP="001B4E7D">
      <w:pPr>
        <w:spacing w:line="480" w:lineRule="auto"/>
        <w:ind w:firstLine="720"/>
        <w:rPr>
          <w:rFonts w:ascii="Times New Roman" w:hAnsi="Times New Roman" w:cs="Times New Roman"/>
          <w:sz w:val="24"/>
          <w:szCs w:val="24"/>
        </w:rPr>
      </w:pPr>
    </w:p>
    <w:p w14:paraId="56076A6B" w14:textId="758A630F" w:rsidR="001B4E7D" w:rsidRDefault="001B4E7D" w:rsidP="001B4E7D">
      <w:pPr>
        <w:spacing w:line="480" w:lineRule="auto"/>
        <w:ind w:firstLine="720"/>
        <w:rPr>
          <w:rFonts w:ascii="Times New Roman" w:hAnsi="Times New Roman" w:cs="Times New Roman"/>
          <w:sz w:val="24"/>
          <w:szCs w:val="24"/>
        </w:rPr>
      </w:pPr>
    </w:p>
    <w:p w14:paraId="59072EA2" w14:textId="0394E42F" w:rsidR="001B4E7D" w:rsidRDefault="001B4E7D" w:rsidP="001B4E7D">
      <w:pPr>
        <w:spacing w:line="480" w:lineRule="auto"/>
        <w:ind w:firstLine="720"/>
        <w:rPr>
          <w:rFonts w:ascii="Times New Roman" w:hAnsi="Times New Roman" w:cs="Times New Roman"/>
          <w:sz w:val="24"/>
          <w:szCs w:val="24"/>
        </w:rPr>
      </w:pPr>
    </w:p>
    <w:p w14:paraId="02027EB3" w14:textId="34C33F2B" w:rsidR="001B4E7D" w:rsidRDefault="001B4E7D" w:rsidP="001B4E7D">
      <w:pPr>
        <w:spacing w:line="480" w:lineRule="auto"/>
        <w:ind w:firstLine="720"/>
        <w:rPr>
          <w:rFonts w:ascii="Times New Roman" w:hAnsi="Times New Roman" w:cs="Times New Roman"/>
          <w:sz w:val="24"/>
          <w:szCs w:val="24"/>
        </w:rPr>
      </w:pPr>
    </w:p>
    <w:p w14:paraId="415B198F" w14:textId="5EF0519F" w:rsidR="001B4E7D" w:rsidRDefault="001B4E7D" w:rsidP="001B4E7D">
      <w:pPr>
        <w:spacing w:line="480" w:lineRule="auto"/>
        <w:ind w:firstLine="720"/>
        <w:rPr>
          <w:rFonts w:ascii="Times New Roman" w:hAnsi="Times New Roman" w:cs="Times New Roman"/>
          <w:sz w:val="24"/>
          <w:szCs w:val="24"/>
        </w:rPr>
      </w:pPr>
    </w:p>
    <w:p w14:paraId="44783653" w14:textId="52C8E7C4" w:rsidR="001B4E7D" w:rsidRDefault="001B4E7D" w:rsidP="001B4E7D">
      <w:pPr>
        <w:spacing w:line="480" w:lineRule="auto"/>
        <w:ind w:firstLine="720"/>
        <w:rPr>
          <w:rFonts w:ascii="Times New Roman" w:hAnsi="Times New Roman" w:cs="Times New Roman"/>
          <w:sz w:val="24"/>
          <w:szCs w:val="24"/>
        </w:rPr>
      </w:pPr>
    </w:p>
    <w:p w14:paraId="00702D56" w14:textId="6A87FBA1" w:rsidR="001B4E7D" w:rsidRDefault="001B4E7D" w:rsidP="001B4E7D">
      <w:pPr>
        <w:spacing w:line="480" w:lineRule="auto"/>
        <w:ind w:firstLine="720"/>
        <w:rPr>
          <w:rFonts w:ascii="Times New Roman" w:hAnsi="Times New Roman" w:cs="Times New Roman"/>
          <w:sz w:val="24"/>
          <w:szCs w:val="24"/>
        </w:rPr>
      </w:pPr>
    </w:p>
    <w:p w14:paraId="7DCD42F3" w14:textId="468E6C6C" w:rsidR="001B4E7D" w:rsidRDefault="001B4E7D" w:rsidP="001B4E7D">
      <w:pPr>
        <w:spacing w:line="480" w:lineRule="auto"/>
        <w:ind w:firstLine="720"/>
        <w:rPr>
          <w:rFonts w:ascii="Times New Roman" w:hAnsi="Times New Roman" w:cs="Times New Roman"/>
          <w:sz w:val="24"/>
          <w:szCs w:val="24"/>
        </w:rPr>
      </w:pPr>
    </w:p>
    <w:p w14:paraId="60E246B8" w14:textId="63BFF8BA" w:rsidR="001B4E7D" w:rsidRDefault="001B4E7D" w:rsidP="001B4E7D">
      <w:pPr>
        <w:spacing w:line="480" w:lineRule="auto"/>
        <w:ind w:firstLine="720"/>
        <w:rPr>
          <w:rFonts w:ascii="Times New Roman" w:hAnsi="Times New Roman" w:cs="Times New Roman"/>
          <w:sz w:val="24"/>
          <w:szCs w:val="24"/>
        </w:rPr>
      </w:pPr>
    </w:p>
    <w:p w14:paraId="56B5E963" w14:textId="1BC7516F" w:rsidR="001B4E7D" w:rsidRDefault="001B4E7D" w:rsidP="001B4E7D">
      <w:pPr>
        <w:spacing w:line="480" w:lineRule="auto"/>
        <w:ind w:firstLine="720"/>
        <w:rPr>
          <w:rFonts w:ascii="Times New Roman" w:hAnsi="Times New Roman" w:cs="Times New Roman"/>
          <w:sz w:val="24"/>
          <w:szCs w:val="24"/>
        </w:rPr>
      </w:pPr>
    </w:p>
    <w:p w14:paraId="488BDA54" w14:textId="38439B89" w:rsidR="001B4E7D" w:rsidRDefault="001B4E7D" w:rsidP="001B4E7D">
      <w:pPr>
        <w:spacing w:line="480" w:lineRule="auto"/>
        <w:ind w:firstLine="720"/>
        <w:rPr>
          <w:rFonts w:ascii="Times New Roman" w:hAnsi="Times New Roman" w:cs="Times New Roman"/>
          <w:sz w:val="24"/>
          <w:szCs w:val="24"/>
        </w:rPr>
      </w:pPr>
    </w:p>
    <w:p w14:paraId="14B2BA81" w14:textId="27A99146" w:rsidR="001B4E7D" w:rsidRDefault="001B4E7D" w:rsidP="001B4E7D">
      <w:pPr>
        <w:spacing w:line="480" w:lineRule="auto"/>
        <w:ind w:firstLine="720"/>
        <w:rPr>
          <w:rFonts w:ascii="Times New Roman" w:hAnsi="Times New Roman" w:cs="Times New Roman"/>
          <w:sz w:val="24"/>
          <w:szCs w:val="24"/>
        </w:rPr>
      </w:pPr>
    </w:p>
    <w:p w14:paraId="6886FBBD" w14:textId="1D7461F2" w:rsidR="001B4E7D" w:rsidRDefault="001B4E7D" w:rsidP="001B4E7D">
      <w:pPr>
        <w:spacing w:line="480" w:lineRule="auto"/>
        <w:ind w:firstLine="720"/>
        <w:rPr>
          <w:rFonts w:ascii="Times New Roman" w:hAnsi="Times New Roman" w:cs="Times New Roman"/>
          <w:sz w:val="24"/>
          <w:szCs w:val="24"/>
        </w:rPr>
      </w:pPr>
    </w:p>
    <w:p w14:paraId="2DE576F9" w14:textId="77777777" w:rsidR="001B4E7D" w:rsidRDefault="001B4E7D" w:rsidP="001B4E7D">
      <w:pPr>
        <w:spacing w:line="480" w:lineRule="auto"/>
        <w:jc w:val="center"/>
        <w:rPr>
          <w:rFonts w:ascii="Times New Roman" w:hAnsi="Times New Roman" w:cs="Times New Roman"/>
          <w:b/>
          <w:sz w:val="24"/>
          <w:szCs w:val="24"/>
        </w:rPr>
      </w:pPr>
      <w:r w:rsidRPr="004B0AD1">
        <w:rPr>
          <w:rFonts w:ascii="Times New Roman" w:hAnsi="Times New Roman" w:cs="Times New Roman"/>
          <w:b/>
          <w:sz w:val="24"/>
          <w:szCs w:val="24"/>
        </w:rPr>
        <w:lastRenderedPageBreak/>
        <w:t>References</w:t>
      </w:r>
    </w:p>
    <w:p w14:paraId="5711F689" w14:textId="77777777" w:rsidR="001B4E7D" w:rsidRPr="004A7F53" w:rsidRDefault="001B4E7D" w:rsidP="001B4E7D">
      <w:pPr>
        <w:pStyle w:val="Bibliography"/>
        <w:rPr>
          <w:rFonts w:ascii="Times New Roman" w:hAnsi="Times New Roman" w:cs="Times New Roman"/>
          <w:sz w:val="24"/>
        </w:rPr>
      </w:pPr>
      <w:r>
        <w:rPr>
          <w:b/>
        </w:rPr>
        <w:fldChar w:fldCharType="begin"/>
      </w:r>
      <w:r>
        <w:rPr>
          <w:b/>
        </w:rPr>
        <w:instrText xml:space="preserve"> ADDIN ZOTERO_BIBL {"uncited":[],"omitted":[],"custom":[]} CSL_BIBLIOGRAPHY </w:instrText>
      </w:r>
      <w:r>
        <w:rPr>
          <w:b/>
        </w:rPr>
        <w:fldChar w:fldCharType="separate"/>
      </w:r>
      <w:r w:rsidRPr="004A7F53">
        <w:rPr>
          <w:rFonts w:ascii="Times New Roman" w:hAnsi="Times New Roman" w:cs="Times New Roman"/>
          <w:sz w:val="24"/>
        </w:rPr>
        <w:t xml:space="preserve">Chmielewski, W. X., Zink, N., Chmielewski, K. Y., </w:t>
      </w:r>
      <w:proofErr w:type="spellStart"/>
      <w:r w:rsidRPr="004A7F53">
        <w:rPr>
          <w:rFonts w:ascii="Times New Roman" w:hAnsi="Times New Roman" w:cs="Times New Roman"/>
          <w:sz w:val="24"/>
        </w:rPr>
        <w:t>Beste</w:t>
      </w:r>
      <w:proofErr w:type="spellEnd"/>
      <w:r w:rsidRPr="004A7F53">
        <w:rPr>
          <w:rFonts w:ascii="Times New Roman" w:hAnsi="Times New Roman" w:cs="Times New Roman"/>
          <w:sz w:val="24"/>
        </w:rPr>
        <w:t xml:space="preserve">, C., &amp; Stock, A.-K. (2020). How high‐dose alcohol intoxication affects the interplay of automatic and controlled processes. </w:t>
      </w:r>
      <w:r w:rsidRPr="004A7F53">
        <w:rPr>
          <w:rFonts w:ascii="Times New Roman" w:hAnsi="Times New Roman" w:cs="Times New Roman"/>
          <w:i/>
          <w:iCs/>
          <w:sz w:val="24"/>
        </w:rPr>
        <w:t>Addiction Biology</w:t>
      </w:r>
      <w:r w:rsidRPr="004A7F53">
        <w:rPr>
          <w:rFonts w:ascii="Times New Roman" w:hAnsi="Times New Roman" w:cs="Times New Roman"/>
          <w:sz w:val="24"/>
        </w:rPr>
        <w:t xml:space="preserve">, </w:t>
      </w:r>
      <w:r w:rsidRPr="004A7F53">
        <w:rPr>
          <w:rFonts w:ascii="Times New Roman" w:hAnsi="Times New Roman" w:cs="Times New Roman"/>
          <w:i/>
          <w:iCs/>
          <w:sz w:val="24"/>
        </w:rPr>
        <w:t>25</w:t>
      </w:r>
      <w:r w:rsidRPr="004A7F53">
        <w:rPr>
          <w:rFonts w:ascii="Times New Roman" w:hAnsi="Times New Roman" w:cs="Times New Roman"/>
          <w:sz w:val="24"/>
        </w:rPr>
        <w:t>(1), e12700.</w:t>
      </w:r>
    </w:p>
    <w:p w14:paraId="672BDBEE" w14:textId="77777777" w:rsidR="001B4E7D" w:rsidRPr="004A7F53" w:rsidRDefault="001B4E7D" w:rsidP="001B4E7D">
      <w:pPr>
        <w:pStyle w:val="Bibliography"/>
        <w:rPr>
          <w:rFonts w:ascii="Times New Roman" w:hAnsi="Times New Roman" w:cs="Times New Roman"/>
          <w:sz w:val="24"/>
        </w:rPr>
      </w:pPr>
      <w:r w:rsidRPr="004A7F53">
        <w:rPr>
          <w:rFonts w:ascii="Times New Roman" w:hAnsi="Times New Roman" w:cs="Times New Roman"/>
          <w:sz w:val="24"/>
        </w:rPr>
        <w:t>Government of U.K. (2022). Theft Act Offences | The Crown Prosecution Service. Retrieved January 3, 2023, from https://www.cps.gov.uk/legal-guidance/theft-act-offences</w:t>
      </w:r>
    </w:p>
    <w:p w14:paraId="18A12476" w14:textId="77777777" w:rsidR="001B4E7D" w:rsidRPr="004A7F53" w:rsidRDefault="001B4E7D" w:rsidP="001B4E7D">
      <w:pPr>
        <w:pStyle w:val="Bibliography"/>
        <w:rPr>
          <w:rFonts w:ascii="Times New Roman" w:hAnsi="Times New Roman" w:cs="Times New Roman"/>
          <w:sz w:val="24"/>
        </w:rPr>
      </w:pPr>
      <w:r>
        <w:rPr>
          <w:rFonts w:ascii="Times New Roman" w:hAnsi="Times New Roman" w:cs="Times New Roman"/>
          <w:sz w:val="24"/>
        </w:rPr>
        <w:t>Government of U.K. (2022</w:t>
      </w:r>
      <w:r w:rsidRPr="004A7F53">
        <w:rPr>
          <w:rFonts w:ascii="Times New Roman" w:hAnsi="Times New Roman" w:cs="Times New Roman"/>
          <w:sz w:val="24"/>
        </w:rPr>
        <w:t>.). Offenses against the Person, incorporating the Charging Standard | The Crown Prosecution Service. Retrieved January 10, 2023, from https://www.cps.gov.uk/legal-guidance/offences-against-person-incorporating-charging-standard</w:t>
      </w:r>
    </w:p>
    <w:p w14:paraId="79008507" w14:textId="77777777" w:rsidR="001B4E7D" w:rsidRPr="004A7F53" w:rsidRDefault="001B4E7D" w:rsidP="001B4E7D">
      <w:pPr>
        <w:pStyle w:val="Bibliography"/>
        <w:rPr>
          <w:rFonts w:ascii="Times New Roman" w:hAnsi="Times New Roman" w:cs="Times New Roman"/>
          <w:sz w:val="24"/>
        </w:rPr>
      </w:pPr>
      <w:r w:rsidRPr="004A7F53">
        <w:rPr>
          <w:rFonts w:ascii="Times New Roman" w:hAnsi="Times New Roman" w:cs="Times New Roman"/>
          <w:sz w:val="24"/>
        </w:rPr>
        <w:t xml:space="preserve">Hanif, S. (2005). The Use of the Bystander Test for Apparent Bias. </w:t>
      </w:r>
      <w:r w:rsidRPr="004A7F53">
        <w:rPr>
          <w:rFonts w:ascii="Times New Roman" w:hAnsi="Times New Roman" w:cs="Times New Roman"/>
          <w:i/>
          <w:iCs/>
          <w:sz w:val="24"/>
        </w:rPr>
        <w:t>Judicial Review</w:t>
      </w:r>
      <w:r w:rsidRPr="004A7F53">
        <w:rPr>
          <w:rFonts w:ascii="Times New Roman" w:hAnsi="Times New Roman" w:cs="Times New Roman"/>
          <w:sz w:val="24"/>
        </w:rPr>
        <w:t xml:space="preserve">, </w:t>
      </w:r>
      <w:r w:rsidRPr="004A7F53">
        <w:rPr>
          <w:rFonts w:ascii="Times New Roman" w:hAnsi="Times New Roman" w:cs="Times New Roman"/>
          <w:i/>
          <w:iCs/>
          <w:sz w:val="24"/>
        </w:rPr>
        <w:t>10</w:t>
      </w:r>
      <w:r w:rsidRPr="004A7F53">
        <w:rPr>
          <w:rFonts w:ascii="Times New Roman" w:hAnsi="Times New Roman" w:cs="Times New Roman"/>
          <w:sz w:val="24"/>
        </w:rPr>
        <w:t>(1), 78–83.</w:t>
      </w:r>
    </w:p>
    <w:p w14:paraId="23FC464B" w14:textId="77777777" w:rsidR="001B4E7D" w:rsidRPr="004A7F53" w:rsidRDefault="001B4E7D" w:rsidP="001B4E7D">
      <w:pPr>
        <w:pStyle w:val="Bibliography"/>
        <w:rPr>
          <w:rFonts w:ascii="Times New Roman" w:hAnsi="Times New Roman" w:cs="Times New Roman"/>
          <w:sz w:val="24"/>
        </w:rPr>
      </w:pPr>
      <w:r w:rsidRPr="004A7F53">
        <w:rPr>
          <w:rFonts w:ascii="Times New Roman" w:hAnsi="Times New Roman" w:cs="Times New Roman"/>
          <w:sz w:val="24"/>
        </w:rPr>
        <w:t>Legislation of UK, E. (2004). Theft Act 1968 [Text]. Retrieved January 3, 2023, from https://www.legislation.gov.uk/ukpga/1968/60/section/9</w:t>
      </w:r>
    </w:p>
    <w:p w14:paraId="202182B1" w14:textId="77777777" w:rsidR="001B4E7D" w:rsidRPr="004A7F53" w:rsidRDefault="001B4E7D" w:rsidP="001B4E7D">
      <w:pPr>
        <w:pStyle w:val="Bibliography"/>
        <w:rPr>
          <w:rFonts w:ascii="Times New Roman" w:hAnsi="Times New Roman" w:cs="Times New Roman"/>
          <w:sz w:val="24"/>
        </w:rPr>
      </w:pPr>
      <w:r w:rsidRPr="004A7F53">
        <w:rPr>
          <w:rFonts w:ascii="Times New Roman" w:hAnsi="Times New Roman" w:cs="Times New Roman"/>
          <w:sz w:val="24"/>
        </w:rPr>
        <w:t xml:space="preserve">Loughnan, A., &amp; Wake, N. (2016). Of blurred boundaries and prior fault: Insanity, automatism, and intoxication. In </w:t>
      </w:r>
      <w:r w:rsidRPr="004A7F53">
        <w:rPr>
          <w:rFonts w:ascii="Times New Roman" w:hAnsi="Times New Roman" w:cs="Times New Roman"/>
          <w:i/>
          <w:iCs/>
          <w:sz w:val="24"/>
        </w:rPr>
        <w:t xml:space="preserve">General </w:t>
      </w:r>
      <w:proofErr w:type="spellStart"/>
      <w:r w:rsidRPr="004A7F53">
        <w:rPr>
          <w:rFonts w:ascii="Times New Roman" w:hAnsi="Times New Roman" w:cs="Times New Roman"/>
          <w:i/>
          <w:iCs/>
          <w:sz w:val="24"/>
        </w:rPr>
        <w:t>defenses</w:t>
      </w:r>
      <w:proofErr w:type="spellEnd"/>
      <w:r w:rsidRPr="004A7F53">
        <w:rPr>
          <w:rFonts w:ascii="Times New Roman" w:hAnsi="Times New Roman" w:cs="Times New Roman"/>
          <w:i/>
          <w:iCs/>
          <w:sz w:val="24"/>
        </w:rPr>
        <w:t xml:space="preserve"> in criminal law</w:t>
      </w:r>
      <w:r w:rsidRPr="004A7F53">
        <w:rPr>
          <w:rFonts w:ascii="Times New Roman" w:hAnsi="Times New Roman" w:cs="Times New Roman"/>
          <w:sz w:val="24"/>
        </w:rPr>
        <w:t xml:space="preserve"> (pp. 113–132). Routledge.</w:t>
      </w:r>
    </w:p>
    <w:p w14:paraId="409F72CE" w14:textId="77777777" w:rsidR="001B4E7D" w:rsidRPr="004A7F53" w:rsidRDefault="001B4E7D" w:rsidP="001B4E7D">
      <w:pPr>
        <w:pStyle w:val="Bibliography"/>
        <w:rPr>
          <w:rFonts w:ascii="Times New Roman" w:hAnsi="Times New Roman" w:cs="Times New Roman"/>
          <w:sz w:val="24"/>
        </w:rPr>
      </w:pPr>
      <w:r w:rsidRPr="004A7F53">
        <w:rPr>
          <w:rFonts w:ascii="Times New Roman" w:hAnsi="Times New Roman" w:cs="Times New Roman"/>
          <w:sz w:val="24"/>
        </w:rPr>
        <w:t>Ministry of Justice. (2022). Assault Offences—Ministry of Justice—Citizen Space. Retrieved January 3, 2023, from https://consult.justice.gov.uk/sentencing-council/revised-assault-offences-guideline/</w:t>
      </w:r>
    </w:p>
    <w:p w14:paraId="40040CA5" w14:textId="77777777" w:rsidR="001B4E7D" w:rsidRPr="004A7F53" w:rsidRDefault="001B4E7D" w:rsidP="001B4E7D">
      <w:pPr>
        <w:pStyle w:val="Bibliography"/>
        <w:rPr>
          <w:rFonts w:ascii="Times New Roman" w:hAnsi="Times New Roman" w:cs="Times New Roman"/>
          <w:sz w:val="24"/>
        </w:rPr>
      </w:pPr>
      <w:r w:rsidRPr="004A7F53">
        <w:rPr>
          <w:rFonts w:ascii="Times New Roman" w:hAnsi="Times New Roman" w:cs="Times New Roman"/>
          <w:sz w:val="24"/>
        </w:rPr>
        <w:t>Robinson, P. H. (2017). Should the Criminal Law Abandon the Actus Reus-</w:t>
      </w:r>
      <w:proofErr w:type="spellStart"/>
      <w:r w:rsidRPr="004A7F53">
        <w:rPr>
          <w:rFonts w:ascii="Times New Roman" w:hAnsi="Times New Roman" w:cs="Times New Roman"/>
          <w:sz w:val="24"/>
        </w:rPr>
        <w:t>Mens</w:t>
      </w:r>
      <w:proofErr w:type="spellEnd"/>
      <w:r w:rsidRPr="004A7F53">
        <w:rPr>
          <w:rFonts w:ascii="Times New Roman" w:hAnsi="Times New Roman" w:cs="Times New Roman"/>
          <w:sz w:val="24"/>
        </w:rPr>
        <w:t xml:space="preserve"> Rea Distinction? In </w:t>
      </w:r>
      <w:r w:rsidRPr="004A7F53">
        <w:rPr>
          <w:rFonts w:ascii="Times New Roman" w:hAnsi="Times New Roman" w:cs="Times New Roman"/>
          <w:i/>
          <w:iCs/>
          <w:sz w:val="24"/>
        </w:rPr>
        <w:t>The Structure and Limits of Criminal Law</w:t>
      </w:r>
      <w:r w:rsidRPr="004A7F53">
        <w:rPr>
          <w:rFonts w:ascii="Times New Roman" w:hAnsi="Times New Roman" w:cs="Times New Roman"/>
          <w:sz w:val="24"/>
        </w:rPr>
        <w:t xml:space="preserve"> (pp. 3–28). Routledge.</w:t>
      </w:r>
    </w:p>
    <w:p w14:paraId="14DE440E" w14:textId="7665FE8A" w:rsidR="001B4E7D" w:rsidRPr="00E664A1" w:rsidRDefault="001B4E7D" w:rsidP="001B4E7D">
      <w:pPr>
        <w:spacing w:line="480" w:lineRule="auto"/>
        <w:ind w:firstLine="720"/>
        <w:rPr>
          <w:rFonts w:ascii="Times New Roman" w:hAnsi="Times New Roman" w:cs="Times New Roman"/>
          <w:sz w:val="24"/>
          <w:szCs w:val="24"/>
        </w:rPr>
      </w:pPr>
      <w:r>
        <w:rPr>
          <w:rFonts w:ascii="Times New Roman" w:hAnsi="Times New Roman" w:cs="Times New Roman"/>
          <w:b/>
          <w:sz w:val="24"/>
          <w:szCs w:val="24"/>
        </w:rPr>
        <w:fldChar w:fldCharType="end"/>
      </w:r>
    </w:p>
    <w:p w14:paraId="238EE003" w14:textId="77777777" w:rsidR="004D7A03" w:rsidRDefault="004D7A03"/>
    <w:sectPr w:rsidR="004D7A03" w:rsidSect="00C142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13"/>
    <w:rsid w:val="00170213"/>
    <w:rsid w:val="001B4E7D"/>
    <w:rsid w:val="004D7A03"/>
    <w:rsid w:val="00C14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A2064"/>
  <w15:chartTrackingRefBased/>
  <w15:docId w15:val="{2EA116C2-26BE-4F6B-8552-6A10A0851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E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42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142D3"/>
    <w:rPr>
      <w:rFonts w:eastAsiaTheme="minorEastAsia"/>
      <w:lang w:val="en-US"/>
    </w:rPr>
  </w:style>
  <w:style w:type="character" w:customStyle="1" w:styleId="Heading1Char">
    <w:name w:val="Heading 1 Char"/>
    <w:basedOn w:val="DefaultParagraphFont"/>
    <w:link w:val="Heading1"/>
    <w:uiPriority w:val="9"/>
    <w:rsid w:val="001B4E7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semiHidden/>
    <w:unhideWhenUsed/>
    <w:rsid w:val="001B4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2023-01-13T00:00:00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2750</Words>
  <Characters>15680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Scenario question</dc:title>
  <dc:subject>Criminal Law/BMLW4005</dc:subject>
  <dc:creator>Irina Popescu Serban(1908279)</dc:creator>
  <cp:keywords/>
  <dc:description/>
  <cp:lastModifiedBy>Robert Popescu (1914454)</cp:lastModifiedBy>
  <cp:revision>2</cp:revision>
  <dcterms:created xsi:type="dcterms:W3CDTF">2023-01-11T20:56:00Z</dcterms:created>
  <dcterms:modified xsi:type="dcterms:W3CDTF">2023-01-11T21:21:00Z</dcterms:modified>
</cp:coreProperties>
</file>