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A880DE" w14:textId="0766D067" w:rsidR="00EB0B4F" w:rsidRDefault="003601A3">
      <w:r w:rsidRPr="003601A3">
        <w:drawing>
          <wp:anchor distT="0" distB="0" distL="114300" distR="114300" simplePos="0" relativeHeight="251658240" behindDoc="1" locked="0" layoutInCell="1" allowOverlap="1" wp14:anchorId="0E55B478" wp14:editId="23012C30">
            <wp:simplePos x="0" y="0"/>
            <wp:positionH relativeFrom="column">
              <wp:posOffset>1630680</wp:posOffset>
            </wp:positionH>
            <wp:positionV relativeFrom="paragraph">
              <wp:posOffset>-582295</wp:posOffset>
            </wp:positionV>
            <wp:extent cx="2232660" cy="864256"/>
            <wp:effectExtent l="0" t="0" r="0" b="0"/>
            <wp:wrapNone/>
            <wp:docPr id="1686598550"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598550" name="Picture 1"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232660" cy="864256"/>
                    </a:xfrm>
                    <a:prstGeom prst="rect">
                      <a:avLst/>
                    </a:prstGeom>
                  </pic:spPr>
                </pic:pic>
              </a:graphicData>
            </a:graphic>
          </wp:anchor>
        </w:drawing>
      </w:r>
    </w:p>
    <w:p w14:paraId="468A50BD" w14:textId="77777777" w:rsidR="003601A3" w:rsidRPr="003601A3" w:rsidRDefault="003601A3" w:rsidP="003601A3"/>
    <w:p w14:paraId="48060C7D" w14:textId="77777777" w:rsidR="003601A3" w:rsidRPr="003601A3" w:rsidRDefault="003601A3" w:rsidP="003601A3"/>
    <w:p w14:paraId="1B632BC8" w14:textId="77777777" w:rsidR="003601A3" w:rsidRPr="003601A3" w:rsidRDefault="003601A3" w:rsidP="003601A3">
      <w:pPr>
        <w:jc w:val="center"/>
        <w:rPr>
          <w:rFonts w:ascii="Times New Roman" w:hAnsi="Times New Roman" w:cs="Times New Roman"/>
          <w:b/>
          <w:bCs/>
          <w:sz w:val="36"/>
          <w:szCs w:val="36"/>
        </w:rPr>
      </w:pPr>
    </w:p>
    <w:p w14:paraId="6F94FC01" w14:textId="77777777" w:rsidR="003601A3" w:rsidRDefault="003601A3" w:rsidP="003601A3">
      <w:pPr>
        <w:ind w:firstLine="720"/>
        <w:jc w:val="center"/>
        <w:rPr>
          <w:rFonts w:ascii="Times New Roman" w:hAnsi="Times New Roman" w:cs="Times New Roman"/>
          <w:b/>
          <w:bCs/>
          <w:sz w:val="36"/>
          <w:szCs w:val="36"/>
        </w:rPr>
      </w:pPr>
    </w:p>
    <w:p w14:paraId="7F936201" w14:textId="77777777" w:rsidR="003601A3" w:rsidRDefault="003601A3" w:rsidP="003601A3">
      <w:pPr>
        <w:ind w:firstLine="720"/>
        <w:jc w:val="center"/>
        <w:rPr>
          <w:rFonts w:ascii="Times New Roman" w:hAnsi="Times New Roman" w:cs="Times New Roman"/>
          <w:b/>
          <w:bCs/>
          <w:sz w:val="36"/>
          <w:szCs w:val="36"/>
        </w:rPr>
      </w:pPr>
    </w:p>
    <w:p w14:paraId="7A1DF250" w14:textId="77777777" w:rsidR="003601A3" w:rsidRDefault="003601A3" w:rsidP="003601A3">
      <w:pPr>
        <w:ind w:firstLine="720"/>
        <w:jc w:val="center"/>
        <w:rPr>
          <w:rFonts w:ascii="Times New Roman" w:hAnsi="Times New Roman" w:cs="Times New Roman"/>
          <w:b/>
          <w:bCs/>
          <w:sz w:val="36"/>
          <w:szCs w:val="36"/>
        </w:rPr>
      </w:pPr>
    </w:p>
    <w:p w14:paraId="34F7013D" w14:textId="77777777" w:rsidR="003601A3" w:rsidRDefault="003601A3" w:rsidP="003601A3">
      <w:pPr>
        <w:ind w:firstLine="720"/>
        <w:jc w:val="center"/>
        <w:rPr>
          <w:rFonts w:ascii="Times New Roman" w:hAnsi="Times New Roman" w:cs="Times New Roman"/>
          <w:b/>
          <w:bCs/>
          <w:sz w:val="36"/>
          <w:szCs w:val="36"/>
        </w:rPr>
      </w:pPr>
    </w:p>
    <w:p w14:paraId="674276F8" w14:textId="77777777" w:rsidR="003601A3" w:rsidRDefault="003601A3" w:rsidP="003601A3">
      <w:pPr>
        <w:ind w:firstLine="720"/>
        <w:jc w:val="center"/>
        <w:rPr>
          <w:rFonts w:ascii="Times New Roman" w:hAnsi="Times New Roman" w:cs="Times New Roman"/>
          <w:b/>
          <w:bCs/>
          <w:sz w:val="36"/>
          <w:szCs w:val="36"/>
        </w:rPr>
      </w:pPr>
    </w:p>
    <w:p w14:paraId="3F253F88" w14:textId="02F7609F" w:rsidR="003601A3" w:rsidRPr="003601A3" w:rsidRDefault="003601A3" w:rsidP="003601A3">
      <w:pPr>
        <w:ind w:firstLine="720"/>
        <w:jc w:val="center"/>
        <w:rPr>
          <w:rFonts w:ascii="Times New Roman" w:hAnsi="Times New Roman" w:cs="Times New Roman"/>
          <w:b/>
          <w:bCs/>
          <w:sz w:val="36"/>
          <w:szCs w:val="36"/>
        </w:rPr>
      </w:pPr>
      <w:r w:rsidRPr="003601A3">
        <w:rPr>
          <w:rFonts w:ascii="Times New Roman" w:hAnsi="Times New Roman" w:cs="Times New Roman"/>
          <w:b/>
          <w:bCs/>
          <w:sz w:val="36"/>
          <w:szCs w:val="36"/>
        </w:rPr>
        <w:t>Programme: BA Business Management (BABM)</w:t>
      </w:r>
    </w:p>
    <w:p w14:paraId="13031C00" w14:textId="705C669E" w:rsidR="003601A3" w:rsidRPr="003601A3" w:rsidRDefault="003601A3" w:rsidP="003601A3">
      <w:pPr>
        <w:ind w:firstLine="720"/>
        <w:jc w:val="center"/>
        <w:rPr>
          <w:rFonts w:ascii="Times New Roman" w:hAnsi="Times New Roman" w:cs="Times New Roman"/>
          <w:b/>
          <w:bCs/>
          <w:sz w:val="36"/>
          <w:szCs w:val="36"/>
        </w:rPr>
      </w:pPr>
      <w:r w:rsidRPr="003601A3">
        <w:rPr>
          <w:rFonts w:ascii="Times New Roman" w:hAnsi="Times New Roman" w:cs="Times New Roman"/>
          <w:b/>
          <w:bCs/>
          <w:sz w:val="36"/>
          <w:szCs w:val="36"/>
        </w:rPr>
        <w:t>Module: Accounting Fundamentals</w:t>
      </w:r>
    </w:p>
    <w:p w14:paraId="1C87FF96" w14:textId="7955EC6F" w:rsidR="003601A3" w:rsidRDefault="003601A3" w:rsidP="003601A3">
      <w:pPr>
        <w:ind w:firstLine="720"/>
        <w:jc w:val="center"/>
        <w:rPr>
          <w:rFonts w:ascii="Times New Roman" w:hAnsi="Times New Roman" w:cs="Times New Roman"/>
          <w:b/>
          <w:bCs/>
          <w:sz w:val="36"/>
          <w:szCs w:val="36"/>
        </w:rPr>
      </w:pPr>
      <w:r w:rsidRPr="003601A3">
        <w:rPr>
          <w:rFonts w:ascii="Times New Roman" w:hAnsi="Times New Roman" w:cs="Times New Roman"/>
          <w:b/>
          <w:bCs/>
          <w:sz w:val="36"/>
          <w:szCs w:val="36"/>
        </w:rPr>
        <w:t>Module code: LCBB4001</w:t>
      </w:r>
    </w:p>
    <w:p w14:paraId="1C7598D0" w14:textId="77777777" w:rsidR="003601A3" w:rsidRPr="003601A3" w:rsidRDefault="003601A3" w:rsidP="003601A3">
      <w:pPr>
        <w:rPr>
          <w:rFonts w:ascii="Times New Roman" w:hAnsi="Times New Roman" w:cs="Times New Roman"/>
          <w:sz w:val="36"/>
          <w:szCs w:val="36"/>
        </w:rPr>
      </w:pPr>
    </w:p>
    <w:p w14:paraId="119B8A2A" w14:textId="77777777" w:rsidR="003601A3" w:rsidRPr="003601A3" w:rsidRDefault="003601A3" w:rsidP="003601A3">
      <w:pPr>
        <w:rPr>
          <w:rFonts w:ascii="Times New Roman" w:hAnsi="Times New Roman" w:cs="Times New Roman"/>
          <w:sz w:val="36"/>
          <w:szCs w:val="36"/>
        </w:rPr>
      </w:pPr>
    </w:p>
    <w:p w14:paraId="64623453" w14:textId="77777777" w:rsidR="003601A3" w:rsidRPr="003601A3" w:rsidRDefault="003601A3" w:rsidP="003601A3">
      <w:pPr>
        <w:rPr>
          <w:rFonts w:ascii="Times New Roman" w:hAnsi="Times New Roman" w:cs="Times New Roman"/>
          <w:sz w:val="36"/>
          <w:szCs w:val="36"/>
        </w:rPr>
      </w:pPr>
    </w:p>
    <w:p w14:paraId="5401A090" w14:textId="77777777" w:rsidR="003601A3" w:rsidRPr="003601A3" w:rsidRDefault="003601A3" w:rsidP="003601A3">
      <w:pPr>
        <w:rPr>
          <w:rFonts w:ascii="Times New Roman" w:hAnsi="Times New Roman" w:cs="Times New Roman"/>
          <w:sz w:val="36"/>
          <w:szCs w:val="36"/>
        </w:rPr>
      </w:pPr>
    </w:p>
    <w:p w14:paraId="1BBC7AEE" w14:textId="77777777" w:rsidR="003601A3" w:rsidRPr="003601A3" w:rsidRDefault="003601A3" w:rsidP="003601A3">
      <w:pPr>
        <w:rPr>
          <w:rFonts w:ascii="Times New Roman" w:hAnsi="Times New Roman" w:cs="Times New Roman"/>
          <w:sz w:val="36"/>
          <w:szCs w:val="36"/>
        </w:rPr>
      </w:pPr>
    </w:p>
    <w:p w14:paraId="1C146212" w14:textId="77777777" w:rsidR="003601A3" w:rsidRPr="003601A3" w:rsidRDefault="003601A3" w:rsidP="003601A3">
      <w:pPr>
        <w:rPr>
          <w:rFonts w:ascii="Times New Roman" w:hAnsi="Times New Roman" w:cs="Times New Roman"/>
          <w:sz w:val="36"/>
          <w:szCs w:val="36"/>
        </w:rPr>
      </w:pPr>
    </w:p>
    <w:p w14:paraId="6FF9218D" w14:textId="77777777" w:rsidR="003601A3" w:rsidRPr="003601A3" w:rsidRDefault="003601A3" w:rsidP="003601A3">
      <w:pPr>
        <w:rPr>
          <w:rFonts w:ascii="Times New Roman" w:hAnsi="Times New Roman" w:cs="Times New Roman"/>
          <w:sz w:val="36"/>
          <w:szCs w:val="36"/>
        </w:rPr>
      </w:pPr>
    </w:p>
    <w:p w14:paraId="7E9A8AC1" w14:textId="77777777" w:rsidR="003601A3" w:rsidRPr="003601A3" w:rsidRDefault="003601A3" w:rsidP="003601A3">
      <w:pPr>
        <w:rPr>
          <w:rFonts w:ascii="Times New Roman" w:hAnsi="Times New Roman" w:cs="Times New Roman"/>
          <w:sz w:val="36"/>
          <w:szCs w:val="36"/>
        </w:rPr>
      </w:pPr>
    </w:p>
    <w:p w14:paraId="27B3A9D4" w14:textId="77777777" w:rsidR="003601A3" w:rsidRDefault="003601A3" w:rsidP="003601A3">
      <w:pPr>
        <w:rPr>
          <w:rFonts w:ascii="Times New Roman" w:hAnsi="Times New Roman" w:cs="Times New Roman"/>
          <w:b/>
          <w:bCs/>
          <w:sz w:val="36"/>
          <w:szCs w:val="36"/>
        </w:rPr>
      </w:pPr>
    </w:p>
    <w:p w14:paraId="4BB5C3A8" w14:textId="77777777" w:rsidR="003601A3" w:rsidRPr="00F65C03" w:rsidRDefault="003601A3" w:rsidP="003601A3">
      <w:pPr>
        <w:rPr>
          <w:rFonts w:ascii="Times New Roman" w:hAnsi="Times New Roman" w:cs="Times New Roman"/>
          <w:b/>
          <w:bCs/>
          <w:sz w:val="28"/>
          <w:szCs w:val="28"/>
        </w:rPr>
      </w:pPr>
      <w:r w:rsidRPr="00F65C03">
        <w:rPr>
          <w:rFonts w:ascii="Times New Roman" w:hAnsi="Times New Roman" w:cs="Times New Roman"/>
          <w:b/>
          <w:bCs/>
          <w:sz w:val="28"/>
          <w:szCs w:val="28"/>
        </w:rPr>
        <w:t xml:space="preserve">Student Name : Florin Ciprian Mihai </w:t>
      </w:r>
    </w:p>
    <w:p w14:paraId="171FDA20" w14:textId="77777777" w:rsidR="003601A3" w:rsidRPr="00F65C03" w:rsidRDefault="003601A3" w:rsidP="003601A3">
      <w:pPr>
        <w:rPr>
          <w:rFonts w:ascii="Times New Roman" w:hAnsi="Times New Roman" w:cs="Times New Roman"/>
          <w:b/>
          <w:bCs/>
          <w:sz w:val="28"/>
          <w:szCs w:val="28"/>
        </w:rPr>
      </w:pPr>
      <w:r w:rsidRPr="00F65C03">
        <w:rPr>
          <w:rFonts w:ascii="Times New Roman" w:hAnsi="Times New Roman" w:cs="Times New Roman"/>
          <w:b/>
          <w:bCs/>
          <w:sz w:val="28"/>
          <w:szCs w:val="28"/>
        </w:rPr>
        <w:t xml:space="preserve">Student Id : </w:t>
      </w:r>
      <w:hyperlink r:id="rId9" w:history="1">
        <w:r w:rsidRPr="00F65C03">
          <w:rPr>
            <w:rStyle w:val="Hyperlink"/>
            <w:rFonts w:ascii="Times New Roman" w:hAnsi="Times New Roman" w:cs="Times New Roman"/>
            <w:b/>
            <w:bCs/>
            <w:color w:val="auto"/>
            <w:sz w:val="28"/>
            <w:szCs w:val="28"/>
            <w:shd w:val="clear" w:color="auto" w:fill="FFFFFF"/>
          </w:rPr>
          <w:t>2247307</w:t>
        </w:r>
      </w:hyperlink>
    </w:p>
    <w:p w14:paraId="7BE61131" w14:textId="77777777" w:rsidR="003601A3" w:rsidRDefault="003601A3" w:rsidP="003601A3">
      <w:pPr>
        <w:rPr>
          <w:rFonts w:ascii="Times New Roman" w:hAnsi="Times New Roman" w:cs="Times New Roman"/>
          <w:sz w:val="24"/>
          <w:szCs w:val="24"/>
        </w:rPr>
      </w:pPr>
    </w:p>
    <w:sdt>
      <w:sdtPr>
        <w:id w:val="-1692981088"/>
        <w:docPartObj>
          <w:docPartGallery w:val="Table of Contents"/>
          <w:docPartUnique/>
        </w:docPartObj>
      </w:sdtPr>
      <w:sdtEndPr>
        <w:rPr>
          <w:rFonts w:asciiTheme="minorHAnsi" w:eastAsiaTheme="minorHAnsi" w:hAnsiTheme="minorHAnsi" w:cstheme="minorBidi"/>
          <w:b/>
          <w:bCs/>
          <w:color w:val="auto"/>
          <w:kern w:val="2"/>
          <w:sz w:val="22"/>
          <w:szCs w:val="22"/>
          <w:lang w:eastAsia="en-US"/>
        </w:rPr>
      </w:sdtEndPr>
      <w:sdtContent>
        <w:p w14:paraId="52C6A228" w14:textId="42C072FD" w:rsidR="00C91C1F" w:rsidRDefault="00C91C1F">
          <w:pPr>
            <w:pStyle w:val="TOCHeading"/>
          </w:pPr>
          <w:r>
            <w:t>Contents</w:t>
          </w:r>
        </w:p>
        <w:p w14:paraId="1EAFB7A8" w14:textId="6529E14D" w:rsidR="00C91C1F" w:rsidRDefault="00C91C1F">
          <w:pPr>
            <w:pStyle w:val="TOC2"/>
            <w:tabs>
              <w:tab w:val="right" w:leader="dot" w:pos="9016"/>
            </w:tabs>
            <w:rPr>
              <w:noProof/>
            </w:rPr>
          </w:pPr>
          <w:r>
            <w:fldChar w:fldCharType="begin"/>
          </w:r>
          <w:r>
            <w:instrText xml:space="preserve"> TOC \o "1-3" \h \z \u </w:instrText>
          </w:r>
          <w:r>
            <w:fldChar w:fldCharType="separate"/>
          </w:r>
          <w:hyperlink w:anchor="_Toc165036711" w:history="1">
            <w:r w:rsidRPr="00EA706A">
              <w:rPr>
                <w:rStyle w:val="Hyperlink"/>
                <w:b/>
                <w:bCs/>
                <w:noProof/>
              </w:rPr>
              <w:t>Question 1</w:t>
            </w:r>
            <w:r>
              <w:rPr>
                <w:noProof/>
                <w:webHidden/>
              </w:rPr>
              <w:tab/>
            </w:r>
            <w:r>
              <w:rPr>
                <w:noProof/>
                <w:webHidden/>
              </w:rPr>
              <w:fldChar w:fldCharType="begin"/>
            </w:r>
            <w:r>
              <w:rPr>
                <w:noProof/>
                <w:webHidden/>
              </w:rPr>
              <w:instrText xml:space="preserve"> PAGEREF _Toc165036711 \h </w:instrText>
            </w:r>
            <w:r>
              <w:rPr>
                <w:noProof/>
                <w:webHidden/>
              </w:rPr>
            </w:r>
            <w:r>
              <w:rPr>
                <w:noProof/>
                <w:webHidden/>
              </w:rPr>
              <w:fldChar w:fldCharType="separate"/>
            </w:r>
            <w:r>
              <w:rPr>
                <w:noProof/>
                <w:webHidden/>
              </w:rPr>
              <w:t>3</w:t>
            </w:r>
            <w:r>
              <w:rPr>
                <w:noProof/>
                <w:webHidden/>
              </w:rPr>
              <w:fldChar w:fldCharType="end"/>
            </w:r>
          </w:hyperlink>
        </w:p>
        <w:p w14:paraId="56255B0E" w14:textId="3A831109" w:rsidR="00C91C1F" w:rsidRDefault="00C91C1F">
          <w:pPr>
            <w:pStyle w:val="TOC2"/>
            <w:tabs>
              <w:tab w:val="right" w:leader="dot" w:pos="9016"/>
            </w:tabs>
            <w:rPr>
              <w:noProof/>
            </w:rPr>
          </w:pPr>
          <w:hyperlink w:anchor="_Toc165036712" w:history="1">
            <w:r w:rsidRPr="00EA706A">
              <w:rPr>
                <w:rStyle w:val="Hyperlink"/>
                <w:b/>
                <w:bCs/>
                <w:noProof/>
              </w:rPr>
              <w:t>Question 2</w:t>
            </w:r>
            <w:r>
              <w:rPr>
                <w:noProof/>
                <w:webHidden/>
              </w:rPr>
              <w:tab/>
            </w:r>
            <w:r>
              <w:rPr>
                <w:noProof/>
                <w:webHidden/>
              </w:rPr>
              <w:fldChar w:fldCharType="begin"/>
            </w:r>
            <w:r>
              <w:rPr>
                <w:noProof/>
                <w:webHidden/>
              </w:rPr>
              <w:instrText xml:space="preserve"> PAGEREF _Toc165036712 \h </w:instrText>
            </w:r>
            <w:r>
              <w:rPr>
                <w:noProof/>
                <w:webHidden/>
              </w:rPr>
            </w:r>
            <w:r>
              <w:rPr>
                <w:noProof/>
                <w:webHidden/>
              </w:rPr>
              <w:fldChar w:fldCharType="separate"/>
            </w:r>
            <w:r>
              <w:rPr>
                <w:noProof/>
                <w:webHidden/>
              </w:rPr>
              <w:t>5</w:t>
            </w:r>
            <w:r>
              <w:rPr>
                <w:noProof/>
                <w:webHidden/>
              </w:rPr>
              <w:fldChar w:fldCharType="end"/>
            </w:r>
          </w:hyperlink>
        </w:p>
        <w:p w14:paraId="72231CAC" w14:textId="2942BE07" w:rsidR="00C91C1F" w:rsidRDefault="00C91C1F">
          <w:pPr>
            <w:pStyle w:val="TOC2"/>
            <w:tabs>
              <w:tab w:val="right" w:leader="dot" w:pos="9016"/>
            </w:tabs>
            <w:rPr>
              <w:noProof/>
            </w:rPr>
          </w:pPr>
          <w:hyperlink w:anchor="_Toc165036713" w:history="1">
            <w:r w:rsidRPr="00EA706A">
              <w:rPr>
                <w:rStyle w:val="Hyperlink"/>
                <w:b/>
                <w:bCs/>
                <w:noProof/>
              </w:rPr>
              <w:t>Question 3</w:t>
            </w:r>
            <w:r>
              <w:rPr>
                <w:noProof/>
                <w:webHidden/>
              </w:rPr>
              <w:tab/>
            </w:r>
            <w:r>
              <w:rPr>
                <w:noProof/>
                <w:webHidden/>
              </w:rPr>
              <w:fldChar w:fldCharType="begin"/>
            </w:r>
            <w:r>
              <w:rPr>
                <w:noProof/>
                <w:webHidden/>
              </w:rPr>
              <w:instrText xml:space="preserve"> PAGEREF _Toc165036713 \h </w:instrText>
            </w:r>
            <w:r>
              <w:rPr>
                <w:noProof/>
                <w:webHidden/>
              </w:rPr>
            </w:r>
            <w:r>
              <w:rPr>
                <w:noProof/>
                <w:webHidden/>
              </w:rPr>
              <w:fldChar w:fldCharType="separate"/>
            </w:r>
            <w:r>
              <w:rPr>
                <w:noProof/>
                <w:webHidden/>
              </w:rPr>
              <w:t>6</w:t>
            </w:r>
            <w:r>
              <w:rPr>
                <w:noProof/>
                <w:webHidden/>
              </w:rPr>
              <w:fldChar w:fldCharType="end"/>
            </w:r>
          </w:hyperlink>
        </w:p>
        <w:p w14:paraId="480FE49A" w14:textId="52F7769E" w:rsidR="00C91C1F" w:rsidRDefault="00C91C1F">
          <w:pPr>
            <w:pStyle w:val="TOC2"/>
            <w:tabs>
              <w:tab w:val="right" w:leader="dot" w:pos="9016"/>
            </w:tabs>
            <w:rPr>
              <w:noProof/>
            </w:rPr>
          </w:pPr>
          <w:hyperlink w:anchor="_Toc165036714" w:history="1">
            <w:r w:rsidRPr="00EA706A">
              <w:rPr>
                <w:rStyle w:val="Hyperlink"/>
                <w:b/>
                <w:bCs/>
                <w:noProof/>
              </w:rPr>
              <w:t>References</w:t>
            </w:r>
            <w:r>
              <w:rPr>
                <w:noProof/>
                <w:webHidden/>
              </w:rPr>
              <w:tab/>
            </w:r>
            <w:r>
              <w:rPr>
                <w:noProof/>
                <w:webHidden/>
              </w:rPr>
              <w:fldChar w:fldCharType="begin"/>
            </w:r>
            <w:r>
              <w:rPr>
                <w:noProof/>
                <w:webHidden/>
              </w:rPr>
              <w:instrText xml:space="preserve"> PAGEREF _Toc165036714 \h </w:instrText>
            </w:r>
            <w:r>
              <w:rPr>
                <w:noProof/>
                <w:webHidden/>
              </w:rPr>
            </w:r>
            <w:r>
              <w:rPr>
                <w:noProof/>
                <w:webHidden/>
              </w:rPr>
              <w:fldChar w:fldCharType="separate"/>
            </w:r>
            <w:r>
              <w:rPr>
                <w:noProof/>
                <w:webHidden/>
              </w:rPr>
              <w:t>10</w:t>
            </w:r>
            <w:r>
              <w:rPr>
                <w:noProof/>
                <w:webHidden/>
              </w:rPr>
              <w:fldChar w:fldCharType="end"/>
            </w:r>
          </w:hyperlink>
        </w:p>
        <w:p w14:paraId="2947C46E" w14:textId="7A8E5E31" w:rsidR="00C91C1F" w:rsidRDefault="00C91C1F">
          <w:r>
            <w:rPr>
              <w:b/>
              <w:bCs/>
            </w:rPr>
            <w:fldChar w:fldCharType="end"/>
          </w:r>
        </w:p>
      </w:sdtContent>
    </w:sdt>
    <w:p w14:paraId="6A5E68E9" w14:textId="77777777" w:rsidR="003601A3" w:rsidRDefault="003601A3" w:rsidP="003601A3">
      <w:pPr>
        <w:rPr>
          <w:rFonts w:ascii="Times New Roman" w:hAnsi="Times New Roman" w:cs="Times New Roman"/>
          <w:sz w:val="24"/>
          <w:szCs w:val="24"/>
        </w:rPr>
      </w:pPr>
    </w:p>
    <w:p w14:paraId="64EE9AE2" w14:textId="77777777" w:rsidR="003601A3" w:rsidRDefault="003601A3" w:rsidP="003601A3">
      <w:pPr>
        <w:rPr>
          <w:rFonts w:ascii="Times New Roman" w:hAnsi="Times New Roman" w:cs="Times New Roman"/>
          <w:sz w:val="24"/>
          <w:szCs w:val="24"/>
        </w:rPr>
      </w:pPr>
    </w:p>
    <w:p w14:paraId="3C8C5879" w14:textId="77777777" w:rsidR="003601A3" w:rsidRDefault="003601A3" w:rsidP="003601A3">
      <w:pPr>
        <w:rPr>
          <w:rFonts w:ascii="Times New Roman" w:hAnsi="Times New Roman" w:cs="Times New Roman"/>
          <w:sz w:val="24"/>
          <w:szCs w:val="24"/>
        </w:rPr>
      </w:pPr>
    </w:p>
    <w:p w14:paraId="5FE892FC" w14:textId="77777777" w:rsidR="003601A3" w:rsidRDefault="003601A3" w:rsidP="003601A3">
      <w:pPr>
        <w:rPr>
          <w:rFonts w:ascii="Times New Roman" w:hAnsi="Times New Roman" w:cs="Times New Roman"/>
          <w:sz w:val="24"/>
          <w:szCs w:val="24"/>
        </w:rPr>
      </w:pPr>
    </w:p>
    <w:p w14:paraId="707EC3A2" w14:textId="77777777" w:rsidR="003601A3" w:rsidRDefault="003601A3" w:rsidP="003601A3">
      <w:pPr>
        <w:rPr>
          <w:rFonts w:ascii="Times New Roman" w:hAnsi="Times New Roman" w:cs="Times New Roman"/>
          <w:sz w:val="24"/>
          <w:szCs w:val="24"/>
        </w:rPr>
      </w:pPr>
    </w:p>
    <w:p w14:paraId="63EFEFDE" w14:textId="77777777" w:rsidR="003601A3" w:rsidRDefault="003601A3" w:rsidP="003601A3">
      <w:pPr>
        <w:rPr>
          <w:rFonts w:ascii="Times New Roman" w:hAnsi="Times New Roman" w:cs="Times New Roman"/>
          <w:sz w:val="24"/>
          <w:szCs w:val="24"/>
        </w:rPr>
      </w:pPr>
    </w:p>
    <w:p w14:paraId="6116F61E" w14:textId="77777777" w:rsidR="003601A3" w:rsidRDefault="003601A3" w:rsidP="003601A3">
      <w:pPr>
        <w:rPr>
          <w:rFonts w:ascii="Times New Roman" w:hAnsi="Times New Roman" w:cs="Times New Roman"/>
          <w:sz w:val="24"/>
          <w:szCs w:val="24"/>
        </w:rPr>
      </w:pPr>
    </w:p>
    <w:p w14:paraId="3F3EDEE6" w14:textId="77777777" w:rsidR="003601A3" w:rsidRDefault="003601A3" w:rsidP="003601A3">
      <w:pPr>
        <w:rPr>
          <w:rFonts w:ascii="Times New Roman" w:hAnsi="Times New Roman" w:cs="Times New Roman"/>
          <w:sz w:val="24"/>
          <w:szCs w:val="24"/>
        </w:rPr>
      </w:pPr>
    </w:p>
    <w:p w14:paraId="33054CDA" w14:textId="77777777" w:rsidR="003601A3" w:rsidRDefault="003601A3" w:rsidP="003601A3">
      <w:pPr>
        <w:rPr>
          <w:rFonts w:ascii="Times New Roman" w:hAnsi="Times New Roman" w:cs="Times New Roman"/>
          <w:sz w:val="24"/>
          <w:szCs w:val="24"/>
        </w:rPr>
      </w:pPr>
    </w:p>
    <w:p w14:paraId="659D8A57" w14:textId="77777777" w:rsidR="003601A3" w:rsidRDefault="003601A3" w:rsidP="003601A3">
      <w:pPr>
        <w:rPr>
          <w:rFonts w:ascii="Times New Roman" w:hAnsi="Times New Roman" w:cs="Times New Roman"/>
          <w:sz w:val="24"/>
          <w:szCs w:val="24"/>
        </w:rPr>
      </w:pPr>
    </w:p>
    <w:p w14:paraId="5C0692D7" w14:textId="77777777" w:rsidR="003601A3" w:rsidRDefault="003601A3" w:rsidP="003601A3">
      <w:pPr>
        <w:rPr>
          <w:rFonts w:ascii="Times New Roman" w:hAnsi="Times New Roman" w:cs="Times New Roman"/>
          <w:sz w:val="24"/>
          <w:szCs w:val="24"/>
        </w:rPr>
      </w:pPr>
    </w:p>
    <w:p w14:paraId="3453A139" w14:textId="77777777" w:rsidR="003601A3" w:rsidRDefault="003601A3" w:rsidP="003601A3">
      <w:pPr>
        <w:rPr>
          <w:rFonts w:ascii="Times New Roman" w:hAnsi="Times New Roman" w:cs="Times New Roman"/>
          <w:sz w:val="24"/>
          <w:szCs w:val="24"/>
        </w:rPr>
      </w:pPr>
    </w:p>
    <w:p w14:paraId="1265139B" w14:textId="77777777" w:rsidR="003601A3" w:rsidRDefault="003601A3" w:rsidP="003601A3">
      <w:pPr>
        <w:rPr>
          <w:rFonts w:ascii="Times New Roman" w:hAnsi="Times New Roman" w:cs="Times New Roman"/>
          <w:sz w:val="24"/>
          <w:szCs w:val="24"/>
        </w:rPr>
      </w:pPr>
    </w:p>
    <w:p w14:paraId="09D7540C" w14:textId="77777777" w:rsidR="003601A3" w:rsidRDefault="003601A3" w:rsidP="003601A3">
      <w:pPr>
        <w:rPr>
          <w:rFonts w:ascii="Times New Roman" w:hAnsi="Times New Roman" w:cs="Times New Roman"/>
          <w:sz w:val="24"/>
          <w:szCs w:val="24"/>
        </w:rPr>
      </w:pPr>
    </w:p>
    <w:p w14:paraId="77F7FC89" w14:textId="77777777" w:rsidR="003601A3" w:rsidRDefault="003601A3" w:rsidP="003601A3">
      <w:pPr>
        <w:rPr>
          <w:rFonts w:ascii="Times New Roman" w:hAnsi="Times New Roman" w:cs="Times New Roman"/>
          <w:sz w:val="24"/>
          <w:szCs w:val="24"/>
        </w:rPr>
      </w:pPr>
    </w:p>
    <w:p w14:paraId="3C2ADD9F" w14:textId="77777777" w:rsidR="003601A3" w:rsidRDefault="003601A3" w:rsidP="003601A3">
      <w:pPr>
        <w:rPr>
          <w:rFonts w:ascii="Times New Roman" w:hAnsi="Times New Roman" w:cs="Times New Roman"/>
          <w:sz w:val="24"/>
          <w:szCs w:val="24"/>
        </w:rPr>
      </w:pPr>
    </w:p>
    <w:p w14:paraId="2BADE962" w14:textId="77777777" w:rsidR="003601A3" w:rsidRDefault="003601A3" w:rsidP="003601A3">
      <w:pPr>
        <w:rPr>
          <w:rFonts w:ascii="Times New Roman" w:hAnsi="Times New Roman" w:cs="Times New Roman"/>
          <w:sz w:val="24"/>
          <w:szCs w:val="24"/>
        </w:rPr>
      </w:pPr>
    </w:p>
    <w:p w14:paraId="0E50E167" w14:textId="77777777" w:rsidR="003601A3" w:rsidRDefault="003601A3" w:rsidP="003601A3">
      <w:pPr>
        <w:rPr>
          <w:rFonts w:ascii="Times New Roman" w:hAnsi="Times New Roman" w:cs="Times New Roman"/>
          <w:sz w:val="24"/>
          <w:szCs w:val="24"/>
        </w:rPr>
      </w:pPr>
    </w:p>
    <w:p w14:paraId="769508E4" w14:textId="77777777" w:rsidR="003601A3" w:rsidRDefault="003601A3" w:rsidP="003601A3">
      <w:pPr>
        <w:rPr>
          <w:rFonts w:ascii="Times New Roman" w:hAnsi="Times New Roman" w:cs="Times New Roman"/>
          <w:sz w:val="24"/>
          <w:szCs w:val="24"/>
        </w:rPr>
      </w:pPr>
    </w:p>
    <w:p w14:paraId="1510B092" w14:textId="77777777" w:rsidR="003601A3" w:rsidRDefault="003601A3" w:rsidP="003601A3">
      <w:pPr>
        <w:rPr>
          <w:rFonts w:ascii="Times New Roman" w:hAnsi="Times New Roman" w:cs="Times New Roman"/>
          <w:sz w:val="24"/>
          <w:szCs w:val="24"/>
        </w:rPr>
      </w:pPr>
    </w:p>
    <w:p w14:paraId="46255CF1" w14:textId="77777777" w:rsidR="003601A3" w:rsidRDefault="003601A3" w:rsidP="003601A3">
      <w:pPr>
        <w:rPr>
          <w:rFonts w:ascii="Times New Roman" w:hAnsi="Times New Roman" w:cs="Times New Roman"/>
          <w:sz w:val="24"/>
          <w:szCs w:val="24"/>
        </w:rPr>
      </w:pPr>
    </w:p>
    <w:p w14:paraId="0D915C57" w14:textId="77777777" w:rsidR="003601A3" w:rsidRDefault="003601A3" w:rsidP="003601A3">
      <w:pPr>
        <w:rPr>
          <w:rFonts w:ascii="Times New Roman" w:hAnsi="Times New Roman" w:cs="Times New Roman"/>
          <w:sz w:val="24"/>
          <w:szCs w:val="24"/>
        </w:rPr>
      </w:pPr>
    </w:p>
    <w:p w14:paraId="60514A23" w14:textId="77777777" w:rsidR="003601A3" w:rsidRDefault="003601A3" w:rsidP="003601A3">
      <w:pPr>
        <w:rPr>
          <w:rFonts w:ascii="Times New Roman" w:hAnsi="Times New Roman" w:cs="Times New Roman"/>
          <w:sz w:val="24"/>
          <w:szCs w:val="24"/>
        </w:rPr>
      </w:pPr>
    </w:p>
    <w:p w14:paraId="7C7FEB50" w14:textId="77777777" w:rsidR="003601A3" w:rsidRDefault="003601A3" w:rsidP="003601A3">
      <w:pPr>
        <w:rPr>
          <w:rFonts w:ascii="Times New Roman" w:hAnsi="Times New Roman" w:cs="Times New Roman"/>
          <w:sz w:val="24"/>
          <w:szCs w:val="24"/>
        </w:rPr>
      </w:pPr>
    </w:p>
    <w:p w14:paraId="2B857275" w14:textId="77777777" w:rsidR="003601A3" w:rsidRDefault="003601A3" w:rsidP="003601A3">
      <w:pPr>
        <w:rPr>
          <w:rFonts w:ascii="Times New Roman" w:hAnsi="Times New Roman" w:cs="Times New Roman"/>
          <w:sz w:val="24"/>
          <w:szCs w:val="24"/>
        </w:rPr>
      </w:pPr>
    </w:p>
    <w:p w14:paraId="3663C05B" w14:textId="514C06C0" w:rsidR="003601A3" w:rsidRPr="00C91C1F" w:rsidRDefault="003601A3" w:rsidP="00C91C1F">
      <w:pPr>
        <w:pStyle w:val="Heading2"/>
        <w:jc w:val="center"/>
        <w:rPr>
          <w:b/>
          <w:bCs/>
        </w:rPr>
      </w:pPr>
      <w:bookmarkStart w:id="0" w:name="_Toc165036711"/>
      <w:r w:rsidRPr="00C91C1F">
        <w:rPr>
          <w:b/>
          <w:bCs/>
        </w:rPr>
        <w:lastRenderedPageBreak/>
        <w:t>Question 1</w:t>
      </w:r>
      <w:bookmarkEnd w:id="0"/>
    </w:p>
    <w:p w14:paraId="664D83D2" w14:textId="4E75AC47" w:rsidR="003601A3" w:rsidRPr="00884394" w:rsidRDefault="00884394" w:rsidP="00884394">
      <w:pPr>
        <w:pStyle w:val="ListParagraph"/>
        <w:numPr>
          <w:ilvl w:val="0"/>
          <w:numId w:val="1"/>
        </w:numPr>
        <w:spacing w:line="360" w:lineRule="auto"/>
        <w:jc w:val="both"/>
        <w:rPr>
          <w:rFonts w:ascii="Times New Roman" w:hAnsi="Times New Roman" w:cs="Times New Roman"/>
          <w:b/>
          <w:bCs/>
          <w:sz w:val="24"/>
          <w:szCs w:val="24"/>
        </w:rPr>
      </w:pPr>
      <w:r w:rsidRPr="00884394">
        <w:rPr>
          <w:rFonts w:ascii="Times New Roman" w:hAnsi="Times New Roman" w:cs="Times New Roman"/>
          <w:b/>
          <w:bCs/>
          <w:sz w:val="24"/>
          <w:szCs w:val="24"/>
        </w:rPr>
        <w:t>The statement of financial position shows how much cash has come into and left the business during the accounting period and the resulting balance at the end of the period.</w:t>
      </w:r>
    </w:p>
    <w:p w14:paraId="02B62853" w14:textId="77777777" w:rsidR="00884394" w:rsidRPr="00884394" w:rsidRDefault="00884394" w:rsidP="00884394">
      <w:pPr>
        <w:spacing w:line="360" w:lineRule="auto"/>
        <w:jc w:val="both"/>
        <w:rPr>
          <w:rFonts w:ascii="Times New Roman" w:hAnsi="Times New Roman" w:cs="Times New Roman"/>
          <w:sz w:val="24"/>
          <w:szCs w:val="24"/>
        </w:rPr>
      </w:pPr>
      <w:r w:rsidRPr="00884394">
        <w:rPr>
          <w:rFonts w:ascii="Times New Roman" w:hAnsi="Times New Roman" w:cs="Times New Roman"/>
          <w:sz w:val="24"/>
          <w:szCs w:val="24"/>
        </w:rPr>
        <w:t>This assertion is inaccurate. The balance sheet, which is also known as the “statement of financial position,” represents the composition of assets, liabilities and capital at a specific accounting date. The cash flow statement is meant to capture the incoming and outgoing cash offered by the company in the course of the year, and at lastly, the account balance of the ending year. The balance sheet portrays a picture of the net inflow or outflow of cash and other transactions over the span of company's existence, embracing even the end period.</w:t>
      </w:r>
    </w:p>
    <w:p w14:paraId="2135B5AC" w14:textId="054ECA55" w:rsidR="00884394" w:rsidRPr="00884394" w:rsidRDefault="00884394" w:rsidP="00884394">
      <w:pPr>
        <w:pStyle w:val="ListParagraph"/>
        <w:numPr>
          <w:ilvl w:val="0"/>
          <w:numId w:val="1"/>
        </w:numPr>
        <w:spacing w:line="360" w:lineRule="auto"/>
        <w:jc w:val="both"/>
        <w:rPr>
          <w:rFonts w:ascii="Times New Roman" w:hAnsi="Times New Roman" w:cs="Times New Roman"/>
          <w:b/>
          <w:bCs/>
          <w:sz w:val="24"/>
          <w:szCs w:val="24"/>
        </w:rPr>
      </w:pPr>
      <w:r w:rsidRPr="00884394">
        <w:rPr>
          <w:rFonts w:ascii="Times New Roman" w:hAnsi="Times New Roman" w:cs="Times New Roman"/>
          <w:b/>
          <w:bCs/>
          <w:sz w:val="24"/>
          <w:szCs w:val="24"/>
        </w:rPr>
        <w:t>Non-current assets are things that cannot be moved</w:t>
      </w:r>
    </w:p>
    <w:p w14:paraId="37A48C38" w14:textId="67567E88" w:rsidR="00884394" w:rsidRPr="00884394" w:rsidRDefault="00884394" w:rsidP="00884394">
      <w:pPr>
        <w:spacing w:line="360" w:lineRule="auto"/>
        <w:jc w:val="both"/>
        <w:rPr>
          <w:rFonts w:ascii="Times New Roman" w:hAnsi="Times New Roman" w:cs="Times New Roman"/>
          <w:sz w:val="24"/>
          <w:szCs w:val="24"/>
        </w:rPr>
      </w:pPr>
      <w:r w:rsidRPr="00884394">
        <w:rPr>
          <w:rFonts w:ascii="Times New Roman" w:hAnsi="Times New Roman" w:cs="Times New Roman"/>
          <w:sz w:val="24"/>
          <w:szCs w:val="24"/>
        </w:rPr>
        <w:t xml:space="preserve">Non-current assets are not as strictly immovable as it is made to seem; they can have a degree of movement. Non-current assets are assets that don't deteriorate within an accounting period and have the ability to offer economical benefits for more than one accounting period. Whilst a good percentage of the non-current assets such as the land, buildings and heavy machines are basically fixed, there are assets that are movable but are not current assets, such as vehicles and office equipment. The key here is the extreme usage of these measures, which can't be compared to the mere movement restrictions within the boundaries of the company. To mention leasehold improvements, they tied with properties physically; however, as they were deemed </w:t>
      </w:r>
      <w:r w:rsidRPr="00884394">
        <w:rPr>
          <w:rFonts w:ascii="Times New Roman" w:hAnsi="Times New Roman" w:cs="Times New Roman"/>
          <w:sz w:val="24"/>
          <w:szCs w:val="24"/>
        </w:rPr>
        <w:t>undeferrable</w:t>
      </w:r>
      <w:r w:rsidRPr="00884394">
        <w:rPr>
          <w:rFonts w:ascii="Times New Roman" w:hAnsi="Times New Roman" w:cs="Times New Roman"/>
          <w:sz w:val="24"/>
          <w:szCs w:val="24"/>
        </w:rPr>
        <w:t>, they are categorized as non-current assets.</w:t>
      </w:r>
    </w:p>
    <w:p w14:paraId="3EA40B46" w14:textId="52C10299" w:rsidR="00884394" w:rsidRDefault="00884394" w:rsidP="00884394">
      <w:pPr>
        <w:pStyle w:val="ListParagraph"/>
        <w:numPr>
          <w:ilvl w:val="0"/>
          <w:numId w:val="1"/>
        </w:numPr>
        <w:spacing w:line="360" w:lineRule="auto"/>
        <w:jc w:val="both"/>
        <w:rPr>
          <w:rFonts w:ascii="Times New Roman" w:hAnsi="Times New Roman" w:cs="Times New Roman"/>
          <w:b/>
          <w:bCs/>
          <w:sz w:val="24"/>
          <w:szCs w:val="24"/>
        </w:rPr>
      </w:pPr>
      <w:r w:rsidRPr="00884394">
        <w:rPr>
          <w:rFonts w:ascii="Times New Roman" w:hAnsi="Times New Roman" w:cs="Times New Roman"/>
          <w:b/>
          <w:bCs/>
          <w:sz w:val="24"/>
          <w:szCs w:val="24"/>
        </w:rPr>
        <w:t>Managers should only supply financial information to the “current” shareholders of companies</w:t>
      </w:r>
      <w:r>
        <w:rPr>
          <w:rFonts w:ascii="Times New Roman" w:hAnsi="Times New Roman" w:cs="Times New Roman"/>
          <w:b/>
          <w:bCs/>
          <w:sz w:val="24"/>
          <w:szCs w:val="24"/>
        </w:rPr>
        <w:t>.</w:t>
      </w:r>
    </w:p>
    <w:p w14:paraId="70522A14" w14:textId="77777777" w:rsidR="00F574B7" w:rsidRPr="00F574B7" w:rsidRDefault="00F574B7" w:rsidP="00F574B7">
      <w:pPr>
        <w:spacing w:line="360" w:lineRule="auto"/>
        <w:jc w:val="both"/>
        <w:rPr>
          <w:rFonts w:ascii="Times New Roman" w:hAnsi="Times New Roman" w:cs="Times New Roman"/>
          <w:sz w:val="24"/>
          <w:szCs w:val="24"/>
        </w:rPr>
      </w:pPr>
      <w:r w:rsidRPr="00F574B7">
        <w:rPr>
          <w:rFonts w:ascii="Times New Roman" w:hAnsi="Times New Roman" w:cs="Times New Roman"/>
          <w:sz w:val="24"/>
          <w:szCs w:val="24"/>
        </w:rPr>
        <w:t xml:space="preserve">Managers should not the present owners only with financial information and don’t worry about retaining a right regarding this matter. Being required to report to the relevant authorities about the earnings and other relevant data that might interest investors on a regular basis, listed companies on the stock market all over the world have to publicize their financial statements and other vital information to not only current shareholders but also potential investors. For the most part, 2nd private enterprises must provide their banks, creditors, as well as accounts to the tax authorities, and other stakeholders to those permit this to them. The owners of a private enterprise are only one category. Should the financial information be the exclusive province of the existing owners, a company would find it very difficult to </w:t>
      </w:r>
      <w:r w:rsidRPr="00F574B7">
        <w:rPr>
          <w:rFonts w:ascii="Times New Roman" w:hAnsi="Times New Roman" w:cs="Times New Roman"/>
          <w:sz w:val="24"/>
          <w:szCs w:val="24"/>
        </w:rPr>
        <w:lastRenderedPageBreak/>
        <w:t>acquire funding, bonds or other financial securities; in addition, it would pose challenges as far as sustaining vital commercial relationships is concerned. Transparency markets as well as transparency of operation of capital markets are keys to their successful operation.</w:t>
      </w:r>
    </w:p>
    <w:p w14:paraId="1B252D64" w14:textId="77777777" w:rsidR="00F574B7" w:rsidRPr="00F574B7" w:rsidRDefault="00F574B7" w:rsidP="00F574B7">
      <w:pPr>
        <w:spacing w:line="360" w:lineRule="auto"/>
        <w:jc w:val="both"/>
        <w:rPr>
          <w:rFonts w:ascii="Times New Roman" w:hAnsi="Times New Roman" w:cs="Times New Roman"/>
          <w:sz w:val="24"/>
          <w:szCs w:val="24"/>
        </w:rPr>
      </w:pPr>
    </w:p>
    <w:p w14:paraId="0793C7AD" w14:textId="29718640" w:rsidR="00884394" w:rsidRPr="00F574B7" w:rsidRDefault="00F574B7" w:rsidP="00F574B7">
      <w:pPr>
        <w:pStyle w:val="ListParagraph"/>
        <w:numPr>
          <w:ilvl w:val="0"/>
          <w:numId w:val="1"/>
        </w:numPr>
        <w:spacing w:line="360" w:lineRule="auto"/>
        <w:jc w:val="both"/>
        <w:rPr>
          <w:rFonts w:ascii="Times New Roman" w:hAnsi="Times New Roman" w:cs="Times New Roman"/>
          <w:b/>
          <w:bCs/>
          <w:sz w:val="24"/>
          <w:szCs w:val="24"/>
        </w:rPr>
      </w:pPr>
      <w:r w:rsidRPr="00F574B7">
        <w:rPr>
          <w:rFonts w:ascii="Times New Roman" w:hAnsi="Times New Roman" w:cs="Times New Roman"/>
          <w:b/>
          <w:bCs/>
          <w:sz w:val="24"/>
          <w:szCs w:val="24"/>
        </w:rPr>
        <w:t>No need to include prepayments and accruals on the statement of financial position.</w:t>
      </w:r>
    </w:p>
    <w:p w14:paraId="6C3C955C" w14:textId="77777777" w:rsidR="00F574B7" w:rsidRPr="00F574B7" w:rsidRDefault="00F574B7" w:rsidP="00F574B7">
      <w:pPr>
        <w:spacing w:line="360" w:lineRule="auto"/>
        <w:jc w:val="both"/>
        <w:rPr>
          <w:rFonts w:ascii="Times New Roman" w:hAnsi="Times New Roman" w:cs="Times New Roman"/>
          <w:sz w:val="24"/>
          <w:szCs w:val="24"/>
        </w:rPr>
      </w:pPr>
      <w:r w:rsidRPr="00F574B7">
        <w:rPr>
          <w:rFonts w:ascii="Times New Roman" w:hAnsi="Times New Roman" w:cs="Times New Roman"/>
          <w:sz w:val="24"/>
          <w:szCs w:val="24"/>
        </w:rPr>
        <w:t>This statement is contradictory. The corrections about prepayments and accruals are needed to be included in the balance sheet. This payment is recorded as an asset on the balance sheet and it represent the amount that has been paid in advance for goods or services that have not been yet received or for which there is no liability. Accruals are among obligations that suggest the money owed for the present but not yet paid goods or services. Omission of prepayments leads to assets being understated, but not liabilities. Excluding accruals for the other way round means that we have liabilities not understated but assets understated. These images would instead communicate a misjudgement of the file of the organization finances. The principle of accounting that requires a company to record revenues and expenses during the same time periods in which the related events occurred is known as the matching principle. This principle prompts the use of prepayments and accruals.</w:t>
      </w:r>
    </w:p>
    <w:p w14:paraId="6B3ACA07" w14:textId="77777777" w:rsidR="00F574B7" w:rsidRDefault="00F574B7" w:rsidP="00F574B7">
      <w:pPr>
        <w:spacing w:line="360" w:lineRule="auto"/>
        <w:jc w:val="both"/>
        <w:rPr>
          <w:rFonts w:ascii="Times New Roman" w:hAnsi="Times New Roman" w:cs="Times New Roman"/>
          <w:b/>
          <w:bCs/>
          <w:sz w:val="24"/>
          <w:szCs w:val="24"/>
        </w:rPr>
      </w:pPr>
    </w:p>
    <w:p w14:paraId="44258995" w14:textId="527288F2" w:rsidR="00F574B7" w:rsidRDefault="00F574B7" w:rsidP="00F574B7">
      <w:pPr>
        <w:pStyle w:val="ListParagraph"/>
        <w:numPr>
          <w:ilvl w:val="0"/>
          <w:numId w:val="1"/>
        </w:numPr>
        <w:spacing w:line="360" w:lineRule="auto"/>
        <w:jc w:val="both"/>
        <w:rPr>
          <w:rFonts w:ascii="Times New Roman" w:hAnsi="Times New Roman" w:cs="Times New Roman"/>
          <w:b/>
          <w:bCs/>
          <w:sz w:val="24"/>
          <w:szCs w:val="24"/>
        </w:rPr>
      </w:pPr>
      <w:r w:rsidRPr="00F574B7">
        <w:rPr>
          <w:rFonts w:ascii="Times New Roman" w:hAnsi="Times New Roman" w:cs="Times New Roman"/>
          <w:b/>
          <w:bCs/>
          <w:sz w:val="24"/>
          <w:szCs w:val="24"/>
        </w:rPr>
        <w:t>No need for regulation over financial accounts</w:t>
      </w:r>
      <w:r w:rsidRPr="00F574B7">
        <w:rPr>
          <w:rFonts w:ascii="Times New Roman" w:hAnsi="Times New Roman" w:cs="Times New Roman"/>
          <w:b/>
          <w:bCs/>
          <w:sz w:val="24"/>
          <w:szCs w:val="24"/>
        </w:rPr>
        <w:t xml:space="preserve">. </w:t>
      </w:r>
    </w:p>
    <w:p w14:paraId="179809BA" w14:textId="77777777" w:rsidR="00F574B7" w:rsidRPr="00F574B7" w:rsidRDefault="00F574B7" w:rsidP="00F574B7">
      <w:pPr>
        <w:spacing w:line="360" w:lineRule="auto"/>
        <w:jc w:val="both"/>
        <w:rPr>
          <w:rFonts w:ascii="Times New Roman" w:hAnsi="Times New Roman" w:cs="Times New Roman"/>
          <w:sz w:val="24"/>
          <w:szCs w:val="24"/>
        </w:rPr>
      </w:pPr>
      <w:r w:rsidRPr="00F574B7">
        <w:rPr>
          <w:rFonts w:ascii="Times New Roman" w:hAnsi="Times New Roman" w:cs="Times New Roman"/>
          <w:sz w:val="24"/>
          <w:szCs w:val="24"/>
        </w:rPr>
        <w:t xml:space="preserve">In fact, the statement that there is no new regulatory activity required in the field of financial reporting in the provided information is misleading. The timeless truth of the past in this context stands out in that without control and supervision the verity of financial reporting processes deteriorates, as the corporations work to deceive shareholders and determine outcomes. </w:t>
      </w:r>
      <w:r w:rsidRPr="00F574B7">
        <w:rPr>
          <w:rFonts w:ascii="Times New Roman" w:hAnsi="Times New Roman" w:cs="Times New Roman"/>
          <w:sz w:val="24"/>
          <w:szCs w:val="24"/>
          <w:lang w:val="it-IT"/>
        </w:rPr>
        <w:t xml:space="preserve">Es no es un póster, una página web, una reunión o un taller, es una marca. Todos los esfuerzos comunicativos de la universidad deben conectarse con los valores, deberes y objetivos emprendidos para la organización. </w:t>
      </w:r>
      <w:r w:rsidRPr="00F574B7">
        <w:rPr>
          <w:rFonts w:ascii="Times New Roman" w:hAnsi="Times New Roman" w:cs="Times New Roman"/>
          <w:sz w:val="24"/>
          <w:szCs w:val="24"/>
        </w:rPr>
        <w:t>We can say that since there were no rules and regulations in force along with the implementation of these and the investors wouldn't have a chance to access the detailed and comparable figures necessary to arrive at a satisfactory conclusion. Despite the fact that strict regulation may come with certain drawbacks at times, the enactment of simple and core laws for the financial disclosure system is an important safeguard both to market participants and investors.</w:t>
      </w:r>
    </w:p>
    <w:p w14:paraId="3EB9EF6D" w14:textId="77777777" w:rsidR="00F574B7" w:rsidRPr="00F574B7" w:rsidRDefault="00F574B7" w:rsidP="00F574B7">
      <w:pPr>
        <w:spacing w:line="360" w:lineRule="auto"/>
        <w:jc w:val="both"/>
        <w:rPr>
          <w:rFonts w:ascii="Times New Roman" w:hAnsi="Times New Roman" w:cs="Times New Roman"/>
          <w:sz w:val="24"/>
          <w:szCs w:val="24"/>
        </w:rPr>
      </w:pPr>
    </w:p>
    <w:p w14:paraId="7E22EDAE" w14:textId="0A23F233" w:rsidR="00F574B7" w:rsidRPr="00F574B7" w:rsidRDefault="00F574B7" w:rsidP="00F574B7">
      <w:pPr>
        <w:pStyle w:val="ListParagraph"/>
        <w:numPr>
          <w:ilvl w:val="0"/>
          <w:numId w:val="1"/>
        </w:numPr>
        <w:spacing w:line="360" w:lineRule="auto"/>
        <w:jc w:val="both"/>
        <w:rPr>
          <w:rFonts w:ascii="Times New Roman" w:hAnsi="Times New Roman" w:cs="Times New Roman"/>
          <w:b/>
          <w:bCs/>
          <w:sz w:val="24"/>
          <w:szCs w:val="24"/>
        </w:rPr>
      </w:pPr>
      <w:r w:rsidRPr="00F574B7">
        <w:rPr>
          <w:rFonts w:ascii="Times New Roman" w:hAnsi="Times New Roman" w:cs="Times New Roman"/>
          <w:b/>
          <w:bCs/>
          <w:sz w:val="24"/>
          <w:szCs w:val="24"/>
        </w:rPr>
        <w:t>It is important to balance ledger (T) accounts and trial balance before preparing financial statements.</w:t>
      </w:r>
    </w:p>
    <w:p w14:paraId="5922BD5E" w14:textId="77777777" w:rsidR="00F574B7" w:rsidRPr="00F574B7" w:rsidRDefault="00F574B7" w:rsidP="00F574B7">
      <w:pPr>
        <w:spacing w:line="360" w:lineRule="auto"/>
        <w:jc w:val="both"/>
        <w:rPr>
          <w:rFonts w:ascii="Times New Roman" w:hAnsi="Times New Roman" w:cs="Times New Roman"/>
          <w:sz w:val="24"/>
          <w:szCs w:val="24"/>
        </w:rPr>
      </w:pPr>
      <w:r w:rsidRPr="00F574B7">
        <w:rPr>
          <w:rFonts w:ascii="Times New Roman" w:hAnsi="Times New Roman" w:cs="Times New Roman"/>
          <w:sz w:val="24"/>
          <w:szCs w:val="24"/>
        </w:rPr>
        <w:t>The main statement that deserves to be emphasized in the rule that before you create financial statements you have to reconcile ledgers and trial balances is undoubtedly correct. The ledger accounts are the building block in keeping a record of transaction by account as the accounting cycle takes shape. Trial balance is an overall journalized ledger entries with the balances at hand. The sum of the debit column does not equal the sum of the credit column in the trial balance it would be notified and this materialize that the ledgers are not balance and there are problems in the bookkeeping that need to be identified and solved before generating the correcting of the financial statements. On the contrary, although the trial balance is capable at the first stage fit all, it does not guarantee an absence of mistakes since a human error in the job that was left out or offset can conceal beneath the surface. Nevertheless, it is generally important to have equal ledgers as well as to have a given trial balance properly in place, in order to make reliable and accurate financial statements.</w:t>
      </w:r>
    </w:p>
    <w:p w14:paraId="24C7A9EC" w14:textId="77777777" w:rsidR="00F574B7" w:rsidRPr="00F574B7" w:rsidRDefault="00F574B7" w:rsidP="00F574B7">
      <w:pPr>
        <w:spacing w:line="360" w:lineRule="auto"/>
        <w:jc w:val="both"/>
        <w:rPr>
          <w:rFonts w:ascii="Times New Roman" w:hAnsi="Times New Roman" w:cs="Times New Roman"/>
          <w:sz w:val="24"/>
          <w:szCs w:val="24"/>
        </w:rPr>
      </w:pPr>
    </w:p>
    <w:p w14:paraId="1ACE965B" w14:textId="724AC91C" w:rsidR="00F574B7" w:rsidRPr="00C91C1F" w:rsidRDefault="00F574B7" w:rsidP="00C91C1F">
      <w:pPr>
        <w:pStyle w:val="Heading2"/>
        <w:jc w:val="center"/>
        <w:rPr>
          <w:b/>
          <w:bCs/>
        </w:rPr>
      </w:pPr>
      <w:bookmarkStart w:id="1" w:name="_Toc165036712"/>
      <w:r w:rsidRPr="00C91C1F">
        <w:rPr>
          <w:b/>
          <w:bCs/>
        </w:rPr>
        <w:t>Question 2</w:t>
      </w:r>
      <w:bookmarkEnd w:id="1"/>
    </w:p>
    <w:p w14:paraId="0D2C982C" w14:textId="77777777" w:rsidR="00861D8B" w:rsidRPr="00861D8B" w:rsidRDefault="00861D8B" w:rsidP="00861D8B">
      <w:pPr>
        <w:spacing w:line="360" w:lineRule="auto"/>
        <w:jc w:val="both"/>
        <w:rPr>
          <w:rFonts w:ascii="Times New Roman" w:hAnsi="Times New Roman" w:cs="Times New Roman"/>
          <w:sz w:val="24"/>
          <w:szCs w:val="24"/>
        </w:rPr>
      </w:pPr>
      <w:r w:rsidRPr="00861D8B">
        <w:rPr>
          <w:rFonts w:ascii="Times New Roman" w:hAnsi="Times New Roman" w:cs="Times New Roman"/>
          <w:sz w:val="24"/>
          <w:szCs w:val="24"/>
        </w:rPr>
        <w:t>Income Statement</w:t>
      </w:r>
    </w:p>
    <w:p w14:paraId="02D694EC" w14:textId="77777777" w:rsidR="00861D8B" w:rsidRPr="00861D8B" w:rsidRDefault="00861D8B" w:rsidP="00861D8B">
      <w:pPr>
        <w:spacing w:line="360" w:lineRule="auto"/>
        <w:jc w:val="both"/>
        <w:rPr>
          <w:rFonts w:ascii="Times New Roman" w:hAnsi="Times New Roman" w:cs="Times New Roman"/>
          <w:sz w:val="24"/>
          <w:szCs w:val="24"/>
        </w:rPr>
      </w:pPr>
      <w:r w:rsidRPr="00861D8B">
        <w:rPr>
          <w:rFonts w:ascii="Times New Roman" w:hAnsi="Times New Roman" w:cs="Times New Roman"/>
          <w:sz w:val="24"/>
          <w:szCs w:val="24"/>
        </w:rPr>
        <w:t>Wales plc</w:t>
      </w:r>
    </w:p>
    <w:p w14:paraId="7D1BD967" w14:textId="77777777" w:rsidR="00861D8B" w:rsidRPr="00861D8B" w:rsidRDefault="00861D8B" w:rsidP="00861D8B">
      <w:pPr>
        <w:spacing w:line="360" w:lineRule="auto"/>
        <w:jc w:val="both"/>
        <w:rPr>
          <w:rFonts w:ascii="Times New Roman" w:hAnsi="Times New Roman" w:cs="Times New Roman"/>
          <w:sz w:val="24"/>
          <w:szCs w:val="24"/>
        </w:rPr>
      </w:pPr>
      <w:r w:rsidRPr="00861D8B">
        <w:rPr>
          <w:rFonts w:ascii="Times New Roman" w:hAnsi="Times New Roman" w:cs="Times New Roman"/>
          <w:sz w:val="24"/>
          <w:szCs w:val="24"/>
        </w:rPr>
        <w:t>For the Year Ended 31st December 2022</w:t>
      </w:r>
    </w:p>
    <w:p w14:paraId="3070430D" w14:textId="255E8D99" w:rsidR="00861D8B" w:rsidRPr="00861D8B" w:rsidRDefault="00861D8B" w:rsidP="00861D8B">
      <w:pPr>
        <w:spacing w:line="360" w:lineRule="auto"/>
        <w:jc w:val="both"/>
        <w:rPr>
          <w:rFonts w:ascii="Times New Roman" w:hAnsi="Times New Roman" w:cs="Times New Roman"/>
          <w:sz w:val="24"/>
          <w:szCs w:val="24"/>
        </w:rPr>
      </w:pPr>
      <w:r w:rsidRPr="00861D8B">
        <w:rPr>
          <w:rFonts w:ascii="Times New Roman" w:hAnsi="Times New Roman" w:cs="Times New Roman"/>
          <w:sz w:val="24"/>
          <w:szCs w:val="24"/>
        </w:rPr>
        <w:t xml:space="preserve">Sales (revenue)       </w:t>
      </w:r>
      <w:r>
        <w:rPr>
          <w:rFonts w:ascii="Times New Roman" w:hAnsi="Times New Roman" w:cs="Times New Roman"/>
          <w:sz w:val="24"/>
          <w:szCs w:val="24"/>
        </w:rPr>
        <w:t xml:space="preserve"> </w:t>
      </w:r>
      <w:r w:rsidRPr="00861D8B">
        <w:rPr>
          <w:rFonts w:ascii="Times New Roman" w:hAnsi="Times New Roman" w:cs="Times New Roman"/>
          <w:sz w:val="24"/>
          <w:szCs w:val="24"/>
        </w:rPr>
        <w:t xml:space="preserve">  £900,000</w:t>
      </w:r>
    </w:p>
    <w:p w14:paraId="5DC9133A" w14:textId="77777777" w:rsidR="00861D8B" w:rsidRPr="00861D8B" w:rsidRDefault="00861D8B" w:rsidP="00861D8B">
      <w:pPr>
        <w:spacing w:line="360" w:lineRule="auto"/>
        <w:jc w:val="both"/>
        <w:rPr>
          <w:rFonts w:ascii="Times New Roman" w:hAnsi="Times New Roman" w:cs="Times New Roman"/>
          <w:b/>
          <w:bCs/>
          <w:sz w:val="24"/>
          <w:szCs w:val="24"/>
        </w:rPr>
      </w:pPr>
      <w:r w:rsidRPr="00861D8B">
        <w:rPr>
          <w:rFonts w:ascii="Times New Roman" w:hAnsi="Times New Roman" w:cs="Times New Roman"/>
          <w:b/>
          <w:bCs/>
          <w:sz w:val="24"/>
          <w:szCs w:val="24"/>
        </w:rPr>
        <w:t>Less: Cost of sales</w:t>
      </w:r>
    </w:p>
    <w:p w14:paraId="05F3792E" w14:textId="5089880E" w:rsidR="00861D8B" w:rsidRPr="00861D8B" w:rsidRDefault="00861D8B" w:rsidP="00861D8B">
      <w:pPr>
        <w:spacing w:line="360" w:lineRule="auto"/>
        <w:jc w:val="both"/>
        <w:rPr>
          <w:rFonts w:ascii="Times New Roman" w:hAnsi="Times New Roman" w:cs="Times New Roman"/>
          <w:sz w:val="24"/>
          <w:szCs w:val="24"/>
        </w:rPr>
      </w:pPr>
      <w:r w:rsidRPr="00861D8B">
        <w:rPr>
          <w:rFonts w:ascii="Times New Roman" w:hAnsi="Times New Roman" w:cs="Times New Roman"/>
          <w:sz w:val="24"/>
          <w:szCs w:val="24"/>
        </w:rPr>
        <w:t xml:space="preserve">Per trial balance  </w:t>
      </w:r>
      <w:r>
        <w:rPr>
          <w:rFonts w:ascii="Times New Roman" w:hAnsi="Times New Roman" w:cs="Times New Roman"/>
          <w:sz w:val="24"/>
          <w:szCs w:val="24"/>
        </w:rPr>
        <w:t>:</w:t>
      </w:r>
      <w:r w:rsidRPr="00861D8B">
        <w:rPr>
          <w:rFonts w:ascii="Times New Roman" w:hAnsi="Times New Roman" w:cs="Times New Roman"/>
          <w:sz w:val="24"/>
          <w:szCs w:val="24"/>
        </w:rPr>
        <w:t xml:space="preserve">  £578,650</w:t>
      </w:r>
    </w:p>
    <w:p w14:paraId="687C9CC5" w14:textId="713FF9A3" w:rsidR="00861D8B" w:rsidRPr="00861D8B" w:rsidRDefault="00861D8B" w:rsidP="00861D8B">
      <w:pPr>
        <w:spacing w:line="360" w:lineRule="auto"/>
        <w:jc w:val="both"/>
        <w:rPr>
          <w:rFonts w:ascii="Times New Roman" w:hAnsi="Times New Roman" w:cs="Times New Roman"/>
          <w:sz w:val="24"/>
          <w:szCs w:val="24"/>
        </w:rPr>
      </w:pPr>
      <w:r w:rsidRPr="00861D8B">
        <w:rPr>
          <w:rFonts w:ascii="Times New Roman" w:hAnsi="Times New Roman" w:cs="Times New Roman"/>
          <w:sz w:val="24"/>
          <w:szCs w:val="24"/>
        </w:rPr>
        <w:t xml:space="preserve">Depreciation expense    </w:t>
      </w:r>
      <w:r>
        <w:rPr>
          <w:rFonts w:ascii="Times New Roman" w:hAnsi="Times New Roman" w:cs="Times New Roman"/>
          <w:sz w:val="24"/>
          <w:szCs w:val="24"/>
        </w:rPr>
        <w:t>:</w:t>
      </w:r>
      <w:r w:rsidRPr="00861D8B">
        <w:rPr>
          <w:rFonts w:ascii="Times New Roman" w:hAnsi="Times New Roman" w:cs="Times New Roman"/>
          <w:sz w:val="24"/>
          <w:szCs w:val="24"/>
        </w:rPr>
        <w:t xml:space="preserve"> £65,000</w:t>
      </w:r>
    </w:p>
    <w:p w14:paraId="09500949" w14:textId="27A770C7" w:rsidR="00F574B7" w:rsidRPr="00F574B7" w:rsidRDefault="00C91C1F" w:rsidP="00861D8B">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6A54E3DC" wp14:editId="73B2A66C">
                <wp:simplePos x="0" y="0"/>
                <wp:positionH relativeFrom="column">
                  <wp:posOffset>-723900</wp:posOffset>
                </wp:positionH>
                <wp:positionV relativeFrom="paragraph">
                  <wp:posOffset>197485</wp:posOffset>
                </wp:positionV>
                <wp:extent cx="3070860" cy="7620"/>
                <wp:effectExtent l="9525" t="12065" r="5715" b="8890"/>
                <wp:wrapNone/>
                <wp:docPr id="1488911715"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070860" cy="762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8DBD14C" id="_x0000_t32" coordsize="21600,21600" o:spt="32" o:oned="t" path="m,l21600,21600e" filled="f">
                <v:path arrowok="t" fillok="f" o:connecttype="none"/>
                <o:lock v:ext="edit" shapetype="t"/>
              </v:shapetype>
              <v:shape id="AutoShape 2" o:spid="_x0000_s1026" type="#_x0000_t32" style="position:absolute;margin-left:-57pt;margin-top:15.55pt;width:241.8pt;height:.6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"/>
            </w:pict>
          </mc:Fallback>
        </mc:AlternateContent>
      </w:r>
      <w:r w:rsidR="00861D8B" w:rsidRPr="00861D8B">
        <w:rPr>
          <w:rFonts w:ascii="Times New Roman" w:hAnsi="Times New Roman" w:cs="Times New Roman"/>
          <w:sz w:val="24"/>
          <w:szCs w:val="24"/>
        </w:rPr>
        <w:t xml:space="preserve">Total cost of sales    </w:t>
      </w:r>
      <w:r w:rsidR="00861D8B">
        <w:rPr>
          <w:rFonts w:ascii="Times New Roman" w:hAnsi="Times New Roman" w:cs="Times New Roman"/>
          <w:sz w:val="24"/>
          <w:szCs w:val="24"/>
        </w:rPr>
        <w:t>:</w:t>
      </w:r>
      <w:r w:rsidR="00861D8B" w:rsidRPr="00861D8B">
        <w:rPr>
          <w:rFonts w:ascii="Times New Roman" w:hAnsi="Times New Roman" w:cs="Times New Roman"/>
          <w:sz w:val="24"/>
          <w:szCs w:val="24"/>
        </w:rPr>
        <w:t xml:space="preserve">    (£643,650)</w:t>
      </w:r>
    </w:p>
    <w:p w14:paraId="795EE19C" w14:textId="56969FEA" w:rsidR="00861D8B" w:rsidRPr="00861D8B" w:rsidRDefault="00861D8B" w:rsidP="00861D8B">
      <w:pPr>
        <w:spacing w:line="360" w:lineRule="auto"/>
        <w:jc w:val="both"/>
        <w:rPr>
          <w:rFonts w:ascii="Times New Roman" w:hAnsi="Times New Roman" w:cs="Times New Roman"/>
          <w:b/>
          <w:bCs/>
          <w:sz w:val="24"/>
          <w:szCs w:val="24"/>
        </w:rPr>
      </w:pPr>
      <w:r w:rsidRPr="00861D8B">
        <w:rPr>
          <w:rFonts w:ascii="Times New Roman" w:hAnsi="Times New Roman" w:cs="Times New Roman"/>
          <w:b/>
          <w:bCs/>
          <w:sz w:val="24"/>
          <w:szCs w:val="24"/>
        </w:rPr>
        <w:t>Distribution costs</w:t>
      </w:r>
    </w:p>
    <w:p w14:paraId="48020B5E" w14:textId="71CA1885" w:rsidR="00861D8B" w:rsidRPr="00861D8B" w:rsidRDefault="00861D8B" w:rsidP="00861D8B">
      <w:pPr>
        <w:spacing w:line="360" w:lineRule="auto"/>
        <w:jc w:val="both"/>
        <w:rPr>
          <w:rFonts w:ascii="Times New Roman" w:hAnsi="Times New Roman" w:cs="Times New Roman"/>
          <w:sz w:val="24"/>
          <w:szCs w:val="24"/>
        </w:rPr>
      </w:pPr>
      <w:r w:rsidRPr="00861D8B">
        <w:rPr>
          <w:rFonts w:ascii="Times New Roman" w:hAnsi="Times New Roman" w:cs="Times New Roman"/>
          <w:sz w:val="24"/>
          <w:szCs w:val="24"/>
        </w:rPr>
        <w:t xml:space="preserve">Per trial balance </w:t>
      </w:r>
      <w:r>
        <w:rPr>
          <w:rFonts w:ascii="Times New Roman" w:hAnsi="Times New Roman" w:cs="Times New Roman"/>
          <w:sz w:val="24"/>
          <w:szCs w:val="24"/>
        </w:rPr>
        <w:t>:</w:t>
      </w:r>
      <w:r w:rsidRPr="00861D8B">
        <w:rPr>
          <w:rFonts w:ascii="Times New Roman" w:hAnsi="Times New Roman" w:cs="Times New Roman"/>
          <w:sz w:val="24"/>
          <w:szCs w:val="24"/>
        </w:rPr>
        <w:t xml:space="preserve">   £28,000</w:t>
      </w:r>
    </w:p>
    <w:p w14:paraId="117AEBFE" w14:textId="5A1BA65D" w:rsidR="00861D8B" w:rsidRPr="00861D8B" w:rsidRDefault="00861D8B" w:rsidP="00861D8B">
      <w:pPr>
        <w:spacing w:line="360" w:lineRule="auto"/>
        <w:jc w:val="both"/>
        <w:rPr>
          <w:rFonts w:ascii="Times New Roman" w:hAnsi="Times New Roman" w:cs="Times New Roman"/>
          <w:sz w:val="24"/>
          <w:szCs w:val="24"/>
        </w:rPr>
      </w:pPr>
      <w:r w:rsidRPr="00861D8B">
        <w:rPr>
          <w:rFonts w:ascii="Times New Roman" w:hAnsi="Times New Roman" w:cs="Times New Roman"/>
          <w:sz w:val="24"/>
          <w:szCs w:val="24"/>
        </w:rPr>
        <w:t xml:space="preserve">Accrued commissions </w:t>
      </w:r>
      <w:r>
        <w:rPr>
          <w:rFonts w:ascii="Times New Roman" w:hAnsi="Times New Roman" w:cs="Times New Roman"/>
          <w:sz w:val="24"/>
          <w:szCs w:val="24"/>
        </w:rPr>
        <w:t>:</w:t>
      </w:r>
      <w:r w:rsidRPr="00861D8B">
        <w:rPr>
          <w:rFonts w:ascii="Times New Roman" w:hAnsi="Times New Roman" w:cs="Times New Roman"/>
          <w:sz w:val="24"/>
          <w:szCs w:val="24"/>
        </w:rPr>
        <w:t xml:space="preserve">   £2,000</w:t>
      </w:r>
    </w:p>
    <w:p w14:paraId="33BC36C2" w14:textId="4C9F3056" w:rsidR="00861D8B" w:rsidRPr="00861D8B" w:rsidRDefault="00861D8B" w:rsidP="00861D8B">
      <w:pPr>
        <w:spacing w:line="360" w:lineRule="auto"/>
        <w:jc w:val="both"/>
        <w:rPr>
          <w:rFonts w:ascii="Times New Roman" w:hAnsi="Times New Roman" w:cs="Times New Roman"/>
          <w:sz w:val="24"/>
          <w:szCs w:val="24"/>
        </w:rPr>
      </w:pPr>
      <w:r w:rsidRPr="00861D8B">
        <w:rPr>
          <w:rFonts w:ascii="Times New Roman" w:hAnsi="Times New Roman" w:cs="Times New Roman"/>
          <w:sz w:val="24"/>
          <w:szCs w:val="24"/>
        </w:rPr>
        <w:lastRenderedPageBreak/>
        <w:t>Total distribution costs</w:t>
      </w:r>
      <w:r>
        <w:rPr>
          <w:rFonts w:ascii="Times New Roman" w:hAnsi="Times New Roman" w:cs="Times New Roman"/>
          <w:sz w:val="24"/>
          <w:szCs w:val="24"/>
        </w:rPr>
        <w:t xml:space="preserve">: </w:t>
      </w:r>
      <w:r w:rsidRPr="00861D8B">
        <w:rPr>
          <w:rFonts w:ascii="Times New Roman" w:hAnsi="Times New Roman" w:cs="Times New Roman"/>
          <w:sz w:val="24"/>
          <w:szCs w:val="24"/>
        </w:rPr>
        <w:t xml:space="preserve"> £30,000</w:t>
      </w:r>
    </w:p>
    <w:p w14:paraId="026AEFD0" w14:textId="5C2A7D5E" w:rsidR="00F574B7" w:rsidRPr="00F574B7" w:rsidRDefault="00C91C1F" w:rsidP="00861D8B">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6A54E3DC" wp14:editId="45760855">
                <wp:simplePos x="0" y="0"/>
                <wp:positionH relativeFrom="column">
                  <wp:posOffset>-327660</wp:posOffset>
                </wp:positionH>
                <wp:positionV relativeFrom="paragraph">
                  <wp:posOffset>228600</wp:posOffset>
                </wp:positionV>
                <wp:extent cx="3070860" cy="7620"/>
                <wp:effectExtent l="5715" t="12065" r="9525" b="8890"/>
                <wp:wrapNone/>
                <wp:docPr id="1367951956"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070860" cy="762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1B07A17" id="AutoShape 3" o:spid="_x0000_s1026" type="#_x0000_t32" style="position:absolute;margin-left:-25.8pt;margin-top:18pt;width:241.8pt;height:.6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"/>
            </w:pict>
          </mc:Fallback>
        </mc:AlternateContent>
      </w:r>
      <w:r w:rsidR="00861D8B" w:rsidRPr="00861D8B">
        <w:rPr>
          <w:rFonts w:ascii="Times New Roman" w:hAnsi="Times New Roman" w:cs="Times New Roman"/>
          <w:sz w:val="24"/>
          <w:szCs w:val="24"/>
        </w:rPr>
        <w:t xml:space="preserve">Directors' remuneration  </w:t>
      </w:r>
      <w:r w:rsidR="00861D8B">
        <w:rPr>
          <w:rFonts w:ascii="Times New Roman" w:hAnsi="Times New Roman" w:cs="Times New Roman"/>
          <w:sz w:val="24"/>
          <w:szCs w:val="24"/>
        </w:rPr>
        <w:t>:</w:t>
      </w:r>
      <w:r w:rsidR="00861D8B" w:rsidRPr="00861D8B">
        <w:rPr>
          <w:rFonts w:ascii="Times New Roman" w:hAnsi="Times New Roman" w:cs="Times New Roman"/>
          <w:sz w:val="24"/>
          <w:szCs w:val="24"/>
        </w:rPr>
        <w:t xml:space="preserve">  (£5,000)</w:t>
      </w:r>
    </w:p>
    <w:p w14:paraId="2E5B9305" w14:textId="5DEB5EFD" w:rsidR="00F574B7" w:rsidRPr="00861D8B" w:rsidRDefault="00C91C1F" w:rsidP="00F574B7">
      <w:pPr>
        <w:spacing w:line="360" w:lineRule="auto"/>
        <w:jc w:val="both"/>
        <w:rPr>
          <w:rFonts w:ascii="Times New Roman" w:hAnsi="Times New Roman" w:cs="Times New Roman"/>
          <w:b/>
          <w:bCs/>
          <w:sz w:val="24"/>
          <w:szCs w:val="24"/>
        </w:rPr>
      </w:pP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6A54E3DC" wp14:editId="5DC4B1F1">
                <wp:simplePos x="0" y="0"/>
                <wp:positionH relativeFrom="column">
                  <wp:posOffset>-358140</wp:posOffset>
                </wp:positionH>
                <wp:positionV relativeFrom="paragraph">
                  <wp:posOffset>290830</wp:posOffset>
                </wp:positionV>
                <wp:extent cx="3070860" cy="7620"/>
                <wp:effectExtent l="13335" t="10160" r="11430" b="10795"/>
                <wp:wrapNone/>
                <wp:docPr id="1625085334"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070860" cy="762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4906811" id="AutoShape 4" o:spid="_x0000_s1026" type="#_x0000_t32" style="position:absolute;margin-left:-28.2pt;margin-top:22.9pt;width:241.8pt;height:.6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"/>
            </w:pict>
          </mc:Fallback>
        </mc:AlternateContent>
      </w:r>
      <w:r w:rsidR="00861D8B" w:rsidRPr="00861D8B">
        <w:rPr>
          <w:rFonts w:ascii="Times New Roman" w:hAnsi="Times New Roman" w:cs="Times New Roman"/>
          <w:b/>
          <w:bCs/>
          <w:sz w:val="24"/>
          <w:szCs w:val="24"/>
        </w:rPr>
        <w:t xml:space="preserve">Total operating expenses  </w:t>
      </w:r>
      <w:r w:rsidR="00861D8B">
        <w:rPr>
          <w:rFonts w:ascii="Times New Roman" w:hAnsi="Times New Roman" w:cs="Times New Roman"/>
          <w:b/>
          <w:bCs/>
          <w:sz w:val="24"/>
          <w:szCs w:val="24"/>
        </w:rPr>
        <w:t>:</w:t>
      </w:r>
      <w:r w:rsidR="00861D8B" w:rsidRPr="00861D8B">
        <w:rPr>
          <w:rFonts w:ascii="Times New Roman" w:hAnsi="Times New Roman" w:cs="Times New Roman"/>
          <w:b/>
          <w:bCs/>
          <w:sz w:val="24"/>
          <w:szCs w:val="24"/>
        </w:rPr>
        <w:t xml:space="preserve"> (£205,000)</w:t>
      </w:r>
    </w:p>
    <w:p w14:paraId="6A20C796" w14:textId="05371949" w:rsidR="00861D8B" w:rsidRPr="00861D8B" w:rsidRDefault="00861D8B" w:rsidP="00861D8B">
      <w:pPr>
        <w:spacing w:line="360" w:lineRule="auto"/>
        <w:jc w:val="both"/>
        <w:rPr>
          <w:rFonts w:ascii="Times New Roman" w:hAnsi="Times New Roman" w:cs="Times New Roman"/>
          <w:sz w:val="24"/>
          <w:szCs w:val="24"/>
        </w:rPr>
      </w:pPr>
      <w:r w:rsidRPr="00861D8B">
        <w:rPr>
          <w:rFonts w:ascii="Times New Roman" w:hAnsi="Times New Roman" w:cs="Times New Roman"/>
          <w:sz w:val="24"/>
          <w:szCs w:val="24"/>
        </w:rPr>
        <w:t>Operating profit       £51,350</w:t>
      </w:r>
    </w:p>
    <w:p w14:paraId="0695A255" w14:textId="77777777" w:rsidR="00861D8B" w:rsidRPr="00861D8B" w:rsidRDefault="00861D8B" w:rsidP="00861D8B">
      <w:pPr>
        <w:spacing w:line="360" w:lineRule="auto"/>
        <w:jc w:val="both"/>
        <w:rPr>
          <w:rFonts w:ascii="Times New Roman" w:hAnsi="Times New Roman" w:cs="Times New Roman"/>
          <w:sz w:val="24"/>
          <w:szCs w:val="24"/>
        </w:rPr>
      </w:pPr>
      <w:r w:rsidRPr="00861D8B">
        <w:rPr>
          <w:rFonts w:ascii="Times New Roman" w:hAnsi="Times New Roman" w:cs="Times New Roman"/>
          <w:sz w:val="24"/>
          <w:szCs w:val="24"/>
        </w:rPr>
        <w:t>Less: Finance costs</w:t>
      </w:r>
    </w:p>
    <w:p w14:paraId="08AF8E46" w14:textId="79AEE9CB" w:rsidR="00F574B7" w:rsidRPr="00F574B7" w:rsidRDefault="00C91C1F" w:rsidP="00861D8B">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6A54E3DC" wp14:editId="6CD9C6DC">
                <wp:simplePos x="0" y="0"/>
                <wp:positionH relativeFrom="column">
                  <wp:posOffset>-411480</wp:posOffset>
                </wp:positionH>
                <wp:positionV relativeFrom="paragraph">
                  <wp:posOffset>279400</wp:posOffset>
                </wp:positionV>
                <wp:extent cx="3070860" cy="7620"/>
                <wp:effectExtent l="7620" t="6350" r="7620" b="5080"/>
                <wp:wrapNone/>
                <wp:docPr id="1972143592" name="Auto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070860" cy="762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0FB6987" id="AutoShape 5" o:spid="_x0000_s1026" type="#_x0000_t32" style="position:absolute;margin-left:-32.4pt;margin-top:22pt;width:241.8pt;height:.6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"/>
            </w:pict>
          </mc:Fallback>
        </mc:AlternateContent>
      </w:r>
      <w:r w:rsidR="00861D8B" w:rsidRPr="00861D8B">
        <w:rPr>
          <w:rFonts w:ascii="Times New Roman" w:hAnsi="Times New Roman" w:cs="Times New Roman"/>
          <w:sz w:val="24"/>
          <w:szCs w:val="24"/>
        </w:rPr>
        <w:t>Interest paid     (£2,000)</w:t>
      </w:r>
    </w:p>
    <w:p w14:paraId="12909BB6" w14:textId="057FE784" w:rsidR="00861D8B" w:rsidRPr="00861D8B" w:rsidRDefault="00861D8B" w:rsidP="00861D8B">
      <w:pPr>
        <w:spacing w:line="360" w:lineRule="auto"/>
        <w:jc w:val="both"/>
        <w:rPr>
          <w:rFonts w:ascii="Times New Roman" w:hAnsi="Times New Roman" w:cs="Times New Roman"/>
          <w:sz w:val="24"/>
          <w:szCs w:val="24"/>
        </w:rPr>
      </w:pPr>
      <w:r w:rsidRPr="00861D8B">
        <w:rPr>
          <w:rFonts w:ascii="Times New Roman" w:hAnsi="Times New Roman" w:cs="Times New Roman"/>
          <w:sz w:val="24"/>
          <w:szCs w:val="24"/>
        </w:rPr>
        <w:t>Profit before tax             £49,350</w:t>
      </w:r>
    </w:p>
    <w:p w14:paraId="50B25315" w14:textId="77777777" w:rsidR="00861D8B" w:rsidRPr="00861D8B" w:rsidRDefault="00861D8B" w:rsidP="00861D8B">
      <w:pPr>
        <w:spacing w:line="360" w:lineRule="auto"/>
        <w:jc w:val="both"/>
        <w:rPr>
          <w:rFonts w:ascii="Times New Roman" w:hAnsi="Times New Roman" w:cs="Times New Roman"/>
          <w:sz w:val="24"/>
          <w:szCs w:val="24"/>
        </w:rPr>
      </w:pPr>
      <w:r w:rsidRPr="00861D8B">
        <w:rPr>
          <w:rFonts w:ascii="Times New Roman" w:hAnsi="Times New Roman" w:cs="Times New Roman"/>
          <w:sz w:val="24"/>
          <w:szCs w:val="24"/>
        </w:rPr>
        <w:t>Less: Tax expense</w:t>
      </w:r>
    </w:p>
    <w:p w14:paraId="3C142450" w14:textId="11C46899" w:rsidR="00F574B7" w:rsidRPr="00861D8B" w:rsidRDefault="00861D8B" w:rsidP="00861D8B">
      <w:pPr>
        <w:spacing w:line="360" w:lineRule="auto"/>
        <w:jc w:val="both"/>
        <w:rPr>
          <w:rFonts w:ascii="Times New Roman" w:hAnsi="Times New Roman" w:cs="Times New Roman"/>
          <w:sz w:val="24"/>
          <w:szCs w:val="24"/>
        </w:rPr>
      </w:pPr>
      <w:r w:rsidRPr="00861D8B">
        <w:rPr>
          <w:rFonts w:ascii="Times New Roman" w:hAnsi="Times New Roman" w:cs="Times New Roman"/>
          <w:sz w:val="24"/>
          <w:szCs w:val="24"/>
        </w:rPr>
        <w:t>Estimated corporation tax      (£15,000)</w:t>
      </w:r>
    </w:p>
    <w:p w14:paraId="2D97890D" w14:textId="2085CE26" w:rsidR="00F574B7" w:rsidRPr="00F574B7" w:rsidRDefault="00C91C1F" w:rsidP="00F574B7">
      <w:pPr>
        <w:spacing w:line="360" w:lineRule="auto"/>
        <w:jc w:val="both"/>
        <w:rPr>
          <w:rFonts w:ascii="Times New Roman" w:hAnsi="Times New Roman" w:cs="Times New Roman"/>
          <w:b/>
          <w:bCs/>
          <w:sz w:val="24"/>
          <w:szCs w:val="24"/>
        </w:rPr>
      </w:pP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6A54E3DC" wp14:editId="694F4137">
                <wp:simplePos x="0" y="0"/>
                <wp:positionH relativeFrom="column">
                  <wp:posOffset>-464820</wp:posOffset>
                </wp:positionH>
                <wp:positionV relativeFrom="paragraph">
                  <wp:posOffset>297180</wp:posOffset>
                </wp:positionV>
                <wp:extent cx="3070860" cy="7620"/>
                <wp:effectExtent l="11430" t="5715" r="13335" b="5715"/>
                <wp:wrapNone/>
                <wp:docPr id="2128067759"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070860" cy="762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7ECBB80" id="AutoShape 6" o:spid="_x0000_s1026" type="#_x0000_t32" style="position:absolute;margin-left:-36.6pt;margin-top:23.4pt;width:241.8pt;height:.6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"/>
            </w:pict>
          </mc:Fallback>
        </mc:AlternateContent>
      </w:r>
    </w:p>
    <w:p w14:paraId="78781A42" w14:textId="63917CDB" w:rsidR="00884394" w:rsidRPr="00861D8B" w:rsidRDefault="00861D8B" w:rsidP="00884394">
      <w:pPr>
        <w:spacing w:line="360" w:lineRule="auto"/>
        <w:ind w:left="360"/>
        <w:jc w:val="both"/>
        <w:rPr>
          <w:rFonts w:ascii="Times New Roman" w:hAnsi="Times New Roman" w:cs="Times New Roman"/>
          <w:b/>
          <w:bCs/>
          <w:sz w:val="24"/>
          <w:szCs w:val="24"/>
        </w:rPr>
      </w:pPr>
      <w:r w:rsidRPr="00861D8B">
        <w:rPr>
          <w:rFonts w:ascii="Times New Roman" w:hAnsi="Times New Roman" w:cs="Times New Roman"/>
          <w:b/>
          <w:bCs/>
          <w:sz w:val="24"/>
          <w:szCs w:val="24"/>
        </w:rPr>
        <w:t>Profit for the year        £34,350</w:t>
      </w:r>
    </w:p>
    <w:p w14:paraId="2CCD930C" w14:textId="77777777" w:rsidR="00861D8B" w:rsidRPr="00861D8B" w:rsidRDefault="00861D8B" w:rsidP="00861D8B">
      <w:pPr>
        <w:spacing w:line="360" w:lineRule="auto"/>
        <w:jc w:val="both"/>
        <w:rPr>
          <w:rFonts w:ascii="Times New Roman" w:hAnsi="Times New Roman" w:cs="Times New Roman"/>
          <w:sz w:val="24"/>
          <w:szCs w:val="24"/>
        </w:rPr>
      </w:pPr>
      <w:r w:rsidRPr="00861D8B">
        <w:rPr>
          <w:rFonts w:ascii="Times New Roman" w:hAnsi="Times New Roman" w:cs="Times New Roman"/>
          <w:sz w:val="24"/>
          <w:szCs w:val="24"/>
        </w:rPr>
        <w:t>Depreciation expense = £650,000 × 10% = £65,000</w:t>
      </w:r>
    </w:p>
    <w:p w14:paraId="658EF5D2" w14:textId="77777777" w:rsidR="00861D8B" w:rsidRPr="00861D8B" w:rsidRDefault="00861D8B" w:rsidP="00861D8B">
      <w:pPr>
        <w:spacing w:line="360" w:lineRule="auto"/>
        <w:jc w:val="both"/>
        <w:rPr>
          <w:rFonts w:ascii="Times New Roman" w:hAnsi="Times New Roman" w:cs="Times New Roman"/>
          <w:sz w:val="24"/>
          <w:szCs w:val="24"/>
        </w:rPr>
      </w:pPr>
      <w:r w:rsidRPr="00861D8B">
        <w:rPr>
          <w:rFonts w:ascii="Times New Roman" w:hAnsi="Times New Roman" w:cs="Times New Roman"/>
          <w:sz w:val="24"/>
          <w:szCs w:val="24"/>
        </w:rPr>
        <w:t>Accrued salaries = £10,000</w:t>
      </w:r>
    </w:p>
    <w:p w14:paraId="3879578D" w14:textId="77777777" w:rsidR="00861D8B" w:rsidRPr="00861D8B" w:rsidRDefault="00861D8B" w:rsidP="00861D8B">
      <w:pPr>
        <w:spacing w:line="360" w:lineRule="auto"/>
        <w:jc w:val="both"/>
        <w:rPr>
          <w:rFonts w:ascii="Times New Roman" w:hAnsi="Times New Roman" w:cs="Times New Roman"/>
          <w:sz w:val="24"/>
          <w:szCs w:val="24"/>
        </w:rPr>
      </w:pPr>
      <w:r w:rsidRPr="00861D8B">
        <w:rPr>
          <w:rFonts w:ascii="Times New Roman" w:hAnsi="Times New Roman" w:cs="Times New Roman"/>
          <w:sz w:val="24"/>
          <w:szCs w:val="24"/>
        </w:rPr>
        <w:t>Accrued commissions = £2,000</w:t>
      </w:r>
    </w:p>
    <w:p w14:paraId="1F0F41D9" w14:textId="77777777" w:rsidR="00C91C1F" w:rsidRDefault="00C91C1F" w:rsidP="00884394">
      <w:pPr>
        <w:spacing w:line="360" w:lineRule="auto"/>
        <w:jc w:val="both"/>
        <w:rPr>
          <w:rFonts w:ascii="Times New Roman" w:hAnsi="Times New Roman" w:cs="Times New Roman"/>
          <w:sz w:val="24"/>
          <w:szCs w:val="24"/>
        </w:rPr>
      </w:pPr>
    </w:p>
    <w:p w14:paraId="0C471F36" w14:textId="4EB4275C" w:rsidR="00861D8B" w:rsidRPr="00C91C1F" w:rsidRDefault="00C91C1F" w:rsidP="00C91C1F">
      <w:pPr>
        <w:pStyle w:val="Heading2"/>
        <w:jc w:val="center"/>
        <w:rPr>
          <w:b/>
          <w:bCs/>
        </w:rPr>
      </w:pPr>
      <w:bookmarkStart w:id="2" w:name="_Toc165036713"/>
      <w:r w:rsidRPr="00C91C1F">
        <w:rPr>
          <w:b/>
          <w:bCs/>
        </w:rPr>
        <w:t>Question 3</w:t>
      </w:r>
      <w:bookmarkEnd w:id="2"/>
    </w:p>
    <w:p w14:paraId="07BCA0FA" w14:textId="77777777" w:rsidR="00C91C1F" w:rsidRPr="00C91C1F" w:rsidRDefault="00C91C1F" w:rsidP="00C91C1F">
      <w:pPr>
        <w:spacing w:line="360" w:lineRule="auto"/>
        <w:jc w:val="both"/>
        <w:rPr>
          <w:rFonts w:ascii="Times New Roman" w:hAnsi="Times New Roman" w:cs="Times New Roman"/>
          <w:b/>
          <w:bCs/>
          <w:sz w:val="24"/>
          <w:szCs w:val="24"/>
        </w:rPr>
      </w:pPr>
      <w:r w:rsidRPr="00C91C1F">
        <w:rPr>
          <w:rFonts w:ascii="Times New Roman" w:hAnsi="Times New Roman" w:cs="Times New Roman"/>
          <w:b/>
          <w:bCs/>
          <w:sz w:val="24"/>
          <w:szCs w:val="24"/>
        </w:rPr>
        <w:t>Ratio calculations for Sweets plc for 2022 and 2021:</w:t>
      </w:r>
    </w:p>
    <w:p w14:paraId="6A784A85" w14:textId="77777777" w:rsidR="00C91C1F" w:rsidRPr="00C91C1F" w:rsidRDefault="00C91C1F" w:rsidP="00C91C1F">
      <w:pPr>
        <w:spacing w:line="360" w:lineRule="auto"/>
        <w:jc w:val="both"/>
        <w:rPr>
          <w:rFonts w:ascii="Times New Roman" w:hAnsi="Times New Roman" w:cs="Times New Roman"/>
          <w:b/>
          <w:bCs/>
          <w:sz w:val="24"/>
          <w:szCs w:val="24"/>
        </w:rPr>
      </w:pPr>
    </w:p>
    <w:p w14:paraId="23CFB6E5" w14:textId="77777777" w:rsidR="00C91C1F" w:rsidRPr="00C91C1F" w:rsidRDefault="00C91C1F" w:rsidP="00C91C1F">
      <w:pPr>
        <w:spacing w:line="360" w:lineRule="auto"/>
        <w:jc w:val="both"/>
        <w:rPr>
          <w:rFonts w:ascii="Times New Roman" w:hAnsi="Times New Roman" w:cs="Times New Roman"/>
          <w:b/>
          <w:bCs/>
          <w:sz w:val="24"/>
          <w:szCs w:val="24"/>
        </w:rPr>
      </w:pPr>
      <w:r w:rsidRPr="00C91C1F">
        <w:rPr>
          <w:rFonts w:ascii="Times New Roman" w:hAnsi="Times New Roman" w:cs="Times New Roman"/>
          <w:b/>
          <w:bCs/>
          <w:sz w:val="24"/>
          <w:szCs w:val="24"/>
        </w:rPr>
        <w:t>ROCE (Return on Capital Employed)</w:t>
      </w:r>
    </w:p>
    <w:p w14:paraId="72A83C37"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Formula: Operating profit / (Total assets - Current liabilities) * 100</w:t>
      </w:r>
    </w:p>
    <w:p w14:paraId="3B1AFFB2"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2022: 805 / (9,736 - 2,511) * 100 = 11.14%</w:t>
      </w:r>
    </w:p>
    <w:p w14:paraId="15D010EE"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2021: 699 / (10,087 - 3,046) * 100 = 9.92%</w:t>
      </w:r>
    </w:p>
    <w:p w14:paraId="6A2635F4" w14:textId="77777777" w:rsidR="00C91C1F" w:rsidRPr="00C91C1F" w:rsidRDefault="00C91C1F" w:rsidP="00C91C1F">
      <w:pPr>
        <w:spacing w:line="360" w:lineRule="auto"/>
        <w:jc w:val="both"/>
        <w:rPr>
          <w:rFonts w:ascii="Times New Roman" w:hAnsi="Times New Roman" w:cs="Times New Roman"/>
          <w:b/>
          <w:bCs/>
          <w:sz w:val="24"/>
          <w:szCs w:val="24"/>
        </w:rPr>
      </w:pPr>
      <w:r w:rsidRPr="00C91C1F">
        <w:rPr>
          <w:rFonts w:ascii="Times New Roman" w:hAnsi="Times New Roman" w:cs="Times New Roman"/>
          <w:b/>
          <w:bCs/>
          <w:sz w:val="24"/>
          <w:szCs w:val="24"/>
        </w:rPr>
        <w:t>ROE (Return on Equity)</w:t>
      </w:r>
    </w:p>
    <w:p w14:paraId="56F0B405"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Formula: Profit for the year / Equity * 100</w:t>
      </w:r>
    </w:p>
    <w:p w14:paraId="6B37109C"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lastRenderedPageBreak/>
        <w:t>2022: 431 / 3,088 * 100 = 13.96%</w:t>
      </w:r>
    </w:p>
    <w:p w14:paraId="3A8526FC"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2021: 366 / 2,912 * 100 = 12.57%</w:t>
      </w:r>
    </w:p>
    <w:p w14:paraId="21356432" w14:textId="77777777" w:rsidR="00C91C1F" w:rsidRPr="00C91C1F" w:rsidRDefault="00C91C1F" w:rsidP="00C91C1F">
      <w:pPr>
        <w:spacing w:line="360" w:lineRule="auto"/>
        <w:jc w:val="both"/>
        <w:rPr>
          <w:rFonts w:ascii="Times New Roman" w:hAnsi="Times New Roman" w:cs="Times New Roman"/>
          <w:b/>
          <w:bCs/>
          <w:sz w:val="24"/>
          <w:szCs w:val="24"/>
        </w:rPr>
      </w:pPr>
      <w:r w:rsidRPr="00C91C1F">
        <w:rPr>
          <w:rFonts w:ascii="Times New Roman" w:hAnsi="Times New Roman" w:cs="Times New Roman"/>
          <w:b/>
          <w:bCs/>
          <w:sz w:val="24"/>
          <w:szCs w:val="24"/>
        </w:rPr>
        <w:t>Earnings per share</w:t>
      </w:r>
    </w:p>
    <w:p w14:paraId="1851930E"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Formula: Profit for the year / Number of shares</w:t>
      </w:r>
    </w:p>
    <w:p w14:paraId="0C833F1B"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2022: 431,000,000 / (300,000,000 / 0.5) = £0.72</w:t>
      </w:r>
    </w:p>
    <w:p w14:paraId="22189912"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2021: 366,000,000 / (300,000,000 / 0.5) = £0.61</w:t>
      </w:r>
    </w:p>
    <w:p w14:paraId="24B50C1A" w14:textId="77777777" w:rsidR="00C91C1F" w:rsidRPr="00C91C1F" w:rsidRDefault="00C91C1F" w:rsidP="00C91C1F">
      <w:pPr>
        <w:spacing w:line="360" w:lineRule="auto"/>
        <w:jc w:val="both"/>
        <w:rPr>
          <w:rFonts w:ascii="Times New Roman" w:hAnsi="Times New Roman" w:cs="Times New Roman"/>
          <w:b/>
          <w:bCs/>
          <w:sz w:val="24"/>
          <w:szCs w:val="24"/>
        </w:rPr>
      </w:pPr>
      <w:r w:rsidRPr="00C91C1F">
        <w:rPr>
          <w:rFonts w:ascii="Times New Roman" w:hAnsi="Times New Roman" w:cs="Times New Roman"/>
          <w:b/>
          <w:bCs/>
          <w:sz w:val="24"/>
          <w:szCs w:val="24"/>
        </w:rPr>
        <w:t>Net profit margin</w:t>
      </w:r>
    </w:p>
    <w:p w14:paraId="509DFCA3"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Formula: Profit for the year / Revenue * 100</w:t>
      </w:r>
    </w:p>
    <w:p w14:paraId="57F1E616"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2022: 431 / 6,738 * 100 = 6.40%</w:t>
      </w:r>
    </w:p>
    <w:p w14:paraId="7614B0E8"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2021: 366 / 6,441 * 100 = 5.68%</w:t>
      </w:r>
    </w:p>
    <w:p w14:paraId="12D3A919" w14:textId="77777777" w:rsidR="00C91C1F" w:rsidRPr="00C91C1F" w:rsidRDefault="00C91C1F" w:rsidP="00C91C1F">
      <w:pPr>
        <w:spacing w:line="360" w:lineRule="auto"/>
        <w:jc w:val="both"/>
        <w:rPr>
          <w:rFonts w:ascii="Times New Roman" w:hAnsi="Times New Roman" w:cs="Times New Roman"/>
          <w:b/>
          <w:bCs/>
          <w:sz w:val="24"/>
          <w:szCs w:val="24"/>
        </w:rPr>
      </w:pPr>
      <w:r w:rsidRPr="00C91C1F">
        <w:rPr>
          <w:rFonts w:ascii="Times New Roman" w:hAnsi="Times New Roman" w:cs="Times New Roman"/>
          <w:b/>
          <w:bCs/>
          <w:sz w:val="24"/>
          <w:szCs w:val="24"/>
        </w:rPr>
        <w:t>Asset turnover</w:t>
      </w:r>
    </w:p>
    <w:p w14:paraId="5D0ADE73"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Formula: Revenue / Total assets</w:t>
      </w:r>
    </w:p>
    <w:p w14:paraId="0504CEBA"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2022: 6,738 / 9,736 = 0.69</w:t>
      </w:r>
    </w:p>
    <w:p w14:paraId="247B6D18"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2021: 6,441 / 10,087 = 0.64</w:t>
      </w:r>
    </w:p>
    <w:p w14:paraId="2E14FC0D" w14:textId="77777777" w:rsidR="00C91C1F" w:rsidRPr="00C91C1F" w:rsidRDefault="00C91C1F" w:rsidP="00C91C1F">
      <w:pPr>
        <w:spacing w:line="360" w:lineRule="auto"/>
        <w:jc w:val="both"/>
        <w:rPr>
          <w:rFonts w:ascii="Times New Roman" w:hAnsi="Times New Roman" w:cs="Times New Roman"/>
          <w:b/>
          <w:bCs/>
          <w:sz w:val="24"/>
          <w:szCs w:val="24"/>
        </w:rPr>
      </w:pPr>
      <w:r w:rsidRPr="00C91C1F">
        <w:rPr>
          <w:rFonts w:ascii="Times New Roman" w:hAnsi="Times New Roman" w:cs="Times New Roman"/>
          <w:b/>
          <w:bCs/>
          <w:sz w:val="24"/>
          <w:szCs w:val="24"/>
        </w:rPr>
        <w:t>Stock holding days</w:t>
      </w:r>
    </w:p>
    <w:p w14:paraId="76163963"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Formula: (Inventory / Cost of sales) * 365</w:t>
      </w:r>
    </w:p>
    <w:p w14:paraId="4DA493C9"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2022: (708 / 3,235) * 365 = 80 days</w:t>
      </w:r>
    </w:p>
    <w:p w14:paraId="3DC65392"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2021: (659 / 3,096) * 365 = 78 days</w:t>
      </w:r>
    </w:p>
    <w:p w14:paraId="7C80E1CD" w14:textId="77777777" w:rsidR="00C91C1F" w:rsidRPr="00C91C1F" w:rsidRDefault="00C91C1F" w:rsidP="00C91C1F">
      <w:pPr>
        <w:spacing w:line="360" w:lineRule="auto"/>
        <w:jc w:val="both"/>
        <w:rPr>
          <w:rFonts w:ascii="Times New Roman" w:hAnsi="Times New Roman" w:cs="Times New Roman"/>
          <w:b/>
          <w:bCs/>
          <w:sz w:val="24"/>
          <w:szCs w:val="24"/>
        </w:rPr>
      </w:pPr>
      <w:r w:rsidRPr="00C91C1F">
        <w:rPr>
          <w:rFonts w:ascii="Times New Roman" w:hAnsi="Times New Roman" w:cs="Times New Roman"/>
          <w:b/>
          <w:bCs/>
          <w:sz w:val="24"/>
          <w:szCs w:val="24"/>
        </w:rPr>
        <w:t>Debtors collection period</w:t>
      </w:r>
    </w:p>
    <w:p w14:paraId="77636689"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Formula: (Trade receivables / Revenue) * 365</w:t>
      </w:r>
    </w:p>
    <w:p w14:paraId="3B6199B8"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2022: (1,249 / 6,738) * 365 = 68 days</w:t>
      </w:r>
    </w:p>
    <w:p w14:paraId="2A52FCBD"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2021: (1,287 / 6,441) * 365 = 73 days</w:t>
      </w:r>
    </w:p>
    <w:p w14:paraId="4CB6B0C8" w14:textId="77777777" w:rsidR="00C91C1F" w:rsidRPr="00C91C1F" w:rsidRDefault="00C91C1F" w:rsidP="00C91C1F">
      <w:pPr>
        <w:spacing w:line="360" w:lineRule="auto"/>
        <w:jc w:val="both"/>
        <w:rPr>
          <w:rFonts w:ascii="Times New Roman" w:hAnsi="Times New Roman" w:cs="Times New Roman"/>
          <w:b/>
          <w:bCs/>
          <w:sz w:val="24"/>
          <w:szCs w:val="24"/>
        </w:rPr>
      </w:pPr>
      <w:r w:rsidRPr="00C91C1F">
        <w:rPr>
          <w:rFonts w:ascii="Times New Roman" w:hAnsi="Times New Roman" w:cs="Times New Roman"/>
          <w:b/>
          <w:bCs/>
          <w:sz w:val="24"/>
          <w:szCs w:val="24"/>
        </w:rPr>
        <w:t>Current ratio</w:t>
      </w:r>
    </w:p>
    <w:p w14:paraId="17A8C57F"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Formula: Current assets / Current liabilities</w:t>
      </w:r>
    </w:p>
    <w:p w14:paraId="40AD4EA3"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lastRenderedPageBreak/>
        <w:t>2022: 2,303 / 2,511 = 0.92</w:t>
      </w:r>
    </w:p>
    <w:p w14:paraId="53AE9137"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2021: 2,355 / 3,046 = 0.77</w:t>
      </w:r>
    </w:p>
    <w:p w14:paraId="6B05C830" w14:textId="77777777" w:rsidR="00C91C1F" w:rsidRPr="00C91C1F" w:rsidRDefault="00C91C1F" w:rsidP="00C91C1F">
      <w:pPr>
        <w:spacing w:line="360" w:lineRule="auto"/>
        <w:jc w:val="both"/>
        <w:rPr>
          <w:rFonts w:ascii="Times New Roman" w:hAnsi="Times New Roman" w:cs="Times New Roman"/>
          <w:b/>
          <w:bCs/>
          <w:sz w:val="24"/>
          <w:szCs w:val="24"/>
        </w:rPr>
      </w:pPr>
      <w:r w:rsidRPr="00C91C1F">
        <w:rPr>
          <w:rFonts w:ascii="Times New Roman" w:hAnsi="Times New Roman" w:cs="Times New Roman"/>
          <w:b/>
          <w:bCs/>
          <w:sz w:val="24"/>
          <w:szCs w:val="24"/>
        </w:rPr>
        <w:t>Gearing ratio</w:t>
      </w:r>
    </w:p>
    <w:p w14:paraId="57DDD824"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Formula: (Non-current liabilities / (Non-current liabilities + Equity)) * 100</w:t>
      </w:r>
    </w:p>
    <w:p w14:paraId="74B9BCE9"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2022: (4,137 / (4,137 + 3,088)) * 100 = 57.26%</w:t>
      </w:r>
    </w:p>
    <w:p w14:paraId="14911CB3"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2021: (4,129 / (4,129 + 2,912)) * 100 = 58.64%</w:t>
      </w:r>
    </w:p>
    <w:p w14:paraId="1E06C1CA" w14:textId="77777777" w:rsidR="00C91C1F" w:rsidRPr="00C91C1F" w:rsidRDefault="00C91C1F" w:rsidP="00C91C1F">
      <w:pPr>
        <w:spacing w:line="360" w:lineRule="auto"/>
        <w:jc w:val="both"/>
        <w:rPr>
          <w:rFonts w:ascii="Times New Roman" w:hAnsi="Times New Roman" w:cs="Times New Roman"/>
          <w:b/>
          <w:bCs/>
          <w:sz w:val="24"/>
          <w:szCs w:val="24"/>
        </w:rPr>
      </w:pPr>
      <w:r w:rsidRPr="00C91C1F">
        <w:rPr>
          <w:rFonts w:ascii="Times New Roman" w:hAnsi="Times New Roman" w:cs="Times New Roman"/>
          <w:b/>
          <w:bCs/>
          <w:sz w:val="24"/>
          <w:szCs w:val="24"/>
        </w:rPr>
        <w:t>Interest cover</w:t>
      </w:r>
    </w:p>
    <w:p w14:paraId="04453628"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Formula: Operating profit / Interest payable</w:t>
      </w:r>
    </w:p>
    <w:p w14:paraId="6E3B52DA"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2022: 805 / 226 = 3.56 times</w:t>
      </w:r>
    </w:p>
    <w:p w14:paraId="04DAB129" w14:textId="74E6697B" w:rsid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2021: 699 / 181 = 3.86 times</w:t>
      </w:r>
    </w:p>
    <w:p w14:paraId="0DED1BA3" w14:textId="77777777" w:rsidR="00C91C1F" w:rsidRDefault="00C91C1F" w:rsidP="00C91C1F">
      <w:pPr>
        <w:spacing w:line="360" w:lineRule="auto"/>
        <w:rPr>
          <w:rFonts w:ascii="Times New Roman" w:hAnsi="Times New Roman" w:cs="Times New Roman"/>
          <w:sz w:val="24"/>
          <w:szCs w:val="24"/>
        </w:rPr>
      </w:pPr>
    </w:p>
    <w:p w14:paraId="4FB99209" w14:textId="067E6305" w:rsidR="00861D8B" w:rsidRDefault="00C91C1F" w:rsidP="0088439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b) </w:t>
      </w:r>
      <w:r w:rsidRPr="00C91C1F">
        <w:rPr>
          <w:rFonts w:ascii="Times New Roman" w:hAnsi="Times New Roman" w:cs="Times New Roman"/>
          <w:sz w:val="24"/>
          <w:szCs w:val="24"/>
        </w:rPr>
        <w:t>Financial performance and position analysis:</w:t>
      </w:r>
    </w:p>
    <w:p w14:paraId="5093955B" w14:textId="7D034600" w:rsidR="00C91C1F" w:rsidRPr="00C91C1F" w:rsidRDefault="00C91C1F" w:rsidP="00C91C1F">
      <w:pPr>
        <w:spacing w:line="360" w:lineRule="auto"/>
        <w:jc w:val="both"/>
        <w:rPr>
          <w:rFonts w:ascii="Times New Roman" w:hAnsi="Times New Roman" w:cs="Times New Roman"/>
          <w:b/>
          <w:bCs/>
          <w:sz w:val="24"/>
          <w:szCs w:val="24"/>
        </w:rPr>
      </w:pPr>
      <w:r w:rsidRPr="00C91C1F">
        <w:rPr>
          <w:rFonts w:ascii="Times New Roman" w:hAnsi="Times New Roman" w:cs="Times New Roman"/>
          <w:b/>
          <w:bCs/>
          <w:sz w:val="24"/>
          <w:szCs w:val="24"/>
        </w:rPr>
        <w:t>Earnings capacity:</w:t>
      </w:r>
    </w:p>
    <w:p w14:paraId="444E46CA" w14:textId="1697D22D"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Sweets plc brought up an increase in profitability in 2022 against the previous year 2021. ROCCE grew from 9.92% to 11.14%, ROIC went up from 11.44% to 15.28%, and the turnover ratio improved from 2.15 to 2.47, all these show that the efficiency of generating profits from capital employed raised.</w:t>
      </w:r>
    </w:p>
    <w:p w14:paraId="05E130DB" w14:textId="1BC2033F"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Besides, the return on equity (ROE) elevated from 12.57% to 13.96%, which means that investors get higher dividends.</w:t>
      </w:r>
    </w:p>
    <w:p w14:paraId="2B1BFDCD"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Lastly, the company witnessed a positive outcome in the net profit margin via an increase from 5.68% to 6.40%, and in the earnings per share via an increase from £0.61 to £0.72. This means that it managed to be competitive with the other companies despite the growth in terms of profitability.</w:t>
      </w:r>
    </w:p>
    <w:p w14:paraId="586755E0" w14:textId="3BF67535" w:rsidR="00C91C1F" w:rsidRPr="00C91C1F" w:rsidRDefault="00C91C1F" w:rsidP="00C91C1F">
      <w:pPr>
        <w:spacing w:line="360" w:lineRule="auto"/>
        <w:jc w:val="both"/>
        <w:rPr>
          <w:rFonts w:ascii="Times New Roman" w:hAnsi="Times New Roman" w:cs="Times New Roman"/>
          <w:b/>
          <w:bCs/>
          <w:sz w:val="24"/>
          <w:szCs w:val="24"/>
        </w:rPr>
      </w:pPr>
      <w:r w:rsidRPr="00C91C1F">
        <w:rPr>
          <w:rFonts w:ascii="Times New Roman" w:hAnsi="Times New Roman" w:cs="Times New Roman"/>
          <w:b/>
          <w:bCs/>
          <w:sz w:val="24"/>
          <w:szCs w:val="24"/>
        </w:rPr>
        <w:t>Effectiveness:</w:t>
      </w:r>
    </w:p>
    <w:p w14:paraId="357B0F51" w14:textId="77777777" w:rsid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It was a good check as the asset turnover ratio showed minor improvement from 0.64 to 0.69, thereby, depicting a marginal increase in the utilization of assets to generate revenue.</w:t>
      </w:r>
    </w:p>
    <w:p w14:paraId="261E3B31" w14:textId="77777777" w:rsid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lastRenderedPageBreak/>
        <w:t>In the same period, the number of days to hold supplies was 78 while it turned to 80 days. Such a shift may indicate a slower rate of inventory management.</w:t>
      </w:r>
    </w:p>
    <w:p w14:paraId="09E82C82" w14:textId="325947A4"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Shorter credit terms, accompanied by faster collection times, are advised as a consequence of decrease of average debtor's collection period from 73 to 68 days.</w:t>
      </w:r>
    </w:p>
    <w:p w14:paraId="0E9D5282" w14:textId="3B51C1B1"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b/>
          <w:bCs/>
          <w:sz w:val="24"/>
          <w:szCs w:val="24"/>
        </w:rPr>
        <w:t>Liquidity and Solvency:</w:t>
      </w:r>
      <w:r w:rsidRPr="00C91C1F">
        <w:rPr>
          <w:rFonts w:ascii="Times New Roman" w:hAnsi="Times New Roman" w:cs="Times New Roman"/>
          <w:sz w:val="24"/>
          <w:szCs w:val="24"/>
        </w:rPr>
        <w:t xml:space="preserve"> The gearing (or leverage) ratio was slightly less at 57.26% compared to previous years. Nevertheless, it is considered relatively high which means a major part of the company's operations are in borrowing funds to finance activities. This implies that Sweets plc adopts a high level of debt-based financing and hence may create a margin of doubt if interest rate rises or if the company's profits decline. Interest cover went down from 3.86 to 3.56 times, hinting at an ever so slight slower rate of income creation compared to the cost of interest debt. Liquidity ratio rose but </w:t>
      </w:r>
      <w:r w:rsidRPr="00C91C1F">
        <w:rPr>
          <w:rFonts w:ascii="Times New Roman" w:hAnsi="Times New Roman" w:cs="Times New Roman"/>
          <w:sz w:val="24"/>
          <w:szCs w:val="24"/>
        </w:rPr>
        <w:t>think</w:t>
      </w:r>
      <w:r w:rsidRPr="00C91C1F">
        <w:rPr>
          <w:rFonts w:ascii="Times New Roman" w:hAnsi="Times New Roman" w:cs="Times New Roman"/>
          <w:sz w:val="24"/>
          <w:szCs w:val="24"/>
        </w:rPr>
        <w:t xml:space="preserve"> of cash issues because it is not above 1. Nevertheless, it's significantly higher than the previous year's level of the unemployment rate which is an encouraging sign for the future.</w:t>
      </w:r>
    </w:p>
    <w:p w14:paraId="44731075" w14:textId="77777777" w:rsidR="00C91C1F" w:rsidRPr="00C91C1F" w:rsidRDefault="00C91C1F" w:rsidP="00C91C1F">
      <w:pPr>
        <w:spacing w:line="360" w:lineRule="auto"/>
        <w:jc w:val="both"/>
        <w:rPr>
          <w:rFonts w:ascii="Times New Roman" w:hAnsi="Times New Roman" w:cs="Times New Roman"/>
          <w:sz w:val="24"/>
          <w:szCs w:val="24"/>
        </w:rPr>
      </w:pPr>
    </w:p>
    <w:p w14:paraId="4BE45DD9"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In general, an accounting analysis of Sweets plcs operations indicates that the company has achieved greater profitability and efficiency performance. Nonetheless, a softening in the company's metrics for liquidity and solvency suggests that the financial health position may not be as healthy as initially assumed. If not managed properly the loan will increase the amount of capital (debt), and the current ratio will decrease. Both of these situations may bring some worries. To gain financial stability of the company, it should start within the following: enhance cash position and decrease debt financing dependency.</w:t>
      </w:r>
    </w:p>
    <w:p w14:paraId="12F139E2" w14:textId="77777777" w:rsidR="00C91C1F" w:rsidRPr="00C91C1F" w:rsidRDefault="00C91C1F" w:rsidP="00C91C1F">
      <w:pPr>
        <w:spacing w:line="360" w:lineRule="auto"/>
        <w:jc w:val="both"/>
        <w:rPr>
          <w:rFonts w:ascii="Times New Roman" w:hAnsi="Times New Roman" w:cs="Times New Roman"/>
          <w:sz w:val="24"/>
          <w:szCs w:val="24"/>
        </w:rPr>
      </w:pPr>
    </w:p>
    <w:p w14:paraId="0D4B2592" w14:textId="77777777" w:rsidR="00C91C1F" w:rsidRPr="00C91C1F" w:rsidRDefault="00C91C1F" w:rsidP="00C91C1F">
      <w:pPr>
        <w:spacing w:line="360" w:lineRule="auto"/>
        <w:jc w:val="both"/>
        <w:rPr>
          <w:rFonts w:ascii="Times New Roman" w:hAnsi="Times New Roman" w:cs="Times New Roman"/>
          <w:sz w:val="24"/>
          <w:szCs w:val="24"/>
        </w:rPr>
      </w:pPr>
    </w:p>
    <w:p w14:paraId="2B00380B" w14:textId="77777777" w:rsidR="00C91C1F" w:rsidRPr="00C91C1F" w:rsidRDefault="00C91C1F" w:rsidP="00C91C1F">
      <w:pPr>
        <w:spacing w:line="360" w:lineRule="auto"/>
        <w:jc w:val="both"/>
        <w:rPr>
          <w:rFonts w:ascii="Times New Roman" w:hAnsi="Times New Roman" w:cs="Times New Roman"/>
          <w:sz w:val="24"/>
          <w:szCs w:val="24"/>
        </w:rPr>
      </w:pPr>
    </w:p>
    <w:p w14:paraId="4272B60B" w14:textId="77777777" w:rsidR="00C91C1F" w:rsidRPr="00C91C1F" w:rsidRDefault="00C91C1F" w:rsidP="00C91C1F">
      <w:pPr>
        <w:spacing w:line="360" w:lineRule="auto"/>
        <w:jc w:val="both"/>
        <w:rPr>
          <w:rFonts w:ascii="Times New Roman" w:hAnsi="Times New Roman" w:cs="Times New Roman"/>
          <w:sz w:val="24"/>
          <w:szCs w:val="24"/>
        </w:rPr>
      </w:pPr>
    </w:p>
    <w:p w14:paraId="45BE98BD" w14:textId="77777777" w:rsidR="00C91C1F" w:rsidRPr="00C91C1F" w:rsidRDefault="00C91C1F" w:rsidP="00C91C1F">
      <w:pPr>
        <w:spacing w:line="360" w:lineRule="auto"/>
        <w:jc w:val="both"/>
        <w:rPr>
          <w:rFonts w:ascii="Times New Roman" w:hAnsi="Times New Roman" w:cs="Times New Roman"/>
          <w:sz w:val="24"/>
          <w:szCs w:val="24"/>
        </w:rPr>
      </w:pPr>
    </w:p>
    <w:p w14:paraId="6BE47CCF" w14:textId="77777777" w:rsidR="00C91C1F" w:rsidRPr="00C91C1F" w:rsidRDefault="00C91C1F" w:rsidP="00C91C1F">
      <w:pPr>
        <w:spacing w:line="360" w:lineRule="auto"/>
        <w:jc w:val="both"/>
        <w:rPr>
          <w:rFonts w:ascii="Times New Roman" w:hAnsi="Times New Roman" w:cs="Times New Roman"/>
          <w:sz w:val="24"/>
          <w:szCs w:val="24"/>
        </w:rPr>
      </w:pPr>
    </w:p>
    <w:p w14:paraId="3794FB26" w14:textId="77777777" w:rsidR="00C91C1F" w:rsidRPr="00C91C1F" w:rsidRDefault="00C91C1F" w:rsidP="00C91C1F">
      <w:pPr>
        <w:spacing w:line="360" w:lineRule="auto"/>
        <w:jc w:val="both"/>
        <w:rPr>
          <w:rFonts w:ascii="Times New Roman" w:hAnsi="Times New Roman" w:cs="Times New Roman"/>
          <w:sz w:val="24"/>
          <w:szCs w:val="24"/>
        </w:rPr>
      </w:pPr>
    </w:p>
    <w:p w14:paraId="6973B4A6" w14:textId="77777777" w:rsidR="00C91C1F" w:rsidRPr="00C91C1F" w:rsidRDefault="00C91C1F" w:rsidP="00C91C1F">
      <w:pPr>
        <w:spacing w:line="360" w:lineRule="auto"/>
        <w:jc w:val="both"/>
        <w:rPr>
          <w:rFonts w:ascii="Times New Roman" w:hAnsi="Times New Roman" w:cs="Times New Roman"/>
          <w:sz w:val="24"/>
          <w:szCs w:val="24"/>
        </w:rPr>
      </w:pPr>
    </w:p>
    <w:p w14:paraId="16E627F6" w14:textId="77777777" w:rsidR="00C91C1F" w:rsidRPr="00C91C1F" w:rsidRDefault="00C91C1F" w:rsidP="00C91C1F">
      <w:pPr>
        <w:spacing w:line="360" w:lineRule="auto"/>
        <w:jc w:val="both"/>
        <w:rPr>
          <w:rFonts w:ascii="Times New Roman" w:hAnsi="Times New Roman" w:cs="Times New Roman"/>
          <w:sz w:val="24"/>
          <w:szCs w:val="24"/>
        </w:rPr>
      </w:pPr>
    </w:p>
    <w:p w14:paraId="34DAFFD9" w14:textId="77777777" w:rsidR="00C91C1F" w:rsidRDefault="00C91C1F" w:rsidP="00884394">
      <w:pPr>
        <w:spacing w:line="360" w:lineRule="auto"/>
        <w:jc w:val="both"/>
        <w:rPr>
          <w:rFonts w:ascii="Times New Roman" w:hAnsi="Times New Roman" w:cs="Times New Roman"/>
          <w:sz w:val="24"/>
          <w:szCs w:val="24"/>
        </w:rPr>
      </w:pPr>
    </w:p>
    <w:p w14:paraId="53548832" w14:textId="63A9AB5B" w:rsidR="00C91C1F" w:rsidRPr="00C91C1F" w:rsidRDefault="00C91C1F" w:rsidP="00C91C1F">
      <w:pPr>
        <w:pStyle w:val="Heading2"/>
        <w:jc w:val="center"/>
        <w:rPr>
          <w:b/>
          <w:bCs/>
        </w:rPr>
      </w:pPr>
      <w:bookmarkStart w:id="3" w:name="_Toc165036714"/>
      <w:r w:rsidRPr="00C91C1F">
        <w:rPr>
          <w:b/>
          <w:bCs/>
        </w:rPr>
        <w:t>References</w:t>
      </w:r>
      <w:bookmarkEnd w:id="3"/>
    </w:p>
    <w:p w14:paraId="1C943481"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Brigham, E. F., &amp; Ehrhardt, M. C. (2021). Financial management: Theory &amp; practice (16th ed.). Cengage Learning.</w:t>
      </w:r>
    </w:p>
    <w:p w14:paraId="7CAF079C"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Damodaran, A. (2012). Investment valuation: Tools and techniques for determining the value of any asset (3rd ed.). John Wiley &amp; Sons.</w:t>
      </w:r>
    </w:p>
    <w:p w14:paraId="61C3E833"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Fridson, M. S., &amp; Alvarez, F. (2011). Financial statement analysis: A practitioner's guide (4th ed.). John Wiley &amp; Sons.</w:t>
      </w:r>
    </w:p>
    <w:p w14:paraId="33AFE889"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Gibson, C. H. (2012). Financial reporting and analysis (13th ed.). Cengage Learning.</w:t>
      </w:r>
    </w:p>
    <w:p w14:paraId="7E789AD8"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Palepu, K. G., Healy, P. M., &amp; Peek, E. (2013). Business analysis and valuation: IFRS edition (3rd ed.). Cengage Learning.</w:t>
      </w:r>
    </w:p>
    <w:p w14:paraId="73D950D1"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Penman, S. H. (2013). Financial statement analysis and security valuation (5th ed.). McGraw-Hill Education.</w:t>
      </w:r>
    </w:p>
    <w:p w14:paraId="72FE67F8" w14:textId="77777777" w:rsidR="00C91C1F" w:rsidRP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Subramanyam, K. R. (2014). Financial statement analysis (11th ed.). McGraw-Hill Education.</w:t>
      </w:r>
    </w:p>
    <w:p w14:paraId="7DF11297" w14:textId="24E793A6" w:rsidR="00C91C1F" w:rsidRDefault="00C91C1F" w:rsidP="00C91C1F">
      <w:pPr>
        <w:spacing w:line="360" w:lineRule="auto"/>
        <w:jc w:val="both"/>
        <w:rPr>
          <w:rFonts w:ascii="Times New Roman" w:hAnsi="Times New Roman" w:cs="Times New Roman"/>
          <w:sz w:val="24"/>
          <w:szCs w:val="24"/>
        </w:rPr>
      </w:pPr>
      <w:r w:rsidRPr="00C91C1F">
        <w:rPr>
          <w:rFonts w:ascii="Times New Roman" w:hAnsi="Times New Roman" w:cs="Times New Roman"/>
          <w:sz w:val="24"/>
          <w:szCs w:val="24"/>
        </w:rPr>
        <w:t>White, G. I., Sondhi, A. C., &amp; Fried, D. (2003). The analysis and use of financial statements (3rd ed.). John Wiley &amp; Sons.</w:t>
      </w:r>
    </w:p>
    <w:p w14:paraId="478F1246" w14:textId="77777777" w:rsidR="00C91C1F" w:rsidRDefault="00C91C1F" w:rsidP="00884394">
      <w:pPr>
        <w:spacing w:line="360" w:lineRule="auto"/>
        <w:jc w:val="both"/>
        <w:rPr>
          <w:rFonts w:ascii="Times New Roman" w:hAnsi="Times New Roman" w:cs="Times New Roman"/>
          <w:sz w:val="24"/>
          <w:szCs w:val="24"/>
        </w:rPr>
      </w:pPr>
    </w:p>
    <w:p w14:paraId="12A80894" w14:textId="77777777" w:rsidR="00861D8B" w:rsidRPr="00884394" w:rsidRDefault="00861D8B" w:rsidP="00884394">
      <w:pPr>
        <w:spacing w:line="360" w:lineRule="auto"/>
        <w:jc w:val="both"/>
        <w:rPr>
          <w:rFonts w:ascii="Times New Roman" w:hAnsi="Times New Roman" w:cs="Times New Roman"/>
          <w:sz w:val="24"/>
          <w:szCs w:val="24"/>
        </w:rPr>
      </w:pPr>
    </w:p>
    <w:p w14:paraId="4C4A0384" w14:textId="0A4FB2A5" w:rsidR="00884394" w:rsidRPr="00884394" w:rsidRDefault="00884394" w:rsidP="00884394">
      <w:pPr>
        <w:rPr>
          <w:rFonts w:ascii="Times New Roman" w:hAnsi="Times New Roman" w:cs="Times New Roman"/>
          <w:sz w:val="24"/>
          <w:szCs w:val="24"/>
        </w:rPr>
      </w:pPr>
    </w:p>
    <w:sectPr w:rsidR="00884394" w:rsidRPr="0088439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FC2AB" w14:textId="77777777" w:rsidR="00C91C1F" w:rsidRDefault="00C91C1F" w:rsidP="00C91C1F">
      <w:pPr>
        <w:spacing w:after="0" w:line="240" w:lineRule="auto"/>
      </w:pPr>
      <w:r>
        <w:separator/>
      </w:r>
    </w:p>
  </w:endnote>
  <w:endnote w:type="continuationSeparator" w:id="0">
    <w:p w14:paraId="3FBDC858" w14:textId="77777777" w:rsidR="00C91C1F" w:rsidRDefault="00C91C1F" w:rsidP="00C91C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C75572" w14:textId="64D912B3" w:rsidR="00C91C1F" w:rsidRDefault="00C91C1F">
    <w:pPr>
      <w:pStyle w:val="Footer"/>
    </w:pPr>
    <w:r>
      <w:rPr>
        <w:noProof/>
      </w:rPr>
      <mc:AlternateContent>
        <mc:Choice Requires="wps">
          <w:drawing>
            <wp:anchor distT="0" distB="0" distL="114300" distR="114300" simplePos="0" relativeHeight="251659264" behindDoc="0" locked="0" layoutInCell="1" allowOverlap="1" wp14:anchorId="6A914C61" wp14:editId="1A41AEBC">
              <wp:simplePos x="0" y="0"/>
              <wp:positionH relativeFrom="page">
                <wp:align>center</wp:align>
              </wp:positionH>
              <wp:positionV relativeFrom="page">
                <wp:align>center</wp:align>
              </wp:positionV>
              <wp:extent cx="7155815" cy="10132695"/>
              <wp:effectExtent l="0" t="0" r="0" b="0"/>
              <wp:wrapNone/>
              <wp:docPr id="38655167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55815" cy="10132695"/>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9812077" id="Rectangle 1" o:spid="_x0000_s1026" style="position:absolute;margin-left:0;margin-top:0;width:563.45pt;height:797.85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" filled="f" strokecolor="#737373 [1614]" strokeweight="1.25pt">
              <v:path arrowok="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PAGE    \* MERGEFORMAT</w:instrText>
    </w:r>
    <w:r>
      <w:rPr>
        <w:rFonts w:eastAsiaTheme="minorEastAsia"/>
        <w:color w:val="156082" w:themeColor="accent1"/>
        <w:sz w:val="20"/>
        <w:szCs w:val="20"/>
      </w:rPr>
      <w:fldChar w:fldCharType="separate"/>
    </w:r>
    <w:r>
      <w:rPr>
        <w:rFonts w:asciiTheme="majorHAnsi" w:eastAsiaTheme="majorEastAsia" w:hAnsiTheme="majorHAnsi" w:cstheme="majorBidi"/>
        <w:color w:val="156082" w:themeColor="accent1"/>
        <w:sz w:val="20"/>
        <w:szCs w:val="20"/>
      </w:rPr>
      <w:t>2</w:t>
    </w:r>
    <w:r>
      <w:rPr>
        <w:rFonts w:asciiTheme="majorHAnsi" w:eastAsiaTheme="majorEastAsia" w:hAnsiTheme="majorHAnsi" w:cstheme="majorBidi"/>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BE858B" w14:textId="77777777" w:rsidR="00C91C1F" w:rsidRDefault="00C91C1F" w:rsidP="00C91C1F">
      <w:pPr>
        <w:spacing w:after="0" w:line="240" w:lineRule="auto"/>
      </w:pPr>
      <w:r>
        <w:separator/>
      </w:r>
    </w:p>
  </w:footnote>
  <w:footnote w:type="continuationSeparator" w:id="0">
    <w:p w14:paraId="614F09AA" w14:textId="77777777" w:rsidR="00C91C1F" w:rsidRDefault="00C91C1F" w:rsidP="00C91C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E4035"/>
    <w:multiLevelType w:val="hybridMultilevel"/>
    <w:tmpl w:val="1DCA11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23314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1A3"/>
    <w:rsid w:val="00237B14"/>
    <w:rsid w:val="003601A3"/>
    <w:rsid w:val="00861D8B"/>
    <w:rsid w:val="00884394"/>
    <w:rsid w:val="00B86CA8"/>
    <w:rsid w:val="00C91C1F"/>
    <w:rsid w:val="00EB0B4F"/>
    <w:rsid w:val="00F574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2" type="connector" idref="#_x0000_s1026"/>
        <o:r id="V:Rule3" type="connector" idref="#_x0000_s1027"/>
        <o:r id="V:Rule4" type="connector" idref="#_x0000_s1028"/>
        <o:r id="V:Rule5" type="connector" idref="#_x0000_s1029"/>
        <o:r id="V:Rule6" type="connector" idref="#_x0000_s1030"/>
      </o:rules>
    </o:shapelayout>
  </w:shapeDefaults>
  <w:decimalSymbol w:val="."/>
  <w:listSeparator w:val=","/>
  <w14:docId w14:val="73CEF37C"/>
  <w15:chartTrackingRefBased/>
  <w15:docId w15:val="{619B1987-C98A-4B11-B0F0-7119ACB3C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01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601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01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01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01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01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01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01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01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01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601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01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01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01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01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01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01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01A3"/>
    <w:rPr>
      <w:rFonts w:eastAsiaTheme="majorEastAsia" w:cstheme="majorBidi"/>
      <w:color w:val="272727" w:themeColor="text1" w:themeTint="D8"/>
    </w:rPr>
  </w:style>
  <w:style w:type="paragraph" w:styleId="Title">
    <w:name w:val="Title"/>
    <w:basedOn w:val="Normal"/>
    <w:next w:val="Normal"/>
    <w:link w:val="TitleChar"/>
    <w:uiPriority w:val="10"/>
    <w:qFormat/>
    <w:rsid w:val="003601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01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01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01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01A3"/>
    <w:pPr>
      <w:spacing w:before="160"/>
      <w:jc w:val="center"/>
    </w:pPr>
    <w:rPr>
      <w:i/>
      <w:iCs/>
      <w:color w:val="404040" w:themeColor="text1" w:themeTint="BF"/>
    </w:rPr>
  </w:style>
  <w:style w:type="character" w:customStyle="1" w:styleId="QuoteChar">
    <w:name w:val="Quote Char"/>
    <w:basedOn w:val="DefaultParagraphFont"/>
    <w:link w:val="Quote"/>
    <w:uiPriority w:val="29"/>
    <w:rsid w:val="003601A3"/>
    <w:rPr>
      <w:i/>
      <w:iCs/>
      <w:color w:val="404040" w:themeColor="text1" w:themeTint="BF"/>
    </w:rPr>
  </w:style>
  <w:style w:type="paragraph" w:styleId="ListParagraph">
    <w:name w:val="List Paragraph"/>
    <w:basedOn w:val="Normal"/>
    <w:uiPriority w:val="34"/>
    <w:qFormat/>
    <w:rsid w:val="003601A3"/>
    <w:pPr>
      <w:ind w:left="720"/>
      <w:contextualSpacing/>
    </w:pPr>
  </w:style>
  <w:style w:type="character" w:styleId="IntenseEmphasis">
    <w:name w:val="Intense Emphasis"/>
    <w:basedOn w:val="DefaultParagraphFont"/>
    <w:uiPriority w:val="21"/>
    <w:qFormat/>
    <w:rsid w:val="003601A3"/>
    <w:rPr>
      <w:i/>
      <w:iCs/>
      <w:color w:val="0F4761" w:themeColor="accent1" w:themeShade="BF"/>
    </w:rPr>
  </w:style>
  <w:style w:type="paragraph" w:styleId="IntenseQuote">
    <w:name w:val="Intense Quote"/>
    <w:basedOn w:val="Normal"/>
    <w:next w:val="Normal"/>
    <w:link w:val="IntenseQuoteChar"/>
    <w:uiPriority w:val="30"/>
    <w:qFormat/>
    <w:rsid w:val="003601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01A3"/>
    <w:rPr>
      <w:i/>
      <w:iCs/>
      <w:color w:val="0F4761" w:themeColor="accent1" w:themeShade="BF"/>
    </w:rPr>
  </w:style>
  <w:style w:type="character" w:styleId="IntenseReference">
    <w:name w:val="Intense Reference"/>
    <w:basedOn w:val="DefaultParagraphFont"/>
    <w:uiPriority w:val="32"/>
    <w:qFormat/>
    <w:rsid w:val="003601A3"/>
    <w:rPr>
      <w:b/>
      <w:bCs/>
      <w:smallCaps/>
      <w:color w:val="0F4761" w:themeColor="accent1" w:themeShade="BF"/>
      <w:spacing w:val="5"/>
    </w:rPr>
  </w:style>
  <w:style w:type="character" w:styleId="Hyperlink">
    <w:name w:val="Hyperlink"/>
    <w:basedOn w:val="DefaultParagraphFont"/>
    <w:uiPriority w:val="99"/>
    <w:unhideWhenUsed/>
    <w:rsid w:val="003601A3"/>
    <w:rPr>
      <w:color w:val="0000FF"/>
      <w:u w:val="single"/>
    </w:rPr>
  </w:style>
  <w:style w:type="paragraph" w:styleId="TOCHeading">
    <w:name w:val="TOC Heading"/>
    <w:basedOn w:val="Heading1"/>
    <w:next w:val="Normal"/>
    <w:uiPriority w:val="39"/>
    <w:unhideWhenUsed/>
    <w:qFormat/>
    <w:rsid w:val="00C91C1F"/>
    <w:pPr>
      <w:spacing w:before="240" w:after="0"/>
      <w:outlineLvl w:val="9"/>
    </w:pPr>
    <w:rPr>
      <w:kern w:val="0"/>
      <w:sz w:val="32"/>
      <w:szCs w:val="32"/>
      <w:lang w:eastAsia="en-GB"/>
    </w:rPr>
  </w:style>
  <w:style w:type="paragraph" w:styleId="TOC2">
    <w:name w:val="toc 2"/>
    <w:basedOn w:val="Normal"/>
    <w:next w:val="Normal"/>
    <w:autoRedefine/>
    <w:uiPriority w:val="39"/>
    <w:unhideWhenUsed/>
    <w:rsid w:val="00C91C1F"/>
    <w:pPr>
      <w:spacing w:after="100"/>
      <w:ind w:left="220"/>
    </w:pPr>
  </w:style>
  <w:style w:type="paragraph" w:styleId="Header">
    <w:name w:val="header"/>
    <w:basedOn w:val="Normal"/>
    <w:link w:val="HeaderChar"/>
    <w:uiPriority w:val="99"/>
    <w:unhideWhenUsed/>
    <w:rsid w:val="00C91C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1C1F"/>
  </w:style>
  <w:style w:type="paragraph" w:styleId="Footer">
    <w:name w:val="footer"/>
    <w:basedOn w:val="Normal"/>
    <w:link w:val="FooterChar"/>
    <w:uiPriority w:val="99"/>
    <w:unhideWhenUsed/>
    <w:rsid w:val="00C91C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1C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745988">
      <w:bodyDiv w:val="1"/>
      <w:marLeft w:val="0"/>
      <w:marRight w:val="0"/>
      <w:marTop w:val="0"/>
      <w:marBottom w:val="0"/>
      <w:divBdr>
        <w:top w:val="none" w:sz="0" w:space="0" w:color="auto"/>
        <w:left w:val="none" w:sz="0" w:space="0" w:color="auto"/>
        <w:bottom w:val="none" w:sz="0" w:space="0" w:color="auto"/>
        <w:right w:val="none" w:sz="0" w:space="0" w:color="auto"/>
      </w:divBdr>
      <w:divsChild>
        <w:div w:id="865363834">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2%32%34%37%33%30%37@s%74%75den%74%2eu%77%74s%64%2e%61c%2e%75%6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4599EA-E762-438B-A37E-03B272D2EB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1890</Words>
  <Characters>10774</Characters>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2024-04-26T13:14:00Z</dcterms:created>
  <dcterms:modified xsi:type="dcterms:W3CDTF">2024-04-26T14:12:00Z</dcterms:modified>
</cp:coreProperties>
</file>