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9C0AB" w14:textId="77777777" w:rsidR="006C3ED6" w:rsidRDefault="006C3ED6" w:rsidP="006C3ED6">
      <w:pPr>
        <w:rPr>
          <w:rFonts w:ascii="Times New Roman" w:eastAsia="Times New Roman" w:hAnsi="Times New Roman" w:cs="Times New Roman"/>
          <w:color w:val="373A3C"/>
        </w:rPr>
      </w:pPr>
      <w:r w:rsidRPr="00CC05D4">
        <w:rPr>
          <w:rFonts w:ascii="Times New Roman" w:eastAsia="Times New Roman" w:hAnsi="Times New Roman" w:cs="Times New Roman"/>
          <w:color w:val="373A3C"/>
        </w:rPr>
        <w:t>With reference to texts from either the Old Testament or the New Testament (or both), and to other resources available to you, discuss the dangers of reading the Bible in a very literal way and the advantages of studying the Bible from an informed and scho</w:t>
      </w:r>
      <w:r w:rsidR="00673EFF" w:rsidRPr="00CC05D4">
        <w:rPr>
          <w:rFonts w:ascii="Times New Roman" w:eastAsia="Times New Roman" w:hAnsi="Times New Roman" w:cs="Times New Roman"/>
          <w:color w:val="373A3C"/>
        </w:rPr>
        <w:t>larly position</w:t>
      </w:r>
      <w:r w:rsidRPr="00CC05D4">
        <w:rPr>
          <w:rFonts w:ascii="Times New Roman" w:eastAsia="Times New Roman" w:hAnsi="Times New Roman" w:cs="Times New Roman"/>
          <w:color w:val="373A3C"/>
        </w:rPr>
        <w:t>.</w:t>
      </w:r>
    </w:p>
    <w:p w14:paraId="7F73EC77" w14:textId="77777777" w:rsidR="00C516E2" w:rsidRDefault="00C516E2" w:rsidP="006C3ED6">
      <w:pPr>
        <w:rPr>
          <w:rFonts w:ascii="Times New Roman" w:eastAsia="Times New Roman" w:hAnsi="Times New Roman" w:cs="Times New Roman"/>
          <w:color w:val="373A3C"/>
        </w:rPr>
      </w:pPr>
    </w:p>
    <w:p w14:paraId="1D43842C" w14:textId="77777777" w:rsidR="00C516E2" w:rsidRDefault="00C516E2" w:rsidP="006C3ED6">
      <w:pPr>
        <w:rPr>
          <w:rFonts w:ascii="Times New Roman" w:eastAsia="Times New Roman" w:hAnsi="Times New Roman" w:cs="Times New Roman"/>
          <w:color w:val="373A3C"/>
        </w:rPr>
      </w:pPr>
      <w:bookmarkStart w:id="0" w:name="_GoBack"/>
      <w:bookmarkEnd w:id="0"/>
    </w:p>
    <w:p w14:paraId="1367757C" w14:textId="77777777" w:rsidR="00C516E2" w:rsidRDefault="00C516E2" w:rsidP="006C3ED6">
      <w:pPr>
        <w:rPr>
          <w:rFonts w:ascii="Times New Roman" w:eastAsia="Times New Roman" w:hAnsi="Times New Roman" w:cs="Times New Roman"/>
          <w:color w:val="373A3C"/>
        </w:rPr>
      </w:pPr>
    </w:p>
    <w:p w14:paraId="78CE47F9" w14:textId="77777777" w:rsidR="00C516E2" w:rsidRPr="00D41E4E" w:rsidRDefault="00C516E2" w:rsidP="00C516E2">
      <w:pPr>
        <w:pStyle w:val="ListParagraph"/>
        <w:numPr>
          <w:ilvl w:val="0"/>
          <w:numId w:val="1"/>
        </w:numPr>
        <w:spacing w:line="360" w:lineRule="auto"/>
        <w:rPr>
          <w:rFonts w:ascii="Times New Roman" w:hAnsi="Times New Roman" w:cs="Times New Roman"/>
        </w:rPr>
      </w:pPr>
      <w:r w:rsidRPr="00D41E4E">
        <w:rPr>
          <w:rFonts w:ascii="Times New Roman" w:hAnsi="Times New Roman" w:cs="Times New Roman"/>
        </w:rPr>
        <w:t>Introduction</w:t>
      </w:r>
    </w:p>
    <w:p w14:paraId="1CAC23D4" w14:textId="77777777" w:rsidR="00C516E2" w:rsidRPr="00D41E4E" w:rsidRDefault="00C516E2" w:rsidP="00C516E2">
      <w:pPr>
        <w:pStyle w:val="ListParagraph"/>
        <w:spacing w:line="360" w:lineRule="auto"/>
        <w:rPr>
          <w:rFonts w:ascii="Times New Roman" w:hAnsi="Times New Roman" w:cs="Times New Roman"/>
        </w:rPr>
      </w:pPr>
    </w:p>
    <w:p w14:paraId="12E745F9"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A recent poll in U.S. shows that about 24% of Americans believe that the Bible is the literal word of God, whereas about 47% believe that the Bible was inspired, but not to be taken literally.</w:t>
      </w:r>
      <w:r>
        <w:rPr>
          <w:rStyle w:val="FootnoteReference"/>
          <w:rFonts w:ascii="Times New Roman" w:hAnsi="Times New Roman" w:cs="Times New Roman"/>
        </w:rPr>
        <w:footnoteReference w:id="1"/>
      </w:r>
      <w:r>
        <w:rPr>
          <w:rFonts w:ascii="Times New Roman" w:hAnsi="Times New Roman" w:cs="Times New Roman"/>
        </w:rPr>
        <w:t xml:space="preserve"> Actually some Christian literature writers claim that literal interpretation is ‘one of the great essentials of the Christian Faith’.</w:t>
      </w:r>
      <w:r>
        <w:rPr>
          <w:rStyle w:val="FootnoteReference"/>
          <w:rFonts w:ascii="Times New Roman" w:hAnsi="Times New Roman" w:cs="Times New Roman"/>
        </w:rPr>
        <w:footnoteReference w:id="2"/>
      </w:r>
      <w:r>
        <w:rPr>
          <w:rFonts w:ascii="Times New Roman" w:hAnsi="Times New Roman" w:cs="Times New Roman"/>
        </w:rPr>
        <w:t xml:space="preserve"> As the Bible is a sacred book with authority, many Christians think that literal reading is the most appropriate way to understand the Bible. </w:t>
      </w:r>
    </w:p>
    <w:p w14:paraId="4D741FA6" w14:textId="77777777" w:rsidR="00C516E2" w:rsidRDefault="00C516E2" w:rsidP="00C516E2">
      <w:pPr>
        <w:spacing w:line="360" w:lineRule="auto"/>
        <w:rPr>
          <w:rFonts w:ascii="Times New Roman" w:hAnsi="Times New Roman" w:cs="Times New Roman"/>
        </w:rPr>
      </w:pPr>
    </w:p>
    <w:p w14:paraId="7AEEF400" w14:textId="77777777" w:rsidR="00C516E2" w:rsidRPr="00F73D57" w:rsidRDefault="00C516E2" w:rsidP="00C516E2">
      <w:pPr>
        <w:spacing w:line="360" w:lineRule="auto"/>
        <w:rPr>
          <w:rFonts w:ascii="Times New Roman" w:hAnsi="Times New Roman" w:cs="Times New Roman"/>
          <w:strike/>
        </w:rPr>
      </w:pPr>
      <w:r>
        <w:rPr>
          <w:rFonts w:ascii="Times New Roman" w:hAnsi="Times New Roman" w:cs="Times New Roman"/>
        </w:rPr>
        <w:t>In this essay, we will investigate what literal interpretation</w:t>
      </w:r>
      <w:r>
        <w:rPr>
          <w:rStyle w:val="FootnoteReference"/>
          <w:rFonts w:ascii="Times New Roman" w:hAnsi="Times New Roman" w:cs="Times New Roman"/>
        </w:rPr>
        <w:footnoteReference w:id="3"/>
      </w:r>
      <w:r>
        <w:rPr>
          <w:rFonts w:ascii="Times New Roman" w:hAnsi="Times New Roman" w:cs="Times New Roman"/>
        </w:rPr>
        <w:t xml:space="preserve"> is and what implication this kind of interpretation will incur. Then we will discuss two dangers the readers may face by purely literal interpretation of the Bible, namely ignoring the historical context and ignoring the literary context. In order to avoid these two dangers, we argue that scholarly works are helpful for a better understanding of the biblical text. Also, those works can act as a control to limit our self-imposed bias into the reading by searching the biblical author’s intended meaning.</w:t>
      </w:r>
    </w:p>
    <w:p w14:paraId="3C1395E4" w14:textId="77777777" w:rsidR="00C516E2" w:rsidRDefault="00C516E2" w:rsidP="00C516E2">
      <w:pPr>
        <w:spacing w:line="360" w:lineRule="auto"/>
        <w:rPr>
          <w:rFonts w:ascii="Times New Roman" w:hAnsi="Times New Roman" w:cs="Times New Roman"/>
        </w:rPr>
      </w:pPr>
    </w:p>
    <w:p w14:paraId="566A2943" w14:textId="77777777" w:rsidR="00C516E2" w:rsidRPr="00D41E4E" w:rsidRDefault="00C516E2" w:rsidP="00C516E2">
      <w:pPr>
        <w:pStyle w:val="ListParagraph"/>
        <w:numPr>
          <w:ilvl w:val="0"/>
          <w:numId w:val="1"/>
        </w:numPr>
        <w:spacing w:line="360" w:lineRule="auto"/>
        <w:rPr>
          <w:rFonts w:ascii="Times New Roman" w:hAnsi="Times New Roman" w:cs="Times New Roman"/>
        </w:rPr>
      </w:pPr>
      <w:r w:rsidRPr="00D41E4E">
        <w:rPr>
          <w:rFonts w:ascii="Times New Roman" w:hAnsi="Times New Roman" w:cs="Times New Roman"/>
        </w:rPr>
        <w:t>What is literal interpretation?</w:t>
      </w:r>
    </w:p>
    <w:p w14:paraId="41BDDC96" w14:textId="77777777" w:rsidR="00C516E2" w:rsidRPr="00D41E4E" w:rsidRDefault="00C516E2" w:rsidP="00C516E2">
      <w:pPr>
        <w:spacing w:line="360" w:lineRule="auto"/>
        <w:rPr>
          <w:rFonts w:ascii="Times New Roman" w:hAnsi="Times New Roman" w:cs="Times New Roman"/>
        </w:rPr>
      </w:pPr>
    </w:p>
    <w:p w14:paraId="2BC439E4"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According to Olson, biblical literalists ‘have a profound reverence for the Bible. It is a sacred authority, the word of God’.</w:t>
      </w:r>
      <w:r>
        <w:rPr>
          <w:rStyle w:val="FootnoteReference"/>
          <w:rFonts w:ascii="Times New Roman" w:hAnsi="Times New Roman" w:cs="Times New Roman"/>
        </w:rPr>
        <w:footnoteReference w:id="4"/>
      </w:r>
      <w:r>
        <w:rPr>
          <w:rFonts w:ascii="Times New Roman" w:hAnsi="Times New Roman" w:cs="Times New Roman"/>
        </w:rPr>
        <w:t xml:space="preserve"> Because the Bible is the inspiration of God, literalists think that God will ensure the accuracy of every detail in the Bible (II Tim.3:16). Following this logic, God’s word can transcend all historical or cultural limitation in a supernatural way.</w:t>
      </w:r>
    </w:p>
    <w:p w14:paraId="21ED99AD" w14:textId="77777777" w:rsidR="00C516E2" w:rsidRDefault="00C516E2" w:rsidP="00C516E2">
      <w:pPr>
        <w:spacing w:line="360" w:lineRule="auto"/>
        <w:rPr>
          <w:rFonts w:ascii="Times New Roman" w:hAnsi="Times New Roman" w:cs="Times New Roman"/>
        </w:rPr>
      </w:pPr>
    </w:p>
    <w:p w14:paraId="332D3E04"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This kind of thinking easily leads to a tendency to historicize everything the Bible says, that is treating all accounts to have historically happened, or will happen in the future (in prophecy). If any conflict or inconsistency appears between the Bible and modern scientific finding, literalist would find ways to interpret the Bible passage in order to harmonize the conflict. However, most of the time scientists are not satisfied with these kinds of explanation.</w:t>
      </w:r>
    </w:p>
    <w:p w14:paraId="69B0F3D2" w14:textId="77777777" w:rsidR="00C516E2" w:rsidRDefault="00C516E2" w:rsidP="00C516E2">
      <w:pPr>
        <w:spacing w:line="360" w:lineRule="auto"/>
        <w:rPr>
          <w:rFonts w:ascii="Times New Roman" w:hAnsi="Times New Roman" w:cs="Times New Roman"/>
        </w:rPr>
      </w:pPr>
    </w:p>
    <w:p w14:paraId="4486AD5C" w14:textId="77777777" w:rsidR="00C516E2" w:rsidRPr="00D41E4E" w:rsidRDefault="00C516E2" w:rsidP="00C516E2">
      <w:pPr>
        <w:pStyle w:val="ListParagraph"/>
        <w:numPr>
          <w:ilvl w:val="0"/>
          <w:numId w:val="1"/>
        </w:numPr>
        <w:spacing w:line="360" w:lineRule="auto"/>
        <w:rPr>
          <w:rFonts w:ascii="Times New Roman" w:hAnsi="Times New Roman" w:cs="Times New Roman"/>
        </w:rPr>
      </w:pPr>
      <w:r w:rsidRPr="00D41E4E">
        <w:rPr>
          <w:rFonts w:ascii="Times New Roman" w:hAnsi="Times New Roman" w:cs="Times New Roman"/>
        </w:rPr>
        <w:t>Danger of ignoring historical context</w:t>
      </w:r>
    </w:p>
    <w:p w14:paraId="7DB575BD" w14:textId="77777777" w:rsidR="00C516E2" w:rsidRDefault="00C516E2" w:rsidP="00C516E2">
      <w:pPr>
        <w:spacing w:line="360" w:lineRule="auto"/>
        <w:rPr>
          <w:rFonts w:ascii="Times New Roman" w:hAnsi="Times New Roman" w:cs="Times New Roman"/>
        </w:rPr>
      </w:pPr>
    </w:p>
    <w:p w14:paraId="3572D344"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One of the major battlefields of science and the literal interpretation of the Bible is concerning the origin of the earth. Many literalists take the period of creation in Genesis 1 as literally seven days with twenty-four hours, and the date of creation was around 4,004 B.C.</w:t>
      </w:r>
      <w:r>
        <w:rPr>
          <w:rStyle w:val="FootnoteReference"/>
          <w:rFonts w:ascii="Times New Roman" w:hAnsi="Times New Roman" w:cs="Times New Roman"/>
        </w:rPr>
        <w:footnoteReference w:id="5"/>
      </w:r>
      <w:r>
        <w:rPr>
          <w:rFonts w:ascii="Times New Roman" w:hAnsi="Times New Roman" w:cs="Times New Roman"/>
        </w:rPr>
        <w:t xml:space="preserve"> Nevertheless, the mainstream scientists estimate that the earth is about 4.5 billion years old and the universe as a whole is about 14 billion years old.</w:t>
      </w:r>
      <w:r>
        <w:rPr>
          <w:rStyle w:val="FootnoteReference"/>
          <w:rFonts w:ascii="Times New Roman" w:hAnsi="Times New Roman" w:cs="Times New Roman"/>
        </w:rPr>
        <w:footnoteReference w:id="6"/>
      </w:r>
      <w:r>
        <w:rPr>
          <w:rFonts w:ascii="Times New Roman" w:hAnsi="Times New Roman" w:cs="Times New Roman"/>
        </w:rPr>
        <w:t xml:space="preserve"> </w:t>
      </w:r>
    </w:p>
    <w:p w14:paraId="111F9812" w14:textId="77777777" w:rsidR="00C516E2" w:rsidRDefault="00C516E2" w:rsidP="00C516E2">
      <w:pPr>
        <w:spacing w:line="360" w:lineRule="auto"/>
        <w:rPr>
          <w:rFonts w:ascii="Times New Roman" w:hAnsi="Times New Roman" w:cs="Times New Roman"/>
        </w:rPr>
      </w:pPr>
    </w:p>
    <w:p w14:paraId="04199F25"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In order to keep the Genesis’ creation account as historical accurate, literalists have developed some explanations to reconcile the scientific findings and the creation account of six days twenty-four hours. One of the popular explanations is the ‘Gap theory’. The Gap refers to a long period of time between the creation of Gen. 1:1 and 1:2. Scofield Reference Bible states that the ‘without form and void’ in Gen. 1:2 ‘clearly indicate that the earth had undergone a cataclysmic change as the result of divine judgement’.</w:t>
      </w:r>
      <w:r>
        <w:rPr>
          <w:rStyle w:val="FootnoteReference"/>
          <w:rFonts w:ascii="Times New Roman" w:hAnsi="Times New Roman" w:cs="Times New Roman"/>
        </w:rPr>
        <w:footnoteReference w:id="7"/>
      </w:r>
      <w:r>
        <w:rPr>
          <w:rFonts w:ascii="Times New Roman" w:hAnsi="Times New Roman" w:cs="Times New Roman"/>
        </w:rPr>
        <w:t xml:space="preserve"> So Genesis 1:3–31 is interpreted as a re-creation account after a long period of time. However, many scholars reject the ‘gap theory’ because there is no hint of any life, sin or judgement before this ‘re-creation’ in the whole Genesis story. Speculative details are just forced to add into the text in order to fit into scientific system.</w:t>
      </w:r>
      <w:r>
        <w:rPr>
          <w:rStyle w:val="FootnoteReference"/>
          <w:rFonts w:ascii="Times New Roman" w:hAnsi="Times New Roman" w:cs="Times New Roman"/>
        </w:rPr>
        <w:footnoteReference w:id="8"/>
      </w:r>
    </w:p>
    <w:p w14:paraId="65FAEF2F" w14:textId="77777777" w:rsidR="00C516E2" w:rsidRDefault="00C516E2" w:rsidP="00C516E2">
      <w:pPr>
        <w:spacing w:line="360" w:lineRule="auto"/>
        <w:rPr>
          <w:rFonts w:ascii="Times New Roman" w:hAnsi="Times New Roman" w:cs="Times New Roman"/>
        </w:rPr>
      </w:pPr>
    </w:p>
    <w:p w14:paraId="66B6C65F" w14:textId="77777777" w:rsidR="00C516E2" w:rsidRPr="00252A5D" w:rsidRDefault="00C516E2" w:rsidP="00C516E2">
      <w:pPr>
        <w:spacing w:line="360" w:lineRule="auto"/>
        <w:rPr>
          <w:rFonts w:ascii="Times New Roman" w:hAnsi="Times New Roman" w:cs="Times New Roman"/>
        </w:rPr>
      </w:pPr>
      <w:r>
        <w:rPr>
          <w:rFonts w:ascii="Times New Roman" w:hAnsi="Times New Roman" w:cs="Times New Roman"/>
        </w:rPr>
        <w:t>Another popular suggestion is the Young Earth theory, which challenges all scientific assumptions. For example, the Young Earth theorist challenges the dating of fossil data from the geologists. In order to accommodate the modern geological findings, Young Earth theorist proposes the ‘Appearance of Age theory’, which the powerful God can produce some rocks which look millions of years old, but are just thousands of years young in reality.</w:t>
      </w:r>
      <w:r>
        <w:rPr>
          <w:rStyle w:val="FootnoteReference"/>
          <w:rFonts w:ascii="Times New Roman" w:hAnsi="Times New Roman" w:cs="Times New Roman"/>
        </w:rPr>
        <w:footnoteReference w:id="9"/>
      </w:r>
      <w:r>
        <w:rPr>
          <w:rFonts w:ascii="Times New Roman" w:hAnsi="Times New Roman" w:cs="Times New Roman"/>
        </w:rPr>
        <w:t xml:space="preserve"> However, if this argument is valid, no science is reliable. </w:t>
      </w:r>
    </w:p>
    <w:p w14:paraId="0CE524B9" w14:textId="77777777" w:rsidR="00C516E2" w:rsidRDefault="00C516E2" w:rsidP="00C516E2">
      <w:pPr>
        <w:spacing w:line="360" w:lineRule="auto"/>
        <w:rPr>
          <w:rFonts w:ascii="Times New Roman" w:hAnsi="Times New Roman" w:cs="Times New Roman"/>
        </w:rPr>
      </w:pPr>
    </w:p>
    <w:p w14:paraId="4DBE8A7F"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 xml:space="preserve">Apparently twenty-first century readers are far distance from the author of the ancient text like Genesis. Easily the literalists have put their modern scientific worldview into their Bible reading. What they fail to consider is the historical context of the author of Genesis. Consciously or unconsciously, the author’s cultural background, worldview, and education all have impact on his composition. </w:t>
      </w:r>
    </w:p>
    <w:p w14:paraId="21D41A4E" w14:textId="77777777" w:rsidR="00C516E2" w:rsidRDefault="00C516E2" w:rsidP="00C516E2">
      <w:pPr>
        <w:spacing w:line="360" w:lineRule="auto"/>
        <w:rPr>
          <w:rFonts w:ascii="Times New Roman" w:hAnsi="Times New Roman" w:cs="Times New Roman"/>
        </w:rPr>
      </w:pPr>
    </w:p>
    <w:p w14:paraId="6101F8F4"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 xml:space="preserve">For the historical background information, studies from those experts of ancient languages, history and culture are valuable. For example, regarding the worldview, the comparative study with some Ancient Near East (ANE) texts can shed the light to our understanding of the biblical creation account. John Walton recommends that the ancient </w:t>
      </w:r>
      <w:r w:rsidRPr="00FC784A">
        <w:rPr>
          <w:rFonts w:ascii="Times New Roman" w:hAnsi="Times New Roman" w:cs="Times New Roman"/>
          <w:i/>
        </w:rPr>
        <w:t>Akkadian</w:t>
      </w:r>
      <w:r>
        <w:rPr>
          <w:rFonts w:ascii="Times New Roman" w:hAnsi="Times New Roman" w:cs="Times New Roman"/>
        </w:rPr>
        <w:t xml:space="preserve"> epic texts </w:t>
      </w:r>
      <w:r w:rsidRPr="00144D61">
        <w:rPr>
          <w:rFonts w:ascii="Times New Roman" w:hAnsi="Times New Roman" w:cs="Times New Roman"/>
          <w:i/>
        </w:rPr>
        <w:t>Enuma Elish</w:t>
      </w:r>
      <w:r>
        <w:rPr>
          <w:rFonts w:ascii="Times New Roman" w:hAnsi="Times New Roman" w:cs="Times New Roman"/>
        </w:rPr>
        <w:t xml:space="preserve"> and </w:t>
      </w:r>
      <w:r w:rsidRPr="00144D61">
        <w:rPr>
          <w:rFonts w:ascii="Times New Roman" w:hAnsi="Times New Roman" w:cs="Times New Roman"/>
          <w:i/>
        </w:rPr>
        <w:t>Atrahasis</w:t>
      </w:r>
      <w:r>
        <w:rPr>
          <w:rFonts w:ascii="Times New Roman" w:hAnsi="Times New Roman" w:cs="Times New Roman"/>
        </w:rPr>
        <w:t xml:space="preserve"> both help us to understand the cosmology, the understanding of the origin of the universe, of the Ancient Near East people, including the ancient Israelites.</w:t>
      </w:r>
      <w:r>
        <w:rPr>
          <w:rStyle w:val="FootnoteReference"/>
          <w:rFonts w:ascii="Times New Roman" w:hAnsi="Times New Roman" w:cs="Times New Roman"/>
        </w:rPr>
        <w:footnoteReference w:id="10"/>
      </w:r>
      <w:r>
        <w:rPr>
          <w:rFonts w:ascii="Times New Roman" w:hAnsi="Times New Roman" w:cs="Times New Roman"/>
        </w:rPr>
        <w:t xml:space="preserve"> </w:t>
      </w:r>
    </w:p>
    <w:p w14:paraId="23B88195" w14:textId="77777777" w:rsidR="00C516E2" w:rsidRDefault="00C516E2" w:rsidP="00C516E2">
      <w:pPr>
        <w:spacing w:line="360" w:lineRule="auto"/>
        <w:rPr>
          <w:rFonts w:ascii="Times New Roman" w:hAnsi="Times New Roman" w:cs="Times New Roman"/>
        </w:rPr>
      </w:pPr>
    </w:p>
    <w:p w14:paraId="784FFBE7"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Walton reminds us that both the Genesis and ANE texts authors shared some similar cosmological concepts, such as the chaotic waters, the creation of sun, moon and stars to mark off the seasons and years. Nevertheless, the distinctive theology of the Hebrew Bible, in contrast to the ANE accounts, shows the belief of the sovereignty of Israelite God, without any divine battle or any competition.</w:t>
      </w:r>
      <w:r>
        <w:rPr>
          <w:rStyle w:val="FootnoteReference"/>
          <w:rFonts w:ascii="Times New Roman" w:hAnsi="Times New Roman" w:cs="Times New Roman"/>
        </w:rPr>
        <w:footnoteReference w:id="11"/>
      </w:r>
      <w:r>
        <w:rPr>
          <w:rFonts w:ascii="Times New Roman" w:hAnsi="Times New Roman" w:cs="Times New Roman"/>
        </w:rPr>
        <w:t xml:space="preserve"> In the creation account, purely by his verbal power, God has changed a chaotic world into an ordered one for human to live.</w:t>
      </w:r>
    </w:p>
    <w:p w14:paraId="2F7FD7C3" w14:textId="77777777" w:rsidR="00C516E2" w:rsidRDefault="00C516E2" w:rsidP="00C516E2">
      <w:pPr>
        <w:spacing w:line="360" w:lineRule="auto"/>
        <w:rPr>
          <w:rFonts w:ascii="Times New Roman" w:hAnsi="Times New Roman" w:cs="Times New Roman"/>
        </w:rPr>
      </w:pPr>
    </w:p>
    <w:p w14:paraId="56851DA5" w14:textId="77777777" w:rsidR="00C516E2" w:rsidRPr="00144D61" w:rsidRDefault="00C516E2" w:rsidP="00C516E2">
      <w:pPr>
        <w:spacing w:line="360" w:lineRule="auto"/>
        <w:rPr>
          <w:rFonts w:ascii="Times New Roman" w:hAnsi="Times New Roman" w:cs="Times New Roman"/>
        </w:rPr>
      </w:pPr>
      <w:r>
        <w:rPr>
          <w:rFonts w:ascii="Times New Roman" w:hAnsi="Times New Roman" w:cs="Times New Roman"/>
        </w:rPr>
        <w:t>Genesis was not produced in a vacuum. The author communicated the intended message to his original reader or audience by using their own language at that time, rather than modern scientific language</w:t>
      </w:r>
      <w:r>
        <w:rPr>
          <w:rStyle w:val="FootnoteReference"/>
          <w:rFonts w:ascii="Times New Roman" w:hAnsi="Times New Roman" w:cs="Times New Roman"/>
        </w:rPr>
        <w:t xml:space="preserve"> </w:t>
      </w:r>
      <w:r>
        <w:rPr>
          <w:rFonts w:ascii="Times New Roman" w:hAnsi="Times New Roman" w:cs="Times New Roman"/>
        </w:rPr>
        <w:t>.</w:t>
      </w:r>
      <w:r>
        <w:rPr>
          <w:rStyle w:val="FootnoteReference"/>
          <w:rFonts w:ascii="Times New Roman" w:hAnsi="Times New Roman" w:cs="Times New Roman"/>
        </w:rPr>
        <w:footnoteReference w:id="12"/>
      </w:r>
      <w:r>
        <w:rPr>
          <w:rFonts w:ascii="Times New Roman" w:hAnsi="Times New Roman" w:cs="Times New Roman"/>
        </w:rPr>
        <w:t xml:space="preserve"> The historical studies, including those of the neighbours of ancient Israel, can help to locate the biblical text into the appropriate cultural context for our contemporary understanding.</w:t>
      </w:r>
    </w:p>
    <w:p w14:paraId="4BCF198F" w14:textId="77777777" w:rsidR="00C516E2" w:rsidRDefault="00C516E2" w:rsidP="00C516E2">
      <w:pPr>
        <w:spacing w:line="360" w:lineRule="auto"/>
        <w:rPr>
          <w:rFonts w:ascii="Times New Roman" w:hAnsi="Times New Roman" w:cs="Times New Roman"/>
        </w:rPr>
      </w:pPr>
    </w:p>
    <w:p w14:paraId="63145BE3" w14:textId="77777777" w:rsidR="00C516E2" w:rsidRDefault="00C516E2" w:rsidP="00C516E2">
      <w:pPr>
        <w:spacing w:line="360" w:lineRule="auto"/>
        <w:rPr>
          <w:rFonts w:ascii="Times New Roman" w:hAnsi="Times New Roman" w:cs="Times New Roman"/>
        </w:rPr>
      </w:pPr>
    </w:p>
    <w:p w14:paraId="1F16049C" w14:textId="77777777" w:rsidR="00C516E2" w:rsidRPr="00D41E4E" w:rsidRDefault="00C516E2" w:rsidP="00C516E2">
      <w:pPr>
        <w:pStyle w:val="ListParagraph"/>
        <w:numPr>
          <w:ilvl w:val="0"/>
          <w:numId w:val="1"/>
        </w:numPr>
        <w:spacing w:line="360" w:lineRule="auto"/>
        <w:rPr>
          <w:rFonts w:ascii="Times New Roman" w:hAnsi="Times New Roman" w:cs="Times New Roman"/>
        </w:rPr>
      </w:pPr>
      <w:r w:rsidRPr="00D41E4E">
        <w:rPr>
          <w:rFonts w:ascii="Times New Roman" w:hAnsi="Times New Roman" w:cs="Times New Roman"/>
        </w:rPr>
        <w:t>Danger of ignoring the literary context</w:t>
      </w:r>
    </w:p>
    <w:p w14:paraId="2ABB92CA" w14:textId="77777777" w:rsidR="00C516E2" w:rsidRDefault="00C516E2" w:rsidP="00C516E2">
      <w:pPr>
        <w:spacing w:line="360" w:lineRule="auto"/>
        <w:rPr>
          <w:rFonts w:ascii="Times New Roman" w:hAnsi="Times New Roman" w:cs="Times New Roman"/>
        </w:rPr>
      </w:pPr>
    </w:p>
    <w:p w14:paraId="78FB191C"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In addition, Scripture is a collection of ancient documents composing in different forms, namely narrative, poetry, wisdom literature, prophecy and epistle.  The authors of the Bible consciously chose particular genres, or a mixture of different genres, to communicate their ideas to the readers. Genre functions as an important link between the author and the reader. Thus, Osborne emphasizes the importance ‘to note the characteristics of the ancient genres as a key to interpreting biblical texts’.</w:t>
      </w:r>
      <w:r>
        <w:rPr>
          <w:rStyle w:val="FootnoteReference"/>
          <w:rFonts w:ascii="Times New Roman" w:hAnsi="Times New Roman" w:cs="Times New Roman"/>
        </w:rPr>
        <w:footnoteReference w:id="13"/>
      </w:r>
      <w:r>
        <w:rPr>
          <w:rFonts w:ascii="Times New Roman" w:hAnsi="Times New Roman" w:cs="Times New Roman"/>
        </w:rPr>
        <w:t xml:space="preserve"> </w:t>
      </w:r>
    </w:p>
    <w:p w14:paraId="53FF3D2F" w14:textId="77777777" w:rsidR="00C516E2" w:rsidRDefault="00C516E2" w:rsidP="00C516E2">
      <w:pPr>
        <w:spacing w:line="360" w:lineRule="auto"/>
        <w:rPr>
          <w:rFonts w:ascii="Times New Roman" w:hAnsi="Times New Roman" w:cs="Times New Roman"/>
        </w:rPr>
      </w:pPr>
    </w:p>
    <w:p w14:paraId="01DB1137"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However, literalists insist the literal reading must be applied to the whole Bible, especially in the interpretation of prophecy. To them, literal fulfilments of the Old Testament prophecies is the most ‘consistent and normal interpretive method’.</w:t>
      </w:r>
      <w:r>
        <w:rPr>
          <w:rStyle w:val="FootnoteReference"/>
          <w:rFonts w:ascii="Times New Roman" w:hAnsi="Times New Roman" w:cs="Times New Roman"/>
        </w:rPr>
        <w:footnoteReference w:id="14"/>
      </w:r>
      <w:r>
        <w:rPr>
          <w:rFonts w:ascii="Times New Roman" w:hAnsi="Times New Roman" w:cs="Times New Roman"/>
        </w:rPr>
        <w:t xml:space="preserve"> By searching the fulfilment, literalists usually look for some modern figure or events by taking the biblical prophecy out of the literary context. </w:t>
      </w:r>
    </w:p>
    <w:p w14:paraId="4C3015FD" w14:textId="77777777" w:rsidR="00C516E2" w:rsidRDefault="00C516E2" w:rsidP="00C516E2">
      <w:pPr>
        <w:spacing w:line="360" w:lineRule="auto"/>
        <w:rPr>
          <w:rFonts w:ascii="Times New Roman" w:hAnsi="Times New Roman" w:cs="Times New Roman"/>
        </w:rPr>
      </w:pPr>
    </w:p>
    <w:p w14:paraId="6BC86ECA"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 xml:space="preserve">Goldingay gives a typical example that Hal Lindsey, in his 1970 book </w:t>
      </w:r>
      <w:r w:rsidRPr="006D33A0">
        <w:rPr>
          <w:rFonts w:ascii="Times New Roman" w:hAnsi="Times New Roman" w:cs="Times New Roman"/>
          <w:i/>
        </w:rPr>
        <w:t>The Late Great Planet Earth</w:t>
      </w:r>
      <w:r>
        <w:rPr>
          <w:rFonts w:ascii="Times New Roman" w:hAnsi="Times New Roman" w:cs="Times New Roman"/>
        </w:rPr>
        <w:t>, interpreted Ezekiel 38:14–16 as an attack of the Soviet army to the land of Israel simply because the passage mentioning the army from ‘the North’.</w:t>
      </w:r>
      <w:r>
        <w:rPr>
          <w:rStyle w:val="FootnoteReference"/>
          <w:rFonts w:ascii="Times New Roman" w:hAnsi="Times New Roman" w:cs="Times New Roman"/>
        </w:rPr>
        <w:footnoteReference w:id="15"/>
      </w:r>
      <w:r>
        <w:rPr>
          <w:rFonts w:ascii="Times New Roman" w:hAnsi="Times New Roman" w:cs="Times New Roman"/>
        </w:rPr>
        <w:t xml:space="preserve">   This kind of interpretation only appeals the prophecy into modern fulfilment, but a lack of concern about the original author’s intention. It would easily leads to a selective and arbitrary judgement.</w:t>
      </w:r>
      <w:r>
        <w:rPr>
          <w:rStyle w:val="FootnoteReference"/>
          <w:rFonts w:ascii="Times New Roman" w:hAnsi="Times New Roman" w:cs="Times New Roman"/>
        </w:rPr>
        <w:footnoteReference w:id="16"/>
      </w:r>
      <w:r>
        <w:rPr>
          <w:rFonts w:ascii="Times New Roman" w:hAnsi="Times New Roman" w:cs="Times New Roman"/>
        </w:rPr>
        <w:t xml:space="preserve"> Osborne comments that this kind of ‘newspaper approach’ is just reading their modern context into the biblical text.</w:t>
      </w:r>
      <w:r>
        <w:rPr>
          <w:rStyle w:val="FootnoteReference"/>
          <w:rFonts w:ascii="Times New Roman" w:hAnsi="Times New Roman" w:cs="Times New Roman"/>
        </w:rPr>
        <w:footnoteReference w:id="17"/>
      </w:r>
      <w:r>
        <w:rPr>
          <w:rFonts w:ascii="Times New Roman" w:hAnsi="Times New Roman" w:cs="Times New Roman"/>
        </w:rPr>
        <w:t xml:space="preserve"> </w:t>
      </w:r>
    </w:p>
    <w:p w14:paraId="034F3119" w14:textId="77777777" w:rsidR="00C516E2" w:rsidRDefault="00C516E2" w:rsidP="00C516E2">
      <w:pPr>
        <w:spacing w:line="360" w:lineRule="auto"/>
        <w:rPr>
          <w:rFonts w:ascii="Times New Roman" w:hAnsi="Times New Roman" w:cs="Times New Roman"/>
        </w:rPr>
      </w:pPr>
    </w:p>
    <w:p w14:paraId="101B4D59"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Certainly Old Testament Prophecy is a complex literature. Sometimes it is embedded in a narrative, like Nathan’s report the speech of God to King David (2 Sam. 7:4–17); sometimes it is a collection of God’s oracles addressing to different situations or different people (e.g. Isaiah). It is not easy for readers to determine the background and the connective logic. Thus, it would be more appropriate to consult the scholarly opinions about the background and the literary structure of the prophecy, instead of simply imposing self-biased interpretation.</w:t>
      </w:r>
    </w:p>
    <w:p w14:paraId="02730AD5" w14:textId="77777777" w:rsidR="00C516E2" w:rsidRDefault="00C516E2" w:rsidP="00C516E2">
      <w:pPr>
        <w:spacing w:line="360" w:lineRule="auto"/>
        <w:rPr>
          <w:rFonts w:ascii="Times New Roman" w:hAnsi="Times New Roman" w:cs="Times New Roman"/>
        </w:rPr>
      </w:pPr>
    </w:p>
    <w:p w14:paraId="12733A0A"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 xml:space="preserve">Moreover, certain biblical genre is not a common literary form in our modern time. For example, the book of Revelation probably is the most confused book for the layman readers. The slain lamb, the heavenly throne, red dragon and the seven-headed beast are all difficult images and symbols for modern readers to understand. </w:t>
      </w:r>
    </w:p>
    <w:p w14:paraId="69864F00" w14:textId="77777777" w:rsidR="00C516E2" w:rsidRDefault="00C516E2" w:rsidP="00C516E2">
      <w:pPr>
        <w:spacing w:line="360" w:lineRule="auto"/>
        <w:rPr>
          <w:rFonts w:ascii="Times New Roman" w:hAnsi="Times New Roman" w:cs="Times New Roman"/>
        </w:rPr>
      </w:pPr>
    </w:p>
    <w:p w14:paraId="60919AC6"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To understand the fascinated symbols, literalist insists that ‘a presumption that, where expressions are not explained, they can normally be interpreted according to their natural meaning, unless the context clearly indicates otherwise’.</w:t>
      </w:r>
      <w:r>
        <w:rPr>
          <w:rStyle w:val="FootnoteReference"/>
          <w:rFonts w:ascii="Times New Roman" w:hAnsi="Times New Roman" w:cs="Times New Roman"/>
        </w:rPr>
        <w:footnoteReference w:id="18"/>
      </w:r>
      <w:r>
        <w:rPr>
          <w:rFonts w:ascii="Times New Roman" w:hAnsi="Times New Roman" w:cs="Times New Roman"/>
        </w:rPr>
        <w:t xml:space="preserve"> To them, the natural meaning is the fulfilments of those symbols in their contemporary time or near future. For example, Walvoord interprets the kings from the east in the battle of Armageddon (Rev. 16:2) as ‘the rising power of parts of the Orient in our day in countries such as Japan, China, India, as well as lesser nations, makes such an invasion a reasonable prediction’.</w:t>
      </w:r>
      <w:r>
        <w:rPr>
          <w:rStyle w:val="FootnoteReference"/>
          <w:rFonts w:ascii="Times New Roman" w:hAnsi="Times New Roman" w:cs="Times New Roman"/>
        </w:rPr>
        <w:footnoteReference w:id="19"/>
      </w:r>
      <w:r>
        <w:rPr>
          <w:rFonts w:ascii="Times New Roman" w:hAnsi="Times New Roman" w:cs="Times New Roman"/>
        </w:rPr>
        <w:t xml:space="preserve"> However, fifty years ago, no one would call these countries as rising powers. Before 1970, then, who can ‘correctly’ understand this passage?</w:t>
      </w:r>
    </w:p>
    <w:p w14:paraId="4CEB8DB9" w14:textId="77777777" w:rsidR="00C516E2" w:rsidRDefault="00C516E2" w:rsidP="00C516E2">
      <w:pPr>
        <w:spacing w:line="360" w:lineRule="auto"/>
        <w:rPr>
          <w:rFonts w:ascii="Times New Roman" w:hAnsi="Times New Roman" w:cs="Times New Roman"/>
        </w:rPr>
      </w:pPr>
    </w:p>
    <w:p w14:paraId="03A8CC5A"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Therefore, Osborne asserts that the meaning of the symbols should be found in the author’s intention, rather than some modern figures or events.</w:t>
      </w:r>
      <w:r>
        <w:rPr>
          <w:rStyle w:val="FootnoteReference"/>
          <w:rFonts w:ascii="Times New Roman" w:hAnsi="Times New Roman" w:cs="Times New Roman"/>
        </w:rPr>
        <w:footnoteReference w:id="20"/>
      </w:r>
      <w:r>
        <w:rPr>
          <w:rFonts w:ascii="Times New Roman" w:hAnsi="Times New Roman" w:cs="Times New Roman"/>
        </w:rPr>
        <w:t xml:space="preserve"> It implies that the search of modern fulfilment easily overlooks the original intention of the author to present his message by employing the symbolic language.</w:t>
      </w:r>
    </w:p>
    <w:p w14:paraId="7DB43983" w14:textId="77777777" w:rsidR="00C516E2" w:rsidRDefault="00C516E2" w:rsidP="00C516E2">
      <w:pPr>
        <w:spacing w:line="360" w:lineRule="auto"/>
        <w:rPr>
          <w:rFonts w:ascii="Times New Roman" w:hAnsi="Times New Roman" w:cs="Times New Roman"/>
        </w:rPr>
      </w:pPr>
    </w:p>
    <w:p w14:paraId="060F45DD"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In order to read the Revelation well, Gordon Fee advises one must firstly ask two questions: ‘What is it? And Why is it?’</w:t>
      </w:r>
      <w:r>
        <w:rPr>
          <w:rStyle w:val="FootnoteReference"/>
          <w:rFonts w:ascii="Times New Roman" w:hAnsi="Times New Roman" w:cs="Times New Roman"/>
        </w:rPr>
        <w:footnoteReference w:id="21"/>
      </w:r>
      <w:r>
        <w:rPr>
          <w:rFonts w:ascii="Times New Roman" w:hAnsi="Times New Roman" w:cs="Times New Roman"/>
        </w:rPr>
        <w:t xml:space="preserve"> To the first question, he suggests that Revelation is a mixture of genres: ‘Apocalypse’ (1:1), ‘prophecy’ (1:3), and ‘an ancient letter’ (1:4–5). To answer the second question, Fee suggests readers to search the historical background in the author’s time. All these hints are the starting points to decode the cryptic and symbolic language of the book. </w:t>
      </w:r>
    </w:p>
    <w:p w14:paraId="12F7D8B9" w14:textId="77777777" w:rsidR="00C516E2" w:rsidRDefault="00C516E2" w:rsidP="00C516E2">
      <w:pPr>
        <w:spacing w:line="360" w:lineRule="auto"/>
        <w:rPr>
          <w:rFonts w:ascii="Times New Roman" w:hAnsi="Times New Roman" w:cs="Times New Roman"/>
        </w:rPr>
      </w:pPr>
    </w:p>
    <w:p w14:paraId="4941F5D7"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 xml:space="preserve">Also, to unpack the symbolic vocabularies, themes, and literary structure of the whole book, scholars’ expertise in original language and the knowledge of Jewish apocalyptic literatures in the first century is needed. In his </w:t>
      </w:r>
      <w:r w:rsidRPr="000B071E">
        <w:rPr>
          <w:rFonts w:ascii="Times New Roman" w:hAnsi="Times New Roman" w:cs="Times New Roman"/>
          <w:i/>
        </w:rPr>
        <w:t>The Climax of Prophecy</w:t>
      </w:r>
      <w:r>
        <w:rPr>
          <w:rFonts w:ascii="Times New Roman" w:hAnsi="Times New Roman" w:cs="Times New Roman"/>
        </w:rPr>
        <w:t>, Bauckham demonstrates that the entire book of Revelation was ‘composed with such meticulous attention to the detail of language and structure that scarcely a word can have been chosen without deliberate reflection on its relationship to the work as an integrated, interconnected whole’.</w:t>
      </w:r>
      <w:r>
        <w:rPr>
          <w:rStyle w:val="FootnoteReference"/>
          <w:rFonts w:ascii="Times New Roman" w:hAnsi="Times New Roman" w:cs="Times New Roman"/>
        </w:rPr>
        <w:footnoteReference w:id="22"/>
      </w:r>
      <w:r>
        <w:rPr>
          <w:rFonts w:ascii="Times New Roman" w:hAnsi="Times New Roman" w:cs="Times New Roman"/>
        </w:rPr>
        <w:t xml:space="preserve"> His concentration on the study of literary structure, repetition, variation, and numerical composition has highlighted the creative eschatological picture the author of Revelation attempts to paint.</w:t>
      </w:r>
    </w:p>
    <w:p w14:paraId="028121A2" w14:textId="77777777" w:rsidR="00C516E2" w:rsidRDefault="00C516E2" w:rsidP="00C516E2">
      <w:pPr>
        <w:spacing w:line="360" w:lineRule="auto"/>
        <w:rPr>
          <w:rFonts w:ascii="Times New Roman" w:hAnsi="Times New Roman" w:cs="Times New Roman"/>
        </w:rPr>
      </w:pPr>
    </w:p>
    <w:p w14:paraId="2EF4063D"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In addition, Greg Beale traces the interpretation of the symbols from the use of Old Testament. He argues convincingly that Rev. 1:1 conveys the idea of symbolic communication.</w:t>
      </w:r>
      <w:r>
        <w:rPr>
          <w:rStyle w:val="FootnoteReference"/>
          <w:rFonts w:ascii="Times New Roman" w:hAnsi="Times New Roman" w:cs="Times New Roman"/>
        </w:rPr>
        <w:footnoteReference w:id="23"/>
      </w:r>
      <w:r>
        <w:rPr>
          <w:rFonts w:ascii="Times New Roman" w:hAnsi="Times New Roman" w:cs="Times New Roman"/>
        </w:rPr>
        <w:t xml:space="preserve"> He suggests that the use of the Greek word “</w:t>
      </w:r>
      <w:r w:rsidRPr="00A972AE">
        <w:rPr>
          <w:rFonts w:ascii="Times New Roman" w:hAnsi="Times New Roman" w:cs="Times New Roman"/>
        </w:rPr>
        <w:t>σημαίνω</w:t>
      </w:r>
      <w:r>
        <w:rPr>
          <w:rFonts w:ascii="Times New Roman" w:hAnsi="Times New Roman" w:cs="Times New Roman"/>
        </w:rPr>
        <w:t>” (make known) is alluding to Daniel 2:28 30, 45 in Greek translation. The dream vision of King Nebuchadnezzar in Daniel 2 is exactly a ‘communication by symbols’.</w:t>
      </w:r>
      <w:r>
        <w:rPr>
          <w:rStyle w:val="FootnoteReference"/>
          <w:rFonts w:ascii="Times New Roman" w:hAnsi="Times New Roman" w:cs="Times New Roman"/>
        </w:rPr>
        <w:footnoteReference w:id="24"/>
      </w:r>
      <w:r>
        <w:rPr>
          <w:rFonts w:ascii="Times New Roman" w:hAnsi="Times New Roman" w:cs="Times New Roman"/>
        </w:rPr>
        <w:t xml:space="preserve"> At the opening of Revelation (1:1), the author has already indicated the overall hermeneutical approach for the interpretation of this book-- the symbolic communication via the vision. </w:t>
      </w:r>
    </w:p>
    <w:p w14:paraId="62A02974" w14:textId="77777777" w:rsidR="00C516E2" w:rsidRDefault="00C516E2" w:rsidP="00C516E2">
      <w:pPr>
        <w:spacing w:line="360" w:lineRule="auto"/>
        <w:rPr>
          <w:rFonts w:ascii="Times New Roman" w:hAnsi="Times New Roman" w:cs="Times New Roman"/>
        </w:rPr>
      </w:pPr>
    </w:p>
    <w:p w14:paraId="35632913"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Similar to Beale, other scholars also find it fruitful to explore the use of the Old Testament allusions in the book of Revelation in order to understand its figurative meaning and theological significance.</w:t>
      </w:r>
      <w:r>
        <w:rPr>
          <w:rStyle w:val="FootnoteReference"/>
          <w:rFonts w:ascii="Times New Roman" w:hAnsi="Times New Roman" w:cs="Times New Roman"/>
        </w:rPr>
        <w:footnoteReference w:id="25"/>
      </w:r>
      <w:r>
        <w:rPr>
          <w:rFonts w:ascii="Times New Roman" w:hAnsi="Times New Roman" w:cs="Times New Roman"/>
        </w:rPr>
        <w:t xml:space="preserve"> So scholarly studies focusing on literary context, including the genre, the structure and the use of OT in Revelation, are all helpful to present the author’s message by clarifying the symbols and imagery of the book.</w:t>
      </w:r>
    </w:p>
    <w:p w14:paraId="382B80E4" w14:textId="77777777" w:rsidR="00C516E2" w:rsidRDefault="00C516E2" w:rsidP="00C516E2">
      <w:pPr>
        <w:spacing w:line="360" w:lineRule="auto"/>
        <w:rPr>
          <w:rFonts w:ascii="Times New Roman" w:hAnsi="Times New Roman" w:cs="Times New Roman"/>
        </w:rPr>
      </w:pPr>
    </w:p>
    <w:p w14:paraId="77FC6D23"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Conclusion</w:t>
      </w:r>
    </w:p>
    <w:p w14:paraId="29F3CE67" w14:textId="77777777" w:rsidR="00C516E2" w:rsidRDefault="00C516E2" w:rsidP="00C516E2">
      <w:pPr>
        <w:spacing w:line="360" w:lineRule="auto"/>
        <w:rPr>
          <w:rFonts w:ascii="Times New Roman" w:hAnsi="Times New Roman" w:cs="Times New Roman"/>
        </w:rPr>
      </w:pPr>
    </w:p>
    <w:p w14:paraId="09421479"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Bible reading and Bible study are both common practices in the evangelical circle. Believers are encouraged to get insights from their frequent reading of the word of God. Because of the scriptural promises, such as John 16:13 (‘</w:t>
      </w:r>
      <w:r w:rsidRPr="007A1981">
        <w:rPr>
          <w:rFonts w:ascii="Times New Roman" w:hAnsi="Times New Roman" w:cs="Times New Roman"/>
        </w:rPr>
        <w:t>When the Spirit of truth comes, he will guide you into all the truth</w:t>
      </w:r>
      <w:r>
        <w:rPr>
          <w:rFonts w:ascii="Times New Roman" w:hAnsi="Times New Roman" w:cs="Times New Roman"/>
        </w:rPr>
        <w:t>’), believer may have a perception that the Spirit will guide them to get the ‘correct’ meaning from the text. In this way, literalist insists that literal reading is the most logical way to understand the Bible.</w:t>
      </w:r>
    </w:p>
    <w:p w14:paraId="47180B45" w14:textId="77777777" w:rsidR="00C516E2" w:rsidRDefault="00C516E2" w:rsidP="00C516E2">
      <w:pPr>
        <w:spacing w:line="360" w:lineRule="auto"/>
        <w:rPr>
          <w:rFonts w:ascii="Times New Roman" w:hAnsi="Times New Roman" w:cs="Times New Roman"/>
        </w:rPr>
      </w:pPr>
    </w:p>
    <w:p w14:paraId="00754171"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However, they do not aware that lots of pre-suppositions are behind in their literal interpretation. First, they would impose their own modern prejudice into the text by historicising the biblical texts and trying to harmonize the biblical details to the scientific findings. Their ignorance of the historical context of the original author will easily lead to the misinterpretation of the text. On the contrary, the scholarly study of ANE texts provides a good source to interpret the Hebrew Bible by understanding the ancient Israelites’ worldview and distinctive theology.</w:t>
      </w:r>
      <w:r>
        <w:rPr>
          <w:rStyle w:val="FootnoteReference"/>
          <w:rFonts w:ascii="Times New Roman" w:hAnsi="Times New Roman" w:cs="Times New Roman"/>
        </w:rPr>
        <w:footnoteReference w:id="26"/>
      </w:r>
    </w:p>
    <w:p w14:paraId="2D5C4AB1" w14:textId="77777777" w:rsidR="00C516E2" w:rsidRDefault="00C516E2" w:rsidP="00C516E2">
      <w:pPr>
        <w:spacing w:line="360" w:lineRule="auto"/>
        <w:rPr>
          <w:rFonts w:ascii="Times New Roman" w:hAnsi="Times New Roman" w:cs="Times New Roman"/>
        </w:rPr>
      </w:pPr>
    </w:p>
    <w:p w14:paraId="48AA3C72"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 xml:space="preserve">Second, literalists would like to find the fulfilments of the OT prophecy as well as the NT Revelation in their own modern context.  By imposing their own theology into the interpretation, literalists overlook the author’s literary intention and selection of (or a mixed) genre to present their messages. In that case, biblical scholars’ synchronic study (ancient contemporary literature) and diachronic study (use of OT in the NT) can help us for a better understanding of some difficult texts, like Revelation. </w:t>
      </w:r>
    </w:p>
    <w:p w14:paraId="45DDC615" w14:textId="77777777" w:rsidR="00C516E2" w:rsidRDefault="00C516E2" w:rsidP="00C516E2">
      <w:pPr>
        <w:spacing w:line="360" w:lineRule="auto"/>
        <w:rPr>
          <w:rFonts w:ascii="Times New Roman" w:hAnsi="Times New Roman" w:cs="Times New Roman"/>
        </w:rPr>
      </w:pPr>
    </w:p>
    <w:p w14:paraId="6804DB8F"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Vanhoozer declares that the prime rule for hermeneutics is the ‘location’, that is the context of the text.</w:t>
      </w:r>
      <w:r>
        <w:rPr>
          <w:rStyle w:val="FootnoteReference"/>
          <w:rFonts w:ascii="Times New Roman" w:hAnsi="Times New Roman" w:cs="Times New Roman"/>
        </w:rPr>
        <w:footnoteReference w:id="27"/>
      </w:r>
      <w:r>
        <w:rPr>
          <w:rFonts w:ascii="Times New Roman" w:hAnsi="Times New Roman" w:cs="Times New Roman"/>
        </w:rPr>
        <w:t xml:space="preserve"> In the light of the scholarly works, reading or studying the bible in an informed way can locate the text into the appropriate contexts, and be more alert to the self-bias imposed into the interpretation.</w:t>
      </w:r>
    </w:p>
    <w:p w14:paraId="1D67E52D" w14:textId="77777777" w:rsidR="00C516E2" w:rsidRDefault="00C516E2" w:rsidP="00C516E2">
      <w:pPr>
        <w:spacing w:line="360" w:lineRule="auto"/>
        <w:rPr>
          <w:rFonts w:ascii="Times New Roman" w:hAnsi="Times New Roman" w:cs="Times New Roman"/>
        </w:rPr>
      </w:pPr>
    </w:p>
    <w:p w14:paraId="35CFBC3A" w14:textId="77777777" w:rsidR="00C516E2" w:rsidRDefault="00C516E2" w:rsidP="00C516E2">
      <w:pPr>
        <w:spacing w:line="360" w:lineRule="auto"/>
        <w:rPr>
          <w:rFonts w:ascii="Times New Roman" w:hAnsi="Times New Roman" w:cs="Times New Roman"/>
        </w:rPr>
      </w:pPr>
    </w:p>
    <w:p w14:paraId="7D74BE7B" w14:textId="77777777" w:rsidR="00C516E2" w:rsidRDefault="00C516E2" w:rsidP="00C516E2">
      <w:pPr>
        <w:spacing w:line="360" w:lineRule="auto"/>
        <w:rPr>
          <w:rFonts w:ascii="Times New Roman" w:hAnsi="Times New Roman" w:cs="Times New Roman"/>
        </w:rPr>
      </w:pPr>
      <w:r>
        <w:rPr>
          <w:rFonts w:ascii="Times New Roman" w:hAnsi="Times New Roman" w:cs="Times New Roman"/>
        </w:rPr>
        <w:t>Word counted: 2481</w:t>
      </w:r>
    </w:p>
    <w:p w14:paraId="0312E134" w14:textId="77777777" w:rsidR="00C516E2" w:rsidRPr="00CC05D4" w:rsidRDefault="00C516E2" w:rsidP="006C3ED6">
      <w:pPr>
        <w:rPr>
          <w:rFonts w:ascii="Times New Roman" w:eastAsia="Times New Roman" w:hAnsi="Times New Roman" w:cs="Times New Roman"/>
        </w:rPr>
      </w:pPr>
    </w:p>
    <w:p w14:paraId="795132EA" w14:textId="77777777" w:rsidR="00D42E80" w:rsidRDefault="00D42E80">
      <w:pPr>
        <w:rPr>
          <w:rFonts w:ascii="Times New Roman" w:hAnsi="Times New Roman" w:cs="Times New Roman"/>
        </w:rPr>
      </w:pPr>
    </w:p>
    <w:p w14:paraId="51548BDE" w14:textId="77777777" w:rsidR="00F91FC0" w:rsidRPr="00CC05D4" w:rsidRDefault="00F91FC0">
      <w:pPr>
        <w:rPr>
          <w:rFonts w:ascii="Times New Roman" w:hAnsi="Times New Roman" w:cs="Times New Roman"/>
        </w:rPr>
      </w:pPr>
    </w:p>
    <w:sectPr w:rsidR="00F91FC0" w:rsidRPr="00CC05D4" w:rsidSect="00FE082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89349C" w14:textId="77777777" w:rsidR="00C516E2" w:rsidRDefault="00C516E2" w:rsidP="00C516E2">
      <w:r>
        <w:separator/>
      </w:r>
    </w:p>
  </w:endnote>
  <w:endnote w:type="continuationSeparator" w:id="0">
    <w:p w14:paraId="4DACCA00" w14:textId="77777777" w:rsidR="00C516E2" w:rsidRDefault="00C516E2" w:rsidP="00C5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B87368" w14:textId="77777777" w:rsidR="00C516E2" w:rsidRDefault="00C516E2" w:rsidP="00C516E2">
      <w:r>
        <w:separator/>
      </w:r>
    </w:p>
  </w:footnote>
  <w:footnote w:type="continuationSeparator" w:id="0">
    <w:p w14:paraId="4EEC26C5" w14:textId="77777777" w:rsidR="00C516E2" w:rsidRDefault="00C516E2" w:rsidP="00C516E2">
      <w:r>
        <w:continuationSeparator/>
      </w:r>
    </w:p>
  </w:footnote>
  <w:footnote w:id="1">
    <w:p w14:paraId="02BC647B" w14:textId="77777777" w:rsidR="00C516E2" w:rsidRPr="00B620AA"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sidRPr="00B620AA">
        <w:rPr>
          <w:rFonts w:ascii="Times New Roman" w:hAnsi="Times New Roman" w:cs="Times New Roman"/>
          <w:sz w:val="20"/>
          <w:szCs w:val="20"/>
          <w:lang w:val="en-US"/>
        </w:rPr>
        <w:t>Lydia Saad, ‘Record</w:t>
      </w:r>
      <w:r>
        <w:rPr>
          <w:lang w:val="en-US"/>
        </w:rPr>
        <w:t xml:space="preserve"> </w:t>
      </w:r>
      <w:r w:rsidRPr="00B620AA">
        <w:rPr>
          <w:rFonts w:ascii="Times New Roman" w:hAnsi="Times New Roman" w:cs="Times New Roman"/>
          <w:sz w:val="20"/>
          <w:szCs w:val="20"/>
          <w:lang w:val="en-US"/>
        </w:rPr>
        <w:t>Few Americans Believe Bible Is Literal Word of God’</w:t>
      </w:r>
      <w:r>
        <w:rPr>
          <w:rFonts w:ascii="Times New Roman" w:hAnsi="Times New Roman" w:cs="Times New Roman"/>
          <w:sz w:val="20"/>
          <w:szCs w:val="20"/>
          <w:lang w:val="en-US"/>
        </w:rPr>
        <w:t xml:space="preserve">, May 15, 2017, GAULLUP, online: </w:t>
      </w:r>
      <w:hyperlink r:id="rId1" w:history="1">
        <w:r w:rsidRPr="0066179A">
          <w:rPr>
            <w:rStyle w:val="Hyperlink"/>
            <w:rFonts w:ascii="Times New Roman" w:hAnsi="Times New Roman" w:cs="Times New Roman"/>
            <w:sz w:val="20"/>
            <w:szCs w:val="20"/>
            <w:lang w:val="en-US"/>
          </w:rPr>
          <w:t>https://news.gallup.com/poll/210704/record-few-americans-believe-bible-literal-word-god.aspx</w:t>
        </w:r>
      </w:hyperlink>
      <w:r>
        <w:rPr>
          <w:rFonts w:ascii="Times New Roman" w:hAnsi="Times New Roman" w:cs="Times New Roman"/>
          <w:sz w:val="20"/>
          <w:szCs w:val="20"/>
          <w:lang w:val="en-US"/>
        </w:rPr>
        <w:t xml:space="preserve"> (accessed: 29th Dec, 2019).</w:t>
      </w:r>
    </w:p>
  </w:footnote>
  <w:footnote w:id="2">
    <w:p w14:paraId="10677676" w14:textId="77777777" w:rsidR="00C516E2" w:rsidRPr="006B3BCF"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sidRPr="006B3BCF">
        <w:rPr>
          <w:rFonts w:ascii="Times New Roman" w:hAnsi="Times New Roman" w:cs="Times New Roman"/>
          <w:sz w:val="20"/>
          <w:szCs w:val="20"/>
          <w:lang w:val="en-US"/>
        </w:rPr>
        <w:t xml:space="preserve">Norman Geisler &amp; Ron Rhodes, ‘The Literal Interpretation of Scripture’, in </w:t>
      </w:r>
      <w:r w:rsidRPr="006B3BCF">
        <w:rPr>
          <w:rFonts w:ascii="Times New Roman" w:hAnsi="Times New Roman" w:cs="Times New Roman"/>
          <w:i/>
          <w:sz w:val="20"/>
          <w:szCs w:val="20"/>
          <w:lang w:val="en-US"/>
        </w:rPr>
        <w:t>Conviction Without Compromise</w:t>
      </w:r>
      <w:r w:rsidRPr="006B3BCF">
        <w:rPr>
          <w:rFonts w:ascii="Times New Roman" w:hAnsi="Times New Roman" w:cs="Times New Roman"/>
          <w:sz w:val="20"/>
          <w:szCs w:val="20"/>
          <w:lang w:val="en-US"/>
        </w:rPr>
        <w:t>, (Eugene, Oregon: Harvest House Publishers, 2008), 195–207.</w:t>
      </w:r>
    </w:p>
  </w:footnote>
  <w:footnote w:id="3">
    <w:p w14:paraId="6C38540D" w14:textId="77777777" w:rsidR="00C516E2" w:rsidRPr="00736CCF" w:rsidRDefault="00C516E2" w:rsidP="00C516E2">
      <w:pPr>
        <w:pStyle w:val="FootnoteText"/>
        <w:rPr>
          <w:lang w:val="en-US"/>
        </w:rPr>
      </w:pPr>
      <w:r>
        <w:rPr>
          <w:rStyle w:val="FootnoteReference"/>
        </w:rPr>
        <w:footnoteRef/>
      </w:r>
      <w:r>
        <w:t xml:space="preserve"> </w:t>
      </w:r>
      <w:r w:rsidRPr="00736CCF">
        <w:rPr>
          <w:rFonts w:ascii="Times New Roman" w:hAnsi="Times New Roman" w:cs="Times New Roman"/>
          <w:sz w:val="20"/>
          <w:szCs w:val="20"/>
          <w:lang w:val="en-US"/>
        </w:rPr>
        <w:t>In this essay, I treat ‘reading’ and ‘interpretation’</w:t>
      </w:r>
      <w:r>
        <w:rPr>
          <w:rFonts w:ascii="Times New Roman" w:hAnsi="Times New Roman" w:cs="Times New Roman"/>
          <w:sz w:val="20"/>
          <w:szCs w:val="20"/>
          <w:lang w:val="en-US"/>
        </w:rPr>
        <w:t xml:space="preserve"> as</w:t>
      </w:r>
      <w:r w:rsidRPr="00736CCF">
        <w:rPr>
          <w:rFonts w:ascii="Times New Roman" w:hAnsi="Times New Roman" w:cs="Times New Roman"/>
          <w:sz w:val="20"/>
          <w:szCs w:val="20"/>
          <w:lang w:val="en-US"/>
        </w:rPr>
        <w:t xml:space="preserve"> synonym.</w:t>
      </w:r>
    </w:p>
  </w:footnote>
  <w:footnote w:id="4">
    <w:p w14:paraId="47FD56A1" w14:textId="77777777" w:rsidR="00C516E2" w:rsidRPr="0047695C"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Pr>
          <w:rFonts w:ascii="Times New Roman" w:hAnsi="Times New Roman" w:cs="Times New Roman"/>
          <w:sz w:val="20"/>
          <w:szCs w:val="20"/>
          <w:lang w:val="en-US"/>
        </w:rPr>
        <w:t xml:space="preserve">Duane Olson, </w:t>
      </w:r>
      <w:r w:rsidRPr="00F32054">
        <w:rPr>
          <w:rFonts w:ascii="Times New Roman" w:hAnsi="Times New Roman" w:cs="Times New Roman"/>
          <w:i/>
          <w:sz w:val="20"/>
          <w:szCs w:val="20"/>
          <w:lang w:val="en-US"/>
        </w:rPr>
        <w:t xml:space="preserve">Issues In Contemporary Christian Thought </w:t>
      </w:r>
      <w:r>
        <w:rPr>
          <w:rFonts w:ascii="Times New Roman" w:hAnsi="Times New Roman" w:cs="Times New Roman"/>
          <w:sz w:val="20"/>
          <w:szCs w:val="20"/>
          <w:lang w:val="en-US"/>
        </w:rPr>
        <w:t>(Minneapolis: Fortress Press, 2011), 22.</w:t>
      </w:r>
    </w:p>
  </w:footnote>
  <w:footnote w:id="5">
    <w:p w14:paraId="5CF14B82" w14:textId="77777777" w:rsidR="00C516E2" w:rsidRPr="002D5256"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Pr>
          <w:rFonts w:ascii="Times New Roman" w:hAnsi="Times New Roman" w:cs="Times New Roman"/>
          <w:sz w:val="20"/>
          <w:szCs w:val="20"/>
          <w:lang w:val="en-US"/>
        </w:rPr>
        <w:t xml:space="preserve">James McKeown, </w:t>
      </w:r>
      <w:r w:rsidRPr="00F32054">
        <w:rPr>
          <w:rFonts w:ascii="Times New Roman" w:hAnsi="Times New Roman" w:cs="Times New Roman"/>
          <w:i/>
          <w:sz w:val="20"/>
          <w:szCs w:val="20"/>
          <w:lang w:val="en-US"/>
        </w:rPr>
        <w:t>Genesis: Two Horizons Old Testament Commentary</w:t>
      </w:r>
      <w:r>
        <w:rPr>
          <w:rFonts w:ascii="Times New Roman" w:hAnsi="Times New Roman" w:cs="Times New Roman"/>
          <w:sz w:val="20"/>
          <w:szCs w:val="20"/>
          <w:lang w:val="en-US"/>
        </w:rPr>
        <w:t xml:space="preserve">, (Eerdmans, 2008), 295. </w:t>
      </w:r>
    </w:p>
  </w:footnote>
  <w:footnote w:id="6">
    <w:p w14:paraId="2FEA9F15" w14:textId="77777777" w:rsidR="00C516E2" w:rsidRPr="0094327F" w:rsidRDefault="00C516E2" w:rsidP="00C516E2">
      <w:pPr>
        <w:pStyle w:val="FootnoteText"/>
        <w:rPr>
          <w:lang w:val="en-US"/>
        </w:rPr>
      </w:pPr>
      <w:r>
        <w:rPr>
          <w:rStyle w:val="FootnoteReference"/>
        </w:rPr>
        <w:footnoteRef/>
      </w:r>
      <w:r>
        <w:t xml:space="preserve"> </w:t>
      </w:r>
      <w:r w:rsidRPr="0094327F">
        <w:rPr>
          <w:rFonts w:ascii="Times New Roman" w:hAnsi="Times New Roman" w:cs="Times New Roman"/>
          <w:sz w:val="20"/>
          <w:szCs w:val="20"/>
          <w:lang w:val="en-US"/>
        </w:rPr>
        <w:t xml:space="preserve">Vern </w:t>
      </w:r>
      <w:r>
        <w:rPr>
          <w:rFonts w:ascii="Times New Roman" w:hAnsi="Times New Roman" w:cs="Times New Roman"/>
          <w:sz w:val="20"/>
          <w:szCs w:val="20"/>
          <w:lang w:val="en-US"/>
        </w:rPr>
        <w:t xml:space="preserve">S. </w:t>
      </w:r>
      <w:r w:rsidRPr="0094327F">
        <w:rPr>
          <w:rFonts w:ascii="Times New Roman" w:hAnsi="Times New Roman" w:cs="Times New Roman"/>
          <w:sz w:val="20"/>
          <w:szCs w:val="20"/>
          <w:lang w:val="en-US"/>
        </w:rPr>
        <w:t xml:space="preserve">Poythress, </w:t>
      </w:r>
      <w:r w:rsidRPr="00F32054">
        <w:rPr>
          <w:rFonts w:ascii="Times New Roman" w:hAnsi="Times New Roman" w:cs="Times New Roman"/>
          <w:i/>
          <w:sz w:val="20"/>
          <w:szCs w:val="20"/>
          <w:lang w:val="en-US"/>
        </w:rPr>
        <w:t>Redeeming Science</w:t>
      </w:r>
      <w:r>
        <w:rPr>
          <w:rFonts w:ascii="Times New Roman" w:hAnsi="Times New Roman" w:cs="Times New Roman"/>
          <w:i/>
          <w:sz w:val="20"/>
          <w:szCs w:val="20"/>
          <w:lang w:val="en-US"/>
        </w:rPr>
        <w:t>: A God-Centered Approach</w:t>
      </w:r>
      <w:r w:rsidRPr="0094327F">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(Wheaton, IL: Crossway Books, 2006), </w:t>
      </w:r>
      <w:r w:rsidRPr="0094327F">
        <w:rPr>
          <w:rFonts w:ascii="Times New Roman" w:hAnsi="Times New Roman" w:cs="Times New Roman"/>
          <w:sz w:val="20"/>
          <w:szCs w:val="20"/>
          <w:lang w:val="en-US"/>
        </w:rPr>
        <w:t>82.</w:t>
      </w:r>
    </w:p>
  </w:footnote>
  <w:footnote w:id="7">
    <w:p w14:paraId="56E5AED6" w14:textId="77777777" w:rsidR="00C516E2" w:rsidRPr="00DC298D" w:rsidRDefault="00C516E2" w:rsidP="00C516E2">
      <w:pPr>
        <w:rPr>
          <w:rFonts w:ascii="Times New Roman" w:eastAsia="Times New Roman" w:hAnsi="Times New Roman" w:cs="Times New Roman"/>
          <w:sz w:val="20"/>
          <w:szCs w:val="20"/>
        </w:rPr>
      </w:pPr>
      <w:r>
        <w:rPr>
          <w:rStyle w:val="FootnoteReference"/>
        </w:rPr>
        <w:footnoteRef/>
      </w:r>
      <w:r>
        <w:t xml:space="preserve"> </w:t>
      </w:r>
      <w:r>
        <w:rPr>
          <w:rFonts w:ascii="Times New Roman" w:hAnsi="Times New Roman" w:cs="Times New Roman"/>
          <w:sz w:val="20"/>
          <w:szCs w:val="20"/>
        </w:rPr>
        <w:t>C.I. Scofield,</w:t>
      </w:r>
      <w:r w:rsidRPr="00F32054">
        <w:rPr>
          <w:rFonts w:ascii="Times New Roman" w:hAnsi="Times New Roman" w:cs="Times New Roman"/>
          <w:sz w:val="20"/>
          <w:szCs w:val="20"/>
        </w:rPr>
        <w:t xml:space="preserve"> </w:t>
      </w:r>
      <w:r w:rsidRPr="00F32054">
        <w:rPr>
          <w:rFonts w:ascii="Times New Roman" w:hAnsi="Times New Roman" w:cs="Times New Roman"/>
          <w:i/>
          <w:sz w:val="20"/>
          <w:szCs w:val="20"/>
          <w:lang w:val="en-US"/>
        </w:rPr>
        <w:t>Scofield Reference Bible</w:t>
      </w:r>
      <w:r>
        <w:rPr>
          <w:rFonts w:ascii="Times New Roman" w:hAnsi="Times New Roman" w:cs="Times New Roman"/>
          <w:sz w:val="20"/>
          <w:szCs w:val="20"/>
          <w:lang w:val="en-US"/>
        </w:rPr>
        <w:t xml:space="preserve"> online</w:t>
      </w:r>
      <w:r w:rsidRPr="00F32054">
        <w:rPr>
          <w:rFonts w:ascii="Times New Roman" w:hAnsi="Times New Roman" w:cs="Times New Roman"/>
          <w:sz w:val="20"/>
          <w:szCs w:val="20"/>
          <w:lang w:val="en-US"/>
        </w:rPr>
        <w:t>:</w:t>
      </w:r>
      <w:r>
        <w:rPr>
          <w:lang w:val="en-US"/>
        </w:rPr>
        <w:t xml:space="preserve"> </w:t>
      </w:r>
      <w:hyperlink r:id="rId2" w:history="1">
        <w:r w:rsidRPr="005B340F">
          <w:rPr>
            <w:rFonts w:ascii="Times New Roman" w:eastAsia="Times New Roman" w:hAnsi="Times New Roman" w:cs="Times New Roman"/>
            <w:color w:val="0000FF"/>
            <w:sz w:val="20"/>
            <w:szCs w:val="20"/>
            <w:u w:val="single"/>
          </w:rPr>
          <w:t>https://biblehub.com/commentaries/sco/genesis/1.htm</w:t>
        </w:r>
      </w:hyperlink>
      <w:r>
        <w:rPr>
          <w:rFonts w:ascii="Times New Roman" w:eastAsia="Times New Roman" w:hAnsi="Times New Roman" w:cs="Times New Roman"/>
          <w:sz w:val="20"/>
          <w:szCs w:val="20"/>
        </w:rPr>
        <w:t xml:space="preserve"> (assessed: 29th Dec, 2019).</w:t>
      </w:r>
    </w:p>
  </w:footnote>
  <w:footnote w:id="8">
    <w:p w14:paraId="44712926" w14:textId="77777777" w:rsidR="00C516E2" w:rsidRPr="00F32054"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Pr>
          <w:rFonts w:ascii="Times New Roman" w:hAnsi="Times New Roman" w:cs="Times New Roman"/>
          <w:sz w:val="20"/>
          <w:szCs w:val="20"/>
        </w:rPr>
        <w:t xml:space="preserve">McKeown, </w:t>
      </w:r>
      <w:r w:rsidRPr="00F32054">
        <w:rPr>
          <w:rFonts w:ascii="Times New Roman" w:hAnsi="Times New Roman" w:cs="Times New Roman"/>
          <w:i/>
          <w:sz w:val="20"/>
          <w:szCs w:val="20"/>
        </w:rPr>
        <w:t>Genesis</w:t>
      </w:r>
      <w:r>
        <w:rPr>
          <w:rFonts w:ascii="Times New Roman" w:hAnsi="Times New Roman" w:cs="Times New Roman"/>
          <w:sz w:val="20"/>
          <w:szCs w:val="20"/>
        </w:rPr>
        <w:t>, 301.</w:t>
      </w:r>
    </w:p>
  </w:footnote>
  <w:footnote w:id="9">
    <w:p w14:paraId="444475BD" w14:textId="77777777" w:rsidR="00C516E2" w:rsidRPr="00E42045"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sidRPr="00E42045">
        <w:rPr>
          <w:rFonts w:ascii="Times New Roman" w:hAnsi="Times New Roman" w:cs="Times New Roman"/>
          <w:sz w:val="20"/>
          <w:szCs w:val="20"/>
          <w:lang w:val="en-US"/>
        </w:rPr>
        <w:t xml:space="preserve">McKeown, </w:t>
      </w:r>
      <w:r w:rsidRPr="00E42045">
        <w:rPr>
          <w:rFonts w:ascii="Times New Roman" w:hAnsi="Times New Roman" w:cs="Times New Roman"/>
          <w:i/>
          <w:sz w:val="20"/>
          <w:szCs w:val="20"/>
          <w:lang w:val="en-US"/>
        </w:rPr>
        <w:t>Genesis</w:t>
      </w:r>
      <w:r w:rsidRPr="00E42045">
        <w:rPr>
          <w:rFonts w:ascii="Times New Roman" w:hAnsi="Times New Roman" w:cs="Times New Roman"/>
          <w:sz w:val="20"/>
          <w:szCs w:val="20"/>
          <w:lang w:val="en-US"/>
        </w:rPr>
        <w:t>, 298.</w:t>
      </w:r>
    </w:p>
  </w:footnote>
  <w:footnote w:id="10">
    <w:p w14:paraId="1165B2D2" w14:textId="77777777" w:rsidR="00C516E2" w:rsidRPr="00144D61" w:rsidRDefault="00C516E2" w:rsidP="00C516E2">
      <w:pPr>
        <w:pStyle w:val="FootnoteText"/>
        <w:rPr>
          <w:lang w:val="en-US"/>
        </w:rPr>
      </w:pPr>
      <w:r>
        <w:rPr>
          <w:rStyle w:val="FootnoteReference"/>
        </w:rPr>
        <w:footnoteRef/>
      </w:r>
      <w:r>
        <w:t xml:space="preserve"> </w:t>
      </w:r>
      <w:r w:rsidRPr="00B655F6">
        <w:rPr>
          <w:rFonts w:ascii="Times New Roman" w:hAnsi="Times New Roman" w:cs="Times New Roman"/>
          <w:sz w:val="20"/>
          <w:szCs w:val="20"/>
          <w:lang w:val="en-US"/>
        </w:rPr>
        <w:t xml:space="preserve">John Walton, </w:t>
      </w:r>
      <w:r w:rsidRPr="00B655F6">
        <w:rPr>
          <w:rFonts w:ascii="Times New Roman" w:hAnsi="Times New Roman" w:cs="Times New Roman"/>
          <w:i/>
          <w:sz w:val="20"/>
          <w:szCs w:val="20"/>
          <w:lang w:val="en-US"/>
        </w:rPr>
        <w:t>Ancient Near Eastern Thought and the Old Testament: Introducing the Conceptual World of the Hebrew Bible</w:t>
      </w:r>
      <w:r>
        <w:rPr>
          <w:rFonts w:ascii="Times New Roman" w:hAnsi="Times New Roman" w:cs="Times New Roman"/>
          <w:sz w:val="20"/>
          <w:szCs w:val="20"/>
          <w:lang w:val="en-US"/>
        </w:rPr>
        <w:t xml:space="preserve">, (Grand Rapids, MI: Baker Academic, 2006), 179–199. </w:t>
      </w:r>
    </w:p>
  </w:footnote>
  <w:footnote w:id="11">
    <w:p w14:paraId="0589EFFE" w14:textId="77777777" w:rsidR="00C516E2" w:rsidRPr="00C11AE8" w:rsidRDefault="00C516E2" w:rsidP="00C516E2">
      <w:pPr>
        <w:pStyle w:val="FootnoteText"/>
        <w:rPr>
          <w:lang w:val="en-US"/>
        </w:rPr>
      </w:pPr>
      <w:r>
        <w:rPr>
          <w:rStyle w:val="FootnoteReference"/>
        </w:rPr>
        <w:footnoteRef/>
      </w:r>
      <w:r>
        <w:t xml:space="preserve"> </w:t>
      </w:r>
      <w:r w:rsidRPr="007B33EB">
        <w:rPr>
          <w:rFonts w:ascii="Times New Roman" w:hAnsi="Times New Roman" w:cs="Times New Roman"/>
          <w:sz w:val="20"/>
          <w:szCs w:val="20"/>
          <w:lang w:val="en-US"/>
        </w:rPr>
        <w:t xml:space="preserve">John Walton, </w:t>
      </w:r>
      <w:r>
        <w:rPr>
          <w:rFonts w:ascii="Times New Roman" w:hAnsi="Times New Roman" w:cs="Times New Roman"/>
          <w:sz w:val="20"/>
          <w:szCs w:val="20"/>
          <w:lang w:val="en-US"/>
        </w:rPr>
        <w:t xml:space="preserve">‘Cosmology and Comparative Studies: Methodology’, in </w:t>
      </w:r>
      <w:r w:rsidRPr="007B33EB">
        <w:rPr>
          <w:rFonts w:ascii="Times New Roman" w:hAnsi="Times New Roman" w:cs="Times New Roman"/>
          <w:sz w:val="20"/>
          <w:szCs w:val="20"/>
          <w:lang w:val="en-US"/>
        </w:rPr>
        <w:t>Genesis 1 as Ancient Cosmology, (Winona Lake, Indiana: Eisenbrauns, 2011),</w:t>
      </w:r>
      <w:r>
        <w:rPr>
          <w:lang w:val="en-US"/>
        </w:rPr>
        <w:t xml:space="preserve"> </w:t>
      </w:r>
      <w:r w:rsidRPr="007B33EB">
        <w:rPr>
          <w:rFonts w:ascii="Times New Roman" w:hAnsi="Times New Roman" w:cs="Times New Roman"/>
          <w:sz w:val="20"/>
          <w:szCs w:val="20"/>
          <w:lang w:val="en-US"/>
        </w:rPr>
        <w:t>1–16.</w:t>
      </w:r>
    </w:p>
  </w:footnote>
  <w:footnote w:id="12">
    <w:p w14:paraId="17C8A49D" w14:textId="77777777" w:rsidR="00C516E2" w:rsidRPr="001523D6" w:rsidRDefault="00C516E2" w:rsidP="00C516E2">
      <w:pPr>
        <w:pStyle w:val="FootnoteText"/>
        <w:rPr>
          <w:lang w:val="en-US"/>
        </w:rPr>
      </w:pPr>
      <w:r>
        <w:rPr>
          <w:rStyle w:val="FootnoteReference"/>
        </w:rPr>
        <w:footnoteRef/>
      </w:r>
      <w:r>
        <w:t xml:space="preserve"> </w:t>
      </w:r>
      <w:r w:rsidRPr="001346DA">
        <w:rPr>
          <w:rFonts w:ascii="Times New Roman" w:hAnsi="Times New Roman" w:cs="Times New Roman"/>
          <w:sz w:val="20"/>
          <w:szCs w:val="20"/>
        </w:rPr>
        <w:t xml:space="preserve">McKeown, </w:t>
      </w:r>
      <w:r w:rsidRPr="001346DA">
        <w:rPr>
          <w:rFonts w:ascii="Times New Roman" w:hAnsi="Times New Roman" w:cs="Times New Roman"/>
          <w:i/>
          <w:sz w:val="20"/>
          <w:szCs w:val="20"/>
        </w:rPr>
        <w:t>Genesis</w:t>
      </w:r>
      <w:r>
        <w:rPr>
          <w:rFonts w:ascii="Times New Roman" w:hAnsi="Times New Roman" w:cs="Times New Roman"/>
          <w:sz w:val="20"/>
          <w:szCs w:val="20"/>
        </w:rPr>
        <w:t>, 312</w:t>
      </w:r>
      <w:r w:rsidRPr="001346DA">
        <w:rPr>
          <w:rFonts w:ascii="Times New Roman" w:hAnsi="Times New Roman" w:cs="Times New Roman"/>
          <w:sz w:val="20"/>
          <w:szCs w:val="20"/>
        </w:rPr>
        <w:t>.</w:t>
      </w:r>
    </w:p>
  </w:footnote>
  <w:footnote w:id="13">
    <w:p w14:paraId="075FDD80" w14:textId="77777777" w:rsidR="00C516E2" w:rsidRPr="00DE44F1" w:rsidRDefault="00C516E2" w:rsidP="00C516E2">
      <w:pPr>
        <w:pStyle w:val="FootnoteText"/>
        <w:rPr>
          <w:lang w:val="en-US"/>
        </w:rPr>
      </w:pPr>
      <w:r>
        <w:rPr>
          <w:rStyle w:val="FootnoteReference"/>
        </w:rPr>
        <w:footnoteRef/>
      </w:r>
      <w:r>
        <w:t xml:space="preserve"> </w:t>
      </w:r>
      <w:r w:rsidRPr="00DE44F1">
        <w:rPr>
          <w:rFonts w:ascii="Times New Roman" w:hAnsi="Times New Roman" w:cs="Times New Roman"/>
          <w:sz w:val="20"/>
          <w:szCs w:val="20"/>
          <w:lang w:val="en-US"/>
        </w:rPr>
        <w:t>Grant R. Osborne</w:t>
      </w:r>
      <w:r>
        <w:rPr>
          <w:rFonts w:ascii="Times New Roman" w:hAnsi="Times New Roman" w:cs="Times New Roman"/>
          <w:sz w:val="20"/>
          <w:szCs w:val="20"/>
          <w:lang w:val="en-US"/>
        </w:rPr>
        <w:t>, The Hermeneutical Spiral: A Comprehensive Introduction to Biblical Interpretation, (Downers Grove, IL: IVP Academic, 2006), 181.</w:t>
      </w:r>
    </w:p>
  </w:footnote>
  <w:footnote w:id="14">
    <w:p w14:paraId="03C12F67" w14:textId="77777777" w:rsidR="00C516E2" w:rsidRPr="004E7A37" w:rsidRDefault="00C516E2" w:rsidP="00C516E2">
      <w:pPr>
        <w:pStyle w:val="FootnoteText"/>
        <w:rPr>
          <w:lang w:val="en-US"/>
        </w:rPr>
      </w:pPr>
      <w:r>
        <w:rPr>
          <w:rStyle w:val="FootnoteReference"/>
        </w:rPr>
        <w:footnoteRef/>
      </w:r>
      <w:r>
        <w:t xml:space="preserve"> </w:t>
      </w:r>
      <w:r w:rsidRPr="004E7A37">
        <w:rPr>
          <w:rFonts w:ascii="Times New Roman" w:hAnsi="Times New Roman" w:cs="Times New Roman"/>
          <w:sz w:val="20"/>
          <w:szCs w:val="20"/>
          <w:lang w:val="en-US"/>
        </w:rPr>
        <w:t xml:space="preserve">Charles C. Ryrie, </w:t>
      </w:r>
      <w:r w:rsidRPr="004E7A37">
        <w:rPr>
          <w:rFonts w:ascii="Times New Roman" w:hAnsi="Times New Roman" w:cs="Times New Roman"/>
          <w:i/>
          <w:sz w:val="20"/>
          <w:szCs w:val="20"/>
          <w:lang w:val="en-US"/>
        </w:rPr>
        <w:t>Dispensationalism</w:t>
      </w:r>
      <w:r w:rsidRPr="004E7A37">
        <w:rPr>
          <w:rFonts w:ascii="Times New Roman" w:hAnsi="Times New Roman" w:cs="Times New Roman"/>
          <w:sz w:val="20"/>
          <w:szCs w:val="20"/>
          <w:lang w:val="en-US"/>
        </w:rPr>
        <w:t>, Revised and Expanded ed., (Chicago: Moody Publishers, 2007), 93</w:t>
      </w:r>
      <w:r>
        <w:rPr>
          <w:lang w:val="en-US"/>
        </w:rPr>
        <w:t>.</w:t>
      </w:r>
    </w:p>
  </w:footnote>
  <w:footnote w:id="15">
    <w:p w14:paraId="254422DD" w14:textId="77777777" w:rsidR="00C516E2" w:rsidRPr="00D97A7E"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sidRPr="00152B41">
        <w:rPr>
          <w:rFonts w:ascii="Times New Roman" w:hAnsi="Times New Roman" w:cs="Times New Roman"/>
          <w:sz w:val="20"/>
          <w:szCs w:val="20"/>
          <w:lang w:val="en-US"/>
        </w:rPr>
        <w:t xml:space="preserve">John </w:t>
      </w:r>
      <w:r>
        <w:rPr>
          <w:rFonts w:ascii="Times New Roman" w:hAnsi="Times New Roman" w:cs="Times New Roman"/>
          <w:sz w:val="20"/>
          <w:szCs w:val="20"/>
          <w:lang w:val="en-US"/>
        </w:rPr>
        <w:t xml:space="preserve">Goldingay, </w:t>
      </w:r>
      <w:r w:rsidRPr="00152B41">
        <w:rPr>
          <w:rFonts w:ascii="Times New Roman" w:hAnsi="Times New Roman" w:cs="Times New Roman"/>
          <w:i/>
          <w:sz w:val="20"/>
          <w:szCs w:val="20"/>
          <w:lang w:val="en-US"/>
        </w:rPr>
        <w:t>Models for Interpretation of Scripture</w:t>
      </w:r>
      <w:r w:rsidRPr="00D97A7E">
        <w:rPr>
          <w:rFonts w:ascii="Times New Roman" w:hAnsi="Times New Roman" w:cs="Times New Roman"/>
          <w:sz w:val="20"/>
          <w:szCs w:val="20"/>
          <w:lang w:val="en-US"/>
        </w:rPr>
        <w:t>,</w:t>
      </w:r>
      <w:r>
        <w:rPr>
          <w:rFonts w:ascii="Times New Roman" w:hAnsi="Times New Roman" w:cs="Times New Roman"/>
          <w:sz w:val="20"/>
          <w:szCs w:val="20"/>
          <w:lang w:val="en-US"/>
        </w:rPr>
        <w:t xml:space="preserve"> (Grand Rapids, MI: Eerdmans, 1995), 161.</w:t>
      </w:r>
      <w:r w:rsidRPr="00D97A7E">
        <w:rPr>
          <w:rFonts w:ascii="Times New Roman" w:hAnsi="Times New Roman" w:cs="Times New Roman"/>
          <w:sz w:val="20"/>
          <w:szCs w:val="20"/>
          <w:lang w:val="en-US"/>
        </w:rPr>
        <w:t xml:space="preserve"> </w:t>
      </w:r>
    </w:p>
  </w:footnote>
  <w:footnote w:id="16">
    <w:p w14:paraId="41FA44B6" w14:textId="77777777" w:rsidR="00C516E2" w:rsidRPr="00621479" w:rsidRDefault="00C516E2" w:rsidP="00C516E2">
      <w:pPr>
        <w:pStyle w:val="FootnoteText"/>
        <w:rPr>
          <w:lang w:val="en-US"/>
        </w:rPr>
      </w:pPr>
      <w:r>
        <w:rPr>
          <w:rStyle w:val="FootnoteReference"/>
        </w:rPr>
        <w:footnoteRef/>
      </w:r>
      <w:r>
        <w:t xml:space="preserve"> </w:t>
      </w:r>
      <w:r w:rsidRPr="00621479">
        <w:rPr>
          <w:rFonts w:ascii="Times New Roman" w:hAnsi="Times New Roman" w:cs="Times New Roman"/>
          <w:sz w:val="20"/>
          <w:szCs w:val="20"/>
          <w:lang w:val="en-US"/>
        </w:rPr>
        <w:t>Ibid, 162</w:t>
      </w:r>
      <w:r>
        <w:rPr>
          <w:lang w:val="en-US"/>
        </w:rPr>
        <w:t>.</w:t>
      </w:r>
    </w:p>
  </w:footnote>
  <w:footnote w:id="17">
    <w:p w14:paraId="392ADE72" w14:textId="77777777" w:rsidR="00C516E2" w:rsidRPr="000154A9"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sidRPr="000154A9">
        <w:rPr>
          <w:rFonts w:ascii="Times New Roman" w:hAnsi="Times New Roman" w:cs="Times New Roman"/>
          <w:sz w:val="20"/>
          <w:szCs w:val="20"/>
          <w:lang w:val="en-US"/>
        </w:rPr>
        <w:t xml:space="preserve">Osborne, </w:t>
      </w:r>
      <w:r w:rsidRPr="000154A9">
        <w:rPr>
          <w:rFonts w:ascii="Times New Roman" w:hAnsi="Times New Roman" w:cs="Times New Roman"/>
          <w:i/>
          <w:sz w:val="20"/>
          <w:szCs w:val="20"/>
          <w:lang w:val="en-US"/>
        </w:rPr>
        <w:t>Hermeneutical Spiral</w:t>
      </w:r>
      <w:r w:rsidRPr="000154A9">
        <w:rPr>
          <w:rFonts w:ascii="Times New Roman" w:hAnsi="Times New Roman" w:cs="Times New Roman"/>
          <w:sz w:val="20"/>
          <w:szCs w:val="20"/>
          <w:lang w:val="en-US"/>
        </w:rPr>
        <w:t>, 271.</w:t>
      </w:r>
    </w:p>
  </w:footnote>
  <w:footnote w:id="18">
    <w:p w14:paraId="3CA49D92" w14:textId="77777777" w:rsidR="00C516E2" w:rsidRPr="00F21A80" w:rsidRDefault="00C516E2" w:rsidP="00C516E2">
      <w:pPr>
        <w:pStyle w:val="FootnoteText"/>
        <w:rPr>
          <w:lang w:val="en-US"/>
        </w:rPr>
      </w:pPr>
      <w:r>
        <w:rPr>
          <w:rStyle w:val="FootnoteReference"/>
        </w:rPr>
        <w:footnoteRef/>
      </w:r>
      <w:r>
        <w:t xml:space="preserve"> </w:t>
      </w:r>
      <w:r w:rsidRPr="00D004BD">
        <w:rPr>
          <w:rFonts w:ascii="Times New Roman" w:hAnsi="Times New Roman" w:cs="Times New Roman"/>
          <w:sz w:val="20"/>
          <w:szCs w:val="20"/>
          <w:lang w:val="en-US"/>
        </w:rPr>
        <w:t xml:space="preserve">John Walvoord, </w:t>
      </w:r>
      <w:r w:rsidRPr="00D004BD">
        <w:rPr>
          <w:rFonts w:ascii="Times New Roman" w:hAnsi="Times New Roman" w:cs="Times New Roman"/>
          <w:i/>
          <w:sz w:val="20"/>
          <w:szCs w:val="20"/>
          <w:lang w:val="en-US"/>
        </w:rPr>
        <w:t>The Revelation of Jesus Christ</w:t>
      </w:r>
      <w:r w:rsidRPr="00D004BD">
        <w:rPr>
          <w:rFonts w:ascii="Times New Roman" w:hAnsi="Times New Roman" w:cs="Times New Roman"/>
          <w:sz w:val="20"/>
          <w:szCs w:val="20"/>
          <w:lang w:val="en-US"/>
        </w:rPr>
        <w:t>, (Chicago: Moody Press, 1989), 30.</w:t>
      </w:r>
    </w:p>
  </w:footnote>
  <w:footnote w:id="19">
    <w:p w14:paraId="123DC1EF" w14:textId="77777777" w:rsidR="00C516E2" w:rsidRPr="0047282B" w:rsidRDefault="00C516E2" w:rsidP="00C516E2">
      <w:pPr>
        <w:pStyle w:val="FootnoteText"/>
        <w:rPr>
          <w:lang w:val="en-US"/>
        </w:rPr>
      </w:pPr>
      <w:r>
        <w:rPr>
          <w:rStyle w:val="FootnoteReference"/>
        </w:rPr>
        <w:footnoteRef/>
      </w:r>
      <w:r>
        <w:t xml:space="preserve"> </w:t>
      </w:r>
      <w:r w:rsidRPr="00D004BD">
        <w:rPr>
          <w:rFonts w:ascii="Times New Roman" w:hAnsi="Times New Roman" w:cs="Times New Roman"/>
          <w:sz w:val="20"/>
          <w:szCs w:val="20"/>
          <w:lang w:val="en-US"/>
        </w:rPr>
        <w:t xml:space="preserve">Walvoord, </w:t>
      </w:r>
      <w:r w:rsidRPr="00D004BD">
        <w:rPr>
          <w:rFonts w:ascii="Times New Roman" w:hAnsi="Times New Roman" w:cs="Times New Roman"/>
          <w:i/>
          <w:sz w:val="20"/>
          <w:szCs w:val="20"/>
          <w:lang w:val="en-US"/>
        </w:rPr>
        <w:t>The Revelation of Jesus Christ</w:t>
      </w:r>
      <w:r>
        <w:rPr>
          <w:rFonts w:ascii="Times New Roman" w:hAnsi="Times New Roman" w:cs="Times New Roman"/>
          <w:sz w:val="20"/>
          <w:szCs w:val="20"/>
          <w:lang w:val="en-US"/>
        </w:rPr>
        <w:t xml:space="preserve">, 236. </w:t>
      </w:r>
    </w:p>
  </w:footnote>
  <w:footnote w:id="20">
    <w:p w14:paraId="6645A3C5" w14:textId="77777777" w:rsidR="00C516E2" w:rsidRPr="00DF58F2"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Pr>
          <w:rFonts w:ascii="Times New Roman" w:hAnsi="Times New Roman" w:cs="Times New Roman"/>
          <w:sz w:val="20"/>
          <w:szCs w:val="20"/>
          <w:lang w:val="en-US"/>
        </w:rPr>
        <w:t>Osbo</w:t>
      </w:r>
      <w:r w:rsidRPr="00DF58F2">
        <w:rPr>
          <w:rFonts w:ascii="Times New Roman" w:hAnsi="Times New Roman" w:cs="Times New Roman"/>
          <w:sz w:val="20"/>
          <w:szCs w:val="20"/>
          <w:lang w:val="en-US"/>
        </w:rPr>
        <w:t xml:space="preserve">rne, </w:t>
      </w:r>
      <w:r w:rsidRPr="00DF58F2">
        <w:rPr>
          <w:rFonts w:ascii="Times New Roman" w:hAnsi="Times New Roman" w:cs="Times New Roman"/>
          <w:i/>
          <w:sz w:val="20"/>
          <w:szCs w:val="20"/>
          <w:lang w:val="en-US"/>
        </w:rPr>
        <w:t>Hermeneutical Spiral</w:t>
      </w:r>
      <w:r w:rsidRPr="00DF58F2">
        <w:rPr>
          <w:rFonts w:ascii="Times New Roman" w:hAnsi="Times New Roman" w:cs="Times New Roman"/>
          <w:sz w:val="20"/>
          <w:szCs w:val="20"/>
          <w:lang w:val="en-US"/>
        </w:rPr>
        <w:t>, 283.</w:t>
      </w:r>
    </w:p>
  </w:footnote>
  <w:footnote w:id="21">
    <w:p w14:paraId="18A8B461" w14:textId="77777777" w:rsidR="00C516E2" w:rsidRPr="00E03CFF"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sidRPr="00E03CFF">
        <w:rPr>
          <w:rFonts w:ascii="Times New Roman" w:hAnsi="Times New Roman" w:cs="Times New Roman"/>
          <w:sz w:val="20"/>
          <w:szCs w:val="20"/>
          <w:lang w:val="en-US"/>
        </w:rPr>
        <w:t xml:space="preserve">Gordon Fee, ‘Preaching Apocalyptic? You’ve got to be kidding!”, </w:t>
      </w:r>
      <w:r w:rsidRPr="00E03CFF">
        <w:rPr>
          <w:rFonts w:ascii="Times New Roman" w:hAnsi="Times New Roman" w:cs="Times New Roman"/>
          <w:i/>
          <w:sz w:val="20"/>
          <w:szCs w:val="20"/>
          <w:lang w:val="en-US"/>
        </w:rPr>
        <w:t>Calvin Theological Journal</w:t>
      </w:r>
      <w:r w:rsidRPr="00E03CFF">
        <w:rPr>
          <w:rFonts w:ascii="Times New Roman" w:hAnsi="Times New Roman" w:cs="Times New Roman"/>
          <w:sz w:val="20"/>
          <w:szCs w:val="20"/>
          <w:lang w:val="en-US"/>
        </w:rPr>
        <w:t xml:space="preserve"> 41 (2006): 7–16.</w:t>
      </w:r>
    </w:p>
  </w:footnote>
  <w:footnote w:id="22">
    <w:p w14:paraId="1B1CB1BA" w14:textId="77777777" w:rsidR="00C516E2" w:rsidRPr="00B011C5" w:rsidRDefault="00C516E2" w:rsidP="00C516E2">
      <w:pPr>
        <w:pStyle w:val="FootnoteText"/>
        <w:rPr>
          <w:lang w:val="en-US"/>
        </w:rPr>
      </w:pPr>
      <w:r>
        <w:rPr>
          <w:rStyle w:val="FootnoteReference"/>
        </w:rPr>
        <w:footnoteRef/>
      </w:r>
      <w:r>
        <w:t xml:space="preserve"> </w:t>
      </w:r>
      <w:r w:rsidRPr="00CB60B1">
        <w:rPr>
          <w:rFonts w:ascii="Times New Roman" w:hAnsi="Times New Roman" w:cs="Times New Roman"/>
          <w:sz w:val="20"/>
          <w:szCs w:val="20"/>
          <w:lang w:val="en-US"/>
        </w:rPr>
        <w:t xml:space="preserve">Richard Bauckham, </w:t>
      </w:r>
      <w:r w:rsidRPr="00CB60B1">
        <w:rPr>
          <w:rFonts w:ascii="Times New Roman" w:hAnsi="Times New Roman" w:cs="Times New Roman"/>
          <w:i/>
          <w:sz w:val="20"/>
          <w:szCs w:val="20"/>
          <w:lang w:val="en-US"/>
        </w:rPr>
        <w:t>The Climax of Prophecy: Studies in the Book of Revelation</w:t>
      </w:r>
      <w:r w:rsidRPr="00CB60B1">
        <w:rPr>
          <w:rFonts w:ascii="Times New Roman" w:hAnsi="Times New Roman" w:cs="Times New Roman"/>
          <w:sz w:val="20"/>
          <w:szCs w:val="20"/>
          <w:lang w:val="en-US"/>
        </w:rPr>
        <w:t>, (Edinburg: T&amp;T Clark, 1993)</w:t>
      </w:r>
      <w:r>
        <w:rPr>
          <w:rFonts w:ascii="Times New Roman" w:hAnsi="Times New Roman" w:cs="Times New Roman"/>
          <w:sz w:val="20"/>
          <w:szCs w:val="20"/>
          <w:lang w:val="en-US"/>
        </w:rPr>
        <w:t>, p. x.</w:t>
      </w:r>
    </w:p>
  </w:footnote>
  <w:footnote w:id="23">
    <w:p w14:paraId="36DAE0CC" w14:textId="77777777" w:rsidR="00C516E2" w:rsidRPr="00A972AE"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sidRPr="00A972AE">
        <w:rPr>
          <w:rFonts w:ascii="Times New Roman" w:hAnsi="Times New Roman" w:cs="Times New Roman"/>
          <w:sz w:val="20"/>
          <w:szCs w:val="20"/>
          <w:lang w:val="en-US"/>
        </w:rPr>
        <w:t xml:space="preserve">Greg Beale, </w:t>
      </w:r>
      <w:r w:rsidRPr="00A972AE">
        <w:rPr>
          <w:rFonts w:ascii="Times New Roman" w:hAnsi="Times New Roman" w:cs="Times New Roman"/>
          <w:i/>
          <w:sz w:val="20"/>
          <w:szCs w:val="20"/>
          <w:lang w:val="en-US"/>
        </w:rPr>
        <w:t>John’s Use of the Old Testament in Revelation</w:t>
      </w:r>
      <w:r w:rsidRPr="00A972AE">
        <w:rPr>
          <w:rFonts w:ascii="Times New Roman" w:hAnsi="Times New Roman" w:cs="Times New Roman"/>
          <w:sz w:val="20"/>
          <w:szCs w:val="20"/>
          <w:lang w:val="en-US"/>
        </w:rPr>
        <w:t xml:space="preserve">, </w:t>
      </w:r>
      <w:r>
        <w:rPr>
          <w:rFonts w:ascii="Times New Roman" w:hAnsi="Times New Roman" w:cs="Times New Roman"/>
          <w:sz w:val="20"/>
          <w:szCs w:val="20"/>
          <w:lang w:val="en-US"/>
        </w:rPr>
        <w:t>(</w:t>
      </w:r>
      <w:r w:rsidRPr="00A972AE">
        <w:rPr>
          <w:rFonts w:ascii="Times New Roman" w:hAnsi="Times New Roman" w:cs="Times New Roman"/>
          <w:sz w:val="20"/>
          <w:szCs w:val="20"/>
          <w:lang w:val="en-US"/>
        </w:rPr>
        <w:t>JSNT Supp.166, Sheffield Academic Press, 1998), 295–317.</w:t>
      </w:r>
    </w:p>
  </w:footnote>
  <w:footnote w:id="24">
    <w:p w14:paraId="05EEBCBE" w14:textId="77777777" w:rsidR="00C516E2" w:rsidRPr="00D92113" w:rsidRDefault="00C516E2" w:rsidP="00C516E2">
      <w:pPr>
        <w:pStyle w:val="FootnoteText"/>
        <w:rPr>
          <w:lang w:val="en-US"/>
        </w:rPr>
      </w:pPr>
      <w:r>
        <w:rPr>
          <w:rStyle w:val="FootnoteReference"/>
        </w:rPr>
        <w:footnoteRef/>
      </w:r>
      <w:r>
        <w:t xml:space="preserve"> </w:t>
      </w:r>
      <w:r w:rsidRPr="00D92113">
        <w:rPr>
          <w:rFonts w:ascii="Times New Roman" w:hAnsi="Times New Roman" w:cs="Times New Roman"/>
          <w:sz w:val="20"/>
          <w:szCs w:val="20"/>
          <w:lang w:val="en-US"/>
        </w:rPr>
        <w:t>Ibid, 296.</w:t>
      </w:r>
    </w:p>
  </w:footnote>
  <w:footnote w:id="25">
    <w:p w14:paraId="32CB7534" w14:textId="77777777" w:rsidR="00C516E2" w:rsidRPr="00CB60B1" w:rsidRDefault="00C516E2" w:rsidP="00C516E2">
      <w:pPr>
        <w:pStyle w:val="FootnoteText"/>
        <w:rPr>
          <w:lang w:val="en-US"/>
        </w:rPr>
      </w:pPr>
      <w:r>
        <w:rPr>
          <w:rStyle w:val="FootnoteReference"/>
        </w:rPr>
        <w:footnoteRef/>
      </w:r>
      <w:r>
        <w:t xml:space="preserve"> </w:t>
      </w:r>
      <w:r w:rsidRPr="00CB60B1">
        <w:rPr>
          <w:rFonts w:ascii="Times New Roman" w:hAnsi="Times New Roman" w:cs="Times New Roman"/>
          <w:sz w:val="20"/>
          <w:szCs w:val="20"/>
          <w:lang w:val="en-US"/>
        </w:rPr>
        <w:t xml:space="preserve">Steve Moyise, </w:t>
      </w:r>
      <w:r w:rsidRPr="00CB60B1">
        <w:rPr>
          <w:rFonts w:ascii="Times New Roman" w:hAnsi="Times New Roman" w:cs="Times New Roman"/>
          <w:i/>
          <w:sz w:val="20"/>
          <w:szCs w:val="20"/>
          <w:lang w:val="en-US"/>
        </w:rPr>
        <w:t>The Old Testament in the Book of Revelation</w:t>
      </w:r>
      <w:r w:rsidRPr="00CB60B1">
        <w:rPr>
          <w:rFonts w:ascii="Times New Roman" w:hAnsi="Times New Roman" w:cs="Times New Roman"/>
          <w:sz w:val="20"/>
          <w:szCs w:val="20"/>
          <w:lang w:val="en-US"/>
        </w:rPr>
        <w:t>, (Sheffield Academic Press, 1995)</w:t>
      </w:r>
      <w:r>
        <w:rPr>
          <w:rFonts w:ascii="Times New Roman" w:hAnsi="Times New Roman" w:cs="Times New Roman"/>
          <w:sz w:val="20"/>
          <w:szCs w:val="20"/>
          <w:lang w:val="en-US"/>
        </w:rPr>
        <w:t xml:space="preserve"> and David Mathewson, </w:t>
      </w:r>
      <w:r w:rsidRPr="007B7D3C">
        <w:rPr>
          <w:rFonts w:ascii="Times New Roman" w:hAnsi="Times New Roman" w:cs="Times New Roman"/>
          <w:i/>
          <w:sz w:val="20"/>
          <w:szCs w:val="20"/>
          <w:lang w:val="en-US"/>
        </w:rPr>
        <w:t>A New Heaven and a New Earth: The Meaning and Function of the Old Testament in Revelation 21:1–22:5</w:t>
      </w:r>
      <w:r>
        <w:rPr>
          <w:rFonts w:ascii="Times New Roman" w:hAnsi="Times New Roman" w:cs="Times New Roman"/>
          <w:sz w:val="20"/>
          <w:szCs w:val="20"/>
          <w:lang w:val="en-US"/>
        </w:rPr>
        <w:t>, (Sheffield Academic Press, 2003).</w:t>
      </w:r>
    </w:p>
  </w:footnote>
  <w:footnote w:id="26">
    <w:p w14:paraId="425C1DDD" w14:textId="77777777" w:rsidR="00C516E2" w:rsidRPr="00A014B5"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Pr>
          <w:rFonts w:ascii="Times New Roman" w:hAnsi="Times New Roman" w:cs="Times New Roman"/>
          <w:sz w:val="20"/>
          <w:szCs w:val="20"/>
          <w:lang w:val="en-US"/>
        </w:rPr>
        <w:t>Apart from the Enuma Elish and the Atrahasis, the Epic of Gilgamesh is also a good source to compare</w:t>
      </w:r>
      <w:r w:rsidRPr="00A014B5">
        <w:rPr>
          <w:rFonts w:ascii="Times New Roman" w:hAnsi="Times New Roman" w:cs="Times New Roman"/>
          <w:sz w:val="20"/>
          <w:szCs w:val="20"/>
          <w:lang w:val="en-US"/>
        </w:rPr>
        <w:t xml:space="preserve"> the Flood Narrative in Genesis 6–9. (John Currid, </w:t>
      </w:r>
      <w:r w:rsidRPr="00A014B5">
        <w:rPr>
          <w:rFonts w:ascii="Times New Roman" w:hAnsi="Times New Roman" w:cs="Times New Roman"/>
          <w:i/>
          <w:sz w:val="20"/>
          <w:szCs w:val="20"/>
          <w:lang w:val="en-US"/>
        </w:rPr>
        <w:t>Against The Gods: The Polemical Theology of the Old Testament</w:t>
      </w:r>
      <w:r w:rsidRPr="00A014B5">
        <w:rPr>
          <w:rFonts w:ascii="Times New Roman" w:hAnsi="Times New Roman" w:cs="Times New Roman"/>
          <w:sz w:val="20"/>
          <w:szCs w:val="20"/>
          <w:lang w:val="en-US"/>
        </w:rPr>
        <w:t>, (Wheaton, Il: Crossway), 47–64).</w:t>
      </w:r>
    </w:p>
  </w:footnote>
  <w:footnote w:id="27">
    <w:p w14:paraId="62F2762F" w14:textId="77777777" w:rsidR="00C516E2" w:rsidRPr="00A8744A" w:rsidRDefault="00C516E2" w:rsidP="00C516E2">
      <w:pPr>
        <w:pStyle w:val="FootnoteText"/>
        <w:rPr>
          <w:rFonts w:ascii="Times New Roman" w:hAnsi="Times New Roman" w:cs="Times New Roman"/>
          <w:sz w:val="20"/>
          <w:szCs w:val="20"/>
          <w:lang w:val="en-US"/>
        </w:rPr>
      </w:pPr>
      <w:r>
        <w:rPr>
          <w:rStyle w:val="FootnoteReference"/>
        </w:rPr>
        <w:footnoteRef/>
      </w:r>
      <w:r>
        <w:t xml:space="preserve"> </w:t>
      </w:r>
      <w:r w:rsidRPr="00A8744A">
        <w:rPr>
          <w:rFonts w:ascii="Times New Roman" w:hAnsi="Times New Roman" w:cs="Times New Roman"/>
          <w:sz w:val="20"/>
          <w:szCs w:val="20"/>
          <w:lang w:val="en-US"/>
        </w:rPr>
        <w:t xml:space="preserve">Kevin Vanhoozer, </w:t>
      </w:r>
      <w:r w:rsidRPr="00A8744A">
        <w:rPr>
          <w:rFonts w:ascii="Times New Roman" w:hAnsi="Times New Roman" w:cs="Times New Roman"/>
          <w:i/>
          <w:sz w:val="20"/>
          <w:szCs w:val="20"/>
          <w:lang w:val="en-US"/>
        </w:rPr>
        <w:t>Is There a Meaning in this Text?</w:t>
      </w:r>
      <w:r w:rsidRPr="00A8744A">
        <w:rPr>
          <w:rFonts w:ascii="Times New Roman" w:hAnsi="Times New Roman" w:cs="Times New Roman"/>
          <w:sz w:val="20"/>
          <w:szCs w:val="20"/>
          <w:lang w:val="en-US"/>
        </w:rPr>
        <w:t xml:space="preserve">, </w:t>
      </w:r>
      <w:r>
        <w:rPr>
          <w:rFonts w:ascii="Times New Roman" w:hAnsi="Times New Roman" w:cs="Times New Roman"/>
          <w:sz w:val="20"/>
          <w:szCs w:val="20"/>
          <w:lang w:val="en-US"/>
        </w:rPr>
        <w:t>(Grand Rapids, MI: Zondervan, 1998),</w:t>
      </w:r>
      <w:r w:rsidRPr="00A8744A">
        <w:rPr>
          <w:rFonts w:ascii="Times New Roman" w:hAnsi="Times New Roman" w:cs="Times New Roman"/>
          <w:sz w:val="20"/>
          <w:szCs w:val="20"/>
          <w:lang w:val="en-US"/>
        </w:rPr>
        <w:t>112.</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417EA7"/>
    <w:multiLevelType w:val="hybridMultilevel"/>
    <w:tmpl w:val="C88C4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ED6"/>
    <w:rsid w:val="00673EFF"/>
    <w:rsid w:val="006C3ED6"/>
    <w:rsid w:val="00C516E2"/>
    <w:rsid w:val="00CC05D4"/>
    <w:rsid w:val="00D42E80"/>
    <w:rsid w:val="00F91FC0"/>
    <w:rsid w:val="00FE08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14CB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C3ED6"/>
  </w:style>
  <w:style w:type="paragraph" w:styleId="ListParagraph">
    <w:name w:val="List Paragraph"/>
    <w:basedOn w:val="Normal"/>
    <w:uiPriority w:val="34"/>
    <w:qFormat/>
    <w:rsid w:val="00C516E2"/>
    <w:pPr>
      <w:ind w:left="720"/>
      <w:contextualSpacing/>
    </w:pPr>
  </w:style>
  <w:style w:type="paragraph" w:styleId="FootnoteText">
    <w:name w:val="footnote text"/>
    <w:basedOn w:val="Normal"/>
    <w:link w:val="FootnoteTextChar"/>
    <w:uiPriority w:val="99"/>
    <w:unhideWhenUsed/>
    <w:rsid w:val="00C516E2"/>
  </w:style>
  <w:style w:type="character" w:customStyle="1" w:styleId="FootnoteTextChar">
    <w:name w:val="Footnote Text Char"/>
    <w:basedOn w:val="DefaultParagraphFont"/>
    <w:link w:val="FootnoteText"/>
    <w:uiPriority w:val="99"/>
    <w:rsid w:val="00C516E2"/>
  </w:style>
  <w:style w:type="character" w:styleId="FootnoteReference">
    <w:name w:val="footnote reference"/>
    <w:basedOn w:val="DefaultParagraphFont"/>
    <w:uiPriority w:val="99"/>
    <w:unhideWhenUsed/>
    <w:rsid w:val="00C516E2"/>
    <w:rPr>
      <w:vertAlign w:val="superscript"/>
    </w:rPr>
  </w:style>
  <w:style w:type="character" w:styleId="Hyperlink">
    <w:name w:val="Hyperlink"/>
    <w:basedOn w:val="DefaultParagraphFont"/>
    <w:uiPriority w:val="99"/>
    <w:unhideWhenUsed/>
    <w:rsid w:val="00C516E2"/>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C3ED6"/>
  </w:style>
  <w:style w:type="paragraph" w:styleId="ListParagraph">
    <w:name w:val="List Paragraph"/>
    <w:basedOn w:val="Normal"/>
    <w:uiPriority w:val="34"/>
    <w:qFormat/>
    <w:rsid w:val="00C516E2"/>
    <w:pPr>
      <w:ind w:left="720"/>
      <w:contextualSpacing/>
    </w:pPr>
  </w:style>
  <w:style w:type="paragraph" w:styleId="FootnoteText">
    <w:name w:val="footnote text"/>
    <w:basedOn w:val="Normal"/>
    <w:link w:val="FootnoteTextChar"/>
    <w:uiPriority w:val="99"/>
    <w:unhideWhenUsed/>
    <w:rsid w:val="00C516E2"/>
  </w:style>
  <w:style w:type="character" w:customStyle="1" w:styleId="FootnoteTextChar">
    <w:name w:val="Footnote Text Char"/>
    <w:basedOn w:val="DefaultParagraphFont"/>
    <w:link w:val="FootnoteText"/>
    <w:uiPriority w:val="99"/>
    <w:rsid w:val="00C516E2"/>
  </w:style>
  <w:style w:type="character" w:styleId="FootnoteReference">
    <w:name w:val="footnote reference"/>
    <w:basedOn w:val="DefaultParagraphFont"/>
    <w:uiPriority w:val="99"/>
    <w:unhideWhenUsed/>
    <w:rsid w:val="00C516E2"/>
    <w:rPr>
      <w:vertAlign w:val="superscript"/>
    </w:rPr>
  </w:style>
  <w:style w:type="character" w:styleId="Hyperlink">
    <w:name w:val="Hyperlink"/>
    <w:basedOn w:val="DefaultParagraphFont"/>
    <w:uiPriority w:val="99"/>
    <w:unhideWhenUsed/>
    <w:rsid w:val="00C516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5651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news.gallup.com/poll/210704/record-few-americans-believe-bible-literal-word-god.aspx" TargetMode="External"/><Relationship Id="rId2" Type="http://schemas.openxmlformats.org/officeDocument/2006/relationships/hyperlink" Target="https://biblehub.com/commentaries/sco/genesis/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2025</Words>
  <Characters>11548</Characters>
  <Application>Microsoft Macintosh Word</Application>
  <DocSecurity>0</DocSecurity>
  <Lines>96</Lines>
  <Paragraphs>27</Paragraphs>
  <ScaleCrop>false</ScaleCrop>
  <Company/>
  <LinksUpToDate>false</LinksUpToDate>
  <CharactersWithSpaces>13546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 Wong</dc:creator>
  <cp:keywords/>
  <dc:description/>
  <cp:lastModifiedBy>Chi Wong</cp:lastModifiedBy>
  <cp:revision>5</cp:revision>
  <dcterms:created xsi:type="dcterms:W3CDTF">2019-10-18T14:21:00Z</dcterms:created>
  <dcterms:modified xsi:type="dcterms:W3CDTF">2020-01-15T15:00:00Z</dcterms:modified>
</cp:coreProperties>
</file>