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Name of university:University of Wales trinity Saint David </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Programme of study : Master of Business Administration</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Research title: Market Entry Barriers And Foreign Market Entry Strategy Of Tesla In Emerging Economies: A Strategic Analysis Using Dunning’s Oli Framework</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Name : NoorFatima mohammad juned khan Pathan </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Student: 2433621</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Supervisor: Mansoob Murshed</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 Word : 13788</w:t>
      </w:r>
    </w:p>
    <w:p>
      <w:pPr>
        <w:spacing w:before="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 </w:t>
      </w:r>
    </w:p>
    <w:p>
      <w:pPr>
        <w:spacing w:before="0" w:after="0" w:line="360"/>
        <w:ind w:right="0" w:left="0" w:firstLine="0"/>
        <w:jc w:val="both"/>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Declaratation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 NoorFatima mohammad juned khan Pathan declare that this dissertation has been composed by myself, that the work</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contained herein is entirely my own except where explicitly stated otherwise in the text, and that</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this work has not been submitted for any other degree or qualification, in whole or in part, except as specified.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Signature:.....Noorfatima..........................................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color w:val="000000"/>
          <w:spacing w:val="0"/>
          <w:position w:val="0"/>
          <w:sz w:val="24"/>
          <w:shd w:fill="auto" w:val="clear"/>
        </w:rPr>
        <w:t xml:space="preserve">Date: ………06/05/2026………………………............................</w:t>
      </w:r>
      <w:r>
        <w:rPr>
          <w:rFonts w:ascii="Times New Roman" w:hAnsi="Times New Roman" w:cs="Times New Roman" w:eastAsia="Times New Roman"/>
          <w:b/>
          <w:color w:val="000000"/>
          <w:spacing w:val="0"/>
          <w:position w:val="0"/>
          <w:sz w:val="28"/>
          <w:shd w:fill="auto" w:val="clear"/>
        </w:rPr>
        <w:t xml:space="preserve"> </w:t>
      </w:r>
    </w:p>
    <w:p>
      <w:pPr>
        <w:spacing w:before="0" w:after="0" w:line="360"/>
        <w:ind w:right="0" w:left="0" w:firstLine="0"/>
        <w:jc w:val="both"/>
        <w:rPr>
          <w:rFonts w:ascii="Times New Roman" w:hAnsi="Times New Roman" w:cs="Times New Roman" w:eastAsia="Times New Roman"/>
          <w:b/>
          <w:color w:val="000000"/>
          <w:spacing w:val="0"/>
          <w:position w:val="0"/>
          <w:sz w:val="28"/>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8"/>
          <w:shd w:fill="auto" w:val="clear"/>
        </w:rPr>
        <w:t xml:space="preserve">Acknowledgement</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 wish to send my heartfelt thanks to my supervisor whose ultimate guidance, impressive feedback, and assistance during this research were unmatched. Their opinions were very important in influencing this dissertation. I also owe my academic institution the credit of making available to me necessary resources and support in learning. I would like to appreciate authors and researchers whose work was the basis of this study. Lastly, I owe a lot of this to my family and friends who helped me to persevere until I made it through. They have provided great assistance that helped in successfully accomplishing this research project.</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Abstract</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This research focuses on the barriers to market entry, as well as strategies of foreign market entry, of Tesla, Inc. in emerging economies based on Dunning OLI Framework. It examines the major obstacles such as tariffs, the limitation of infrastructure, and policy settings as well as the issues of affordability in markets such as India, Turskiye, and Malaysia. According to the research, it has been found that the localisation of production provides the firm with more competitive advantages as a result of cost efficiency, integration of supply chain, and improved market responsiveness. A summary of the study finds that long-term success of Tesla is seen in matching ownership, location, and internalisation benefits within the context of the local market environment and policy support to facilitate sustainable growth in emerging markets.</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 </w:t>
      </w:r>
    </w:p>
    <w:p>
      <w:pPr>
        <w:spacing w:before="0" w:after="0" w:line="360"/>
        <w:ind w:right="0" w:left="0" w:firstLine="0"/>
        <w:jc w:val="center"/>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List of Figures</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Figure 1: Prisma Diagram</w:t>
      </w:r>
      <w:r>
        <w:rPr>
          <w:rFonts w:ascii="Times New Roman" w:hAnsi="Times New Roman" w:cs="Times New Roman" w:eastAsia="Times New Roman"/>
          <w:color w:val="auto"/>
          <w:spacing w:val="0"/>
          <w:position w:val="0"/>
          <w:sz w:val="24"/>
          <w:shd w:fill="auto" w:val="clear"/>
        </w:rPr>
        <w:tab/>
        <w:t xml:space="preserve">12</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Figure 2: Dunning's Eclectic Paradigm</w:t>
      </w:r>
      <w:r>
        <w:rPr>
          <w:rFonts w:ascii="Times New Roman" w:hAnsi="Times New Roman" w:cs="Times New Roman" w:eastAsia="Times New Roman"/>
          <w:color w:val="auto"/>
          <w:spacing w:val="0"/>
          <w:position w:val="0"/>
          <w:sz w:val="24"/>
          <w:shd w:fill="auto" w:val="clear"/>
        </w:rPr>
        <w:tab/>
        <w:t xml:space="preserve">13</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Figure 3: Foreign Market Entry Strategies</w:t>
      </w:r>
      <w:r>
        <w:rPr>
          <w:rFonts w:ascii="Times New Roman" w:hAnsi="Times New Roman" w:cs="Times New Roman" w:eastAsia="Times New Roman"/>
          <w:color w:val="auto"/>
          <w:spacing w:val="0"/>
          <w:position w:val="0"/>
          <w:sz w:val="24"/>
          <w:shd w:fill="auto" w:val="clear"/>
        </w:rPr>
        <w:tab/>
        <w:t xml:space="preserve">16</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Figure 4: Market Entry Barriers in Emerging Economies</w:t>
      </w:r>
      <w:r>
        <w:rPr>
          <w:rFonts w:ascii="Times New Roman" w:hAnsi="Times New Roman" w:cs="Times New Roman" w:eastAsia="Times New Roman"/>
          <w:color w:val="auto"/>
          <w:spacing w:val="0"/>
          <w:position w:val="0"/>
          <w:sz w:val="24"/>
          <w:shd w:fill="auto" w:val="clear"/>
        </w:rPr>
        <w:tab/>
        <w:t xml:space="preserve">17</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Figure 5: The Global Electric Vehicle (EV) Landscape and Tesla</w:t>
      </w:r>
      <w:r>
        <w:rPr>
          <w:rFonts w:ascii="Times New Roman" w:hAnsi="Times New Roman" w:cs="Times New Roman" w:eastAsia="Times New Roman"/>
          <w:color w:val="auto"/>
          <w:spacing w:val="0"/>
          <w:position w:val="0"/>
          <w:sz w:val="24"/>
          <w:shd w:fill="auto" w:val="clear"/>
        </w:rPr>
        <w:tab/>
        <w:t xml:space="preserve">18</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Figure 6: Conceptual Framework</w:t>
      </w:r>
      <w:r>
        <w:rPr>
          <w:rFonts w:ascii="Times New Roman" w:hAnsi="Times New Roman" w:cs="Times New Roman" w:eastAsia="Times New Roman"/>
          <w:color w:val="auto"/>
          <w:spacing w:val="0"/>
          <w:position w:val="0"/>
          <w:sz w:val="24"/>
          <w:shd w:fill="auto" w:val="clear"/>
        </w:rPr>
        <w:tab/>
        <w:t xml:space="preserve">21</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Figure 7: Electric car registrations and sales share in selected countries, 2020-2024</w:t>
      </w:r>
      <w:r>
        <w:rPr>
          <w:rFonts w:ascii="Times New Roman" w:hAnsi="Times New Roman" w:cs="Times New Roman" w:eastAsia="Times New Roman"/>
          <w:color w:val="auto"/>
          <w:spacing w:val="0"/>
          <w:position w:val="0"/>
          <w:sz w:val="24"/>
          <w:shd w:fill="auto" w:val="clear"/>
        </w:rPr>
        <w:tab/>
        <w:t xml:space="preserve">29</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Figure 8: Annual cost of EV ownership in the USA</w:t>
      </w:r>
      <w:r>
        <w:rPr>
          <w:rFonts w:ascii="Times New Roman" w:hAnsi="Times New Roman" w:cs="Times New Roman" w:eastAsia="Times New Roman"/>
          <w:color w:val="auto"/>
          <w:spacing w:val="0"/>
          <w:position w:val="0"/>
          <w:sz w:val="24"/>
          <w:shd w:fill="auto" w:val="clear"/>
        </w:rPr>
        <w:tab/>
        <w:t xml:space="preserve">30</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Figure 9: India's EV Adoption in Reverse?</w:t>
      </w:r>
      <w:r>
        <w:rPr>
          <w:rFonts w:ascii="Times New Roman" w:hAnsi="Times New Roman" w:cs="Times New Roman" w:eastAsia="Times New Roman"/>
          <w:color w:val="auto"/>
          <w:spacing w:val="0"/>
          <w:position w:val="0"/>
          <w:sz w:val="24"/>
          <w:shd w:fill="auto" w:val="clear"/>
        </w:rPr>
        <w:tab/>
        <w:t xml:space="preserve">31</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Figure 10: Defining the Clean Power target</w:t>
      </w:r>
      <w:r>
        <w:rPr>
          <w:rFonts w:ascii="Times New Roman" w:hAnsi="Times New Roman" w:cs="Times New Roman" w:eastAsia="Times New Roman"/>
          <w:color w:val="auto"/>
          <w:spacing w:val="0"/>
          <w:position w:val="0"/>
          <w:sz w:val="24"/>
          <w:shd w:fill="auto" w:val="clear"/>
        </w:rPr>
        <w:tab/>
        <w:t xml:space="preserve">32</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Figure 11: Distribution of public AC charging stations by the charge network across Malaysia.</w:t>
      </w:r>
      <w:r>
        <w:rPr>
          <w:rFonts w:ascii="Times New Roman" w:hAnsi="Times New Roman" w:cs="Times New Roman" w:eastAsia="Times New Roman"/>
          <w:color w:val="auto"/>
          <w:spacing w:val="0"/>
          <w:position w:val="0"/>
          <w:sz w:val="24"/>
          <w:shd w:fill="auto" w:val="clear"/>
        </w:rPr>
        <w:tab/>
        <w:t xml:space="preserve">33</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Figure 12: Share of public electric vehicle chargers that are fast-charging, 2021</w:t>
      </w:r>
      <w:r>
        <w:rPr>
          <w:rFonts w:ascii="Times New Roman" w:hAnsi="Times New Roman" w:cs="Times New Roman" w:eastAsia="Times New Roman"/>
          <w:color w:val="auto"/>
          <w:spacing w:val="0"/>
          <w:position w:val="0"/>
          <w:sz w:val="24"/>
          <w:shd w:fill="auto" w:val="clear"/>
        </w:rPr>
        <w:tab/>
        <w:t xml:space="preserve">34</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Figure 13: The Future is Electric: Growth of EV Battery Manufacturers in India</w:t>
      </w:r>
      <w:r>
        <w:rPr>
          <w:rFonts w:ascii="Times New Roman" w:hAnsi="Times New Roman" w:cs="Times New Roman" w:eastAsia="Times New Roman"/>
          <w:color w:val="auto"/>
          <w:spacing w:val="0"/>
          <w:position w:val="0"/>
          <w:sz w:val="24"/>
          <w:shd w:fill="auto" w:val="clear"/>
        </w:rPr>
        <w:tab/>
        <w:t xml:space="preserve">35</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Figure 14: Annual global sales of electric vehicle (b) total number of battery electric vehicles (BEVs) in European Union</w:t>
      </w:r>
      <w:r>
        <w:rPr>
          <w:rFonts w:ascii="Times New Roman" w:hAnsi="Times New Roman" w:cs="Times New Roman" w:eastAsia="Times New Roman"/>
          <w:color w:val="auto"/>
          <w:spacing w:val="0"/>
          <w:position w:val="0"/>
          <w:sz w:val="24"/>
          <w:shd w:fill="auto" w:val="clear"/>
        </w:rPr>
        <w:tab/>
        <w:t xml:space="preserve">36</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Figure 15: Comparison of standard EV prices with GDP per capita of some economic zones</w:t>
      </w:r>
      <w:r>
        <w:rPr>
          <w:rFonts w:ascii="Times New Roman" w:hAnsi="Times New Roman" w:cs="Times New Roman" w:eastAsia="Times New Roman"/>
          <w:color w:val="auto"/>
          <w:spacing w:val="0"/>
          <w:position w:val="0"/>
          <w:sz w:val="24"/>
          <w:shd w:fill="auto" w:val="clear"/>
        </w:rPr>
        <w:tab/>
        <w:t xml:space="preserve">37</w:t>
      </w:r>
    </w:p>
    <w:p>
      <w:pPr>
        <w:tabs>
          <w:tab w:val="right" w:pos="9350" w:leader="dot"/>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auto" w:val="clear"/>
        </w:rPr>
        <w:t xml:space="preserve">Figure 16: Value chain analysis</w:t>
      </w:r>
      <w:r>
        <w:rPr>
          <w:rFonts w:ascii="Times New Roman" w:hAnsi="Times New Roman" w:cs="Times New Roman" w:eastAsia="Times New Roman"/>
          <w:color w:val="auto"/>
          <w:spacing w:val="0"/>
          <w:position w:val="0"/>
          <w:sz w:val="24"/>
          <w:shd w:fill="auto" w:val="clear"/>
        </w:rPr>
        <w:tab/>
        <w:t xml:space="preserve">48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Chapter 1: Introduction</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1.1 Background to the Research</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high-technological innovation, brand loyalty, and sustainability-driven policies have made Tesla a market leader in the global electric vehicle (EV) market with astounding success with this company record in the already established economies. However, with this success, the presence of Tesla in the emerging economies such as India, Turkey, and Malaysia is very conspicuous and troublesome (Amiraslanov, 2025). Both markets have a large potential to grow in the long term following the growing environmental awareness and government adoption targets on EVs, yet they are also associated with complex business policies, protectionist trading policies, and insufficient infrastructural base. The world is in the critical phase in the EV market; with almost 14 million cars sold and the share of the automotive industry almost 18% in 2023, the necessity of strategically developed market expansion outside the big players in the global automotive sphere has been supported by strong future forecasts. It is predicted by leading sources that the EV market share of the whole world could have grown to around 27% by 2026 and that they will have risen to an even higher level of between 40 and 43% of all fresh vehicles sold in the year 2030. With the crashing battery prices and favorable policies, this surge is imminent and the dynamics of participation in such high potential, though difficult, markets is central to the global expansion direction of Tesla in the future.</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1.2 Problem Statement</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Tesla has a high market entry barrier in trying to penetrate emerging economies due to high import tariffs up to 100% on fully assembled vehicles, uncertainties in regulations and poor EV charging infrastructure in the economies. These structural barriers generate strategic uncertainty on the most suitable foreign market entry mode, which is either exportation of finished cars or to invest in localised manufacturing plants provides a better sustainable competitive advantage (Flint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The ambitious EV adoption targets of 30 percent by 2030 made by countries such as India appear to be a noble goal, but it is complicated by protectionist policies that require foreign direct investment decisions to be made. In the absence of a clear, evidenced-based comprehension of how the aforementioned barriers may be traversed, Tesla runs exposure to poor strategy-making enterprises, which may compromise its competitiveness in some of the fastest-growing automotive markets in the world, ultimately disrupting its globalization goals.</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1.3 Research Gap and Rationale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literature on internationalisation strategies and the OLI paradigm is not new, however, the gap in research of the application of the structured OLI framework analysis to the issue of Tesla market entry in the emerging economies remains rather large. Existing research either dwells upon whether Tesla is succeeding in established markets or talks the concept of the general internationalisation theory but does not include a comparative analysis of exportation and localised production of this particular firm under the complex conditions of emerging markets. This study fills this gap by using OLI framework in a systematic way to evaluate the ownership advantages of Tesla, the location-specific advantages in India, Turkey, and Malaysia, and internalisation benefits of various modes of entry (Cai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The research is timely and relevant considering the ongoing decarbonisation trends across the globe and the key the emerging economies will have in the future in the adoption of EVs.</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1.4 Research Aim</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primary aim is to critically examine the market entry barriers that Tesla has experienced to target emerging economies and to compare, in terms of Dunning OLI framework, whether localised production presents a more feasible and sustainable competitive advantage over exporting.</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1.5 Research Objectives</w:t>
      </w:r>
    </w:p>
    <w:p>
      <w:pPr>
        <w:numPr>
          <w:ilvl w:val="0"/>
          <w:numId w:val="21"/>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identify key market entry barriers for Tesla, Inc. in emerging economies.</w:t>
      </w:r>
    </w:p>
    <w:p>
      <w:pPr>
        <w:numPr>
          <w:ilvl w:val="0"/>
          <w:numId w:val="21"/>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examine political, economic, and infrastructural factors affecting entry strategies.</w:t>
      </w:r>
    </w:p>
    <w:p>
      <w:pPr>
        <w:numPr>
          <w:ilvl w:val="0"/>
          <w:numId w:val="21"/>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analyse Tesla’s ownership advantages in emerging market contexts.</w:t>
      </w:r>
    </w:p>
    <w:p>
      <w:pPr>
        <w:numPr>
          <w:ilvl w:val="0"/>
          <w:numId w:val="21"/>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evaluate location advantages for potential local manufacturing.</w:t>
      </w:r>
    </w:p>
    <w:p>
      <w:pPr>
        <w:numPr>
          <w:ilvl w:val="0"/>
          <w:numId w:val="21"/>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assess internalisation benefits of local production strategies.</w:t>
      </w:r>
    </w:p>
    <w:p>
      <w:pPr>
        <w:numPr>
          <w:ilvl w:val="0"/>
          <w:numId w:val="21"/>
        </w:numPr>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determine competitive advantage from localised manufacturing.</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1.6 Research Questions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Q1. What strategies can help Tesla, Inc. overcome market entry barriers in emerging economies?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Q2. What competitive advantages does localised manufacturing offer compared to exporting?</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Q3. How can John H. Dunning’s OLI Paradigm explains Tesla’s foreign market entry decisions?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Q4. What is the most sustainable entry strategy for Tesla in India, Turkey, and Malaysia?</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1.7 Significance and Justification of the Study</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This study has academic value as it expands the use of the Dunning model of OLI to a modern and technologically advanced company that conducts its business in intricate and institutional settings, and this gap in the body of international business suits this study very well. In practice, the results will serve as evidence-based strategic recommendations on the decision-makers at Tesla concerning the best market entry strategies in emerging markets with protectionist practices and infrastructural impediments (Chernykhovskaya, 2024). Policymakers in the emerging economies can find the study insightful to policy questions as it provides views on how trade and industrial policies affect high-tech foreign direct investment decisions, which can in turn be used to make more effective EV adoption policies. Further, the study helps to extend the topic of sustainable global development by exploring in what ways MNEs are able to effectively overcome regulatory obstacles and also work on decarbonisation policies in the developing sectors.</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1.8 Research Methodology</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research design in this dissertation is qualitative, secondary as it is conducted to provide a rigorous research on the foreign market entry initiatives of Tesla. Deductive approach is used and it makes use of Dunning Eclectic Paradigm (OLI Framework) as the main theoretical framework of the analysis of the research problem. A broad scope to collect data on credible and publicly available sources will be used, such as peer-reviewed academic journals, industry reports, government publications, and the reputable media articles. The data collected will be collated to execute thematic analysis to determine the patterns of variables representing ownership advantages, location-specific factors and internalization benefits so as to provide structured review of the strategic trade-offs paper evaluating between the exporting and localized production by Tesla in emerging economies.</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Chapter 2: Literature Review</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2.1 Introduction to the Chapter</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object w:dxaOrig="5680" w:dyaOrig="11901">
          <v:rect xmlns:o="urn:schemas-microsoft-com:office:office" xmlns:v="urn:schemas-microsoft-com:vml" id="rectole0000000000" style="width:284.000000pt;height:595.0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keepNext w:val="true"/>
        <w:keepLines w:val="true"/>
        <w:spacing w:before="240" w:after="8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1: Prisma Diagram</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Self-Created in Draw.io)</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chapter is a profound and critical assessment of the current literature that forms the basis of the research objective of examining the barriers to Tesla entry in emerging economies and determining exportation or intensive manufacturing using the OLI framework developed by Dunning. The review has captured and discussed the four inter-related lines of literature in a systematic manner so as to provide a solid theoretical ground on which to build the analysis that follows afterwards. It starts by exploring the antecedents, development, and criticisms of the main theoretical framework of the Eclectic Paradigm, by Dunning. Secondly, it assesses the body of knowledge with extensive literature on foreign market entry strategies, especially, the strategic decision between exporting and the foreign direct investment. Third, the review summarises the research on the special and complicated entry obstacles in emerging markets such as institutional gaps, regulatory uncertainty, and lack of infrastructure. Fourth, it puts these theories into perspective regarding the current electric vehicle market environment and the specific ownership benefits of Tesla along with the market conditions in India, Turkey, and Malaysia. The chapter concludes by determining exactly what research gap this study will fulfill and demonstrates a conceptual framework which in a graphic manner integrates the OLI dimensions and the fundamental research variables outlining the methodology which will be applied and the subsequent analysis.</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2.2 Theoretical Foundation: Dunning's Eclectic Paradigm (OLI Framework)</w:t>
      </w: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r>
        <w:object w:dxaOrig="13478" w:dyaOrig="7488">
          <v:rect xmlns:o="urn:schemas-microsoft-com:office:office" xmlns:v="urn:schemas-microsoft-com:vml" id="rectole0000000001" style="width:673.900000pt;height:374.4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keepNext w:val="true"/>
        <w:keepLines w:val="true"/>
        <w:spacing w:before="240" w:after="8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2: Dunning's Eclectic Paradigm</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w:t>
      </w:r>
      <w:hyperlink xmlns:r="http://schemas.openxmlformats.org/officeDocument/2006/relationships" r:id="docRId4">
        <w:r>
          <w:rPr>
            <w:rFonts w:ascii="Times New Roman" w:hAnsi="Times New Roman" w:cs="Times New Roman" w:eastAsia="Times New Roman"/>
            <w:color w:val="000000"/>
            <w:spacing w:val="0"/>
            <w:position w:val="0"/>
            <w:sz w:val="24"/>
            <w:u w:val="single"/>
            <w:shd w:fill="auto" w:val="clear"/>
          </w:rPr>
          <w:t xml:space="preserve">https://wallstreetmojocms.recurpro.in</w:t>
        </w:r>
      </w:hyperlink>
      <w:r>
        <w:rPr>
          <w:rFonts w:ascii="Times New Roman" w:hAnsi="Times New Roman" w:cs="Times New Roman" w:eastAsia="Times New Roman"/>
          <w:color w:val="000000"/>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Eclectic Paradigm, the approach created by John Dunning, is still the most popular theoretical concept of examining the operations of foreign direct investment and multinational enterprises, suggesting the presence of three special categories of benefits to companies visiting FDI simultaneously. The advantages of ownership are a kind of firm-specific advantages that give a competitive advantage over domestic firms in host markets, such as proprietary technology, brand recognition, managerial skills and economies of scale that can be easily moved across borders with minimal marginal cost (Gupta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Characteristics of the potential host countries that render them desirable investment destinations are location-specific advantages, which include market size and room to grow, factor endowment including labour and natural resources, government policies, and investment incentives, and quality of physical and institutional infrastructure (Radu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2026). The benefits of internalisation justify why companies opt to utilise their ownership benefits internally by the process of direct investment but not by external means such as licensing or contracting, especially where markets are imperfect, transaction costs are high or when the preservation of proprietary knowledge is an important factor in achieving a competitive advantage. It is stressed that particular disadvantages of location in developing economies including political risk, policy instability, and worse infrastructure may add 30-40 percent of operational uncertainty to the situation compared to developed markets directly affecting the decision-making process when FDI occurs (Alsharif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More importantly, the OLI framework has in its current state developed beyond its original level, with modern scholars extending its usage not only to the context concerning service industries and digital economy companies but also to the study of high-technology systems such as electric vehicles, but its application to the particular strategic dilemma that Tesla faces in the new markets has not been yet properly explored.</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2.3 Porter's Diamond Model: Analysing National Competitiveness in Emerging EV Markets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Although the OLI Framework developed by Dunning describes Tesla at the corporate level in its decision to invest in foreign countries, the Diamond Model of Strategy (1990) by Porter gives another perspective of whether the host country is in itself at a position to enable the possibility of a globally competitive EV industry. This framework fits best to this study because it is not on the rudimentary market size factors but instead the more compelling structural issues of India, Turkey, and Malaysia which make long run localised manufacturing and not an easy export a determining issue. The model that has been identified highlights four determinants that affect the competitive advantage of a nation. To begin with, the situation with factor conditions in these developing economies is a two-sided experience; on the one hand, such countries as India and Malaysia can provide an expanding source of low-cost engineering labor and access to raw materials, on the other hand, they have a weak electricity infrastructure and a lack of a developed infrastructure related to charging, and it directly complicates the work of Tesla production facilities (Gupta et al., 2025). Second, the demand is changing quickly with government measures to decarbonise their markets (e.g. India 30% EV adoption target by 2030) and increasing middle class, but is also price sensitive, which presents a strategic rivalry to Tesla, whose business model is based on its premium pricing (Joshi et al., 2025). Third, related and supportive industry is dissimilar in the three markets, with Turkey having done quite a lot to build domestic automotive supplier base to invest in Tesla, and the EV battery stocks chain in India being still at their baby stage, which may force Tesla to consolidate or to be limited to imports, which obliterates the advantages of localisation (Jovanovic et al., 2025). Fourth, the firm strategy, structure, and rivalry would show that Tesla would have strong competition against not only traditional automotive giants but also aggressive local EV manufacturers such as Tata Motors in India but also new local Turkish domestic brands, which is a competitive pressure that would drive innovation or it may destroy the market share (Xin et al., 2025). Applied in the framework of the present research, the Diamond Model by Porter will become operationalised to orchestrate a comprehensive assessment of whether the location-specific advantages of India, Turkey, and Malaysia are robust enough to make the shift to a Tesla company revolving around export-oriented strategy and commits a localized production presence, which answers the inherent question as to sustainable competitive advantage.</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2.3 Foreign Market Entry Strategies</w:t>
      </w: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r>
        <w:object w:dxaOrig="13478" w:dyaOrig="6145">
          <v:rect xmlns:o="urn:schemas-microsoft-com:office:office" xmlns:v="urn:schemas-microsoft-com:vml" id="rectole0000000002" style="width:673.900000pt;height:307.250000pt" o:preferrelative="t" o:ole="">
            <o:lock v:ext="edit"/>
            <v:imagedata xmlns:r="http://schemas.openxmlformats.org/officeDocument/2006/relationships" r:id="docRId6" o:title=""/>
          </v:rect>
          <o:OLEObject xmlns:r="http://schemas.openxmlformats.org/officeDocument/2006/relationships" xmlns:o="urn:schemas-microsoft-com:office:office" Type="Embed" ProgID="StaticMetafile" DrawAspect="Content" ObjectID="0000000002" ShapeID="rectole0000000002" r:id="docRId5"/>
        </w:object>
      </w:r>
    </w:p>
    <w:p>
      <w:pPr>
        <w:keepNext w:val="true"/>
        <w:keepLines w:val="true"/>
        <w:spacing w:before="240" w:after="8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3: Foreign Market Entry Strategies</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w:t>
      </w:r>
      <w:hyperlink xmlns:r="http://schemas.openxmlformats.org/officeDocument/2006/relationships" r:id="docRId7">
        <w:r>
          <w:rPr>
            <w:rFonts w:ascii="Times New Roman" w:hAnsi="Times New Roman" w:cs="Times New Roman" w:eastAsia="Times New Roman"/>
            <w:color w:val="000000"/>
            <w:spacing w:val="0"/>
            <w:position w:val="0"/>
            <w:sz w:val="24"/>
            <w:u w:val="single"/>
            <w:shd w:fill="auto" w:val="clear"/>
          </w:rPr>
          <w:t xml:space="preserve">https://fastercapital.com</w:t>
        </w:r>
      </w:hyperlink>
      <w:r>
        <w:rPr>
          <w:rFonts w:ascii="Times New Roman" w:hAnsi="Times New Roman" w:cs="Times New Roman" w:eastAsia="Times New Roman"/>
          <w:color w:val="000000"/>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mode of foreign market entry is one of the most significant strategic decisions among multinational companies, which defines the degree of resource investment, exposure to risks, control, and prospective returns in international business (Jawahdou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Exporting is the least risky entry mode, whereby the manufactured products in the mother country or third country plant are sold in a foreign market, with it having the benefits of low capital and flexibility of operations, but the firms face tariffs, transportation expenses, and possible trade barriers that may negatively affect the price competitiveness (Shah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2024). The greatest levels of commitment and control are created by foreign direct investment, mainly by wholly-owned subsidiary, and greenfield investment, where firms internalise operations and protect proprietary technology, can react quickly to local market opportunities, and may also enjoy host government subsidies, but requires high levels of initial capital and exposes firms to more political and economic risk. In between these extremes, there are intermediate modes such as licensing, franchising, joint ventures and strategic alliances all of which provide different levels of resource commitment, risk and control that should be rigorously matched with the firm specific capabilities and host country conditions. According to the transaction cost economics, companies will internalise their operation when the costs of negotiating, monitoring, and enforcing an agreement with external partners are more than the costs of hierarchical control, which will be of significant importance in the context of technology-intensive businesses, such as Tesla, and their proprietary knowledge that should be preserved (Abdelsalam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Studies have shown that firms that only export are subject to possible 20-40 percent disadvantages using tariffs, logistic, and exchange rate variations which will generate considerable price adjustments in highly secured economies such as India where taxes on fully assembled EVs may be up to 100 percent.</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2.4 Market Entry Barriers in Emerging Economies</w:t>
      </w: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r>
        <w:object w:dxaOrig="13478" w:dyaOrig="8640">
          <v:rect xmlns:o="urn:schemas-microsoft-com:office:office" xmlns:v="urn:schemas-microsoft-com:vml" id="rectole0000000003" style="width:673.900000pt;height:432.0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3" ShapeID="rectole0000000003" r:id="docRId8"/>
        </w:object>
      </w:r>
    </w:p>
    <w:p>
      <w:pPr>
        <w:keepNext w:val="true"/>
        <w:keepLines w:val="true"/>
        <w:spacing w:before="240" w:after="8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4: Market Entry Barriers in Emerging Economies</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w:t>
      </w:r>
      <w:hyperlink xmlns:r="http://schemas.openxmlformats.org/officeDocument/2006/relationships" r:id="docRId10">
        <w:r>
          <w:rPr>
            <w:rFonts w:ascii="Times New Roman" w:hAnsi="Times New Roman" w:cs="Times New Roman" w:eastAsia="Times New Roman"/>
            <w:color w:val="000000"/>
            <w:spacing w:val="0"/>
            <w:position w:val="0"/>
            <w:sz w:val="24"/>
            <w:u w:val="single"/>
            <w:shd w:fill="auto" w:val="clear"/>
          </w:rPr>
          <w:t xml:space="preserve">https://www.mdpi.com</w:t>
        </w:r>
      </w:hyperlink>
      <w:r>
        <w:rPr>
          <w:rFonts w:ascii="Times New Roman" w:hAnsi="Times New Roman" w:cs="Times New Roman" w:eastAsia="Times New Roman"/>
          <w:color w:val="000000"/>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barriers to market entry in emerging economies are a complicated ensemble, radically different in nature and strength compared to those that would be faced in mature markets, and MNEs have to devise sophisticated adaptive strategies to be successfully penetrated (Ng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2024). Tariff barriers are the most apparent and measurable barrier, and most of the developing economies still uphold their protectionist views on trade by imposing duties of 30-100 per cent on entirely assembled vehicles, which makes the export of anything other than the highest end products uneconomical. Multinational enterprises are further forced to grapple with non-tariff barriers such as with complex procedures of seeking regulatory approvals, local content controls, technology transfer requirements, and uneven application of intellectual property laws, which leave more uncertainty and compliance burdens to the enterprise (Nomani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Institutional voids, which are characterized by the voids that are present in the developed economies in the form of market-intermediating institutions that help in economic transactions, in emerging markets can be witnessed by the underdeveloped capital markets, poor mechanisms of enforcing contracts, poor availability of reliable market information and bureaucratic obscurantism which makes strategic planning and operational execution difficult. Due to inadequate infrastructure, the challenges in the manufacture of electric vehicles are specifically associated with the lack of effective charging stations, unreliable electricity systems, the lack of transport infrastructure development, and available highly trained technical staff (Iqbal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2020). Protectionism and market ambiguity (regulatory uncertainty) in such markets as India, and Turkey represent strategic ambiguity which compels multinational enterprises to consider carefully the long term potential benefits of market presence alongside the short-term costs and risks of operating in such a complex institutional environment.</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2.5 The Global Electric Vehicle (EV) Landscape and Tesla</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object w:dxaOrig="13478" w:dyaOrig="9475">
          <v:rect xmlns:o="urn:schemas-microsoft-com:office:office" xmlns:v="urn:schemas-microsoft-com:vml" id="rectole0000000004" style="width:673.900000pt;height:473.750000pt" o:preferrelative="t" o:ole="">
            <o:lock v:ext="edit"/>
            <v:imagedata xmlns:r="http://schemas.openxmlformats.org/officeDocument/2006/relationships" r:id="docRId12" o:title=""/>
          </v:rect>
          <o:OLEObject xmlns:r="http://schemas.openxmlformats.org/officeDocument/2006/relationships" xmlns:o="urn:schemas-microsoft-com:office:office" Type="Embed" ProgID="StaticMetafile" DrawAspect="Content" ObjectID="0000000004" ShapeID="rectole0000000004" r:id="docRId11"/>
        </w:object>
      </w:r>
    </w:p>
    <w:p>
      <w:pPr>
        <w:keepNext w:val="true"/>
        <w:keepLines w:val="true"/>
        <w:spacing w:before="240" w:after="8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5: The Global Electric Vehicle (EV) Landscape and Tesla</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w:t>
      </w:r>
      <w:hyperlink xmlns:r="http://schemas.openxmlformats.org/officeDocument/2006/relationships" r:id="docRId13">
        <w:r>
          <w:rPr>
            <w:rFonts w:ascii="Times New Roman" w:hAnsi="Times New Roman" w:cs="Times New Roman" w:eastAsia="Times New Roman"/>
            <w:color w:val="000000"/>
            <w:spacing w:val="0"/>
            <w:position w:val="0"/>
            <w:sz w:val="24"/>
            <w:u w:val="single"/>
            <w:shd w:fill="auto" w:val="clear"/>
          </w:rPr>
          <w:t xml:space="preserve">https://www.mdpi.com</w:t>
        </w:r>
      </w:hyperlink>
      <w:r>
        <w:rPr>
          <w:rFonts w:ascii="Times New Roman" w:hAnsi="Times New Roman" w:cs="Times New Roman" w:eastAsia="Times New Roman"/>
          <w:color w:val="000000"/>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Electric vehicles have shown a tremendous growth over the last years globally, with 14 million vehicles sold in 2023 with an estimated 18 percent of all automotive sales converging due to forces of technological progress, government decarbonisation policies, consumer environment awareness, and the falling battery prices (Jovanovic</w:t>
      </w:r>
      <w:r>
        <w:rPr>
          <w:rFonts w:ascii="Times New Roman" w:hAnsi="Times New Roman" w:cs="Times New Roman" w:eastAsia="Times New Roman"/>
          <w:i/>
          <w:color w:val="000000"/>
          <w:spacing w:val="0"/>
          <w:position w:val="0"/>
          <w:sz w:val="24"/>
          <w:shd w:fill="auto" w:val="clear"/>
        </w:rPr>
        <w:t xml:space="preserve"> et al</w:t>
      </w:r>
      <w:r>
        <w:rPr>
          <w:rFonts w:ascii="Times New Roman" w:hAnsi="Times New Roman" w:cs="Times New Roman" w:eastAsia="Times New Roman"/>
          <w:color w:val="000000"/>
          <w:spacing w:val="0"/>
          <w:position w:val="0"/>
          <w:sz w:val="24"/>
          <w:shd w:fill="auto" w:val="clear"/>
        </w:rPr>
        <w:t xml:space="preserve">., 2025). Tesla has become the market leader in the premium EVs segment by offering over 1.8 million vehicles per year with unique ownership benefits such as a battery technology, proprietary software solutions, vertical integration, supercharger infrastructure, and strong brand equity globally that puts the company apart compared to its more traditional automotive counterparts (Joshi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The Tesla internationalisation strategy has however, mainly relied on developed areas such as North America and Europe, which have stable regulatory setups, reasonably developed charging infrastructure and consumers with high purchasing power to keep up the high prices whereas it has low exposure to emerging economies with high potential long term growth. There are ambitious targets of EV adoption of 30 percent by 2030 to the number of countries like India, the incentives of significant investment in the automotive production industry are being established in Turkey, national policies on EV are being developed in Malaysia, yet each market has its own challenges including the existence of high tariffs on imports, the lack of development of the charging infrastructure, and the presence of established automotive giants and the new manufacturers of EV domestically (Holmes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2016). International expansion of Tesla is met by complications such as regulations, tariff systems, insufficient infrastructure and competition that demand a finely tuned need to enter depending on the location advantages of the company’s ownership and the competitive forces of the specific location.</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2.6 Synthesis of Literature and Identification of the Research Gap</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synthesis of the four streams of literature done critically shows a consistent theoretical basis and at the same time pinpoints an enormous gap in research that can be filled by the current study. The OLI framework created by Dunning is an effective model to theorize the impacts of FDI choices, but the use of OLI to high-technology companies operating in a distinct organizational setting of emerging economies has been underdeveloped on a theoretical level (Xin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The existing literature on foreign market entry strategies is more than sufficient to discuss the trade-offs between exporting and FDI, but the available research on these decisions is mainly conducted in the situations in the developed market or among the broad industry sectors instead of analyzing the strategic dilemma of electric vehicle producers. The barrier to market entry in emerging markets has been widely studied to understand the issues of tariffs, the institutional vacuum, or the infrastructural gap, but seldom attempts to combine this information with the benefits of ownership advantages of owning the firm in question to understand how well it would be able to use the best-suited options of specific entry mode (Surianta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The growing body of literature on the global EV environment and Tesla internationalisation has given great contextual insights but the available studies are mostly descriptive, and as such, they concentrate on market trend and companies performance instead of using theoretical perspectives to understand the strategic decision-making (Amiraslanov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Most importantly, no scholarly work is systematically using the Dunning OLI framework to carry out a comparative study between exportation and localised manufacturing in the case of Tesla in emerging economies, which would be a substantial gap in both theoretical knowledge and instrumentation strategic advice to one of the most valuable and strategically significant corporations in the world.</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2.7 Conceptual Framework</w:t>
      </w: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r>
        <w:object w:dxaOrig="13478" w:dyaOrig="9216">
          <v:rect xmlns:o="urn:schemas-microsoft-com:office:office" xmlns:v="urn:schemas-microsoft-com:vml" id="rectole0000000005" style="width:673.900000pt;height:460.80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5" ShapeID="rectole0000000005" r:id="docRId14"/>
        </w:object>
      </w:r>
    </w:p>
    <w:p>
      <w:pPr>
        <w:keepNext w:val="true"/>
        <w:keepLines w:val="true"/>
        <w:spacing w:before="240" w:after="8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6: Conceptual Framework</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Self-Created in Draw.io)</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main independent variable affecting the strategic decisions in Tesla, Inc. in this study is the barriers to market entry in emerging economies. Such barriers are high import tariffs, complexity in regulation, infrastructural constraints and uncertainty in the policy of the markets in India, Turkey and Malaysia (Flint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The dependent variables will denote the strategic outcomes that will vary in alignment with the extent of these obstacles. First, the exporting approach of Tesla can be influenced by the fact that expensive tariffs and logistics can decrease the cost of price competitiveness in overseas markets (Chernykhovskaya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2024). Second, it is possible that the feasibility of localised manufacturing strategy is augmented where the government promotes local manufacturing using incentives and localisation policies. Third, internalisation benefits, such as control over operations, cost savings, and access to proprietary technology, can become relevant when businesses are being run directly in the host country (Cai, 2025). Last but not least, collectively these strategic responses affect the capability of Tesla to attain the sustainability of competitive advantage in the emerging markets according to the OLI Paradigm.</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2.8 Conclusion of the Literature Review</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This chapter has holistically evaluated the four inter-linked strands of literature that are valuable in comprehending the strategic issues facing Tesla when venturing into emerging economies, the theoretical basis of the ensuing empirical study is strong. The analysis of the major problematic aspects of Dunning OLI framework proved its enduring topicality in studying FDI decisions and the opportunities existed in applying it to the modern high-technology companies with a complex institutional environment. The foreign market entry strategies review clarified the nature of the core trade-offs between exporting and localised manufacturing emphasising specific applicability of transaction costs in light of technology intensive firms such as Tesla. The integrated literature synthesis of market entry barriers in emerging economies reported the complex issues of the presence of tariff, institutional voids, as well as infrastructural shortages that essentially draw the line between the emerging economies and the context of the developed economies. The contextual examination of the situation in the EV worldwide landscape and internationalisation of Tesla formed the empirical context and proved the relevance and practical importance of the research in time. The original contribution of this study may be explained by the fact that the gap in the research was clear, and the studies that revealed it failed to provide a systematic analysis of exporting with OLI compared to localised manufacturing of Tesla in the emerging economies. The literature analysis leads to the development of a conceptual framework that will be used to provide a systematic analytical instrument that will be applied in data collection, data organisation, and data interpretation in further chapters, which have to guarantee theoretical consistency and a solid research approach throughout the study.</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Chapter 3: Research Methodology</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3.1 Introduction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This chapter demonstrates the research design that will direct the exploration of the barriers to market entry in the foreign markets, and foreign market entry strategy at Tesla in the developing economies, India, Turkey, and Malaysia based on the theoretical perspective of Dunning (Eclectic Paradigm) Framework as the OLI. The chapter comes up with a full justification of the chosen research philosophy, research design, approach, data collection techniques used and analytical techniques used to answer the research questions and objectives stated in Chapter One. Since the purpose of the study is to critically analyse how localised manufacturing provides Tesla a more sustainable competitive advantage than exporting in emerging economies, the methodology should take postulates of practising rigorous, transparent and replicable procedures which should be aligned to the nature of the study which is qualitative and secondary research. Each methodological decision made in the chapter is systematically justified with references to some prove of the academic literature on the methods in research, which is why the combination of these decisions allows performing a credible, valid, ethical study of the situational strategic decision-making at Tesla. In addition, the chapter discusses the ethical issues that are involved in the secondary research, data management procedures and constraints of the selected methodology thus, giving a full road map on the empirical inquiry that will come later in Chapter Four.</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3.2 Research Philosophy and Assumptions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This research is based on an interpretivist research philosophy, which holds that social phenomena, such as strategic business decisions, do not exist as objective, measurable facts independent of human interpretation and are constructed as a complex interaction of actors, institutions and local conditions. Interpretivism is especially suitable in this inquiry since Tesla decisions to enter the foreign market could not be transformed or defined into the only set of quantitative variables or even universal laws, but they are the products of subjective perceptions of regulatory conditions, risk analysis, competition forces, and the organization priorities as interpreted by managers, policymakers, and industry observers whose views are available in secondary data (Cote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In contrast to positivism, which tries to find the causes of the strategic choice by means of observable, measurable data, the interpretivism does not dismiss the importance of the tacit knowledge, organisational culture, political negotiations, and changing market conditions that need a rich and contextual approach more than statistical generalisation. The interpretivist position corresponds to the fact that the research is based on qualitative secondary data, in particular, industry reports, government publications, and strategic studies, while these reports present various and conflicting ideas about the opportunities and constraints that Tesla will face in emerging markets (</w:t>
      </w:r>
      <w:r>
        <w:rPr>
          <w:rFonts w:ascii="Times New Roman" w:hAnsi="Times New Roman" w:cs="Times New Roman" w:eastAsia="Times New Roman"/>
          <w:color w:val="000000"/>
          <w:spacing w:val="0"/>
          <w:position w:val="0"/>
          <w:sz w:val="24"/>
          <w:shd w:fill="auto" w:val="clear"/>
        </w:rPr>
        <w:t xml:space="preserve">Šebeňa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In addition, this philosophy is not opposed to the fact that the interpretation of the researcher is actively involved in the analysis and synthesis of the existing literature, and this fact is clearly represented in the open records of the analytical choices, systematic codification, and analytical reflections of possible biases. It is also the interpretivist assumption that the reality is socially constructed which justifies the application of Dunning's OLI Framework not as a law but as a conceptual tool that can be used to organise and make sense of the complex and context-specific factors that affect Tesla in terms of its decisions to enter the various emerging economies in terms of entry modes.</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3.3 Research Design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study uses a qualitative and descriptive and multiple embedded case study design that is best fit to researching the subtle and contextualized phenomenon of the Tesla market entry barriers and strategic reactions in three different emerging economies, namely, India, Turkey, and Malaysia. The case study design is right since the research is addressing the questions of how and why about the strategic decision-making processes of Tesla, has no need to control behavioural events, and discusses modern phenomenon in reality in their real institutional and economic setting (Meskine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The multiple case design will also improve the external validity and analytical generalisability of the results as it provides the comparison of cases across multiple cases which will allow identifying the patterns, similarities and differences of the manifestation of ownership advantages, location factors and internalisation benefits in different regulatory regimes, infrastructure conditions, and market structures. India is a high-tariff, protectionist market that has ambitious targets on EV adoption but is highly under-infrastructured; Turkey is a strategically located manufacturing hub with changing EV policy and opening up to customs unions; and Malaysia is a middle-income ASEAN market with established automotive manufacturing and content needs locally. It is the descriptive aspect that systematically documents the exact market entry hurdles the company looks to face in each country, whereas as a research technique the qualitative aspect puts more emphasis on depth of knowledge than breadth of numbers and meaning of the strategic logics themselves, what is written in publicly available documents (Li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All of the cases are considered separately by applying the OLI Framework as a consistent analytical template and finally, a cross-case analysis is carried out to determine whether localised manufacturing is uniform in providing better competitive advantage than exporting in varying emerging economy situations.</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3.4 Research Approach</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study follows deductive research methodology where the existing theory is employed and subsequently tested or applied to particular empirical settings as opposed to data eliciting theory as in inductive methodologies. The deductive methodology is acceptable given that the OLI Framework by Dunning is a well-developed framework with a strong theoretical foundation on analyzing decisions by foreign direct investors, and the present study uses the framework in a systematic way to determine whether Tesla should export or localise manufacturing in the emerging economies (Hassani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2026). The study goes beyond the proposed broad theoretical theory under OLI paradigm of proposing that firms need ownership benefits, location benefits, and internalisation benefits to effectively enter a foreign market by direct investment ventures to actually test the hypothesis of Tesla in India, Turkey and Malaysia. This conceptually pertinent approach gains data collection and data analysis through a focused approach regarding the conceptually relevant dimensions of ownership (technological innovation, brand equity, proprietary capabilities), location (labour costs, market growth, infrastructure, incentive to invest), and internalisation (control over operations, protection of intellectual property, minimisation of the transaction costs). As opposed to the inductive or grounded theory paradigms where primary data is collected independently and emergent interpretation is subsequently instigated without predefined categories, the deductive approach utilizes the already available rich theoretical bases of international business to crank a systematic, clear cut and replicable analysis of the secondary sources. The deductive approach is also effective to compare the three countries of the case since the same OLI dimensions are analyzed in all of them, and thus the synthesis of cases and the provision of theoretically-elaborated recommendations is possible (Zaiqi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2026). Although deductive approaches have a potential of imposing the empirical evidence into pre-set categories, in this case, the study avoids such a weakness as it is open towards any new findings and situational subtleties that can expand or direct the use of the OLI framework to the electric vehicle industry in particular.</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3.5 Data Collection Methods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research will be based on secondary data collection sources, including peer-reviewed scholarly journal articles, industry reports of well-known consultancies, governmental sources, reports of international organisations and authoritative media analysis that do not involve the collection of primary, already existing data with human subjects. The choice of secondary data to be used exclusively is explained by a number of factors: first, the sample of the research includes the strategic choices of Tesla on the multinational corporate level, and primary access to Tesla managers or policy-makers in India, Turkey, and Malaysia is neither feasible nor practical in the context of the research dissertation; second, the questions are about synthesising and critically assessing the published knowledge, not creating new empirical (Zaiqi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2026). The article is based on the research of academic journals, and the databases such as Google Scholar, Scopus, and Web of Science are consulted with the search terms of Tesla market entry, OLI framework electric vehicles, emerging economy FDI automotive, and India EV tariffs, the search of which is limited to peer-reviewed articles published in 2019-2026 to make the articles current and academic. This information is collected in the form of reports of the organisations, such as Bloomberg New Energy Finance, the International Energy Agency, McKinsey, Deloitte and PwC, which offer credible and data-dependent statistics of the EV markets, tariff breaks and investment climate. The trade and investment policies and customs tariff schedule are government publications, and the EV promotion plans are the Indian, Turkish, and Malaysian governmental documents, whereas the macroeconomic and policy background are provided with the reports of international organisations, the World Bank, World Trade Organization, and UNCTAD (Gan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The search of the literature used PRISMA 2020 guidelines to be transparent and reproducible. The search strategy involved four steps as identification, screening, eligibility, and inclusion. Out of 250 records found in Google Scholar, Scopus, and Web of Science, duplicates (n=45), and records that automated tools could not handle were eliminated. Titles and abstracts were screened and 120 records eliminated. Full-text reports were checked against the eligibility criteria, which led to the dismissal of more records because of their irrelevance to the specific entry setting of Tesla or because they did not implement the OLI framework. The last qualitative synthesis comprised 70 studies. Chapter 2 shows the PRISMA flow diagram. The sources are manually categorized and taken to reference management software, and only connections that directly address Tesla, the OLI framework, entry of emerging economies or a specific part of the market as the EV industries are included, which stays relevant and focused.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3.6 Data Analysis Process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qualitative theme analysis that was adopted in the data analysis is a systematic approach to the identification, tabulation and explanation of meanings patterns in qualitative secondary data, which is informed by the theoretical categories of the Dunning OLI Framework (Cho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Braun and Clarke stand out the six phases of the analysis process, which are familiarisation with the data, repeated reading of collected sources; initial coding by identifying passages likely to be relevant to the benefits of ownership, location, and internalisation; searching themes to form coherent categories of analysis; reviewing themes to see that they reflect well the data and that they are not similar to each other; defining and naming themes, using clear specifications of their scope In the internalisation advantages, particular themes have been discussed as protectionist trade policies and import tariff arrangement; capacity in EV charging infrastructure and support institutional frameworks; the Tesla ownership-specific advantage with technology, brand, and capabilities; the host-country location determinant encompassing labour costs, market development, and investment incentive; and comparative analysis of exporting and localised manufacturing (Braun and Clarke, 2017). The data of the analysis of qualitative data can be managed with NVivo or a similar software, but the manual coding with the structured matrices can also be used due to the narrow scope of analysis in three countries (Rahmatullah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The results are related to the literature reviewed in Chapter Two through an analysis of whether the results are consistent or conflicting with the theoretical predictions on the effect of ownership, location, and internalisation advantages on the choice of entry mode that are currently visible in the context of developing economies. Triangulation is reached through comparing the results of the various kinds of sources (academic, industry, government) and also between the three countries of a case to increase the validity and minimize the bias of the source.</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3.7 Ethical Considerations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present research is based on the highest ethical standards as stipulated in UWTSD Research Ethics and Integrity Policy even though primary data collection was not conducted involving human subjects despite the lack of human subjects since ethical responsibility was taken into account through correct representation of sources, prevention of plagiarism and responsible use of secondary data (Ongesa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2026). The University Ethics Committee has been consulted regarding the ethical approval of the research and since the research will not concern any subjects of human beings, no personal information, and no trade secret or confidential information, the potential risks of the research are low and are mostly associated with intellectual honesty and academic integrity. All secondary sources are formatted correctly and fully alongside the UWTSD Harvard help of referencing and any direct quotation clearly stated as well as any paraphrased information is credited to the original writers to eliminate any type of plagiarism or misrepresentation (Dellafiore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2026). The research does not also access or use any trade secrets, trade business information, or proprietary Tesla data, but it uses open data on the information that has been published and/or disclosed publicly by Tesla are trustworthy third-party sources. This dissertation has not involved any generative AI-based writing or structure generation or analysis, other than using some basic grammar and spelling checking, investigating the writing and structure restrictions of the assessment specification. Data storage in accordance to UWTSD Research Data Management Policy, all digital data, such as downloaded articles, coding matrices, and analysis notes are stored in a password controlled account of the OneDrive account of the university, and could be accessed only by the researcher and supervisor (Mendez Parra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2025). The research does not engage in any form of speculation or unproven arguments regarding Tesla, its leaders or the government, therefore, all the statements can be backed up with factual evidence of authoritative sources and explanations of the point of view are rather balanced, objective and scholarly. It is lowered by the transparent methodology, evidence-based systematic citation of the findings, and recognition of other ways to interpret the findings and bypass the barriers of market entry or the strategic advice.</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3.8 Research limitations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study has a few limitations. First, the secondary source of data implies that the results are based on the suitability of published sources that might be biased. Second, Tesla executives or policymakers are not providing primary data, which constrains the provision of insider perspectives regarding strategic decision-making. Third, the fact that only three emerging economies have been studied (India, Turkey, Malaysia) limits the ability to generalise to other developing markets. Fourth, the fast moving EV environment implies that results can get obsolete due to the dynamics in policies and technologies. Fifth, thematic analysis contains subjectivity as encountered by researcher interpretation, alleviated by systematic coding and provide supervisor feedback.</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3.9 Conclusion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This chapter has outlined a thorough, rational approach to the research of barriers to Tesla market entry and foreign market entry strategy in emerging economies through the Dunning OLI Framework. The interpretivist research philosophy recognizes subjective and situation-specific character of strategic decision-making whereas the qualitative multiple case study approach allows systematic cat comparison between India, Turkey and Malaysia. The deductive approach especially is an empirical method that operates the previous theory of international business to the concrete empirical situations, so that the collection and analysis of data would be concentrated on the conceptually significant dimensions of ownership, location, and internalisation benefits. Peer reviewed journals, industry reports, government publications, and sources of international organisations are some of the peer reviewed journals that have credible, current and comprehensive evidence without any primary fieldwork that would be impractical within the scope of this dissertation. The OLI-inspired thematic analysis systematises the results into consistent themes, fulfilling all the objectives and questions of the research, and triangulation between sources and countries promotes validity. The ethical considerations have been well handled using safe data management, right source attribution, no proprietary information, and adherence to UWTSD policies. The rigorous, transparent, and replicable foundation of the findings, analysis, and discussion defined in Chapter Four, based on the methodology described in this chapter, will render the conclusions of the study about whether Tesla could gain sustainable competitive advantage through localised manufacturing or exporting to emerging economies credible, evidence-based, and theoretically-supported.</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FFFFFF" w:val="clear"/>
        </w:rPr>
      </w:pPr>
      <w:r>
        <w:rPr>
          <w:rFonts w:ascii="Times New Roman" w:hAnsi="Times New Roman" w:cs="Times New Roman" w:eastAsia="Times New Roman"/>
          <w:b/>
          <w:color w:val="auto"/>
          <w:spacing w:val="0"/>
          <w:position w:val="0"/>
          <w:sz w:val="28"/>
          <w:shd w:fill="FFFFFF" w:val="clear"/>
        </w:rPr>
        <w:t xml:space="preserve">Chapter 4: Findings / results, analysis and discussion</w:t>
      </w:r>
    </w:p>
    <w:p>
      <w:pPr>
        <w:keepNext w:val="true"/>
        <w:keepLines w:val="true"/>
        <w:spacing w:before="0" w:after="0" w:line="360"/>
        <w:ind w:right="0" w:left="0" w:firstLine="0"/>
        <w:jc w:val="both"/>
        <w:rPr>
          <w:rFonts w:ascii="Times New Roman" w:hAnsi="Times New Roman" w:cs="Times New Roman" w:eastAsia="Times New Roman"/>
          <w:color w:val="auto"/>
          <w:spacing w:val="0"/>
          <w:position w:val="0"/>
          <w:sz w:val="26"/>
          <w:shd w:fill="FFFFFF" w:val="clear"/>
        </w:rPr>
      </w:pPr>
      <w:r>
        <w:rPr>
          <w:rFonts w:ascii="Times New Roman" w:hAnsi="Times New Roman" w:cs="Times New Roman" w:eastAsia="Times New Roman"/>
          <w:b/>
          <w:color w:val="auto"/>
          <w:spacing w:val="0"/>
          <w:position w:val="0"/>
          <w:sz w:val="26"/>
          <w:shd w:fill="FFFFFF" w:val="clear"/>
        </w:rPr>
        <w:t xml:space="preserve">4.1 Introduction to the chapter</w:t>
      </w:r>
      <w:r>
        <w:rPr>
          <w:rFonts w:ascii="Times New Roman" w:hAnsi="Times New Roman" w:cs="Times New Roman" w:eastAsia="Times New Roman"/>
          <w:color w:val="auto"/>
          <w:spacing w:val="0"/>
          <w:position w:val="0"/>
          <w:sz w:val="26"/>
          <w:shd w:fill="FFFFFF"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This chapter offers, reviews, and comments on the main results of the research of the Tesla enterprises in the foreign market entry strategies of emerging economies through the framework of Dunning on OLI. It analytically analyzes the empirical data concerning barriers to market entry, government policymakers, EV adoption, charging infrastructure, and the development of fast-charging ecosystems. The results are connected to the purpose of the research to assess whether the localised production can provide a more sustainable competitive advantage than the exporting. The chapter also incorporates the theoretical enlightenment provided in the literature review to critically evaluate the type of ownership in relation to location and internalisation cost that Tesla Inc. incurs in various emerging markets, specifically, India, Türkiye, Malaysia, and Vietnam.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6"/>
          <w:shd w:fill="FFFFFF" w:val="clear"/>
        </w:rPr>
      </w:pPr>
      <w:r>
        <w:rPr>
          <w:rFonts w:ascii="Times New Roman" w:hAnsi="Times New Roman" w:cs="Times New Roman" w:eastAsia="Times New Roman"/>
          <w:b/>
          <w:color w:val="auto"/>
          <w:spacing w:val="0"/>
          <w:position w:val="0"/>
          <w:sz w:val="26"/>
          <w:shd w:fill="FFFFFF" w:val="clear"/>
        </w:rPr>
        <w:t xml:space="preserve">4.2 Presentation of Findings</w:t>
      </w:r>
      <w:r>
        <w:rPr>
          <w:rFonts w:ascii="Times New Roman" w:hAnsi="Times New Roman" w:cs="Times New Roman" w:eastAsia="Times New Roman"/>
          <w:color w:val="auto"/>
          <w:spacing w:val="0"/>
          <w:position w:val="0"/>
          <w:sz w:val="26"/>
          <w:shd w:fill="FFFFFF" w:val="clear"/>
        </w:rPr>
        <w:t xml:space="preserve"> </w:t>
      </w:r>
    </w:p>
    <w:p>
      <w:pPr>
        <w:keepNext w:val="true"/>
        <w:keepLines w:val="true"/>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4.2.1 Tariff Barriers and Import Restrictions on EVs in Emerging Economies</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object w:dxaOrig="13478" w:dyaOrig="6537">
          <v:rect xmlns:o="urn:schemas-microsoft-com:office:office" xmlns:v="urn:schemas-microsoft-com:vml" id="rectole0000000006" style="width:673.900000pt;height:326.85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6" ShapeID="rectole0000000006" r:id="docRId16"/>
        </w:object>
      </w:r>
    </w:p>
    <w:p>
      <w:pPr>
        <w:keepNext w:val="true"/>
        <w:keepLines w:val="true"/>
        <w:spacing w:before="240" w:after="80" w:line="360"/>
        <w:ind w:right="0" w:left="0" w:firstLine="0"/>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Figure 7: Electric car registrations and sales share in selected countries, 2020-2024</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(Source: </w:t>
      </w:r>
      <w:hyperlink xmlns:r="http://schemas.openxmlformats.org/officeDocument/2006/relationships" r:id="docRId18">
        <w:r>
          <w:rPr>
            <w:rFonts w:ascii="Times New Roman" w:hAnsi="Times New Roman" w:cs="Times New Roman" w:eastAsia="Times New Roman"/>
            <w:color w:val="0000FF"/>
            <w:spacing w:val="0"/>
            <w:position w:val="0"/>
            <w:sz w:val="24"/>
            <w:u w:val="single"/>
            <w:shd w:fill="FFFFFF" w:val="clear"/>
          </w:rPr>
          <w:t xml:space="preserve">https://www.iea.org/reports/global-ev-outlook-2025/trends-in-electric-car-markets-2</w:t>
        </w:r>
      </w:hyperlink>
      <w:r>
        <w:rPr>
          <w:rFonts w:ascii="Times New Roman" w:hAnsi="Times New Roman" w:cs="Times New Roman" w:eastAsia="Times New Roman"/>
          <w:color w:val="auto"/>
          <w:spacing w:val="0"/>
          <w:position w:val="0"/>
          <w:sz w:val="24"/>
          <w:shd w:fill="FFFFFF" w:val="clear"/>
        </w:rPr>
        <w:t xml:space="preserve">)</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Figure 7 explains that the emerging companies of domestic EV brands namely, VinFast, Togg, and Tata-led businesses are boosting fast and are going to transform the competition in the new markets. The development of local production has raised the share of EV sales greatly, such as reaching 17 percent in Viet Nam and 10% in Türkiye. Such changes highlight the importance of high importation tariffs and government subsidies to support local manufacturing as opposed to exporting as promoting localisation and reducing to the disadvantage of Tesla according to OLI (</w:t>
      </w:r>
      <w:hyperlink xmlns:r="http://schemas.openxmlformats.org/officeDocument/2006/relationships" r:id="docRId19">
        <w:r>
          <w:rPr>
            <w:rFonts w:ascii="Times New Roman" w:hAnsi="Times New Roman" w:cs="Times New Roman" w:eastAsia="Times New Roman"/>
            <w:color w:val="0000FF"/>
            <w:spacing w:val="0"/>
            <w:position w:val="0"/>
            <w:sz w:val="24"/>
            <w:u w:val="single"/>
            <w:shd w:fill="FFFFFF" w:val="clear"/>
          </w:rPr>
          <w:t xml:space="preserve">iea.org</w:t>
        </w:r>
      </w:hyperlink>
      <w:r>
        <w:rPr>
          <w:rFonts w:ascii="Times New Roman" w:hAnsi="Times New Roman" w:cs="Times New Roman" w:eastAsia="Times New Roman"/>
          <w:color w:val="auto"/>
          <w:spacing w:val="0"/>
          <w:position w:val="0"/>
          <w:sz w:val="24"/>
          <w:shd w:fill="FFFFFF" w:val="clear"/>
        </w:rPr>
        <w:t xml:space="preserve">, 2025).</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object w:dxaOrig="13478" w:dyaOrig="8064">
          <v:rect xmlns:o="urn:schemas-microsoft-com:office:office" xmlns:v="urn:schemas-microsoft-com:vml" id="rectole0000000007" style="width:673.900000pt;height:403.200000pt" o:preferrelative="t" o:ole="">
            <o:lock v:ext="edit"/>
            <v:imagedata xmlns:r="http://schemas.openxmlformats.org/officeDocument/2006/relationships" r:id="docRId21" o:title=""/>
          </v:rect>
          <o:OLEObject xmlns:r="http://schemas.openxmlformats.org/officeDocument/2006/relationships" xmlns:o="urn:schemas-microsoft-com:office:office" Type="Embed" ProgID="StaticMetafile" DrawAspect="Content" ObjectID="0000000007" ShapeID="rectole0000000007" r:id="docRId20"/>
        </w:object>
      </w:r>
    </w:p>
    <w:p>
      <w:pPr>
        <w:keepNext w:val="true"/>
        <w:keepLines w:val="true"/>
        <w:spacing w:before="240" w:after="80" w:line="360"/>
        <w:ind w:right="0" w:left="0" w:firstLine="0"/>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Figure 8: Annual cost of EV ownership in the USA</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(Source: </w:t>
      </w:r>
      <w:hyperlink xmlns:r="http://schemas.openxmlformats.org/officeDocument/2006/relationships" r:id="docRId22">
        <w:r>
          <w:rPr>
            <w:rFonts w:ascii="Times New Roman" w:hAnsi="Times New Roman" w:cs="Times New Roman" w:eastAsia="Times New Roman"/>
            <w:color w:val="0000FF"/>
            <w:spacing w:val="0"/>
            <w:position w:val="0"/>
            <w:sz w:val="24"/>
            <w:u w:val="single"/>
            <w:shd w:fill="FFFFFF" w:val="clear"/>
          </w:rPr>
          <w:t xml:space="preserve">https://www.mdpi.com/2071-1050/14/14/8320</w:t>
        </w:r>
      </w:hyperlink>
      <w:r>
        <w:rPr>
          <w:rFonts w:ascii="Times New Roman" w:hAnsi="Times New Roman" w:cs="Times New Roman" w:eastAsia="Times New Roman"/>
          <w:color w:val="auto"/>
          <w:spacing w:val="0"/>
          <w:position w:val="0"/>
          <w:sz w:val="24"/>
          <w:shd w:fill="FFFFFF" w:val="clear"/>
        </w:rPr>
        <w:t xml:space="preserve">)</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As Figure 8 demonstrates, the cost of owning EVs is steadily decreasing, and it is becoming more competitive than conventional cars, not least owing to such policy incentives as tax exemptions in Norway and corporate tax cuts in India. The incentives suggested to Malaysia are similar, thus suggesting that the government policy exerts a substantial impact on the EV adoption and manufacturing appeal within the country. This substantiates the opinion that local production ecosystems can be spurred on by tariff cuts, and fiscal incentives to limit dependency on imports (Muzir et al., 2022).</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4.3.2 EV Market Growth and Adoption Trends in Emerging Economies </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object w:dxaOrig="13478" w:dyaOrig="11376">
          <v:rect xmlns:o="urn:schemas-microsoft-com:office:office" xmlns:v="urn:schemas-microsoft-com:vml" id="rectole0000000008" style="width:673.900000pt;height:568.800000pt" o:preferrelative="t" o:ole="">
            <o:lock v:ext="edit"/>
            <v:imagedata xmlns:r="http://schemas.openxmlformats.org/officeDocument/2006/relationships" r:id="docRId24" o:title=""/>
          </v:rect>
          <o:OLEObject xmlns:r="http://schemas.openxmlformats.org/officeDocument/2006/relationships" xmlns:o="urn:schemas-microsoft-com:office:office" Type="Embed" ProgID="StaticMetafile" DrawAspect="Content" ObjectID="0000000008" ShapeID="rectole0000000008" r:id="docRId23"/>
        </w:object>
      </w:r>
    </w:p>
    <w:p>
      <w:pPr>
        <w:keepNext w:val="true"/>
        <w:keepLines w:val="true"/>
        <w:spacing w:before="240" w:after="80" w:line="360"/>
        <w:ind w:right="0" w:left="0" w:firstLine="0"/>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Figure 9: India's EV Adoption in Reverse?</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(source:</w:t>
      </w:r>
      <w:r>
        <w:rPr>
          <w:rFonts w:ascii="Times New Roman" w:hAnsi="Times New Roman" w:cs="Times New Roman" w:eastAsia="Times New Roman"/>
          <w:color w:val="auto"/>
          <w:spacing w:val="0"/>
          <w:position w:val="0"/>
          <w:sz w:val="24"/>
          <w:shd w:fill="FFFFFF" w:val="clear"/>
        </w:rPr>
        <w:t xml:space="preserve">https://www.statista.com/chart/31486/electric-vehicle-sales-in-india-by-year-and-type/?srsltid=AfmBOoo2HQePTPb10cqg-6qaTlhHu4YdNxs2LWgDeGWoHlfOLrQsC_ZA</w:t>
      </w:r>
      <w:r>
        <w:rPr>
          <w:rFonts w:ascii="Times New Roman" w:hAnsi="Times New Roman" w:cs="Times New Roman" w:eastAsia="Times New Roman"/>
          <w:color w:val="auto"/>
          <w:spacing w:val="0"/>
          <w:position w:val="0"/>
          <w:sz w:val="24"/>
          <w:shd w:fill="FFFFFF" w:val="clear"/>
        </w:rPr>
        <w:t xml:space="preserve">)</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As Figure 9 depicts, EV adoption in India is constituted of a small value and it is not evenly distributed with the total EV penetration at 5.6 and that of EV car passenger cars is 1.8. Two- and three-wheelers are prevalent in the market over cars, and with fewer subsidies, there was a slight drop in EV registrations in 2024. Government attempts notwithstanding, Tesla does not seem to be interested directly, and attention is paid to imported showroom sales, not on manufacturing here (</w:t>
      </w:r>
      <w:hyperlink xmlns:r="http://schemas.openxmlformats.org/officeDocument/2006/relationships" r:id="docRId25">
        <w:r>
          <w:rPr>
            <w:rFonts w:ascii="Times New Roman" w:hAnsi="Times New Roman" w:cs="Times New Roman" w:eastAsia="Times New Roman"/>
            <w:color w:val="0000FF"/>
            <w:spacing w:val="0"/>
            <w:position w:val="0"/>
            <w:sz w:val="24"/>
            <w:u w:val="single"/>
            <w:shd w:fill="FFFFFF" w:val="clear"/>
          </w:rPr>
          <w:t xml:space="preserve">statista.com, 2026)</w:t>
        </w:r>
      </w:hyperlink>
    </w:p>
    <w:p>
      <w:pPr>
        <w:spacing w:before="0" w:after="0" w:line="360"/>
        <w:ind w:right="0" w:left="0" w:firstLine="0"/>
        <w:jc w:val="center"/>
        <w:rPr>
          <w:rFonts w:ascii="Times New Roman" w:hAnsi="Times New Roman" w:cs="Times New Roman" w:eastAsia="Times New Roman"/>
          <w:b/>
          <w:color w:val="auto"/>
          <w:spacing w:val="0"/>
          <w:position w:val="0"/>
          <w:sz w:val="24"/>
          <w:shd w:fill="FFFFFF" w:val="clear"/>
        </w:rPr>
      </w:pPr>
      <w:r>
        <w:object w:dxaOrig="13478" w:dyaOrig="12124">
          <v:rect xmlns:o="urn:schemas-microsoft-com:office:office" xmlns:v="urn:schemas-microsoft-com:vml" id="rectole0000000009" style="width:673.900000pt;height:606.200000pt" o:preferrelative="t" o:ole="">
            <o:lock v:ext="edit"/>
            <v:imagedata xmlns:r="http://schemas.openxmlformats.org/officeDocument/2006/relationships" r:id="docRId27" o:title=""/>
          </v:rect>
          <o:OLEObject xmlns:r="http://schemas.openxmlformats.org/officeDocument/2006/relationships" xmlns:o="urn:schemas-microsoft-com:office:office" Type="Embed" ProgID="StaticMetafile" DrawAspect="Content" ObjectID="0000000009" ShapeID="rectole0000000009" r:id="docRId26"/>
        </w:object>
      </w:r>
    </w:p>
    <w:p>
      <w:pPr>
        <w:keepNext w:val="true"/>
        <w:keepLines w:val="true"/>
        <w:spacing w:before="240" w:after="80" w:line="360"/>
        <w:ind w:right="0" w:left="0" w:firstLine="0"/>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Figure 10: Defining the Clean Power target</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(Source:</w:t>
      </w:r>
      <w:r>
        <w:rPr>
          <w:rFonts w:ascii="Times New Roman" w:hAnsi="Times New Roman" w:cs="Times New Roman" w:eastAsia="Times New Roman"/>
          <w:color w:val="auto"/>
          <w:spacing w:val="0"/>
          <w:position w:val="0"/>
          <w:sz w:val="24"/>
          <w:shd w:fill="FFFFFF" w:val="clear"/>
        </w:rPr>
        <w:t xml:space="preserve">https://www.gov.uk/government/publications/clean-power-2030-action-plan/clean-power-2030-action-plan-a-new-era-of-clean-electricity-main-report</w:t>
      </w:r>
      <w:r>
        <w:rPr>
          <w:rFonts w:ascii="Times New Roman" w:hAnsi="Times New Roman" w:cs="Times New Roman" w:eastAsia="Times New Roman"/>
          <w:color w:val="auto"/>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Figure 10 indicates the UK Clean Power 2030 Action Plan, demonstrating how by 2023 the proportion of clean energy will be 56% and decrease to 100% by 2030, as well as that the carbon intensity will reach less than 50gCO2e/kWh. This shows that the government is highly committed to decarbonisation, which indirectly promotes the use of EVs by providing cleaner electricity. This policy direction is indicative of larger policy trends across the globe that governments have established long-term sustainability goals that contribute to increasing the appeal of EV markets (</w:t>
      </w:r>
      <w:hyperlink xmlns:r="http://schemas.openxmlformats.org/officeDocument/2006/relationships" r:id="docRId28">
        <w:r>
          <w:rPr>
            <w:rFonts w:ascii="Times New Roman" w:hAnsi="Times New Roman" w:cs="Times New Roman" w:eastAsia="Times New Roman"/>
            <w:color w:val="0000FF"/>
            <w:spacing w:val="0"/>
            <w:position w:val="0"/>
            <w:sz w:val="24"/>
            <w:u w:val="single"/>
            <w:shd w:fill="FFFFFF" w:val="clear"/>
          </w:rPr>
          <w:t xml:space="preserve">gov.uk, 2025)</w:t>
        </w:r>
      </w:hyperlink>
      <w:r>
        <w:rPr>
          <w:rFonts w:ascii="Times New Roman" w:hAnsi="Times New Roman" w:cs="Times New Roman" w:eastAsia="Times New Roman"/>
          <w:color w:val="auto"/>
          <w:spacing w:val="0"/>
          <w:position w:val="0"/>
          <w:sz w:val="24"/>
          <w:shd w:fill="FFFFFF" w:val="clear"/>
        </w:rPr>
        <w:t xml:space="preserve">.</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4.2.3 Charging Infrastructure Availability and Energy Readiness</w:t>
      </w:r>
    </w:p>
    <w:p>
      <w:pPr>
        <w:spacing w:before="0" w:after="300" w:line="360"/>
        <w:ind w:right="0" w:left="0" w:firstLine="0"/>
        <w:jc w:val="center"/>
        <w:rPr>
          <w:rFonts w:ascii="Times New Roman" w:hAnsi="Times New Roman" w:cs="Times New Roman" w:eastAsia="Times New Roman"/>
          <w:color w:val="auto"/>
          <w:spacing w:val="0"/>
          <w:position w:val="0"/>
          <w:sz w:val="24"/>
          <w:shd w:fill="FFFFFF" w:val="clear"/>
        </w:rPr>
      </w:pPr>
      <w:r>
        <w:object w:dxaOrig="13478" w:dyaOrig="6307">
          <v:rect xmlns:o="urn:schemas-microsoft-com:office:office" xmlns:v="urn:schemas-microsoft-com:vml" id="rectole0000000010" style="width:673.900000pt;height:315.350000pt" o:preferrelative="t" o:ole="">
            <o:lock v:ext="edit"/>
            <v:imagedata xmlns:r="http://schemas.openxmlformats.org/officeDocument/2006/relationships" r:id="docRId30" o:title=""/>
          </v:rect>
          <o:OLEObject xmlns:r="http://schemas.openxmlformats.org/officeDocument/2006/relationships" xmlns:o="urn:schemas-microsoft-com:office:office" Type="Embed" ProgID="StaticMetafile" DrawAspect="Content" ObjectID="0000000010" ShapeID="rectole0000000010" r:id="docRId29"/>
        </w:object>
      </w:r>
    </w:p>
    <w:p>
      <w:pPr>
        <w:keepNext w:val="true"/>
        <w:keepLines w:val="true"/>
        <w:spacing w:before="240" w:after="80" w:line="360"/>
        <w:ind w:right="0" w:left="0" w:firstLine="0"/>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Figure 11: Distribution of public AC charging stations by the charge network across Malaysia.</w:t>
      </w:r>
    </w:p>
    <w:p>
      <w:pPr>
        <w:spacing w:before="0" w:after="300" w:line="36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(Source:</w:t>
      </w:r>
      <w:hyperlink xmlns:r="http://schemas.openxmlformats.org/officeDocument/2006/relationships" r:id="docRId31">
        <w:r>
          <w:rPr>
            <w:rFonts w:ascii="Times New Roman" w:hAnsi="Times New Roman" w:cs="Times New Roman" w:eastAsia="Times New Roman"/>
            <w:color w:val="0000FF"/>
            <w:spacing w:val="0"/>
            <w:position w:val="0"/>
            <w:sz w:val="24"/>
            <w:u w:val="single"/>
            <w:shd w:fill="FFFFFF" w:val="clear"/>
          </w:rPr>
          <w:t xml:space="preserve">https</w:t>
        </w:r>
        <w:r>
          <w:rPr>
            <w:rFonts w:ascii="Times New Roman" w:hAnsi="Times New Roman" w:cs="Times New Roman" w:eastAsia="Times New Roman"/>
            <w:color w:val="0000FF"/>
            <w:spacing w:val="0"/>
            <w:position w:val="0"/>
            <w:sz w:val="24"/>
            <w:u w:val="single"/>
            <w:shd w:fill="FFFFFF" w:val="clear"/>
          </w:rPr>
          <w:t xml:space="preserve"> HYPERLINK "https://www.mdpi.com/1996-1073/15/7/2564"</w:t>
        </w:r>
        <w:r>
          <w:rPr>
            <w:rFonts w:ascii="Times New Roman" w:hAnsi="Times New Roman" w:cs="Times New Roman" w:eastAsia="Times New Roman"/>
            <w:color w:val="0000FF"/>
            <w:spacing w:val="0"/>
            <w:position w:val="0"/>
            <w:sz w:val="24"/>
            <w:u w:val="single"/>
            <w:shd w:fill="FFFFFF" w:val="clear"/>
          </w:rPr>
          <w:t xml:space="preserve">://www.mdpi.com/1996-1073/15/7/2564</w:t>
        </w:r>
      </w:hyperlink>
      <w:r>
        <w:rPr>
          <w:rFonts w:ascii="Times New Roman" w:hAnsi="Times New Roman" w:cs="Times New Roman" w:eastAsia="Times New Roman"/>
          <w:color w:val="auto"/>
          <w:spacing w:val="0"/>
          <w:position w:val="0"/>
          <w:sz w:val="24"/>
          <w:shd w:fill="FFFFFF" w:val="clear"/>
        </w:rPr>
        <w:t xml:space="preserve">)</w:t>
      </w:r>
    </w:p>
    <w:p>
      <w:pPr>
        <w:spacing w:before="0" w:after="3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results indicate that the EV charging infrastructure in Malaysia is growing yet disproportionately distributed. The stations of AC charging are located throughout the major areas, and DC fast-charging are found in large clusters along major highways like the NorthSouth expressway (Veza et al., 2022). Most DC infrastructure activities are controlled by private companies, like EV Connection, whereas the alliances of Shell and Porsche are adding more high-speed chargers. Nevertheless, nationwide coverage remains insufficient, which means that there is partial energy preparedness to adopt a high level of EVs (Veza et al., 2022). </w:t>
      </w:r>
    </w:p>
    <w:p>
      <w:pPr>
        <w:spacing w:before="0" w:after="300" w:line="360"/>
        <w:ind w:right="0" w:left="0" w:firstLine="0"/>
        <w:jc w:val="both"/>
        <w:rPr>
          <w:rFonts w:ascii="Times New Roman" w:hAnsi="Times New Roman" w:cs="Times New Roman" w:eastAsia="Times New Roman"/>
          <w:color w:val="auto"/>
          <w:spacing w:val="0"/>
          <w:position w:val="0"/>
          <w:sz w:val="24"/>
          <w:shd w:fill="FFFFFF" w:val="clear"/>
        </w:rPr>
      </w:pPr>
    </w:p>
    <w:p>
      <w:pPr>
        <w:spacing w:before="0" w:after="300" w:line="360"/>
        <w:ind w:right="0" w:left="0" w:firstLine="0"/>
        <w:jc w:val="center"/>
        <w:rPr>
          <w:rFonts w:ascii="Times New Roman" w:hAnsi="Times New Roman" w:cs="Times New Roman" w:eastAsia="Times New Roman"/>
          <w:color w:val="auto"/>
          <w:spacing w:val="0"/>
          <w:position w:val="0"/>
          <w:sz w:val="24"/>
          <w:shd w:fill="FFFFFF" w:val="clear"/>
        </w:rPr>
      </w:pPr>
      <w:r>
        <w:object w:dxaOrig="13478" w:dyaOrig="9129">
          <v:rect xmlns:o="urn:schemas-microsoft-com:office:office" xmlns:v="urn:schemas-microsoft-com:vml" id="rectole0000000011" style="width:673.900000pt;height:456.450000pt" o:preferrelative="t" o:ole="">
            <o:lock v:ext="edit"/>
            <v:imagedata xmlns:r="http://schemas.openxmlformats.org/officeDocument/2006/relationships" r:id="docRId33" o:title=""/>
          </v:rect>
          <o:OLEObject xmlns:r="http://schemas.openxmlformats.org/officeDocument/2006/relationships" xmlns:o="urn:schemas-microsoft-com:office:office" Type="Embed" ProgID="StaticMetafile" DrawAspect="Content" ObjectID="0000000011" ShapeID="rectole0000000011" r:id="docRId32"/>
        </w:object>
      </w:r>
    </w:p>
    <w:p>
      <w:pPr>
        <w:keepNext w:val="true"/>
        <w:keepLines w:val="true"/>
        <w:spacing w:before="240" w:after="80" w:line="360"/>
        <w:ind w:right="0" w:left="0" w:firstLine="0"/>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Figure 12: Share of public electric vehicle chargers that are fast-charging, 2021</w:t>
      </w:r>
    </w:p>
    <w:p>
      <w:pPr>
        <w:spacing w:before="0" w:after="300" w:line="36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(Source: </w:t>
      </w:r>
      <w:hyperlink xmlns:r="http://schemas.openxmlformats.org/officeDocument/2006/relationships" r:id="docRId34">
        <w:r>
          <w:rPr>
            <w:rFonts w:ascii="Times New Roman" w:hAnsi="Times New Roman" w:cs="Times New Roman" w:eastAsia="Times New Roman"/>
            <w:color w:val="0000FF"/>
            <w:spacing w:val="0"/>
            <w:position w:val="0"/>
            <w:sz w:val="24"/>
            <w:u w:val="single"/>
            <w:shd w:fill="FFFFFF" w:val="clear"/>
          </w:rPr>
          <w:t xml:space="preserve">https://hannahritchie.substack.com/p/public-ev-chargers</w:t>
        </w:r>
      </w:hyperlink>
      <w:r>
        <w:rPr>
          <w:rFonts w:ascii="Times New Roman" w:hAnsi="Times New Roman" w:cs="Times New Roman" w:eastAsia="Times New Roman"/>
          <w:color w:val="auto"/>
          <w:spacing w:val="0"/>
          <w:position w:val="0"/>
          <w:sz w:val="24"/>
          <w:shd w:fill="FFFFFF" w:val="clear"/>
        </w:rPr>
        <w:t xml:space="preserve">)</w:t>
      </w:r>
    </w:p>
    <w:p>
      <w:pPr>
        <w:spacing w:before="0" w:after="3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Figure 12 demonstrates that the fast-charging EV infrastructure as a share of total differs greatly across countries with rapid growth in China, Norway and South Africa whereas some countries such as the Netherlands continue to use slower chargers (fast chargers just around 3%). This means that the quality of EV infrastructure is not merely a quantity measure, it is also the distribution of charging speed, which has a direct impact on the usability of EV, confidence in consumers, and the overall readiness of the nation to deploy large-scale EV (</w:t>
      </w:r>
      <w:hyperlink xmlns:r="http://schemas.openxmlformats.org/officeDocument/2006/relationships" r:id="docRId35">
        <w:r>
          <w:rPr>
            <w:rFonts w:ascii="Times New Roman" w:hAnsi="Times New Roman" w:cs="Times New Roman" w:eastAsia="Times New Roman"/>
            <w:color w:val="0000FF"/>
            <w:spacing w:val="0"/>
            <w:position w:val="0"/>
            <w:sz w:val="24"/>
            <w:u w:val="single"/>
            <w:shd w:fill="FFFFFF" w:val="clear"/>
          </w:rPr>
          <w:t xml:space="preserve">substack.com</w:t>
        </w:r>
      </w:hyperlink>
      <w:r>
        <w:rPr>
          <w:rFonts w:ascii="Times New Roman" w:hAnsi="Times New Roman" w:cs="Times New Roman" w:eastAsia="Times New Roman"/>
          <w:color w:val="auto"/>
          <w:spacing w:val="0"/>
          <w:position w:val="0"/>
          <w:sz w:val="24"/>
          <w:shd w:fill="FFFFFF" w:val="clear"/>
        </w:rPr>
        <w:t xml:space="preserve">, 2023).</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4.2.4 Cost Efficiency and Internalisation Benefits of Local Manufacturing</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13478" w:dyaOrig="7747">
          <v:rect xmlns:o="urn:schemas-microsoft-com:office:office" xmlns:v="urn:schemas-microsoft-com:vml" id="rectole0000000012" style="width:673.900000pt;height:387.350000pt" o:preferrelative="t" o:ole="">
            <o:lock v:ext="edit"/>
            <v:imagedata xmlns:r="http://schemas.openxmlformats.org/officeDocument/2006/relationships" r:id="docRId37" o:title=""/>
          </v:rect>
          <o:OLEObject xmlns:r="http://schemas.openxmlformats.org/officeDocument/2006/relationships" xmlns:o="urn:schemas-microsoft-com:office:office" Type="Embed" ProgID="StaticMetafile" DrawAspect="Content" ObjectID="0000000012" ShapeID="rectole0000000012" r:id="docRId36"/>
        </w:object>
      </w:r>
    </w:p>
    <w:p>
      <w:pPr>
        <w:keepNext w:val="true"/>
        <w:keepLines w:val="true"/>
        <w:spacing w:before="240" w:after="80" w:line="360"/>
        <w:ind w:right="0" w:left="0" w:firstLine="0"/>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Figure 13: The Future is Electric: Growth of EV Battery Manufacturers in India</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(Source:</w:t>
      </w:r>
      <w:r>
        <w:rPr>
          <w:rFonts w:ascii="Times New Roman" w:hAnsi="Times New Roman" w:cs="Times New Roman" w:eastAsia="Times New Roman"/>
          <w:color w:val="auto"/>
          <w:spacing w:val="0"/>
          <w:position w:val="0"/>
          <w:sz w:val="24"/>
          <w:shd w:fill="FFFFFF" w:val="clear"/>
        </w:rPr>
        <w:t xml:space="preserve">https://aqueouss.in/the-future-is-electric-growth-of-ev-battery-manufacturers-in-india/?srsltid=AfmBOoog-fmy49qWsuAahK9ZgP0u4ZVHOsKOCaRqVYrhOy4GAs4iD_4e</w:t>
      </w:r>
      <w:r>
        <w:rPr>
          <w:rFonts w:ascii="Times New Roman" w:hAnsi="Times New Roman" w:cs="Times New Roman" w:eastAsia="Times New Roman"/>
          <w:color w:val="auto"/>
          <w:spacing w:val="0"/>
          <w:position w:val="0"/>
          <w:sz w:val="24"/>
          <w:shd w:fill="FFFFFF" w:val="clear"/>
        </w:rPr>
        <w:t xml:space="preserve">)</w:t>
      </w:r>
    </w:p>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results show that the development of EV battery manufacturing in India enhances the economic feasibility of localised production of Tesla. As they can still take up a good portion of the EV prices, by making products domestically with the help of government initiatives like FAME and PLI, the reliance on imports will decrease, and the overall manufacturing cost will also drop. This clearly conforms to the research question of determining whether local manufacturing is a sustainable benefit over exporting. In terms of OLI approach, the advantages of Internalisation will accrue because Tesla will be in control of production and will reduce the transaction costs and will protect proprietary technology. Thus, localisation helps to achieve cost efficiency and determined long-term competitiveness in new markets (</w:t>
      </w:r>
      <w:hyperlink xmlns:r="http://schemas.openxmlformats.org/officeDocument/2006/relationships" r:id="docRId38">
        <w:r>
          <w:rPr>
            <w:rFonts w:ascii="Times New Roman" w:hAnsi="Times New Roman" w:cs="Times New Roman" w:eastAsia="Times New Roman"/>
            <w:color w:val="0000FF"/>
            <w:spacing w:val="0"/>
            <w:position w:val="0"/>
            <w:sz w:val="24"/>
            <w:u w:val="single"/>
            <w:shd w:fill="FFFFFF" w:val="clear"/>
          </w:rPr>
          <w:t xml:space="preserve">aqueouss.in</w:t>
        </w:r>
      </w:hyperlink>
      <w:r>
        <w:rPr>
          <w:rFonts w:ascii="Times New Roman" w:hAnsi="Times New Roman" w:cs="Times New Roman" w:eastAsia="Times New Roman"/>
          <w:color w:val="auto"/>
          <w:spacing w:val="0"/>
          <w:position w:val="0"/>
          <w:sz w:val="24"/>
          <w:shd w:fill="FFFFFF" w:val="clear"/>
        </w:rPr>
        <w:t xml:space="preserve">, 2025).  </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object w:dxaOrig="9720" w:dyaOrig="10843">
          <v:rect xmlns:o="urn:schemas-microsoft-com:office:office" xmlns:v="urn:schemas-microsoft-com:vml" id="rectole0000000013" style="width:486.000000pt;height:542.150000pt" o:preferrelative="t" o:ole="">
            <o:lock v:ext="edit"/>
            <v:imagedata xmlns:r="http://schemas.openxmlformats.org/officeDocument/2006/relationships" r:id="docRId40" o:title=""/>
          </v:rect>
          <o:OLEObject xmlns:r="http://schemas.openxmlformats.org/officeDocument/2006/relationships" xmlns:o="urn:schemas-microsoft-com:office:office" Type="Embed" ProgID="StaticMetafile" DrawAspect="Content" ObjectID="0000000013" ShapeID="rectole0000000013" r:id="docRId39"/>
        </w:object>
      </w:r>
    </w:p>
    <w:p>
      <w:pPr>
        <w:keepNext w:val="true"/>
        <w:keepLines w:val="true"/>
        <w:spacing w:before="240" w:after="80" w:line="360"/>
        <w:ind w:right="0" w:left="0" w:firstLine="0"/>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Figure 14: Annual global sales of electric vehicle (b) total number of battery electric vehicles (BEVs) in European Union</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(Source:</w:t>
      </w:r>
      <w:hyperlink xmlns:r="http://schemas.openxmlformats.org/officeDocument/2006/relationships" r:id="docRId41">
        <w:r>
          <w:rPr>
            <w:rFonts w:ascii="Times New Roman" w:hAnsi="Times New Roman" w:cs="Times New Roman" w:eastAsia="Times New Roman"/>
            <w:color w:val="0000FF"/>
            <w:spacing w:val="0"/>
            <w:position w:val="0"/>
            <w:sz w:val="24"/>
            <w:u w:val="single"/>
            <w:shd w:fill="FFFFFF" w:val="clear"/>
          </w:rPr>
          <w:t xml:space="preserve">https</w:t>
        </w:r>
        <w:r>
          <w:rPr>
            <w:rFonts w:ascii="Times New Roman" w:hAnsi="Times New Roman" w:cs="Times New Roman" w:eastAsia="Times New Roman"/>
            <w:color w:val="0000FF"/>
            <w:spacing w:val="0"/>
            <w:position w:val="0"/>
            <w:sz w:val="24"/>
            <w:u w:val="single"/>
            <w:shd w:fill="FFFFFF" w:val="clear"/>
          </w:rPr>
          <w:t xml:space="preserve"> HYPERLINK "https://www.mdpi.com/2071-1050/12/6/2387"</w:t>
        </w:r>
        <w:r>
          <w:rPr>
            <w:rFonts w:ascii="Times New Roman" w:hAnsi="Times New Roman" w:cs="Times New Roman" w:eastAsia="Times New Roman"/>
            <w:color w:val="0000FF"/>
            <w:spacing w:val="0"/>
            <w:position w:val="0"/>
            <w:sz w:val="24"/>
            <w:u w:val="single"/>
            <w:shd w:fill="FFFFFF" w:val="clear"/>
          </w:rPr>
          <w:t xml:space="preserve">://www.mdpi.com/2071-1050/12/6/2387</w:t>
        </w:r>
      </w:hyperlink>
      <w:r>
        <w:rPr>
          <w:rFonts w:ascii="Times New Roman" w:hAnsi="Times New Roman" w:cs="Times New Roman" w:eastAsia="Times New Roman"/>
          <w:color w:val="auto"/>
          <w:spacing w:val="0"/>
          <w:position w:val="0"/>
          <w:sz w:val="24"/>
          <w:shd w:fill="FFFFFF" w:val="clear"/>
        </w:rPr>
        <w:t xml:space="preserve">)</w:t>
      </w:r>
    </w:p>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results indicate that the trend of developing electric cars rapidly throughout the world and specifically in the European Union is an indicator of growing demand due to environmental issues and the recognition of the necessity to cut down on emissions of carbon hydrocarbons (Ayodele and Mustapa, 2020). The growing demand justifies the thesis that it is necessary to produce the required quantity of products in order to reach cost efficiency (Ayodele and Mustapa, 2020). In the case of Tesla, the utilization of exports can restrict its competitiveness to cater to the increasing demand through tariffs and logistic factors. According to the research purpose, local manufacturing will help Tesla to internalise the production process, minimise costs, and scale with efficiency. Internalisation benefits the OLI framework view could support localisation as a more sustainable strategy in emerging markets.  </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object w:dxaOrig="13478" w:dyaOrig="8899">
          <v:rect xmlns:o="urn:schemas-microsoft-com:office:office" xmlns:v="urn:schemas-microsoft-com:vml" id="rectole0000000014" style="width:673.900000pt;height:444.950000pt" o:preferrelative="t" o:ole="">
            <o:lock v:ext="edit"/>
            <v:imagedata xmlns:r="http://schemas.openxmlformats.org/officeDocument/2006/relationships" r:id="docRId43" o:title=""/>
          </v:rect>
          <o:OLEObject xmlns:r="http://schemas.openxmlformats.org/officeDocument/2006/relationships" xmlns:o="urn:schemas-microsoft-com:office:office" Type="Embed" ProgID="StaticMetafile" DrawAspect="Content" ObjectID="0000000014" ShapeID="rectole0000000014" r:id="docRId42"/>
        </w:object>
      </w:r>
    </w:p>
    <w:p>
      <w:pPr>
        <w:keepNext w:val="true"/>
        <w:keepLines w:val="true"/>
        <w:spacing w:before="240" w:after="80" w:line="360"/>
        <w:ind w:right="0" w:left="0" w:firstLine="0"/>
        <w:jc w:val="center"/>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Figure 15: Comparison of standard EV prices with GDP per capita of some economic zones</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(Source:</w:t>
      </w:r>
      <w:hyperlink xmlns:r="http://schemas.openxmlformats.org/officeDocument/2006/relationships" r:id="docRId44">
        <w:r>
          <w:rPr>
            <w:rFonts w:ascii="Times New Roman" w:hAnsi="Times New Roman" w:cs="Times New Roman" w:eastAsia="Times New Roman"/>
            <w:color w:val="0000FF"/>
            <w:spacing w:val="0"/>
            <w:position w:val="0"/>
            <w:sz w:val="24"/>
            <w:u w:val="single"/>
            <w:shd w:fill="FFFFFF" w:val="clear"/>
          </w:rPr>
          <w:t xml:space="preserve">https</w:t>
        </w:r>
        <w:r>
          <w:rPr>
            <w:rFonts w:ascii="Times New Roman" w:hAnsi="Times New Roman" w:cs="Times New Roman" w:eastAsia="Times New Roman"/>
            <w:color w:val="0000FF"/>
            <w:spacing w:val="0"/>
            <w:position w:val="0"/>
            <w:sz w:val="24"/>
            <w:u w:val="single"/>
            <w:shd w:fill="FFFFFF" w:val="clear"/>
          </w:rPr>
          <w:t xml:space="preserve"> HYPERLINK "https://www.mdpi.com/2624-8921/8/2/37"</w:t>
        </w:r>
        <w:r>
          <w:rPr>
            <w:rFonts w:ascii="Times New Roman" w:hAnsi="Times New Roman" w:cs="Times New Roman" w:eastAsia="Times New Roman"/>
            <w:color w:val="0000FF"/>
            <w:spacing w:val="0"/>
            <w:position w:val="0"/>
            <w:sz w:val="24"/>
            <w:u w:val="single"/>
            <w:shd w:fill="FFFFFF" w:val="clear"/>
          </w:rPr>
          <w:t xml:space="preserve">://www.mdpi.com/2624-8921/8/2/37</w:t>
        </w:r>
      </w:hyperlink>
      <w:r>
        <w:rPr>
          <w:rFonts w:ascii="Times New Roman" w:hAnsi="Times New Roman" w:cs="Times New Roman" w:eastAsia="Times New Roman"/>
          <w:color w:val="auto"/>
          <w:spacing w:val="0"/>
          <w:position w:val="0"/>
          <w:sz w:val="24"/>
          <w:shd w:fill="FFFFFF" w:val="clear"/>
        </w:rPr>
        <w:t xml:space="preserve">)</w:t>
      </w:r>
    </w:p>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results indicate that EV adoption is strongly correlated with income levels, with countries with higher GDP per capita having higher EV penetration, such as Norway and Iceland. Instead, emerging economies have a steep dependency on cheap used cars because of the smaller purchasing power. This points out a significant obstacle to Tesla whose vehicles appear and cost at a premium. Consistent with the research objective, local production may lower the cost of production and enhance its price competitiveness. The view of the OLI framework is that Internalisation can allow Tesla to manage costs and adapt pricing schemes, helping to make EVs more affordable and allow sustainable market entry in emerging economies (</w:t>
      </w:r>
      <w:hyperlink xmlns:r="http://schemas.openxmlformats.org/officeDocument/2006/relationships" r:id="docRId45">
        <w:r>
          <w:rPr>
            <w:rFonts w:ascii="Times New Roman" w:hAnsi="Times New Roman" w:cs="Times New Roman" w:eastAsia="Times New Roman"/>
            <w:color w:val="0000FF"/>
            <w:spacing w:val="0"/>
            <w:position w:val="0"/>
            <w:sz w:val="24"/>
            <w:u w:val="single"/>
            <w:shd w:fill="FFFFFF" w:val="clear"/>
          </w:rPr>
          <w:t xml:space="preserve">mdpi.com</w:t>
        </w:r>
      </w:hyperlink>
      <w:r>
        <w:rPr>
          <w:rFonts w:ascii="Times New Roman" w:hAnsi="Times New Roman" w:cs="Times New Roman" w:eastAsia="Times New Roman"/>
          <w:color w:val="auto"/>
          <w:spacing w:val="0"/>
          <w:position w:val="0"/>
          <w:sz w:val="24"/>
          <w:shd w:fill="FFFFFF" w:val="clear"/>
        </w:rPr>
        <w:t xml:space="preserve">, 2025). </w:t>
      </w:r>
    </w:p>
    <w:p>
      <w:pPr>
        <w:spacing w:before="0" w:after="300" w:line="360"/>
        <w:ind w:right="0" w:left="0" w:firstLine="0"/>
        <w:jc w:val="both"/>
        <w:rPr>
          <w:rFonts w:ascii="Times New Roman" w:hAnsi="Times New Roman" w:cs="Times New Roman" w:eastAsia="Times New Roman"/>
          <w:color w:val="auto"/>
          <w:spacing w:val="0"/>
          <w:position w:val="0"/>
          <w:sz w:val="24"/>
          <w:shd w:fill="FFFFFF"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6"/>
          <w:shd w:fill="FFFFFF" w:val="clear"/>
        </w:rPr>
      </w:pPr>
      <w:r>
        <w:rPr>
          <w:rFonts w:ascii="Times New Roman" w:hAnsi="Times New Roman" w:cs="Times New Roman" w:eastAsia="Times New Roman"/>
          <w:b/>
          <w:color w:val="auto"/>
          <w:spacing w:val="0"/>
          <w:position w:val="0"/>
          <w:sz w:val="26"/>
          <w:shd w:fill="FFFFFF" w:val="clear"/>
        </w:rPr>
        <w:t xml:space="preserve">4.3 Analysis of Results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4.3.1 Government Incentives, Rising Domestic EV Manufacturing, and Increasing Import Barriers in Emerging Economies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As </w:t>
      </w:r>
      <w:r>
        <w:rPr>
          <w:rFonts w:ascii="Times New Roman" w:hAnsi="Times New Roman" w:cs="Times New Roman" w:eastAsia="Times New Roman"/>
          <w:b/>
          <w:color w:val="auto"/>
          <w:spacing w:val="0"/>
          <w:position w:val="0"/>
          <w:sz w:val="24"/>
          <w:shd w:fill="FFFFFF" w:val="clear"/>
        </w:rPr>
        <w:t xml:space="preserve">Figure 1</w:t>
      </w:r>
      <w:r>
        <w:rPr>
          <w:rFonts w:ascii="Times New Roman" w:hAnsi="Times New Roman" w:cs="Times New Roman" w:eastAsia="Times New Roman"/>
          <w:color w:val="auto"/>
          <w:spacing w:val="0"/>
          <w:position w:val="0"/>
          <w:sz w:val="24"/>
          <w:shd w:fill="FFFFFF" w:val="clear"/>
        </w:rPr>
        <w:t xml:space="preserve"> shows, a noticeable change in the direction of positioning emerging economies towards enhancing domestic electric vehicle production is currently taking place, indirectly raising foreign entry barriers to foreign companies like Tesla. The increase in EV sales in such countries as Vietnam (17%), Turskiye (10%), etc. is an indication of the rise of local brands, supported by the government, including VinFast and Togg, which can enjoy protectionist industrial politics and are backed by the state to invest. This tendency is in line with the body of literature on the barriers to market entry, in which tariff protection and local content requirements diminish the need to rely on imported cars and promote the development of domestic production within an ecosystem (Akhtar, et al., 2024). The move by Vietnam to expand VinFast abroad and Turkiye to produce EV on a massive scale are additional evidence of how emerging economies are developing into export-oriented EV manufacturers as opposed to being reliant on imports. On the same note, the fact that India depends on Tata, and joint ventures such as JSW-SAIC emphasizes that growing technologies are transferred and localised (Akhtar, et al., 2024). Through the OLI framework lens, these spillovers increase the Location advantages in host nations and local production is more strategically preferable than exporting to Tesla in order to stay competitive within such high-growth markets.</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Figure 2</w:t>
      </w:r>
      <w:r>
        <w:rPr>
          <w:rFonts w:ascii="Times New Roman" w:hAnsi="Times New Roman" w:cs="Times New Roman" w:eastAsia="Times New Roman"/>
          <w:color w:val="auto"/>
          <w:spacing w:val="0"/>
          <w:position w:val="0"/>
          <w:sz w:val="24"/>
          <w:shd w:fill="FFFFFF" w:val="clear"/>
        </w:rPr>
        <w:t xml:space="preserve"> shows that the yearly price of EV ownership is decreasing and is expected to be less expensive than petrol and diesel vehicles in such major markets as the USA. The government intervention by way of fiscal subsidies such as tax exemptions, subsidies and reduced registration fees contribute much to this shift as the overall ownership cost is greatly reduced. An example of this is the elimination of VAT and vehicle registration taxes in Norway, which shows that robust policy support can spur the adoption of EVs much faster, as similar patterns could be observed in emerging markets such as Malaysia and India. Ajeigbe and Holt (2025) state that government incentives like tax reductions on the production of EVs and components directly affect the level of production and the resilience of the supply chains in the United States ( Ajeigbe and Holt, 2025). Muzir et al. (2022) also highlight that the development of the EV market in Malaysia is highly reliant on favourable policy which responds to the issues of cost, inadequate infrastructure and manufacturing inducement (Muzir et al., 2022). These policy-based cost cuts, in terms of OLI framework, serve as an increase in Location advantages as they render domestic production more appealing to companies such as Tesla (Muzir et al., 2022). On the whole, the results prove that government incentives are important to lowering the costs and encouraging localisation strategies.</w:t>
      </w:r>
      <w:r>
        <w:rPr>
          <w:rFonts w:ascii="Times New Roman" w:hAnsi="Times New Roman" w:cs="Times New Roman" w:eastAsia="Times New Roman"/>
          <w:b/>
          <w:color w:val="auto"/>
          <w:spacing w:val="0"/>
          <w:position w:val="0"/>
          <w:sz w:val="24"/>
          <w:shd w:fill="FFFFFF" w:val="clear"/>
        </w:rPr>
        <w:t xml:space="preserve">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4.3.2 Government Decarbonisation Targets, EV Market Growth Constraints, and Strategic Entry Implications for Tesla </w:t>
      </w:r>
    </w:p>
    <w:p>
      <w:pPr>
        <w:spacing w:before="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According to the results of</w:t>
      </w:r>
      <w:r>
        <w:rPr>
          <w:rFonts w:ascii="Times New Roman" w:hAnsi="Times New Roman" w:cs="Times New Roman" w:eastAsia="Times New Roman"/>
          <w:b/>
          <w:color w:val="auto"/>
          <w:spacing w:val="0"/>
          <w:position w:val="0"/>
          <w:sz w:val="24"/>
          <w:shd w:fill="FFFFFF" w:val="clear"/>
        </w:rPr>
        <w:t xml:space="preserve"> Figure 3</w:t>
      </w:r>
      <w:r>
        <w:rPr>
          <w:rFonts w:ascii="Times New Roman" w:hAnsi="Times New Roman" w:cs="Times New Roman" w:eastAsia="Times New Roman"/>
          <w:color w:val="auto"/>
          <w:spacing w:val="0"/>
          <w:position w:val="0"/>
          <w:sz w:val="24"/>
          <w:shd w:fill="FFFFFF" w:val="clear"/>
        </w:rPr>
        <w:t xml:space="preserve">, the Indian market of EVs remains at an infancy and structural phase of its development, and such a situation has a strong impact on the entry strategy of Tesla. The high occupation of two- and three-wheelers in EV ownership, as well as incredibly low penetration of passenger EVs (1.8%), shows lack of demand for high-end electric cars. This is in line with the emergent market barriers literature, which found low buying power, lack of infrastructure and use of cost effective mobility, as factors that constrain the adoption of high-end EV. The minor drop in EV registrations in 2024 also testifies to the implications of decreased government subsidies, thereby validating the argument in the literature that policy support is a major influencer of EV diffusion. Applying OLI framework, India would have low Location advantages to Tesla because of immature demand and high local costs competition. The implementation of Tesla in the current strategy seems to be restricted to importation of vehicles as opposed to setting up manufacturing as noted by industry experts and government authorities, confirming the fact that a full scale localisation is not yet an economically feasible venture in this market (</w:t>
      </w:r>
      <w:hyperlink xmlns:r="http://schemas.openxmlformats.org/officeDocument/2006/relationships" r:id="docRId46">
        <w:r>
          <w:rPr>
            <w:rFonts w:ascii="Times New Roman" w:hAnsi="Times New Roman" w:cs="Times New Roman" w:eastAsia="Times New Roman"/>
            <w:color w:val="0000FF"/>
            <w:spacing w:val="0"/>
            <w:position w:val="0"/>
            <w:sz w:val="24"/>
            <w:u w:val="single"/>
            <w:shd w:fill="FFFFFF" w:val="clear"/>
          </w:rPr>
          <w:t xml:space="preserve">statista.com, 2026)</w:t>
        </w:r>
      </w:hyperlink>
      <w:r>
        <w:rPr>
          <w:rFonts w:ascii="Times New Roman" w:hAnsi="Times New Roman" w:cs="Times New Roman" w:eastAsia="Times New Roman"/>
          <w:b/>
          <w:color w:val="auto"/>
          <w:spacing w:val="0"/>
          <w:position w:val="0"/>
          <w:sz w:val="24"/>
          <w:shd w:fill="FFFFFF" w:val="clear"/>
        </w:rPr>
        <w:t xml:space="preserve">.</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As it can be seen in </w:t>
      </w:r>
      <w:r>
        <w:rPr>
          <w:rFonts w:ascii="Times New Roman" w:hAnsi="Times New Roman" w:cs="Times New Roman" w:eastAsia="Times New Roman"/>
          <w:b/>
          <w:color w:val="auto"/>
          <w:spacing w:val="0"/>
          <w:position w:val="0"/>
          <w:sz w:val="24"/>
          <w:shd w:fill="FFFFFF" w:val="clear"/>
        </w:rPr>
        <w:t xml:space="preserve">Figure 4</w:t>
      </w:r>
      <w:r>
        <w:rPr>
          <w:rFonts w:ascii="Times New Roman" w:hAnsi="Times New Roman" w:cs="Times New Roman" w:eastAsia="Times New Roman"/>
          <w:color w:val="auto"/>
          <w:spacing w:val="0"/>
          <w:position w:val="0"/>
          <w:sz w:val="24"/>
          <w:shd w:fill="FFFFFF" w:val="clear"/>
        </w:rPr>
        <w:t xml:space="preserve">, the results indicate that the decarbonisation initiatives conducted by the government are emerging as a key force in the growth of the EV market, despite the fact that these most recent data come out of the context of a developed economy. The Clean Power 2030 strategy of the UK, which is geared to procure 100% clean electricity production, and to drastically reduce carbon intensity, demonstrates the direct benefits of policies that provide energy transition to the development of the EV ecosystem: cleaner charging infrastructure. This compares to the EV market development literature, in which sustainability targets by the government are also cited as enablers of market development, both demand and supply-side. In the OLI framework, these policies lead to an increase in the Locations benefits by increasing the environmental efficiency of using EVs and building a stronger infrastructure preparedness in the long-term. Though some of these emerging economies have not been as decarbonised yet as the UK, recent policy trends in other nations such as India and Malaysia show them increasingly committed to transitioning to clean energy. In the case of Tesla, it would indicate that the potential to adopt EVs in the long term is closely interconnected with the national energy policies, and decarbonisation goals serve as the key to consider when it comes to assessing the future market entry and localisation options (</w:t>
      </w:r>
      <w:hyperlink xmlns:r="http://schemas.openxmlformats.org/officeDocument/2006/relationships" r:id="docRId47">
        <w:r>
          <w:rPr>
            <w:rFonts w:ascii="Times New Roman" w:hAnsi="Times New Roman" w:cs="Times New Roman" w:eastAsia="Times New Roman"/>
            <w:color w:val="0000FF"/>
            <w:spacing w:val="0"/>
            <w:position w:val="0"/>
            <w:sz w:val="24"/>
            <w:u w:val="single"/>
            <w:shd w:fill="FFFFFF" w:val="clear"/>
          </w:rPr>
          <w:t xml:space="preserve">gov.uk</w:t>
        </w:r>
      </w:hyperlink>
      <w:r>
        <w:rPr>
          <w:rFonts w:ascii="Times New Roman" w:hAnsi="Times New Roman" w:cs="Times New Roman" w:eastAsia="Times New Roman"/>
          <w:color w:val="auto"/>
          <w:spacing w:val="0"/>
          <w:position w:val="0"/>
          <w:sz w:val="24"/>
          <w:shd w:fill="FFFFFF" w:val="clear"/>
        </w:rPr>
        <w:t xml:space="preserve">, 2025)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4.3.3 Charging Infrastructure Availability, Fast-Charging Development, and Energy Readiness for EV Ecosystem Growth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As revealed by the result of </w:t>
      </w:r>
      <w:r>
        <w:rPr>
          <w:rFonts w:ascii="Times New Roman" w:hAnsi="Times New Roman" w:cs="Times New Roman" w:eastAsia="Times New Roman"/>
          <w:b/>
          <w:color w:val="auto"/>
          <w:spacing w:val="0"/>
          <w:position w:val="0"/>
          <w:sz w:val="24"/>
          <w:shd w:fill="FFFFFF" w:val="clear"/>
        </w:rPr>
        <w:t xml:space="preserve">figure 5</w:t>
      </w:r>
      <w:r>
        <w:rPr>
          <w:rFonts w:ascii="Times New Roman" w:hAnsi="Times New Roman" w:cs="Times New Roman" w:eastAsia="Times New Roman"/>
          <w:color w:val="auto"/>
          <w:spacing w:val="0"/>
          <w:position w:val="0"/>
          <w:sz w:val="24"/>
          <w:shd w:fill="FFFFFF" w:val="clear"/>
        </w:rPr>
        <w:t xml:space="preserve">, it implies that the EV charging system in Malaysia is immature and not evenly distributed, with a denser DC fast chargers installation in major highways like the North, South Expressway, and rural, whereas rural and non-urban regions have not received the service. This symbolizes a high-energy preparation phase in which the involvement of the private sector by companies like EV Connection and alliances like Shell Porsche is making it more readily available but has not reached mitigation of a countrywide distribution yet. Veza et al. (2022) concur with this fact, emphasizing that Malaysia has considerable infrastructural factors that complicate the massive adoption of EVs despite the rising popularity of its policies, such as low density of charging networks and limited gap between the centrally located population and the periphery (Veza et al., 2022). Moreover, Setiyo et al. (2025) point out that the trends of EV research in Malaysia and the ASEAN in general, reveal more attention to infrastructure development, battery technology and alignment with policies, which suggests a regional tilt towards raising the level of EV ecosystem preparedness (Setiyo et al., 2025). Looking at the fruit of OLI framework point of view, the Location advantage of Malaysia is partly maturing and yet weak because of infrastructural loopholes. In the case of Tesla, this would mean that it would have to either form strong local composed relationships or directly invest in charging infrastructure in order to become efficient in operations in the long term and remain competitive in the EV market.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Results of </w:t>
      </w:r>
      <w:r>
        <w:rPr>
          <w:rFonts w:ascii="Times New Roman" w:hAnsi="Times New Roman" w:cs="Times New Roman" w:eastAsia="Times New Roman"/>
          <w:b/>
          <w:color w:val="auto"/>
          <w:spacing w:val="0"/>
          <w:position w:val="0"/>
          <w:sz w:val="24"/>
          <w:shd w:fill="FFFFFF" w:val="clear"/>
        </w:rPr>
        <w:t xml:space="preserve">Figure 6</w:t>
      </w:r>
      <w:r>
        <w:rPr>
          <w:rFonts w:ascii="Times New Roman" w:hAnsi="Times New Roman" w:cs="Times New Roman" w:eastAsia="Times New Roman"/>
          <w:color w:val="auto"/>
          <w:spacing w:val="0"/>
          <w:position w:val="0"/>
          <w:sz w:val="24"/>
          <w:shd w:fill="FFFFFF" w:val="clear"/>
        </w:rPr>
        <w:t xml:space="preserve"> elicit a vital point of the development of EV infrastructure: the inequalities in the allocation of the fast-charging systems globally, which directly affect the efficiency of EV adoption practices. It has been observed that the amount of investment in fast chargers is high in countries like China and Norway and enhances convenience and lowers barriers to charging time, whereas in countries such as the Netherlands; the use of slow chargers is higher, which points to the implementation of other infrastructure policies. This difference is in line with the existing data on infrastructure preparedness between emerging economies and developed economies where EV success is determined by not only the availability of chargers but also the efficiency of charging (</w:t>
      </w:r>
      <w:hyperlink xmlns:r="http://schemas.openxmlformats.org/officeDocument/2006/relationships" r:id="docRId48">
        <w:r>
          <w:rPr>
            <w:rFonts w:ascii="Times New Roman" w:hAnsi="Times New Roman" w:cs="Times New Roman" w:eastAsia="Times New Roman"/>
            <w:color w:val="0000FF"/>
            <w:spacing w:val="0"/>
            <w:position w:val="0"/>
            <w:sz w:val="24"/>
            <w:u w:val="single"/>
            <w:shd w:fill="FFFFFF" w:val="clear"/>
          </w:rPr>
          <w:t xml:space="preserve">substack.com</w:t>
        </w:r>
      </w:hyperlink>
      <w:r>
        <w:rPr>
          <w:rFonts w:ascii="Times New Roman" w:hAnsi="Times New Roman" w:cs="Times New Roman" w:eastAsia="Times New Roman"/>
          <w:color w:val="auto"/>
          <w:spacing w:val="0"/>
          <w:position w:val="0"/>
          <w:sz w:val="24"/>
          <w:shd w:fill="FFFFFF" w:val="clear"/>
        </w:rPr>
        <w:t xml:space="preserve">, 2023).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In the OLI framework, fast-charging availability reinforces Location benefits by improving the convenience of users, minimizing charging time, and the overall EV ownership experience. Sinitsina (2025) argues that customer experience in DC fast-charging services is a major competitive advantage since it has a direct impact on consumer satisfaction and adoption rates (Sinitsina, 2025) . The infrastructure is also efficient in fast-charging which diminishes the operational constraints like range anxiety and downtime and therefore makes EV use more viable. Hence, robust rapid-charging systems make a particular destination much more appealing to EV companies such as Tesla.</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fact that fast chargers are quickly being adopted in such nations as China also implies that the policy of the government and demand in the market have a critical impact on infrastructure makeup. This discovery is vital to Tesla since its Supercharge network strategy is more aligned with fast-charging ecosystems. This implies that the more favourable the fast-charging share of a country, the more favourable an entry would be, whereas the markets oriented towards slow charging would need even more investment in order to attain operational efficiency and be satisfied with the services (</w:t>
      </w:r>
      <w:hyperlink xmlns:r="http://schemas.openxmlformats.org/officeDocument/2006/relationships" r:id="docRId49">
        <w:r>
          <w:rPr>
            <w:rFonts w:ascii="Times New Roman" w:hAnsi="Times New Roman" w:cs="Times New Roman" w:eastAsia="Times New Roman"/>
            <w:color w:val="0000FF"/>
            <w:spacing w:val="0"/>
            <w:position w:val="0"/>
            <w:sz w:val="24"/>
            <w:u w:val="single"/>
            <w:shd w:fill="FFFFFF" w:val="clear"/>
          </w:rPr>
          <w:t xml:space="preserve">substack.com</w:t>
        </w:r>
      </w:hyperlink>
      <w:r>
        <w:rPr>
          <w:rFonts w:ascii="Times New Roman" w:hAnsi="Times New Roman" w:cs="Times New Roman" w:eastAsia="Times New Roman"/>
          <w:color w:val="auto"/>
          <w:spacing w:val="0"/>
          <w:position w:val="0"/>
          <w:sz w:val="24"/>
          <w:shd w:fill="FFFFFF" w:val="clear"/>
        </w:rPr>
        <w:t xml:space="preserve">, 2023).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4.3.4 Cost Efficiency, Market Demand, and Internalisation Benefits Supporting Local Manufacturing Strategy in Emerging Economies </w:t>
      </w:r>
    </w:p>
    <w:p>
      <w:pPr>
        <w:spacing w:before="24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fact that the local EV battery markets are rapidly evolving, further substantiates the claim that local production since it is cost-effective and can be replicated by competitors in the market is a feasible solution in producing EV batteries in emerging economies. As </w:t>
      </w:r>
      <w:r>
        <w:rPr>
          <w:rFonts w:ascii="Times New Roman" w:hAnsi="Times New Roman" w:cs="Times New Roman" w:eastAsia="Times New Roman"/>
          <w:b/>
          <w:color w:val="auto"/>
          <w:spacing w:val="0"/>
          <w:position w:val="0"/>
          <w:sz w:val="24"/>
          <w:shd w:fill="auto" w:val="clear"/>
        </w:rPr>
        <w:t xml:space="preserve">Figure 7</w:t>
      </w:r>
      <w:r>
        <w:rPr>
          <w:rFonts w:ascii="Times New Roman" w:hAnsi="Times New Roman" w:cs="Times New Roman" w:eastAsia="Times New Roman"/>
          <w:color w:val="auto"/>
          <w:spacing w:val="0"/>
          <w:position w:val="0"/>
          <w:sz w:val="24"/>
          <w:shd w:fill="auto" w:val="clear"/>
        </w:rPr>
        <w:t xml:space="preserve"> demonstrates, the development of a battery industry in India, facilitated by governmental policies, minimizes the reliance on imports, as well as decreasing the cost of production. It matches with the research aim which is to evaluate the advantages of internalisation and sustainability of entry mode on Tesla. Shamsuddoha and Nasir (2025), underline the necessity of developing countries to concentrate on the infrastructure and local supply chains to contribute to the development of EV capitalization (Shamsuddoha and Nasir, 2025). Yang et al. (2022), underline the need to pay attention to the fact that sustainable production of batteries can become the key to achieving greater profitability and securing supply (</w:t>
      </w:r>
      <w:r>
        <w:rPr>
          <w:rFonts w:ascii="Times New Roman" w:hAnsi="Times New Roman" w:cs="Times New Roman" w:eastAsia="Times New Roman"/>
          <w:color w:val="auto"/>
          <w:spacing w:val="0"/>
          <w:position w:val="0"/>
          <w:sz w:val="24"/>
          <w:shd w:fill="FFFFFF" w:val="clear"/>
        </w:rPr>
        <w:t xml:space="preserve">Yang, Huang and Lin, 2022)</w:t>
      </w:r>
      <w:r>
        <w:rPr>
          <w:rFonts w:ascii="Times New Roman" w:hAnsi="Times New Roman" w:cs="Times New Roman" w:eastAsia="Times New Roman"/>
          <w:color w:val="auto"/>
          <w:spacing w:val="0"/>
          <w:position w:val="0"/>
          <w:sz w:val="24"/>
          <w:shd w:fill="auto" w:val="clear"/>
        </w:rPr>
        <w:t xml:space="preserve">. With consideration to the dissertation topic, Tesla can utilise its ownership benefits, through internalisation the creation of local production facilities. This would save on costs, increase control of the supply chain and enhance competitiveness which makes localisation as a more feasible strategy than exporting to new markets </w:t>
      </w:r>
      <w:r>
        <w:rPr>
          <w:rFonts w:ascii="Times New Roman" w:hAnsi="Times New Roman" w:cs="Times New Roman" w:eastAsia="Times New Roman"/>
          <w:color w:val="auto"/>
          <w:spacing w:val="0"/>
          <w:position w:val="0"/>
          <w:sz w:val="24"/>
          <w:shd w:fill="FFFFFF" w:val="clear"/>
        </w:rPr>
        <w:t xml:space="preserve">(</w:t>
      </w:r>
      <w:hyperlink xmlns:r="http://schemas.openxmlformats.org/officeDocument/2006/relationships" r:id="docRId50">
        <w:r>
          <w:rPr>
            <w:rFonts w:ascii="Times New Roman" w:hAnsi="Times New Roman" w:cs="Times New Roman" w:eastAsia="Times New Roman"/>
            <w:color w:val="0000FF"/>
            <w:spacing w:val="0"/>
            <w:position w:val="0"/>
            <w:sz w:val="24"/>
            <w:u w:val="single"/>
            <w:shd w:fill="FFFFFF" w:val="clear"/>
          </w:rPr>
          <w:t xml:space="preserve">aqueouss.in</w:t>
        </w:r>
      </w:hyperlink>
      <w:r>
        <w:rPr>
          <w:rFonts w:ascii="Times New Roman" w:hAnsi="Times New Roman" w:cs="Times New Roman" w:eastAsia="Times New Roman"/>
          <w:color w:val="auto"/>
          <w:spacing w:val="0"/>
          <w:position w:val="0"/>
          <w:sz w:val="24"/>
          <w:shd w:fill="FFFFFF" w:val="clear"/>
        </w:rPr>
        <w:t xml:space="preserve">, 2025)</w:t>
      </w:r>
      <w:r>
        <w:rPr>
          <w:rFonts w:ascii="Times New Roman" w:hAnsi="Times New Roman" w:cs="Times New Roman" w:eastAsia="Times New Roman"/>
          <w:color w:val="auto"/>
          <w:spacing w:val="0"/>
          <w:position w:val="0"/>
          <w:sz w:val="24"/>
          <w:shd w:fill="auto" w:val="clear"/>
        </w:rPr>
        <w:t xml:space="preserve">.  </w:t>
      </w:r>
    </w:p>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growing global need in EVs demonstrates the significance of mass production to realize cost-efficiency and competitiveness on the market. As </w:t>
      </w:r>
      <w:r>
        <w:rPr>
          <w:rFonts w:ascii="Times New Roman" w:hAnsi="Times New Roman" w:cs="Times New Roman" w:eastAsia="Times New Roman"/>
          <w:b/>
          <w:color w:val="auto"/>
          <w:spacing w:val="0"/>
          <w:position w:val="0"/>
          <w:sz w:val="24"/>
          <w:shd w:fill="FFFFFF" w:val="clear"/>
        </w:rPr>
        <w:t xml:space="preserve">Figure 8</w:t>
      </w:r>
      <w:r>
        <w:rPr>
          <w:rFonts w:ascii="Times New Roman" w:hAnsi="Times New Roman" w:cs="Times New Roman" w:eastAsia="Times New Roman"/>
          <w:color w:val="auto"/>
          <w:spacing w:val="0"/>
          <w:position w:val="0"/>
          <w:sz w:val="24"/>
          <w:shd w:fill="FFFFFF" w:val="clear"/>
        </w:rPr>
        <w:t xml:space="preserve"> depicts, the growing sales of EVs, especially in Europe, are a result of good policy provisions and environmental reasons that influence their adoption (Ayodele and Mustapa, 2020). This will correspond with the research aim of interpreting market trends that will determine the expansion strategy of Tesla. Khaleel et al. (2024), note that electric vehicles (EVs) are helping to reduce greenhouse gas emissions, especially in such regions as Europe and China, which are leading EV adoption (Khaleel et al., 2024; Fuinhas et al., 2021). Exporting by itself might not enable Tesla to achieve efficient demand growth in emerging economies. Internalisation via local manufacturing would allow Tesla to scale production, lower costs and respond well to the rising demand, from an OLI perspective.</w:t>
      </w:r>
    </w:p>
    <w:p>
      <w:pPr>
        <w:spacing w:before="24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Affordability is one of the main challenges to EV adoption in emerging economies, as income levels are lower than in developed markets. </w:t>
      </w:r>
      <w:r>
        <w:rPr>
          <w:rFonts w:ascii="Times New Roman" w:hAnsi="Times New Roman" w:cs="Times New Roman" w:eastAsia="Times New Roman"/>
          <w:b/>
          <w:color w:val="auto"/>
          <w:spacing w:val="0"/>
          <w:position w:val="0"/>
          <w:sz w:val="24"/>
          <w:shd w:fill="FFFFFF" w:val="clear"/>
        </w:rPr>
        <w:t xml:space="preserve">Figure 9 </w:t>
      </w:r>
      <w:r>
        <w:rPr>
          <w:rFonts w:ascii="Times New Roman" w:hAnsi="Times New Roman" w:cs="Times New Roman" w:eastAsia="Times New Roman"/>
          <w:color w:val="auto"/>
          <w:spacing w:val="0"/>
          <w:position w:val="0"/>
          <w:sz w:val="24"/>
          <w:shd w:fill="FFFFFF" w:val="clear"/>
        </w:rPr>
        <w:t xml:space="preserve">depicts higher adoption of EV in the areas with a higher GDP per capita, and the states with lower income levels are heavily dependent on low-cost vehicle options. This helps in the research purpose which is to determine market entry viability of Tesla. Kousa (2025) notes that battery material price fluctuations considerably influence EV prices, so cost management is necessary to increase sales in the market (Kousa, 2025). Likewise, Sovacool et al. (2019), stress that consumer preferences to EV adoption are strongly affected by the level of income (Sovacool et al., 2019). Regarding the topic of the dissertation, the high-priced cars made by Tesla might find it difficult to compete in this type of market by exporting. According to the OLI framework, local manufacturing through internalisation can enable Tesla to lower costs and adjust pricing strategies that are much more affordable and would thus enable the company to enter into the market at a sustainable rate(</w:t>
      </w:r>
      <w:r>
        <w:rPr>
          <w:rFonts w:ascii="Times New Roman" w:hAnsi="Times New Roman" w:cs="Times New Roman" w:eastAsia="Times New Roman"/>
          <w:color w:val="auto"/>
          <w:spacing w:val="0"/>
          <w:position w:val="0"/>
          <w:sz w:val="24"/>
          <w:u w:val="single"/>
          <w:shd w:fill="FFFFFF" w:val="clear"/>
        </w:rPr>
        <w:t xml:space="preserve">mdpi.com</w:t>
      </w:r>
      <w:r>
        <w:rPr>
          <w:rFonts w:ascii="Times New Roman" w:hAnsi="Times New Roman" w:cs="Times New Roman" w:eastAsia="Times New Roman"/>
          <w:color w:val="auto"/>
          <w:spacing w:val="0"/>
          <w:position w:val="0"/>
          <w:sz w:val="24"/>
          <w:shd w:fill="FFFFFF" w:val="clear"/>
        </w:rPr>
        <w:t xml:space="preserve">, 2025).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6"/>
          <w:shd w:fill="FFFFFF" w:val="clear"/>
        </w:rPr>
      </w:pPr>
      <w:r>
        <w:rPr>
          <w:rFonts w:ascii="Times New Roman" w:hAnsi="Times New Roman" w:cs="Times New Roman" w:eastAsia="Times New Roman"/>
          <w:b/>
          <w:color w:val="auto"/>
          <w:spacing w:val="0"/>
          <w:position w:val="0"/>
          <w:sz w:val="26"/>
          <w:shd w:fill="FFFFFF" w:val="clear"/>
        </w:rPr>
        <w:t xml:space="preserve">4.4 Discussion of Results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4.4.1 Trade-Off Between Exporting and Local Manufacturing in High-Tariff Markets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results verify that the trade tariff barriers and protectionism policies of the developing economies make the export of EVs considerably less feasible, and manufacturing domestically is a more competitive entry mode of Tesla products. This helps confirm the literature on internationalisation strategies, which correlates exporting with greater cost burdens because of tariffs, logistics and regulations. Teng and Jiao (2025) highlight that pressure on carbon regulation alongside tariffs on opening up to new regions is dual, creating pressure on multinational firms in both directions: forcing them to restructure their supply chains towards localisation (Teng and Jiao (2025). In the same spirit, Felbermayr et al. (2024) note that measures about tariffs on imported EV, especially Chinese BEV, have provoked retaliatory actions and changed the decision-making process on international manufacturing (Felbermayr et al., 2024). Within the OLI framework, these data points are a robust affirmation of the Location advantage dimension since such countries as India, Türkiye and Vietnam provide higher benefits in FDI than exporting. This is in line with the research objective of assessing the market entry barrier of Tesla whose export to high tariff markets is not economically sustainable. Thus, the competitive advantage that Tesla has in emerging economies can be better fulfilled by local production instead of exporting its products abroad.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4.4.2 Government Policy as a Primary Driver of EV Market Growth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results show that the driving factor in the growth of the EV market in emerging economies is government incentives, subsidies and decarbonisation targets. This affirms that policy frameworks are important in influencing the demand and supply conditions, which are also important to the Tesla internationalisation strategy. According to Xue et al. (2021), tax breaks and subsidies are some of the incentive policies that significantly affect the market share of EVs in various countries (Xue et al., 2021). Likewise, Li et al. (2022) emphasize that the role of the government in the Chinese EV market has played a crucial part in determining the production capacity, consumer adoptions, and technology (Li et al., 2022). These observations are in tandem with the research question of analyzing the political and economic aspects that influence strategies of Tesla in its entry. Location advantages are enhanced by government policy; based on the OLI perspective, affordability, infrastructure development, and market readiness are improved (Li et al., 2022). Nevertheless, the results also point to policy inconsistency of the emerging economies as the potential source of uncertainty in long-term investment decisions.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Thus, Tesla would be a successful company in new markets and this strategy would have to be aligned with the stable and supportive government systems facilitating EVs adoption and production domestically. The measures of policy influencing market attractiveness and investment viability directly include tax incentives, subsidies and localisation requirements. Li et al. (2022) observe that regular government assistance is essential in the creation of competitive EV markets, whereas Xue et al. (2021) point out that incentives have a massive impact on the amount of EVs adopted. Using the OLI framework outlook, these types of policies enhance Location advantageousness by aggrandating Demand conditions and lessening entry uncertainty. As a result, Tesla needs to adjust its approach to the local policy conditions so as to guarantee sustainable development.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4.4.3 Uneven EV Market Maturity Across Emerging Economies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results indicate a great variation in EV market maturity in the emerging economies, with such countries as Vietnam and Türkiye showing a high rate of growth, whereas India is still in the initial phases of adoption. It proves that Tesla should not use a single global entry strategy, and it has to adopt a different market-oriented approach reflecting the demand preparedness and infrastructural potential. Thuy (2024) points out that consumer awareness, policy incentives, and increasing infrastructure are strong determinants of EV adoption in Vietnam and are leading to a faster market growth (Thuy, 2024). Conversely, Bhattacharyya and Thakre (2021) demonstrate that the uptake of EV in India is limited due to the affordability factor, inadequate infrastructure, as well as insufficient consumer acceptance at present, specifically in the passenger car industry (Bhattacharyya and Thakre, 2021). This will directly relate to the research aim of evaluating the barriers to market entry as well as analyzing viable sustainable entrance strategies to Tesla. This implies that there are asymmetries in Location benefits of emerging markets according to the OLI framework. Also, Leong (2025) also points out that the optimisation of charging networks is directly related to the presence of renewable sources, which further indicates infrastructural inequality (Leong, 2025). Thus, Tesla needs to adapt its entry strategy depending on the level of maturity of each country and not use a common expansion model.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4.4.4 Charging Infrastructure as a Critical Entry Barrier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results affirm that the issue of charging infrastructure is one of the biggest obstacles to EV acceptance in developing economies. Ultimately, unbalanced AC and DC chargers, and insufficient fast-charging networks have a direct impact on consumer confidence, usability of the vehicle, and market penetration in general. As Zentani et al. (2024; 2025) point, in a bid to overcome range anxiety and enhance the extent of EV usability, especially in emerging markets, the development of fast-charging infrastructure is critical (Zentani, Almaktoof and Kahn, 2024; 2025). Likewise, Kilicoglu and Tricoli (2023) emphasize that the use of technologies to convert power and grid preparedness is a determinant factor to fast-charging efficiency and scalability (Tricoli, 2023). Bhatti et al. (2023) also show that national readiness index disparity is drastically different among countries like China, Norway, and Sweden based on infrastructure maturity (Bhatti et al., 2023). These results are quite consistent with the study purpose of determining infrastructural obstacles that will influence Tesla entry strategies. In the OLI view weak infrastructure equates to decreased Location attractiveness and increased operational risk to Tesla. Hence, Tesla will have limited capacity to achieve scale in new markets in the absence of meaningful investment or collaboration in charging networks, although the potential of EV demand is increasing.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4.4.5 Fast-Charging Ecosystem and Strategic Fit with Tesla’s Business Model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results suggest that the development of fast-charging infrastructure is of particular importance in the determination of the strategic market position, of Tesla, in the emerging economies. Well-developed fast-charging networks, including China and Norway, have a better ecosystem preparedness than a market where the majority of charging systems are slow. This is especially vital since the Supercharger network of Tesla is built on the principle of high-speed, high-performance charging stations. According to Ascard and Wingo (2020), the smooth charging infrastructure is crucial to optimizing the user experience and ensuring the adoption of EV at scale (Ascard and Wingo, 2020). In the same vein, Godecke (2025) notes that innovative business model charging in Europe is making charge point operators develop competitive advantage (Godecke, 2025). Shah et al. (2025) also underline that the presence of ultrasonic charging infrastructure is turning out to be an important factor in determining the competitiveness of the world in the area of electric mobility (Shah et al., 2025). These perspectives pass through the research problem of assessing the sustainable entry mode of Tesla in the emerging markets. Fast-charging ecosystems amplify Location benefits and improve Internalisation benefits of Tesla in an OLI framework perspective. Thus, the most executable alignment with the operating model of Tesla and its long-term growth strategy is the markets with robust development of fast-charging.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4.4.6 Integration of Cost Efficiency, Supply Chain Localisation, and Market Demand in Tesla’s Entry Strategy </w:t>
      </w:r>
    </w:p>
    <w:p>
      <w:pPr>
        <w:spacing w:before="24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These findings in general indicate that Tesla can succeed in emerging economies provided it is able to combine cost efficiency, local supply chains, and market demand into a single approach to entering the market. The analysis shows that the exporting sector alone is not sustainable as it is very expensive and faces problems of affordability and inadequate infrastructure preparedness. This aligns well with the research objective that is consisting evaluation of whether localized manufacturing setups facilitate effective sustainable competitive advantage. Rather, a more integrated, and localised strategy is needed to experience success in the long-term.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 strategic side, the most significant arguments to be discussed are: </w:t>
      </w:r>
    </w:p>
    <w:p>
      <w:pPr>
        <w:numPr>
          <w:ilvl w:val="0"/>
          <w:numId w:val="14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Cost efficiency through localisation: </w:t>
      </w:r>
      <w:r>
        <w:rPr>
          <w:rFonts w:ascii="Times New Roman" w:hAnsi="Times New Roman" w:cs="Times New Roman" w:eastAsia="Times New Roman"/>
          <w:color w:val="auto"/>
          <w:spacing w:val="0"/>
          <w:position w:val="0"/>
          <w:sz w:val="24"/>
          <w:shd w:fill="auto" w:val="clear"/>
        </w:rPr>
        <w:t xml:space="preserve">Local production helps to decrease the tariffs, transportation expenses, and reliance on exports, which makes EVs a more affordable option in the price-sensitive market. Wu and Wang (2021), opine that matching operations with local supply chains is critical in ensuring sustainable market entry and optimal costs (Wu and Wang, 2021).</w:t>
      </w:r>
      <w:r>
        <w:rPr>
          <w:rFonts w:ascii="Times New Roman" w:hAnsi="Times New Roman" w:cs="Times New Roman" w:eastAsia="Times New Roman"/>
          <w:b/>
          <w:color w:val="auto"/>
          <w:spacing w:val="0"/>
          <w:position w:val="0"/>
          <w:sz w:val="24"/>
          <w:shd w:fill="auto" w:val="clear"/>
        </w:rPr>
        <w:t xml:space="preserve"> </w:t>
      </w:r>
    </w:p>
    <w:p>
      <w:pPr>
        <w:numPr>
          <w:ilvl w:val="0"/>
          <w:numId w:val="14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Supply chain integration: </w:t>
      </w:r>
      <w:r>
        <w:rPr>
          <w:rFonts w:ascii="Times New Roman" w:hAnsi="Times New Roman" w:cs="Times New Roman" w:eastAsia="Times New Roman"/>
          <w:color w:val="auto"/>
          <w:spacing w:val="0"/>
          <w:position w:val="0"/>
          <w:sz w:val="24"/>
          <w:shd w:fill="auto" w:val="clear"/>
        </w:rPr>
        <w:t xml:space="preserve">It is essential to develop a robust local ecosystem, which links battery manufacturing, vehicle manufacturing, and infrastructure. Naor et al., (2021), underscore that vertically integrated supply chains can make supply chain coordination more effective, risk reduction efforts, and generally make the supply chain accessible and efficient in EV markets (Naor et al., 2021).</w:t>
      </w:r>
      <w:r>
        <w:rPr>
          <w:rFonts w:ascii="Times New Roman" w:hAnsi="Times New Roman" w:cs="Times New Roman" w:eastAsia="Times New Roman"/>
          <w:b/>
          <w:color w:val="auto"/>
          <w:spacing w:val="0"/>
          <w:position w:val="0"/>
          <w:sz w:val="24"/>
          <w:shd w:fill="auto" w:val="clear"/>
        </w:rPr>
        <w:t xml:space="preserve"> </w:t>
      </w:r>
    </w:p>
    <w:p>
      <w:pPr>
        <w:numPr>
          <w:ilvl w:val="0"/>
          <w:numId w:val="14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Internalisation and value chain control: </w:t>
      </w:r>
      <w:r>
        <w:rPr>
          <w:rFonts w:ascii="Times New Roman" w:hAnsi="Times New Roman" w:cs="Times New Roman" w:eastAsia="Times New Roman"/>
          <w:color w:val="auto"/>
          <w:spacing w:val="0"/>
          <w:position w:val="0"/>
          <w:sz w:val="24"/>
          <w:shd w:fill="auto" w:val="clear"/>
        </w:rPr>
        <w:t xml:space="preserve">Tesla is capable of managing production and technology, which contributes to its competitive edge. In fact, explains Xiao (2025), the value chain approach of Tesla is aimed at innovation and control of operations that enhances internalisation gains when handled within the context of the OLI model (Xiao, 2025).</w:t>
      </w:r>
      <w:r>
        <w:rPr>
          <w:rFonts w:ascii="Times New Roman" w:hAnsi="Times New Roman" w:cs="Times New Roman" w:eastAsia="Times New Roman"/>
          <w:b/>
          <w:color w:val="auto"/>
          <w:spacing w:val="0"/>
          <w:position w:val="0"/>
          <w:sz w:val="24"/>
          <w:shd w:fill="auto" w:val="clear"/>
        </w:rPr>
        <w:t xml:space="preserve"> </w:t>
      </w:r>
    </w:p>
    <w:p>
      <w:pPr>
        <w:numPr>
          <w:ilvl w:val="0"/>
          <w:numId w:val="14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Market demand and affordability challenges: </w:t>
      </w:r>
      <w:r>
        <w:rPr>
          <w:rFonts w:ascii="Times New Roman" w:hAnsi="Times New Roman" w:cs="Times New Roman" w:eastAsia="Times New Roman"/>
          <w:color w:val="auto"/>
          <w:spacing w:val="0"/>
          <w:position w:val="0"/>
          <w:sz w:val="24"/>
          <w:shd w:fill="auto" w:val="clear"/>
        </w:rPr>
        <w:t xml:space="preserve">Emerging economies are less affluent and affordability is a prominent obstacle (Naor et al., 2021). To enhance the approach of increasing accessibility, Tesla needs to adjust its strategy of pricing and production to local conditions.</w:t>
      </w:r>
      <w:r>
        <w:rPr>
          <w:rFonts w:ascii="Times New Roman" w:hAnsi="Times New Roman" w:cs="Times New Roman" w:eastAsia="Times New Roman"/>
          <w:b/>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Strategic alignment with the research objectives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results validate the assertion that localization in manufacturing alongside integrating supply chain aspects, are more effective than exporting in gaining sustainable market penetration, and competitive advantage in the up-and-coming economies. Exporting is more expensive because of tariffs, logistics and less adaptability whereas local production is cheaper and more responsive to local markets. Emphasising the fact that aligning operations with local supply chains enhances their efficiency and minimizes their operational risks, Wu and Wang (2021) stress that the alignment of operations with the local supply chain is effective in reducing operational risks and enhancing their efficiency (Wu and Wang, 2021). Equally, Naor et al. (2021), emphasize that vertical integration enhances coordination between batteries and vehicles and in charging infrastructure (Naor et al, 2021). Moreover, the value chain strategy that Tesla has employed, such as the innovation, production control, and direct distribution, is the one that feeds the strong internalisation benefits and thus makes it cost effective and strategic (Xiao, 2025). As such, by integrating both local manufacturing with an optimised value chain, the solution offers a sustainable and competitive strategy in line with the aims of the research.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general, the strategy of Tesla is to create a system of interconnectedness between the production, supply chains, and the demand at the market level. This will boost Location as well as Internalisation benefits that will guarantee long-term competitiveness in the emerging economies.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10810" w:dyaOrig="5197">
          <v:rect xmlns:o="urn:schemas-microsoft-com:office:office" xmlns:v="urn:schemas-microsoft-com:vml" id="rectole0000000015" style="width:540.500000pt;height:259.850000pt" o:preferrelative="t" o:ole="">
            <o:lock v:ext="edit"/>
            <v:imagedata xmlns:r="http://schemas.openxmlformats.org/officeDocument/2006/relationships" r:id="docRId52" o:title=""/>
          </v:rect>
          <o:OLEObject xmlns:r="http://schemas.openxmlformats.org/officeDocument/2006/relationships" xmlns:o="urn:schemas-microsoft-com:office:office" Type="Embed" ProgID="StaticMetafile" DrawAspect="Content" ObjectID="0000000015" ShapeID="rectole0000000015" r:id="docRId51"/>
        </w:object>
      </w:r>
    </w:p>
    <w:p>
      <w:pPr>
        <w:keepNext w:val="true"/>
        <w:keepLines w:val="true"/>
        <w:spacing w:before="240" w:after="8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16: Value chain analysis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w:t>
      </w:r>
      <w:r>
        <w:rPr>
          <w:rFonts w:ascii="Times New Roman" w:hAnsi="Times New Roman" w:cs="Times New Roman" w:eastAsia="Times New Roman"/>
          <w:color w:val="auto"/>
          <w:spacing w:val="0"/>
          <w:position w:val="0"/>
          <w:sz w:val="24"/>
          <w:shd w:fill="auto" w:val="clear"/>
        </w:rPr>
        <w:t xml:space="preserve">https://francis-press.com/uploads/papers/jGqe9rYXp8PFC9zZlXBttXIYFZ69IyQ6eZ2tgps2.pdf</w:t>
      </w:r>
      <w:r>
        <w:rPr>
          <w:rFonts w:ascii="Times New Roman" w:hAnsi="Times New Roman" w:cs="Times New Roman" w:eastAsia="Times New Roman"/>
          <w:color w:val="auto"/>
          <w:spacing w:val="0"/>
          <w:position w:val="0"/>
          <w:sz w:val="24"/>
          <w:shd w:fill="auto" w:val="clear"/>
        </w:rPr>
        <w:t xml:space="preserve">)</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6"/>
          <w:shd w:fill="FFFFFF" w:val="clear"/>
        </w:rPr>
      </w:pPr>
      <w:r>
        <w:rPr>
          <w:rFonts w:ascii="Times New Roman" w:hAnsi="Times New Roman" w:cs="Times New Roman" w:eastAsia="Times New Roman"/>
          <w:b/>
          <w:color w:val="auto"/>
          <w:spacing w:val="0"/>
          <w:position w:val="0"/>
          <w:sz w:val="26"/>
          <w:shd w:fill="FFFFFF" w:val="clear"/>
        </w:rPr>
        <w:t xml:space="preserve">4.5 Conclusion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This chapter has introduced and critically examined major findings concerning the entry into the emerging economies by Tesla. The discussion indicates that a high Tariff, policy incentives, unequal market maturity, and infrastructure restriction have a significant impact on the entry strategy. All in all, localised manufacturing proves to be a more viable and sustainable method in comparison to exportation, especially in high-tariff and infrastructure concerned areas. The discussion lends credibility to the fact that the core of EVs adoption and preparedness in the market relies on government policies and the development of the charging ecosystem. Regarding the OLI framework, Location advantages are the decisive ones, and Ownership and Internalisation advantages reinforce Tesla that needs strategic adaptation and localisation of its activities in emerging economies.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FFFFFF" w:val="clear"/>
        </w:rPr>
        <w:t xml:space="preserve">Chapter 5: Conclusion and recommendation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5.1 Introduction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concentrated chapter gives the general conclusion and recommendations of the research based on the findings and discussion of the results presented in the previous chapter of “Findings, analysis and discussion”. Seeking to use the market entry barriers of Tesla into emerging economies as a case study of the application of OLI as a competitive strategy framework in more sustainable development contexts, the researchers analysed Tesla and its opportunities and threats in emerging economies within the OLI framework used as a competitive strategy framework in a more sustainable development context. The main findings are summarised in the chapter, which is linked to the research objectives and questions, and also gives practical and theoretical recommendations. It also presents the study limitations and the recommendations of research directions in the future. Comprehensively, the insights learned in this chapter will underpin the strategic direction of Tesla expansion into emerging markets in India, Turkey and Malaysia.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5.2 Summary of Main Findings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research discovered some of the critical findings with regard to Tesla market entry strategy in new economies:</w:t>
      </w:r>
    </w:p>
    <w:p>
      <w:pPr>
        <w:spacing w:before="0" w:after="0" w:line="360"/>
        <w:ind w:right="0" w:left="0" w:firstLine="0"/>
        <w:jc w:val="both"/>
        <w:rPr>
          <w:rFonts w:ascii="Times New Roman" w:hAnsi="Times New Roman" w:cs="Times New Roman" w:eastAsia="Times New Roman"/>
          <w:b/>
          <w:i/>
          <w:color w:val="auto"/>
          <w:spacing w:val="0"/>
          <w:position w:val="0"/>
          <w:sz w:val="24"/>
          <w:u w:val="single"/>
          <w:shd w:fill="auto" w:val="clear"/>
        </w:rPr>
      </w:pPr>
      <w:r>
        <w:rPr>
          <w:rFonts w:ascii="Times New Roman" w:hAnsi="Times New Roman" w:cs="Times New Roman" w:eastAsia="Times New Roman"/>
          <w:b/>
          <w:i/>
          <w:color w:val="auto"/>
          <w:spacing w:val="0"/>
          <w:position w:val="0"/>
          <w:sz w:val="24"/>
          <w:u w:val="single"/>
          <w:shd w:fill="auto" w:val="clear"/>
        </w:rPr>
        <w:t xml:space="preserve">High tariff barriers and import restrictions: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emerging economies place high tariff barriers, taxes and regulatory obstacles thus making it much costly to export the EVs (</w:t>
      </w:r>
      <w:r>
        <w:rPr>
          <w:rFonts w:ascii="Times New Roman" w:hAnsi="Times New Roman" w:cs="Times New Roman" w:eastAsia="Times New Roman"/>
          <w:color w:val="auto"/>
          <w:spacing w:val="0"/>
          <w:position w:val="0"/>
          <w:sz w:val="24"/>
          <w:shd w:fill="FFFFFF" w:val="clear"/>
        </w:rPr>
        <w:t xml:space="preserve">Meszaros, Shatanawi and Ogunkunbi, 2021</w:t>
      </w:r>
      <w:r>
        <w:rPr>
          <w:rFonts w:ascii="Times New Roman" w:hAnsi="Times New Roman" w:cs="Times New Roman" w:eastAsia="Times New Roman"/>
          <w:color w:val="auto"/>
          <w:spacing w:val="0"/>
          <w:position w:val="0"/>
          <w:sz w:val="24"/>
          <w:shd w:fill="auto" w:val="clear"/>
        </w:rPr>
        <w:t xml:space="preserve">). These expenses decrease price competitiveness and restrict the capability of Tesla to penetrate markets characterized by great price sensitivity. Consequently, alone, exporting turns out to be an unsustainable policy in these kinds of environments. </w:t>
      </w:r>
    </w:p>
    <w:p>
      <w:pPr>
        <w:spacing w:before="0" w:after="0" w:line="360"/>
        <w:ind w:right="0" w:left="0" w:firstLine="0"/>
        <w:jc w:val="both"/>
        <w:rPr>
          <w:rFonts w:ascii="Times New Roman" w:hAnsi="Times New Roman" w:cs="Times New Roman" w:eastAsia="Times New Roman"/>
          <w:b/>
          <w:i/>
          <w:color w:val="auto"/>
          <w:spacing w:val="0"/>
          <w:position w:val="0"/>
          <w:sz w:val="24"/>
          <w:u w:val="single"/>
          <w:shd w:fill="auto" w:val="clear"/>
        </w:rPr>
      </w:pPr>
      <w:r>
        <w:rPr>
          <w:rFonts w:ascii="Times New Roman" w:hAnsi="Times New Roman" w:cs="Times New Roman" w:eastAsia="Times New Roman"/>
          <w:b/>
          <w:i/>
          <w:color w:val="auto"/>
          <w:spacing w:val="0"/>
          <w:position w:val="0"/>
          <w:sz w:val="24"/>
          <w:u w:val="single"/>
          <w:shd w:fill="auto" w:val="clear"/>
        </w:rPr>
        <w:t xml:space="preserve">Importance of government policies and incentives: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governmental assistance is so important to form the development of EV markets. Subsidies, cutting taxes, production incentives and national EV targets are some of the policies that are used to stimulate the demand and investment of EVs. Sound and favourable policy environments contribute to location benefits and establish favourable environments in which foreign direct investment thrives.</w:t>
      </w:r>
      <w:r>
        <w:rPr>
          <w:rFonts w:ascii="Times New Roman" w:hAnsi="Times New Roman" w:cs="Times New Roman" w:eastAsia="Times New Roman"/>
          <w:b/>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i/>
          <w:color w:val="auto"/>
          <w:spacing w:val="0"/>
          <w:position w:val="0"/>
          <w:sz w:val="24"/>
          <w:u w:val="single"/>
          <w:shd w:fill="auto" w:val="clear"/>
        </w:rPr>
      </w:pPr>
      <w:r>
        <w:rPr>
          <w:rFonts w:ascii="Times New Roman" w:hAnsi="Times New Roman" w:cs="Times New Roman" w:eastAsia="Times New Roman"/>
          <w:b/>
          <w:i/>
          <w:color w:val="auto"/>
          <w:spacing w:val="0"/>
          <w:position w:val="0"/>
          <w:sz w:val="24"/>
          <w:u w:val="single"/>
          <w:shd w:fill="auto" w:val="clear"/>
        </w:rPr>
        <w:t xml:space="preserve">Uneven EV market maturity: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is a wide scope of EV adoption across emerging economies. As an example, it can be noted that the penetration of passenger EVs is relatively lower in countries such as India, and is growing faster in other countries, such as Türkiye and Vietnam (</w:t>
      </w:r>
      <w:r>
        <w:rPr>
          <w:rFonts w:ascii="Times New Roman" w:hAnsi="Times New Roman" w:cs="Times New Roman" w:eastAsia="Times New Roman"/>
          <w:color w:val="auto"/>
          <w:spacing w:val="0"/>
          <w:position w:val="0"/>
          <w:sz w:val="24"/>
          <w:shd w:fill="FFFFFF" w:val="clear"/>
        </w:rPr>
        <w:t xml:space="preserve">Briceno-Garmendia, Foster and Qiao, 2023)</w:t>
      </w:r>
      <w:r>
        <w:rPr>
          <w:rFonts w:ascii="Times New Roman" w:hAnsi="Times New Roman" w:cs="Times New Roman" w:eastAsia="Times New Roman"/>
          <w:color w:val="auto"/>
          <w:spacing w:val="0"/>
          <w:position w:val="0"/>
          <w:sz w:val="24"/>
          <w:shd w:fill="auto" w:val="clear"/>
        </w:rPr>
        <w:t xml:space="preserve">. Such disproportion means that Tesla will not be able to employ a standardised strategy; it will have to design its approach to a particular market.</w:t>
      </w:r>
      <w:r>
        <w:rPr>
          <w:rFonts w:ascii="Times New Roman" w:hAnsi="Times New Roman" w:cs="Times New Roman" w:eastAsia="Times New Roman"/>
          <w:b/>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i/>
          <w:color w:val="auto"/>
          <w:spacing w:val="0"/>
          <w:position w:val="0"/>
          <w:sz w:val="24"/>
          <w:u w:val="single"/>
          <w:shd w:fill="auto" w:val="clear"/>
        </w:rPr>
      </w:pPr>
      <w:r>
        <w:rPr>
          <w:rFonts w:ascii="Times New Roman" w:hAnsi="Times New Roman" w:cs="Times New Roman" w:eastAsia="Times New Roman"/>
          <w:b/>
          <w:i/>
          <w:color w:val="auto"/>
          <w:spacing w:val="0"/>
          <w:position w:val="0"/>
          <w:sz w:val="24"/>
          <w:u w:val="single"/>
          <w:shd w:fill="auto" w:val="clear"/>
        </w:rPr>
        <w:t xml:space="preserve">Infrastructure challenges: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lack of charging infrastructure and the inadequacy of the energy systems are still significant barriers to EVs adoption. The absence of the extensive networks of fast-charging decreases consumer confidence and usage rates (</w:t>
      </w:r>
      <w:r>
        <w:rPr>
          <w:rFonts w:ascii="Times New Roman" w:hAnsi="Times New Roman" w:cs="Times New Roman" w:eastAsia="Times New Roman"/>
          <w:color w:val="auto"/>
          <w:spacing w:val="0"/>
          <w:position w:val="0"/>
          <w:sz w:val="24"/>
          <w:shd w:fill="FFFFFF" w:val="clear"/>
        </w:rPr>
        <w:t xml:space="preserve">Deb et al., 2021)</w:t>
      </w:r>
      <w:r>
        <w:rPr>
          <w:rFonts w:ascii="Times New Roman" w:hAnsi="Times New Roman" w:cs="Times New Roman" w:eastAsia="Times New Roman"/>
          <w:color w:val="auto"/>
          <w:spacing w:val="0"/>
          <w:position w:val="0"/>
          <w:sz w:val="24"/>
          <w:shd w:fill="auto" w:val="clear"/>
        </w:rPr>
        <w:t xml:space="preserve">. These infrastructural voids both heighten risks of operations, and influence the capacity of Tesla to scale efficiently. </w:t>
      </w:r>
    </w:p>
    <w:p>
      <w:pPr>
        <w:spacing w:before="0" w:after="0" w:line="360"/>
        <w:ind w:right="0" w:left="0" w:firstLine="0"/>
        <w:jc w:val="both"/>
        <w:rPr>
          <w:rFonts w:ascii="Times New Roman" w:hAnsi="Times New Roman" w:cs="Times New Roman" w:eastAsia="Times New Roman"/>
          <w:b/>
          <w:i/>
          <w:color w:val="auto"/>
          <w:spacing w:val="0"/>
          <w:position w:val="0"/>
          <w:sz w:val="24"/>
          <w:u w:val="single"/>
          <w:shd w:fill="auto" w:val="clear"/>
        </w:rPr>
      </w:pPr>
      <w:r>
        <w:rPr>
          <w:rFonts w:ascii="Times New Roman" w:hAnsi="Times New Roman" w:cs="Times New Roman" w:eastAsia="Times New Roman"/>
          <w:b/>
          <w:i/>
          <w:color w:val="auto"/>
          <w:spacing w:val="0"/>
          <w:position w:val="0"/>
          <w:sz w:val="24"/>
          <w:u w:val="single"/>
          <w:shd w:fill="auto" w:val="clear"/>
        </w:rPr>
        <w:t xml:space="preserve">Cost efficiency and localisation benefits: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Localized production particularly in battery production, the cost is drastically reduced by decreasing dependency on imports and reducing logistics costs (</w:t>
      </w:r>
      <w:r>
        <w:rPr>
          <w:rFonts w:ascii="Times New Roman" w:hAnsi="Times New Roman" w:cs="Times New Roman" w:eastAsia="Times New Roman"/>
          <w:color w:val="auto"/>
          <w:spacing w:val="0"/>
          <w:position w:val="0"/>
          <w:sz w:val="24"/>
          <w:shd w:fill="FFFFFF" w:val="clear"/>
        </w:rPr>
        <w:t xml:space="preserve">George, 2024</w:t>
      </w:r>
      <w:r>
        <w:rPr>
          <w:rFonts w:ascii="Times New Roman" w:hAnsi="Times New Roman" w:cs="Times New Roman" w:eastAsia="Times New Roman"/>
          <w:color w:val="auto"/>
          <w:spacing w:val="0"/>
          <w:position w:val="0"/>
          <w:sz w:val="24"/>
          <w:shd w:fill="auto" w:val="clear"/>
        </w:rPr>
        <w:t xml:space="preserve">). This has contributed to improvement of the affordability of Tesla vehicles, as well as improvement of competitiveness of Tesla vehicles in the emerging markets where consumers are very price sensitive.</w:t>
      </w:r>
      <w:r>
        <w:rPr>
          <w:rFonts w:ascii="Times New Roman" w:hAnsi="Times New Roman" w:cs="Times New Roman" w:eastAsia="Times New Roman"/>
          <w:b/>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i/>
          <w:color w:val="auto"/>
          <w:spacing w:val="0"/>
          <w:position w:val="0"/>
          <w:sz w:val="24"/>
          <w:u w:val="single"/>
          <w:shd w:fill="auto" w:val="clear"/>
        </w:rPr>
      </w:pPr>
      <w:r>
        <w:rPr>
          <w:rFonts w:ascii="Times New Roman" w:hAnsi="Times New Roman" w:cs="Times New Roman" w:eastAsia="Times New Roman"/>
          <w:b/>
          <w:i/>
          <w:color w:val="auto"/>
          <w:spacing w:val="0"/>
          <w:position w:val="0"/>
          <w:sz w:val="24"/>
          <w:u w:val="single"/>
          <w:shd w:fill="auto" w:val="clear"/>
        </w:rPr>
        <w:t xml:space="preserve">Supply chain integration and value chain control:</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internalisation advantages are enhanced by the vertical business model at Tesla which enables the company to enjoy greater control over production, technology and distribution (</w:t>
      </w:r>
      <w:r>
        <w:rPr>
          <w:rFonts w:ascii="Times New Roman" w:hAnsi="Times New Roman" w:cs="Times New Roman" w:eastAsia="Times New Roman"/>
          <w:color w:val="auto"/>
          <w:spacing w:val="0"/>
          <w:position w:val="0"/>
          <w:sz w:val="24"/>
          <w:shd w:fill="FFFFFF" w:val="clear"/>
        </w:rPr>
        <w:t xml:space="preserve">Lang, Reber and Aldori, 2021</w:t>
      </w:r>
      <w:r>
        <w:rPr>
          <w:rFonts w:ascii="Times New Roman" w:hAnsi="Times New Roman" w:cs="Times New Roman" w:eastAsia="Times New Roman"/>
          <w:color w:val="auto"/>
          <w:spacing w:val="0"/>
          <w:position w:val="0"/>
          <w:sz w:val="24"/>
          <w:shd w:fill="auto" w:val="clear"/>
        </w:rPr>
        <w:t xml:space="preserve">). This enhances efficiency, quality and innovation throughout the value chain.</w:t>
      </w:r>
      <w:r>
        <w:rPr>
          <w:rFonts w:ascii="Times New Roman" w:hAnsi="Times New Roman" w:cs="Times New Roman" w:eastAsia="Times New Roman"/>
          <w:b/>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general, results affirm that exporting is not as effective as localised production. The success Tesla will have in emerging economies will be based on how far it adjusts its strategy to meet the local market conditions, infrastructure preparation, and other favorable government policies to achieve sustainability growth and competitive advantage.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5.3 Conclusion Based on the Research Questions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research offers clear findings as to how Tesla market entry strategy works in emerging economies. The results suggest that Tesla can successfully address barriers of entering the local market through localisation practices, strategic allies, and being closely aligned with the government policies. By investing and maintaining production facilities as well as infrastructures that support the production activities reduce the exposure to high levels of tariffs, complexities of regulations, and operational risks which are normally associated with exporting.</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development of localised manufacturing can be highlighted as a major strategic benefit. It facilitates cost cutting by reducing logistics costs, decreasing the importation taxes and gaining access to local resources. Moreover, it enhances the efficiency of the supply chains, and they enable Tesla to respond in a more efficient manner to the demand of the local market. This becomes especially important in emerging economies where costs are a key determining factor influencing whether people will adopt electric vehicles.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These conclusions are further enhanced by the fact that the Dunning OLI framework has been utilized in order to support the conclusions. Tesla has a good base to international expansion and this has been ensured by its Ownership advantages which include advanced battery technology, strong brand equity and abilities of innovation. The location benefits in starting economies are the potential to grow in the market, government incentives, and emerging industrial ecosystems. The advantages of internalisation enable Tesla to have control over the production activities, safeguard proprietary technology and have efficiency and quality consistency.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Moreover, the study concludes that it is not the strategy based on exporting of its products, but rather a combination of local production, integrative supply chains, and alignment with the goals of governments. The strategy will improve the efficiency of operations and compete in the market as well as promote scalability in the long term.</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general, the study indicates that Tesla should not continue so that to expand successfully and maintain its competitiveness in the emerging markets Tesla needs to shift towards a different model which is more localisation-driven instead of the export-oriented model currently implemented.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5.4 Recommendations (Practical and Theoretical)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5.4.1 Practical Recommendations</w:t>
      </w:r>
    </w:p>
    <w:p>
      <w:pPr>
        <w:numPr>
          <w:ilvl w:val="0"/>
          <w:numId w:val="161"/>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Adopt local manufacturing strategies: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Tesla ought to introduce manufacturing plants in the major emerging markets like India and Turkiye to minimize tariffs, transportation costs and general manufacturing cost (</w:t>
      </w:r>
      <w:r>
        <w:rPr>
          <w:rFonts w:ascii="Times New Roman" w:hAnsi="Times New Roman" w:cs="Times New Roman" w:eastAsia="Times New Roman"/>
          <w:color w:val="auto"/>
          <w:spacing w:val="0"/>
          <w:position w:val="0"/>
          <w:sz w:val="24"/>
          <w:shd w:fill="FFFFFF" w:val="clear"/>
        </w:rPr>
        <w:t xml:space="preserve">Nizam, 2020</w:t>
      </w:r>
      <w:r>
        <w:rPr>
          <w:rFonts w:ascii="Times New Roman" w:hAnsi="Times New Roman" w:cs="Times New Roman" w:eastAsia="Times New Roman"/>
          <w:color w:val="auto"/>
          <w:spacing w:val="0"/>
          <w:position w:val="0"/>
          <w:sz w:val="24"/>
          <w:shd w:fill="auto" w:val="clear"/>
        </w:rPr>
        <w:t xml:space="preserve">). The local production will also result in better responsiveness to the demand on the market and long-term competitiveness enhancement. </w:t>
      </w:r>
    </w:p>
    <w:p>
      <w:pPr>
        <w:numPr>
          <w:ilvl w:val="0"/>
          <w:numId w:val="163"/>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Develop local supply chains: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Increasing supply chain efficiency by investing in local production and supply of key components (</w:t>
      </w:r>
      <w:r>
        <w:rPr>
          <w:rFonts w:ascii="Times New Roman" w:hAnsi="Times New Roman" w:cs="Times New Roman" w:eastAsia="Times New Roman"/>
          <w:color w:val="auto"/>
          <w:spacing w:val="0"/>
          <w:position w:val="0"/>
          <w:sz w:val="24"/>
          <w:shd w:fill="FFFFFF" w:val="clear"/>
        </w:rPr>
        <w:t xml:space="preserve">Nwankwo and Etukudoh, 2024</w:t>
      </w:r>
      <w:r>
        <w:rPr>
          <w:rFonts w:ascii="Times New Roman" w:hAnsi="Times New Roman" w:cs="Times New Roman" w:eastAsia="Times New Roman"/>
          <w:color w:val="auto"/>
          <w:spacing w:val="0"/>
          <w:position w:val="0"/>
          <w:sz w:val="24"/>
          <w:shd w:fill="auto" w:val="clear"/>
        </w:rPr>
        <w:t xml:space="preserve">). This decreases the reliance on imports, decreases issues of risks associated with global supply disruptions, and assists in optimizing costs. </w:t>
      </w:r>
    </w:p>
    <w:p>
      <w:pPr>
        <w:numPr>
          <w:ilvl w:val="0"/>
          <w:numId w:val="165"/>
        </w:numPr>
        <w:spacing w:before="0" w:after="0" w:line="360"/>
        <w:ind w:right="0" w:left="720" w:hanging="36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Form strategic partnerships:</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By partnering with local companies, suppliers and governmental agencies, Tesla may be better equipped to deal with regulatory issues, cultural differences and infrastructural problems. Alliances or joint venture can be used, too, to offer quicker entry into the market, or to gain access to local knowledge. </w:t>
      </w:r>
    </w:p>
    <w:p>
      <w:pPr>
        <w:numPr>
          <w:ilvl w:val="0"/>
          <w:numId w:val="167"/>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Invest in charging infrastructure: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necessary to expand the fast-charging networks, which would support the adoption of EV in the emerging economies (</w:t>
      </w:r>
      <w:r>
        <w:rPr>
          <w:rFonts w:ascii="Times New Roman" w:hAnsi="Times New Roman" w:cs="Times New Roman" w:eastAsia="Times New Roman"/>
          <w:color w:val="auto"/>
          <w:spacing w:val="0"/>
          <w:position w:val="0"/>
          <w:sz w:val="24"/>
          <w:shd w:fill="FFFFFF" w:val="clear"/>
        </w:rPr>
        <w:t xml:space="preserve">Babar, et al., 2025</w:t>
      </w:r>
      <w:r>
        <w:rPr>
          <w:rFonts w:ascii="Times New Roman" w:hAnsi="Times New Roman" w:cs="Times New Roman" w:eastAsia="Times New Roman"/>
          <w:color w:val="auto"/>
          <w:spacing w:val="0"/>
          <w:position w:val="0"/>
          <w:sz w:val="24"/>
          <w:shd w:fill="auto" w:val="clear"/>
        </w:rPr>
        <w:t xml:space="preserve">). Tesla needs to collaborate with or invest in local providers to build a charging infrastructure, which will boost consumer trust and enhance the overall EV ecosystem. </w:t>
      </w:r>
    </w:p>
    <w:p>
      <w:pPr>
        <w:numPr>
          <w:ilvl w:val="0"/>
          <w:numId w:val="169"/>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Implement flexible pricing strategies: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Tesla can offer more affordable models, financing schemes or leasing plans as the way to tackle the affordability issues in the price-sensitive markets (</w:t>
      </w:r>
      <w:r>
        <w:rPr>
          <w:rFonts w:ascii="Times New Roman" w:hAnsi="Times New Roman" w:cs="Times New Roman" w:eastAsia="Times New Roman"/>
          <w:color w:val="auto"/>
          <w:spacing w:val="0"/>
          <w:position w:val="0"/>
          <w:sz w:val="24"/>
          <w:shd w:fill="FFFFFF" w:val="clear"/>
        </w:rPr>
        <w:t xml:space="preserve">Lang, Reber and Aldori, 2021</w:t>
      </w:r>
      <w:r>
        <w:rPr>
          <w:rFonts w:ascii="Times New Roman" w:hAnsi="Times New Roman" w:cs="Times New Roman" w:eastAsia="Times New Roman"/>
          <w:color w:val="auto"/>
          <w:spacing w:val="0"/>
          <w:position w:val="0"/>
          <w:sz w:val="24"/>
          <w:shd w:fill="auto" w:val="clear"/>
        </w:rPr>
        <w:t xml:space="preserve">). It is important to adjust pricing strategies to the level of local income to promote the level of market penetration.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5.4.2 Theoretical Recommendations</w:t>
      </w:r>
    </w:p>
    <w:p>
      <w:pPr>
        <w:numPr>
          <w:ilvl w:val="0"/>
          <w:numId w:val="172"/>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Extend the OLI framework to EV markets: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Further research should also examine the applicability of Dunning OLI paradigm on the high technology industries like the electric vehicles particularly among the emerging economies where the institutional and infrastructure setting varies significantly (</w:t>
      </w:r>
      <w:r>
        <w:rPr>
          <w:rFonts w:ascii="Times New Roman" w:hAnsi="Times New Roman" w:cs="Times New Roman" w:eastAsia="Times New Roman"/>
          <w:color w:val="auto"/>
          <w:spacing w:val="0"/>
          <w:position w:val="0"/>
          <w:sz w:val="24"/>
          <w:shd w:fill="FFFFFF" w:val="clear"/>
        </w:rPr>
        <w:t xml:space="preserve">Nizam, 2020</w:t>
      </w:r>
      <w:r>
        <w:rPr>
          <w:rFonts w:ascii="Times New Roman" w:hAnsi="Times New Roman" w:cs="Times New Roman" w:eastAsia="Times New Roman"/>
          <w:color w:val="auto"/>
          <w:spacing w:val="0"/>
          <w:position w:val="0"/>
          <w:sz w:val="24"/>
          <w:shd w:fill="auto" w:val="clear"/>
        </w:rPr>
        <w:t xml:space="preserve">). </w:t>
      </w:r>
    </w:p>
    <w:p>
      <w:pPr>
        <w:numPr>
          <w:ilvl w:val="0"/>
          <w:numId w:val="174"/>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Integrate value chain perspectives: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synthesis of OLI framework and value chain analysis may give a better insight into strategic decision making (</w:t>
      </w:r>
      <w:r>
        <w:rPr>
          <w:rFonts w:ascii="Times New Roman" w:hAnsi="Times New Roman" w:cs="Times New Roman" w:eastAsia="Times New Roman"/>
          <w:color w:val="auto"/>
          <w:spacing w:val="0"/>
          <w:position w:val="0"/>
          <w:sz w:val="24"/>
          <w:shd w:fill="FFFFFF" w:val="clear"/>
        </w:rPr>
        <w:t xml:space="preserve">Deb et al., 2021)</w:t>
      </w:r>
      <w:r>
        <w:rPr>
          <w:rFonts w:ascii="Times New Roman" w:hAnsi="Times New Roman" w:cs="Times New Roman" w:eastAsia="Times New Roman"/>
          <w:color w:val="auto"/>
          <w:spacing w:val="0"/>
          <w:position w:val="0"/>
          <w:sz w:val="24"/>
          <w:shd w:fill="auto" w:val="clear"/>
        </w:rPr>
        <w:t xml:space="preserve">. This amalgamation assists in elucidating how companies gain a competitive advantage by controlling the production process, innovation process and the process of distribution. </w:t>
      </w:r>
    </w:p>
    <w:p>
      <w:pPr>
        <w:numPr>
          <w:ilvl w:val="0"/>
          <w:numId w:val="176"/>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Focus on sustainability and policy impact: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Environmental policies, decarbonisation objectives, and other factors that affect the uptake of EVs should be included in the theoretical models (</w:t>
      </w:r>
      <w:r>
        <w:rPr>
          <w:rFonts w:ascii="Times New Roman" w:hAnsi="Times New Roman" w:cs="Times New Roman" w:eastAsia="Times New Roman"/>
          <w:color w:val="auto"/>
          <w:spacing w:val="0"/>
          <w:position w:val="0"/>
          <w:sz w:val="24"/>
          <w:shd w:fill="FFFFFF" w:val="clear"/>
        </w:rPr>
        <w:t xml:space="preserve">Xiao, 2025</w:t>
      </w:r>
      <w:r>
        <w:rPr>
          <w:rFonts w:ascii="Times New Roman" w:hAnsi="Times New Roman" w:cs="Times New Roman" w:eastAsia="Times New Roman"/>
          <w:color w:val="auto"/>
          <w:spacing w:val="0"/>
          <w:position w:val="0"/>
          <w:sz w:val="24"/>
          <w:shd w:fill="auto" w:val="clear"/>
        </w:rPr>
        <w:t xml:space="preserve">). This will be a more holistic approach on how to analyse market entry strategies in relation to global climate objectives.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general, these suggestions emphasize the significance of matching practical approaches to theoretical frameworks to achieve effective and sustainable growth into the emerging EV markets.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5.5 Limitations of Research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work has a few limitations which must be taken into consideration: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Limited data availability: </w:t>
      </w:r>
      <w:r>
        <w:rPr>
          <w:rFonts w:ascii="Times New Roman" w:hAnsi="Times New Roman" w:cs="Times New Roman" w:eastAsia="Times New Roman"/>
          <w:color w:val="auto"/>
          <w:spacing w:val="0"/>
          <w:position w:val="0"/>
          <w:sz w:val="24"/>
          <w:shd w:fill="auto" w:val="clear"/>
        </w:rPr>
        <w:t xml:space="preserve">One of the main limitations is limited data availability. This research is mainly based on the forms of secondary data that include reports, scholarly journals and books within the industry. Though the sources are believable, they might not be able to capture the real-time market dynamics, recent policy updates, and quickly developing industry trends. Consequently, certain results might not be demonstrating the latest trends in the EV industry.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Focus on selected countries: </w:t>
      </w:r>
      <w:r>
        <w:rPr>
          <w:rFonts w:ascii="Times New Roman" w:hAnsi="Times New Roman" w:cs="Times New Roman" w:eastAsia="Times New Roman"/>
          <w:color w:val="auto"/>
          <w:spacing w:val="0"/>
          <w:position w:val="0"/>
          <w:sz w:val="24"/>
          <w:shd w:fill="auto" w:val="clear"/>
        </w:rPr>
        <w:t xml:space="preserve">The other weakness is that it will only be country-specific i.e. India, Turkiye and Malaysia. Although these countries offer very valuable lessons about the various types of emerging markets, the results might not be generalisable to other regions such as Africa or Latin America. The political, economic, and infrastructural conditions are unique to every emerging economy and may affect market entry strategies in varying ways.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Lack of primary data: </w:t>
      </w:r>
      <w:r>
        <w:rPr>
          <w:rFonts w:ascii="Times New Roman" w:hAnsi="Times New Roman" w:cs="Times New Roman" w:eastAsia="Times New Roman"/>
          <w:color w:val="auto"/>
          <w:spacing w:val="0"/>
          <w:position w:val="0"/>
          <w:sz w:val="24"/>
          <w:shd w:fill="auto" w:val="clear"/>
        </w:rPr>
        <w:t xml:space="preserve">The chosen countries are another limitation in that the selected countries are those in India, Turkey, and Malaysia. Although these countries offer a lot of insight into the various types of emerging markets, the results of the research may not be completely generalisable to the other regions like Africa or Latin America. The emerging markets are filled with unique political, economic and infrastructural conditions which can have different effects on the market entry strategy.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Rapidly evolving EV market: </w:t>
      </w:r>
      <w:r>
        <w:rPr>
          <w:rFonts w:ascii="Times New Roman" w:hAnsi="Times New Roman" w:cs="Times New Roman" w:eastAsia="Times New Roman"/>
          <w:color w:val="auto"/>
          <w:spacing w:val="0"/>
          <w:position w:val="0"/>
          <w:sz w:val="24"/>
          <w:shd w:fill="auto" w:val="clear"/>
        </w:rPr>
        <w:t xml:space="preserve">Moreover, the fact that the EV market rapidly develops is a challenge. The industry is fast moving where technological changes, change of policies, as well as change in preferences of consumers are witnessed. This implies that certain results can become outdated as time goes on, which would influence the long-term applicability of the research.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Theoretical constraints: </w:t>
      </w:r>
      <w:r>
        <w:rPr>
          <w:rFonts w:ascii="Times New Roman" w:hAnsi="Times New Roman" w:cs="Times New Roman" w:eastAsia="Times New Roman"/>
          <w:color w:val="auto"/>
          <w:spacing w:val="0"/>
          <w:position w:val="0"/>
          <w:sz w:val="24"/>
          <w:shd w:fill="auto" w:val="clear"/>
        </w:rPr>
        <w:t xml:space="preserve">Lastly are theoretical constraints. Although the OLI framework by Dunning offers a very good starting point in analysing the foreign market entry strategies, it may not be in a position to capture all the complexities of the EV industry, which include disruption in technology, sustainability issues and the role of ecosystem of innovation.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spite of these constraints there are still valuable contributions to the study since it offers a systematic analysis of the entry strategies employed by Tesla Company and insights into the critical factors that can determine success in the emerging markets. </w:t>
      </w:r>
    </w:p>
    <w:p>
      <w:pPr>
        <w:keepNext w:val="true"/>
        <w:keepLines w:val="true"/>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5.6 Recommendations for Future Work </w:t>
      </w:r>
    </w:p>
    <w:p>
      <w:pPr>
        <w:keepNext w:val="true"/>
        <w:keepLine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5.6.1 Expand geographical scope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Future studies ought to encompass a wider scope of emerging markets as opposed to India, Türkiye, and Malaysia. The geographical expansion to Africa, Latin America, and Southeast Asia would yield more thorough information about the dynamics in the EV market across the globe (</w:t>
      </w:r>
      <w:r>
        <w:rPr>
          <w:rFonts w:ascii="Times New Roman" w:hAnsi="Times New Roman" w:cs="Times New Roman" w:eastAsia="Times New Roman"/>
          <w:color w:val="auto"/>
          <w:spacing w:val="0"/>
          <w:position w:val="0"/>
          <w:sz w:val="24"/>
          <w:shd w:fill="FFFFFF" w:val="clear"/>
        </w:rPr>
        <w:t xml:space="preserve">Naor, Coman and Wiznizer, 2021</w:t>
      </w:r>
      <w:r>
        <w:rPr>
          <w:rFonts w:ascii="Times New Roman" w:hAnsi="Times New Roman" w:cs="Times New Roman" w:eastAsia="Times New Roman"/>
          <w:color w:val="auto"/>
          <w:spacing w:val="0"/>
          <w:position w:val="0"/>
          <w:sz w:val="24"/>
          <w:shd w:fill="auto" w:val="clear"/>
        </w:rPr>
        <w:t xml:space="preserve">). This would enable more comparison between the policy environment, infrastructure preparedness and consumer behaviour across various settings that would enhance the generalisability of findings. </w:t>
      </w:r>
    </w:p>
    <w:p>
      <w:pPr>
        <w:keepNext w:val="true"/>
        <w:keepLine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5.6.2 Use primary research methods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research also got primarily secondary data; hence, next round research would have to include primary data sources like interviews, surveys, and case studies. Interviews with industry participants, policymakers, and consumers may yield further insights into practical challenges, strategizing decision-making, as well as consumer attitudes towards EV adoption. This would enhance the practicality of future studies (</w:t>
      </w:r>
      <w:r>
        <w:rPr>
          <w:rFonts w:ascii="Times New Roman" w:hAnsi="Times New Roman" w:cs="Times New Roman" w:eastAsia="Times New Roman"/>
          <w:color w:val="auto"/>
          <w:spacing w:val="0"/>
          <w:position w:val="0"/>
          <w:sz w:val="24"/>
          <w:shd w:fill="FFFFFF" w:val="clear"/>
        </w:rPr>
        <w:t xml:space="preserve">Nwankwo and Etukudoh, 2024</w:t>
      </w:r>
      <w:r>
        <w:rPr>
          <w:rFonts w:ascii="Times New Roman" w:hAnsi="Times New Roman" w:cs="Times New Roman" w:eastAsia="Times New Roman"/>
          <w:color w:val="auto"/>
          <w:spacing w:val="0"/>
          <w:position w:val="0"/>
          <w:sz w:val="24"/>
          <w:shd w:fill="auto" w:val="clear"/>
        </w:rPr>
        <w:t xml:space="preserve">). </w:t>
      </w:r>
    </w:p>
    <w:p>
      <w:pPr>
        <w:keepNext w:val="true"/>
        <w:keepLines w:val="true"/>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5.6.3 Longitudinal studies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studies in the future should be carried out in a longitudinal way because the study should examine the trends of the EV markets in the long term. With the EV industry changing rapidly, looking at how the policies, technology, and consumer adoption will change over a few years would give a more precise picture of long-term changes and sustainability of entry strategies.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5.6.4 Focus on consumer behaviour</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Consumer preferences within emerging economies, particularly in terms of affordability, convenience in the payment of charges and even brand experience, need some more research on consumer preferences. These behavioural aspects are pertinent in arriving at effective pricing strategies and positioning of products to the companies such as Tesla.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5.6.5 Examine alternative entry strategies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other modes of entry that can be explored in future research include joint venture, licensing and strategic alliances. These options can offer lower risk alternatives to full scale local manufacturing yet still, it allows firms to experience the local market and market research and therefore advantage their companies.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5.6.6 Integrate advanced theoretical models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Research that incorporates Dunning OLI framework together with other theoretical approaches like institutional theory, and resource-based view should be included in upcoming research. This would give the broader spectrum of internationalisation strategies- especially in the multidimensional and dynamic emerging market </w:t>
      </w:r>
      <w:r>
        <w:rPr>
          <w:rFonts w:ascii="Times New Roman" w:hAnsi="Times New Roman" w:cs="Times New Roman" w:eastAsia="Times New Roman"/>
          <w:color w:val="auto"/>
          <w:spacing w:val="0"/>
          <w:position w:val="0"/>
          <w:sz w:val="24"/>
          <w:shd w:fill="FFFFFF" w:val="clear"/>
        </w:rPr>
        <w:t xml:space="preserve">(Sovacool et al., 2019)</w:t>
      </w:r>
      <w:r>
        <w:rPr>
          <w:rFonts w:ascii="Times New Roman" w:hAnsi="Times New Roman" w:cs="Times New Roman" w:eastAsia="Times New Roman"/>
          <w:color w:val="auto"/>
          <w:spacing w:val="0"/>
          <w:position w:val="0"/>
          <w:sz w:val="24"/>
          <w:shd w:fill="auto" w:val="clear"/>
        </w:rPr>
        <w:t xml:space="preserve">. </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5.6.7 Analyse sustainability and environmental impact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Future studies must also be an evaluation of the environmental impact of EVs, such as lifecycle emissions, battery re-use, and eco-friendly production methods. This would comply with the global sustainability expectations and offer a more holistic perspective of EV market growth.</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Generally, future studies can extend on this study by employing more diverse methods, extended settings, and integrated theoretical framework to generate more insightful and practical findings on EV market entry strategies. </w:t>
      </w:r>
    </w:p>
    <w:p>
      <w:pPr>
        <w:spacing w:before="240" w:after="240" w:line="360"/>
        <w:ind w:right="0" w:left="0" w:firstLine="0"/>
        <w:jc w:val="both"/>
        <w:rPr>
          <w:rFonts w:ascii="Times New Roman" w:hAnsi="Times New Roman" w:cs="Times New Roman" w:eastAsia="Times New Roman"/>
          <w:color w:val="auto"/>
          <w:spacing w:val="0"/>
          <w:position w:val="0"/>
          <w:sz w:val="24"/>
          <w:shd w:fill="FFFFFF"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 List:</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Abdelsalam Mohamed Mostafa, M., 2025. Beyond Borders: How Strategic Adaptations Shape Global Market Entry Success. Available at SSRN 5118307.</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Ajeigbe, K. and Holt, W., 2025. Government Policies and Incentives for EV Manufacturing.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Akhtar, M.N., Haleem, A., Ali, M.A., Javaid, M. and Husain, Z., 2024, December. A Strategic Localisation Model for India. In </w:t>
      </w:r>
      <w:r>
        <w:rPr>
          <w:rFonts w:ascii="Times New Roman" w:hAnsi="Times New Roman" w:cs="Times New Roman" w:eastAsia="Times New Roman"/>
          <w:i/>
          <w:color w:val="000000"/>
          <w:spacing w:val="0"/>
          <w:position w:val="0"/>
          <w:sz w:val="24"/>
          <w:shd w:fill="auto" w:val="clear"/>
        </w:rPr>
        <w:t xml:space="preserve">Global Congress on Emerging Technologies (GCET-2024)</w:t>
      </w:r>
      <w:r>
        <w:rPr>
          <w:rFonts w:ascii="Times New Roman" w:hAnsi="Times New Roman" w:cs="Times New Roman" w:eastAsia="Times New Roman"/>
          <w:color w:val="000000"/>
          <w:spacing w:val="0"/>
          <w:position w:val="0"/>
          <w:sz w:val="24"/>
          <w:shd w:fill="auto" w:val="clear"/>
        </w:rPr>
        <w:t xml:space="preserve"> (pp. 153-160). IEEE.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Alsharif, A., 2025. Global Trends in Electric Vehicle Charging Demand and Infrastructure Development. Libyan Open University Journal of Applied Sciences (LOUJAS), pp.20-28.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Amiraslanov, K.T., 2025. ENTRY CONDITIONS FOR TRANSNATIONAL CORPORATIONS IN HOST ECONOMIES: AN ANALYSIS OF THE OLI PARADIGM AND PORTER’S DIAMOND MODEL.</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Ascard, N. and Wingö, S., 2020. Business strategy for seamless charging of BEVs.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Ayodele, B.V. and Mustapa, S.I., 2020. Life cycle cost assessment of electric vehicles: A review and bibliometric analysis. Sustainability, 12(6), p.2387.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Babar, R., Muhammad, A., Khan, R.S., Khan, W., Aziz, A., Yousaf, M.Z., Bajaj, M. and Zaitsev, I., 2025. Operational strategies for EV fast-charging and their impact on power grid and renewable integration. </w:t>
      </w:r>
      <w:r>
        <w:rPr>
          <w:rFonts w:ascii="Times New Roman" w:hAnsi="Times New Roman" w:cs="Times New Roman" w:eastAsia="Times New Roman"/>
          <w:i/>
          <w:color w:val="000000"/>
          <w:spacing w:val="0"/>
          <w:position w:val="0"/>
          <w:sz w:val="24"/>
          <w:shd w:fill="auto" w:val="clear"/>
        </w:rPr>
        <w:t xml:space="preserve">Energy Exploration &amp; Exploitation</w:t>
      </w:r>
      <w:r>
        <w:rPr>
          <w:rFonts w:ascii="Times New Roman" w:hAnsi="Times New Roman" w:cs="Times New Roman" w:eastAsia="Times New Roman"/>
          <w:color w:val="000000"/>
          <w:spacing w:val="0"/>
          <w:position w:val="0"/>
          <w:sz w:val="24"/>
          <w:shd w:fill="auto" w:val="clear"/>
        </w:rPr>
        <w:t xml:space="preserve">, p.01445987251352551.</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Bhattacharyya, S.S. and Thakre, S., 2021. Exploring the factors influencing electric vehicle adoption: an empirical investigation in the emerging economy context of India. </w:t>
      </w:r>
      <w:r>
        <w:rPr>
          <w:rFonts w:ascii="Times New Roman" w:hAnsi="Times New Roman" w:cs="Times New Roman" w:eastAsia="Times New Roman"/>
          <w:i/>
          <w:color w:val="000000"/>
          <w:spacing w:val="0"/>
          <w:position w:val="0"/>
          <w:sz w:val="24"/>
          <w:shd w:fill="auto" w:val="clear"/>
        </w:rPr>
        <w:t xml:space="preserve">foresight</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23</w:t>
      </w:r>
      <w:r>
        <w:rPr>
          <w:rFonts w:ascii="Times New Roman" w:hAnsi="Times New Roman" w:cs="Times New Roman" w:eastAsia="Times New Roman"/>
          <w:color w:val="000000"/>
          <w:spacing w:val="0"/>
          <w:position w:val="0"/>
          <w:sz w:val="24"/>
          <w:shd w:fill="auto" w:val="clear"/>
        </w:rPr>
        <w:t xml:space="preserve">(3), pp.311-326.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Bhatti, H.J., Danilovic, M. and Nåbo, A., 2023. A multidimensional readiness index for the electrification of the transportation system in China, Norway, and Sweden. </w:t>
      </w:r>
      <w:r>
        <w:rPr>
          <w:rFonts w:ascii="Times New Roman" w:hAnsi="Times New Roman" w:cs="Times New Roman" w:eastAsia="Times New Roman"/>
          <w:i/>
          <w:color w:val="000000"/>
          <w:spacing w:val="0"/>
          <w:position w:val="0"/>
          <w:sz w:val="24"/>
          <w:shd w:fill="auto" w:val="clear"/>
        </w:rPr>
        <w:t xml:space="preserve">Future Transportation</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3</w:t>
      </w:r>
      <w:r>
        <w:rPr>
          <w:rFonts w:ascii="Times New Roman" w:hAnsi="Times New Roman" w:cs="Times New Roman" w:eastAsia="Times New Roman"/>
          <w:color w:val="000000"/>
          <w:spacing w:val="0"/>
          <w:position w:val="0"/>
          <w:sz w:val="24"/>
          <w:shd w:fill="auto" w:val="clear"/>
        </w:rPr>
        <w:t xml:space="preserve">(4), pp.1360-1384.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Briceno-Garmendia, C., Foster, V. and Qiao, W., 2023. </w:t>
      </w:r>
      <w:r>
        <w:rPr>
          <w:rFonts w:ascii="Times New Roman" w:hAnsi="Times New Roman" w:cs="Times New Roman" w:eastAsia="Times New Roman"/>
          <w:i/>
          <w:color w:val="000000"/>
          <w:spacing w:val="0"/>
          <w:position w:val="0"/>
          <w:sz w:val="24"/>
          <w:shd w:fill="auto" w:val="clear"/>
        </w:rPr>
        <w:t xml:space="preserve">The economics of electric vehicles for passenger transportation</w:t>
      </w:r>
      <w:r>
        <w:rPr>
          <w:rFonts w:ascii="Times New Roman" w:hAnsi="Times New Roman" w:cs="Times New Roman" w:eastAsia="Times New Roman"/>
          <w:color w:val="000000"/>
          <w:spacing w:val="0"/>
          <w:position w:val="0"/>
          <w:sz w:val="24"/>
          <w:shd w:fill="auto" w:val="clear"/>
        </w:rPr>
        <w:t xml:space="preserve">. Washington, DC, USA: World Bank Group.</w:t>
      </w:r>
      <w:r>
        <w:rPr>
          <w:rFonts w:ascii="Times New Roman" w:hAnsi="Times New Roman" w:cs="Times New Roman" w:eastAsia="Times New Roman"/>
          <w:b/>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Cai, B. (2025) 'Impact of internationalization strategies in the electric vehicle industry: a case study of Tesla', Advances in Economics, Management and Political Sciences, 184, pp. 174-179.</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Chernykhovskaya, N., 2024. Theoretical Framework for Electric Vehicle Adoption: Strategic Market Entry.</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Cho, M.J., Bae, K., Byun, J. and Shin, J., 2025. Expanding the identification of key resource combinations for mid-to long-term growth in electric vehicle market entry. </w:t>
      </w:r>
      <w:r>
        <w:rPr>
          <w:rFonts w:ascii="Times New Roman" w:hAnsi="Times New Roman" w:cs="Times New Roman" w:eastAsia="Times New Roman"/>
          <w:i/>
          <w:color w:val="000000"/>
          <w:spacing w:val="0"/>
          <w:position w:val="0"/>
          <w:sz w:val="24"/>
          <w:shd w:fill="auto" w:val="clear"/>
        </w:rPr>
        <w:t xml:space="preserve">PLoS One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20</w:t>
      </w:r>
      <w:r>
        <w:rPr>
          <w:rFonts w:ascii="Times New Roman" w:hAnsi="Times New Roman" w:cs="Times New Roman" w:eastAsia="Times New Roman"/>
          <w:color w:val="000000"/>
          <w:spacing w:val="0"/>
          <w:position w:val="0"/>
          <w:sz w:val="24"/>
          <w:shd w:fill="auto" w:val="clear"/>
        </w:rPr>
        <w:t xml:space="preserve">(8), p.e0328563.</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Clarke, V. and Braun, V., 2017. Thematic analysis. </w:t>
      </w:r>
      <w:r>
        <w:rPr>
          <w:rFonts w:ascii="Times New Roman" w:hAnsi="Times New Roman" w:cs="Times New Roman" w:eastAsia="Times New Roman"/>
          <w:i/>
          <w:color w:val="000000"/>
          <w:spacing w:val="0"/>
          <w:position w:val="0"/>
          <w:sz w:val="24"/>
          <w:shd w:fill="auto" w:val="clear"/>
        </w:rPr>
        <w:t xml:space="preserve">The journal of positive psychology</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12</w:t>
      </w:r>
      <w:r>
        <w:rPr>
          <w:rFonts w:ascii="Times New Roman" w:hAnsi="Times New Roman" w:cs="Times New Roman" w:eastAsia="Times New Roman"/>
          <w:color w:val="000000"/>
          <w:spacing w:val="0"/>
          <w:position w:val="0"/>
          <w:sz w:val="24"/>
          <w:shd w:fill="auto" w:val="clear"/>
        </w:rPr>
        <w:t xml:space="preserve">(3), pp.297-298.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Cote, C. and Hu, H., 2025. Understanding the uniqueness of emerging markets and their firms: institutional voids-based dynamic capabilities in the Chinese automotive sector. </w:t>
      </w:r>
      <w:r>
        <w:rPr>
          <w:rFonts w:ascii="Times New Roman" w:hAnsi="Times New Roman" w:cs="Times New Roman" w:eastAsia="Times New Roman"/>
          <w:i/>
          <w:color w:val="000000"/>
          <w:spacing w:val="0"/>
          <w:position w:val="0"/>
          <w:sz w:val="24"/>
          <w:shd w:fill="auto" w:val="clear"/>
        </w:rPr>
        <w:t xml:space="preserve">Academy of International Business Insights</w:t>
      </w:r>
      <w:r>
        <w:rPr>
          <w:rFonts w:ascii="Times New Roman" w:hAnsi="Times New Roman" w:cs="Times New Roman" w:eastAsia="Times New Roman"/>
          <w:color w:val="000000"/>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Deb, N., Singh, R., Brooks, R.R. and Bai, K., 2021. A review of extremely fast charging stations for electric vehicles. </w:t>
      </w:r>
      <w:r>
        <w:rPr>
          <w:rFonts w:ascii="Times New Roman" w:hAnsi="Times New Roman" w:cs="Times New Roman" w:eastAsia="Times New Roman"/>
          <w:i/>
          <w:color w:val="000000"/>
          <w:spacing w:val="0"/>
          <w:position w:val="0"/>
          <w:sz w:val="24"/>
          <w:shd w:fill="auto" w:val="clear"/>
        </w:rPr>
        <w:t xml:space="preserve">Energies</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14</w:t>
      </w:r>
      <w:r>
        <w:rPr>
          <w:rFonts w:ascii="Times New Roman" w:hAnsi="Times New Roman" w:cs="Times New Roman" w:eastAsia="Times New Roman"/>
          <w:color w:val="000000"/>
          <w:spacing w:val="0"/>
          <w:position w:val="0"/>
          <w:sz w:val="24"/>
          <w:shd w:fill="auto" w:val="clear"/>
        </w:rPr>
        <w:t xml:space="preserve">(22), p.7566.</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Dellafiore, F., Saba, A., Collaro, C. and Artioli, G., 2026. Artificial intelligence in qualitative research: Insights from experts via reflexive thematic analysis. </w:t>
      </w:r>
      <w:r>
        <w:rPr>
          <w:rFonts w:ascii="Times New Roman" w:hAnsi="Times New Roman" w:cs="Times New Roman" w:eastAsia="Times New Roman"/>
          <w:i/>
          <w:color w:val="000000"/>
          <w:spacing w:val="0"/>
          <w:position w:val="0"/>
          <w:sz w:val="24"/>
          <w:shd w:fill="auto" w:val="clear"/>
        </w:rPr>
        <w:t xml:space="preserve">Qualitative Health Research</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36</w:t>
      </w:r>
      <w:r>
        <w:rPr>
          <w:rFonts w:ascii="Times New Roman" w:hAnsi="Times New Roman" w:cs="Times New Roman" w:eastAsia="Times New Roman"/>
          <w:color w:val="000000"/>
          <w:spacing w:val="0"/>
          <w:position w:val="0"/>
          <w:sz w:val="24"/>
          <w:shd w:fill="auto" w:val="clear"/>
        </w:rPr>
        <w:t xml:space="preserve">(2-3), pp.145-165.</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Felbermayr, G., Friesenbichler, K.S., Hinz, J. and Mahlkow, H., 2024. </w:t>
      </w:r>
      <w:r>
        <w:rPr>
          <w:rFonts w:ascii="Times New Roman" w:hAnsi="Times New Roman" w:cs="Times New Roman" w:eastAsia="Times New Roman"/>
          <w:i/>
          <w:color w:val="000000"/>
          <w:spacing w:val="0"/>
          <w:position w:val="0"/>
          <w:sz w:val="24"/>
          <w:shd w:fill="auto" w:val="clear"/>
        </w:rPr>
        <w:t xml:space="preserve">Time to be open, sustainable, and assertive: Tariffs on Chinese BEVs and retaliatory measures</w:t>
      </w:r>
      <w:r>
        <w:rPr>
          <w:rFonts w:ascii="Times New Roman" w:hAnsi="Times New Roman" w:cs="Times New Roman" w:eastAsia="Times New Roman"/>
          <w:color w:val="000000"/>
          <w:spacing w:val="0"/>
          <w:position w:val="0"/>
          <w:sz w:val="24"/>
          <w:shd w:fill="auto" w:val="clear"/>
        </w:rPr>
        <w:t xml:space="preserve"> (No. 177). Kiel Policy Brief.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Flint, C. and Taylor, P.J., 2025. Political geography: World-economy, nation-state, and locality. Routledge.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Fuinhas, J.A., Koengkan, M., Leitão, N.C., Nwani, C., Uzuner, G., Dehdar, F., Relva, S. and Peyerl, D., 2021. Effect of battery electric vehicles on greenhouse gas emissions in 29 European Union countries. </w:t>
      </w:r>
      <w:r>
        <w:rPr>
          <w:rFonts w:ascii="Times New Roman" w:hAnsi="Times New Roman" w:cs="Times New Roman" w:eastAsia="Times New Roman"/>
          <w:i/>
          <w:color w:val="000000"/>
          <w:spacing w:val="0"/>
          <w:position w:val="0"/>
          <w:sz w:val="24"/>
          <w:shd w:fill="auto" w:val="clear"/>
        </w:rPr>
        <w:t xml:space="preserve">Sustainability</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13</w:t>
      </w:r>
      <w:r>
        <w:rPr>
          <w:rFonts w:ascii="Times New Roman" w:hAnsi="Times New Roman" w:cs="Times New Roman" w:eastAsia="Times New Roman"/>
          <w:color w:val="000000"/>
          <w:spacing w:val="0"/>
          <w:position w:val="0"/>
          <w:sz w:val="24"/>
          <w:shd w:fill="auto" w:val="clear"/>
        </w:rPr>
        <w:t xml:space="preserve">(24), p.13611.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Gan, Q., Lau, R.Y.K. and Hong, J., 2025. A critical review of blockchain applications to banking and finance: a qualitative thematic analysis approach. </w:t>
      </w:r>
      <w:r>
        <w:rPr>
          <w:rFonts w:ascii="Times New Roman" w:hAnsi="Times New Roman" w:cs="Times New Roman" w:eastAsia="Times New Roman"/>
          <w:i/>
          <w:color w:val="000000"/>
          <w:spacing w:val="0"/>
          <w:position w:val="0"/>
          <w:sz w:val="24"/>
          <w:shd w:fill="auto" w:val="clear"/>
        </w:rPr>
        <w:t xml:space="preserve">Technology Analysis &amp; Strategic Management</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37</w:t>
      </w:r>
      <w:r>
        <w:rPr>
          <w:rFonts w:ascii="Times New Roman" w:hAnsi="Times New Roman" w:cs="Times New Roman" w:eastAsia="Times New Roman"/>
          <w:color w:val="000000"/>
          <w:spacing w:val="0"/>
          <w:position w:val="0"/>
          <w:sz w:val="24"/>
          <w:shd w:fill="auto" w:val="clear"/>
        </w:rPr>
        <w:t xml:space="preserve">(4), pp.387-403.</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George, A.S., 2024. Strategic battery autarky: Reducing foreign dependence in the electric vehicle supply chain. </w:t>
      </w:r>
      <w:r>
        <w:rPr>
          <w:rFonts w:ascii="Times New Roman" w:hAnsi="Times New Roman" w:cs="Times New Roman" w:eastAsia="Times New Roman"/>
          <w:i/>
          <w:color w:val="000000"/>
          <w:spacing w:val="0"/>
          <w:position w:val="0"/>
          <w:sz w:val="24"/>
          <w:shd w:fill="auto" w:val="clear"/>
        </w:rPr>
        <w:t xml:space="preserve">Partners Universal International Research Journal</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3</w:t>
      </w:r>
      <w:r>
        <w:rPr>
          <w:rFonts w:ascii="Times New Roman" w:hAnsi="Times New Roman" w:cs="Times New Roman" w:eastAsia="Times New Roman"/>
          <w:color w:val="000000"/>
          <w:spacing w:val="0"/>
          <w:position w:val="0"/>
          <w:sz w:val="24"/>
          <w:shd w:fill="auto" w:val="clear"/>
        </w:rPr>
        <w:t xml:space="preserve">(1), pp.168-182.</w:t>
      </w:r>
      <w:r>
        <w:rPr>
          <w:rFonts w:ascii="Times New Roman" w:hAnsi="Times New Roman" w:cs="Times New Roman" w:eastAsia="Times New Roman"/>
          <w:b/>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Godecke, J.E., 2025. Strategic business model innovation in the electric vehicle charging industry: an analysis of charge point operators in Europe</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assessing concepts of business model innovation.</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Gupta, S., Jha, B. and Dawar, G., 2025. An Integrated Pythagorean Fuzzy Delphi-AHP Framework for Optimizing Foreign Direct Investment: Key Drivers for Success. Annals of Data Science, pp.1-37.</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Hassani, A., Khatab, O.M.E.H., Aazami, A. and Kummer, S., 2026. Electromobility in Developing Countries: Economic, Infrastructural, and Policy Challenges. </w:t>
      </w:r>
      <w:r>
        <w:rPr>
          <w:rFonts w:ascii="Times New Roman" w:hAnsi="Times New Roman" w:cs="Times New Roman" w:eastAsia="Times New Roman"/>
          <w:i/>
          <w:color w:val="000000"/>
          <w:spacing w:val="0"/>
          <w:position w:val="0"/>
          <w:sz w:val="24"/>
          <w:shd w:fill="auto" w:val="clear"/>
        </w:rPr>
        <w:t xml:space="preserve">Future Transportation</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6</w:t>
      </w:r>
      <w:r>
        <w:rPr>
          <w:rFonts w:ascii="Times New Roman" w:hAnsi="Times New Roman" w:cs="Times New Roman" w:eastAsia="Times New Roman"/>
          <w:color w:val="000000"/>
          <w:spacing w:val="0"/>
          <w:position w:val="0"/>
          <w:sz w:val="24"/>
          <w:shd w:fill="auto" w:val="clear"/>
        </w:rPr>
        <w:t xml:space="preserve">(1), p.9.</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Holmes Jr, R.M., Zahra, S.A., Hoskisson, R.E., DeGhetto, K. and Sutton, T., 2016. Two-way streets: The role of institutions and technology policy in firms’ corporate entrepreneurship and political strategies. Academy of Management Perspectives, 30(3), pp.247-272.</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Iqbal, A., Qadir, U. and Siddique, O., 2020. Analysis of non-tariff measure in automotive sector of Pakistan. Pakistan Institute of Development Economics (PIDE).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Jawahdou, A., 2025. The Role of FDI in Accelerating Technology Transfer in Emerging Economies: A Comparative Study of China and Argentina.</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Joshi, R. and Arundhathi, 2025. The aspirational shift of urban transport infrastructure: the emerging mobility transition in India. Journal of Environmental Policy &amp; Planning, pp.1-15.</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Jovanovic, M.N., 2025. Spatial Location of Firms and Industries: An Overview of Theory and Practice V2. 0.</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Khaleel, M., Nassar, Y., El-Khozondar, H.J., Elmnifi, M., Rajab, Z., Yaghoubi, E. and Yaghoubi, E., 2024. Electric vehicles in China, Europe, and the United States: Current trend and market comparison. </w:t>
      </w:r>
      <w:r>
        <w:rPr>
          <w:rFonts w:ascii="Times New Roman" w:hAnsi="Times New Roman" w:cs="Times New Roman" w:eastAsia="Times New Roman"/>
          <w:i/>
          <w:color w:val="000000"/>
          <w:spacing w:val="0"/>
          <w:position w:val="0"/>
          <w:sz w:val="24"/>
          <w:shd w:fill="auto" w:val="clear"/>
        </w:rPr>
        <w:t xml:space="preserve">Int. J. Electr. Eng. and Sustain.</w:t>
      </w:r>
      <w:r>
        <w:rPr>
          <w:rFonts w:ascii="Times New Roman" w:hAnsi="Times New Roman" w:cs="Times New Roman" w:eastAsia="Times New Roman"/>
          <w:color w:val="000000"/>
          <w:spacing w:val="0"/>
          <w:position w:val="0"/>
          <w:sz w:val="24"/>
          <w:shd w:fill="auto" w:val="clear"/>
        </w:rPr>
        <w:t xml:space="preserve">, pp.1-20.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Kilicoglu, H. and Tricoli, P., 2023. Technical review and survey of future trends of power converters for fast-charging stations of electric vehicles. </w:t>
      </w:r>
      <w:r>
        <w:rPr>
          <w:rFonts w:ascii="Times New Roman" w:hAnsi="Times New Roman" w:cs="Times New Roman" w:eastAsia="Times New Roman"/>
          <w:i/>
          <w:color w:val="000000"/>
          <w:spacing w:val="0"/>
          <w:position w:val="0"/>
          <w:sz w:val="24"/>
          <w:shd w:fill="auto" w:val="clear"/>
        </w:rPr>
        <w:t xml:space="preserve">Energies</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16</w:t>
      </w:r>
      <w:r>
        <w:rPr>
          <w:rFonts w:ascii="Times New Roman" w:hAnsi="Times New Roman" w:cs="Times New Roman" w:eastAsia="Times New Roman"/>
          <w:color w:val="000000"/>
          <w:spacing w:val="0"/>
          <w:position w:val="0"/>
          <w:sz w:val="24"/>
          <w:shd w:fill="auto" w:val="clear"/>
        </w:rPr>
        <w:t xml:space="preserve">(13), p.5204.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Kousa, M., 2025. Impact of Lithium Carbonate Spot Price Fluctuations on Electric Vehicle Sales: Comparing Emerging And Developed Markets.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Lang, J.W., Reber, B. and Aldori, H., 2021. How Tesla created advantages in the ev automotive paradigm, through an integrated business model of value capture and value creation. </w:t>
      </w:r>
      <w:r>
        <w:rPr>
          <w:rFonts w:ascii="Times New Roman" w:hAnsi="Times New Roman" w:cs="Times New Roman" w:eastAsia="Times New Roman"/>
          <w:i/>
          <w:color w:val="000000"/>
          <w:spacing w:val="0"/>
          <w:position w:val="0"/>
          <w:sz w:val="24"/>
          <w:shd w:fill="auto" w:val="clear"/>
        </w:rPr>
        <w:t xml:space="preserve">Business &amp; Management Studies: An International Journal</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9</w:t>
      </w:r>
      <w:r>
        <w:rPr>
          <w:rFonts w:ascii="Times New Roman" w:hAnsi="Times New Roman" w:cs="Times New Roman" w:eastAsia="Times New Roman"/>
          <w:color w:val="000000"/>
          <w:spacing w:val="0"/>
          <w:position w:val="0"/>
          <w:sz w:val="24"/>
          <w:shd w:fill="auto" w:val="clear"/>
        </w:rPr>
        <w:t xml:space="preserve">(1), pp.385-404.</w:t>
      </w:r>
      <w:r>
        <w:rPr>
          <w:rFonts w:ascii="Times New Roman" w:hAnsi="Times New Roman" w:cs="Times New Roman" w:eastAsia="Times New Roman"/>
          <w:b/>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Leong, W.Y., 2025, November. Electric Vehicle Charging Network Optimization Based on Renewable Energy Availability in Malaysia. In </w:t>
      </w:r>
      <w:r>
        <w:rPr>
          <w:rFonts w:ascii="Times New Roman" w:hAnsi="Times New Roman" w:cs="Times New Roman" w:eastAsia="Times New Roman"/>
          <w:i/>
          <w:color w:val="000000"/>
          <w:spacing w:val="0"/>
          <w:position w:val="0"/>
          <w:sz w:val="24"/>
          <w:shd w:fill="auto" w:val="clear"/>
        </w:rPr>
        <w:t xml:space="preserve">2025 Asia Meeting on Environment and Electrical Engineering (EEE-AM)</w:t>
      </w:r>
      <w:r>
        <w:rPr>
          <w:rFonts w:ascii="Times New Roman" w:hAnsi="Times New Roman" w:cs="Times New Roman" w:eastAsia="Times New Roman"/>
          <w:color w:val="000000"/>
          <w:spacing w:val="0"/>
          <w:position w:val="0"/>
          <w:sz w:val="24"/>
          <w:shd w:fill="auto" w:val="clear"/>
        </w:rPr>
        <w:t xml:space="preserve"> (pp. 1-6). IEEE.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Li, S., Zhu, X., Ma, Y., Zhang, F. and Zhou, H., 2022. The role of government in the market for electric vehicles: Evidence from China. </w:t>
      </w:r>
      <w:r>
        <w:rPr>
          <w:rFonts w:ascii="Times New Roman" w:hAnsi="Times New Roman" w:cs="Times New Roman" w:eastAsia="Times New Roman"/>
          <w:i/>
          <w:color w:val="000000"/>
          <w:spacing w:val="0"/>
          <w:position w:val="0"/>
          <w:sz w:val="24"/>
          <w:shd w:fill="auto" w:val="clear"/>
        </w:rPr>
        <w:t xml:space="preserve">Journal of Policy Analysis and Management</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41</w:t>
      </w:r>
      <w:r>
        <w:rPr>
          <w:rFonts w:ascii="Times New Roman" w:hAnsi="Times New Roman" w:cs="Times New Roman" w:eastAsia="Times New Roman"/>
          <w:color w:val="000000"/>
          <w:spacing w:val="0"/>
          <w:position w:val="0"/>
          <w:sz w:val="24"/>
          <w:shd w:fill="auto" w:val="clear"/>
        </w:rPr>
        <w:t xml:space="preserve">(2), pp.450-485.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Li, Y., Guan, C., Purwanto, A.J., Chen, B. and Zhao, Y., 2025. Distribution of the ASEAN battery electric vehicle production network: Mapping the interplay of endowments, policies, and global integration. </w:t>
      </w:r>
      <w:r>
        <w:rPr>
          <w:rFonts w:ascii="Times New Roman" w:hAnsi="Times New Roman" w:cs="Times New Roman" w:eastAsia="Times New Roman"/>
          <w:i/>
          <w:color w:val="000000"/>
          <w:spacing w:val="0"/>
          <w:position w:val="0"/>
          <w:sz w:val="24"/>
          <w:shd w:fill="auto" w:val="clear"/>
        </w:rPr>
        <w:t xml:space="preserve">Energy for Sustainable Development</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85</w:t>
      </w:r>
      <w:r>
        <w:rPr>
          <w:rFonts w:ascii="Times New Roman" w:hAnsi="Times New Roman" w:cs="Times New Roman" w:eastAsia="Times New Roman"/>
          <w:color w:val="000000"/>
          <w:spacing w:val="0"/>
          <w:position w:val="0"/>
          <w:sz w:val="24"/>
          <w:shd w:fill="auto" w:val="clear"/>
        </w:rPr>
        <w:t xml:space="preserve">, p.101649.</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Mendez Parra, M., Agarwal, P., Luke, D., Vutula, N., Magooa, A., El-Aidi, I., Parshotam, A., Iacovou, E. and Chapman, F., 2025. </w:t>
      </w:r>
      <w:r>
        <w:rPr>
          <w:rFonts w:ascii="Times New Roman" w:hAnsi="Times New Roman" w:cs="Times New Roman" w:eastAsia="Times New Roman"/>
          <w:i/>
          <w:color w:val="000000"/>
          <w:spacing w:val="0"/>
          <w:position w:val="0"/>
          <w:sz w:val="24"/>
          <w:shd w:fill="auto" w:val="clear"/>
        </w:rPr>
        <w:t xml:space="preserve">Impact of geopolitical dynamics on global trade: the case of the African automotives sector</w:t>
      </w:r>
      <w:r>
        <w:rPr>
          <w:rFonts w:ascii="Times New Roman" w:hAnsi="Times New Roman" w:cs="Times New Roman" w:eastAsia="Times New Roman"/>
          <w:color w:val="000000"/>
          <w:spacing w:val="0"/>
          <w:position w:val="0"/>
          <w:sz w:val="24"/>
          <w:shd w:fill="auto" w:val="clear"/>
        </w:rPr>
        <w:t xml:space="preserve">. ODI Global Report.</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Meskine, S., El Asri, H. and Al-Majeed, S., 2025. Investigating Barriers to EV Adoption in Morocco: Insights from an Emerging Economy. </w:t>
      </w:r>
      <w:r>
        <w:rPr>
          <w:rFonts w:ascii="Times New Roman" w:hAnsi="Times New Roman" w:cs="Times New Roman" w:eastAsia="Times New Roman"/>
          <w:i/>
          <w:color w:val="000000"/>
          <w:spacing w:val="0"/>
          <w:position w:val="0"/>
          <w:sz w:val="24"/>
          <w:shd w:fill="auto" w:val="clear"/>
        </w:rPr>
        <w:t xml:space="preserve">World Electric Vehicle Journal</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16</w:t>
      </w:r>
      <w:r>
        <w:rPr>
          <w:rFonts w:ascii="Times New Roman" w:hAnsi="Times New Roman" w:cs="Times New Roman" w:eastAsia="Times New Roman"/>
          <w:color w:val="000000"/>
          <w:spacing w:val="0"/>
          <w:position w:val="0"/>
          <w:sz w:val="24"/>
          <w:shd w:fill="auto" w:val="clear"/>
        </w:rPr>
        <w:t xml:space="preserve">(12), p.672.</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Meszaros, F., Shatanawi, M. and Ogunkunbi, G.A., 2021. Challenges of the electric vehicle markets in emerging economies. </w:t>
      </w:r>
      <w:r>
        <w:rPr>
          <w:rFonts w:ascii="Times New Roman" w:hAnsi="Times New Roman" w:cs="Times New Roman" w:eastAsia="Times New Roman"/>
          <w:i/>
          <w:color w:val="000000"/>
          <w:spacing w:val="0"/>
          <w:position w:val="0"/>
          <w:sz w:val="24"/>
          <w:shd w:fill="auto" w:val="clear"/>
        </w:rPr>
        <w:t xml:space="preserve">Periodica Polytechnica Transportation Engineering</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49</w:t>
      </w:r>
      <w:r>
        <w:rPr>
          <w:rFonts w:ascii="Times New Roman" w:hAnsi="Times New Roman" w:cs="Times New Roman" w:eastAsia="Times New Roman"/>
          <w:color w:val="000000"/>
          <w:spacing w:val="0"/>
          <w:position w:val="0"/>
          <w:sz w:val="24"/>
          <w:shd w:fill="auto" w:val="clear"/>
        </w:rPr>
        <w:t xml:space="preserve">(1), pp.93-101.</w:t>
      </w:r>
      <w:r>
        <w:rPr>
          <w:rFonts w:ascii="Times New Roman" w:hAnsi="Times New Roman" w:cs="Times New Roman" w:eastAsia="Times New Roman"/>
          <w:b/>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Muzir, N.A.Q., Mojumder, M.R.H., Hasanuzzaman, M. and Selvaraj, J., 2022. Challenges of electric vehicles and their prospects in Malaysia: A comprehensive review. Sustainability, 14(14), p.8320.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Naor, M., Coman, A. and Wiznizer, A., 2021. Vertically integrated supply chain of batteries, electric vehicles, and charging infrastructure: A review of three milestone projects from theory of constraints perspective. </w:t>
      </w:r>
      <w:r>
        <w:rPr>
          <w:rFonts w:ascii="Times New Roman" w:hAnsi="Times New Roman" w:cs="Times New Roman" w:eastAsia="Times New Roman"/>
          <w:i/>
          <w:color w:val="000000"/>
          <w:spacing w:val="0"/>
          <w:position w:val="0"/>
          <w:sz w:val="24"/>
          <w:shd w:fill="auto" w:val="clear"/>
        </w:rPr>
        <w:t xml:space="preserve">Sustainability</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13</w:t>
      </w:r>
      <w:r>
        <w:rPr>
          <w:rFonts w:ascii="Times New Roman" w:hAnsi="Times New Roman" w:cs="Times New Roman" w:eastAsia="Times New Roman"/>
          <w:color w:val="000000"/>
          <w:spacing w:val="0"/>
          <w:position w:val="0"/>
          <w:sz w:val="24"/>
          <w:shd w:fill="auto" w:val="clear"/>
        </w:rPr>
        <w:t xml:space="preserve">(7), p.3632.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NG, L.K., 2024. Internationalization of Firms: Assessing Liability of Foreignness in China's Electric Vehicle Industry. Asian Journal of Business Environment, 14(4), pp.1-11.</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Nizam, D., 2020. </w:t>
      </w:r>
      <w:r>
        <w:rPr>
          <w:rFonts w:ascii="Times New Roman" w:hAnsi="Times New Roman" w:cs="Times New Roman" w:eastAsia="Times New Roman"/>
          <w:i/>
          <w:color w:val="000000"/>
          <w:spacing w:val="0"/>
          <w:position w:val="0"/>
          <w:sz w:val="24"/>
          <w:shd w:fill="auto" w:val="clear"/>
        </w:rPr>
        <w:t xml:space="preserve">Automotive sector and situation in Turkey</w:t>
      </w:r>
      <w:r>
        <w:rPr>
          <w:rFonts w:ascii="Times New Roman" w:hAnsi="Times New Roman" w:cs="Times New Roman" w:eastAsia="Times New Roman"/>
          <w:color w:val="000000"/>
          <w:spacing w:val="0"/>
          <w:position w:val="0"/>
          <w:sz w:val="24"/>
          <w:shd w:fill="auto" w:val="clear"/>
        </w:rPr>
        <w:t xml:space="preserve"> (Doctoral dissertation, Politecnico di Torino).</w:t>
      </w:r>
      <w:r>
        <w:rPr>
          <w:rFonts w:ascii="Times New Roman" w:hAnsi="Times New Roman" w:cs="Times New Roman" w:eastAsia="Times New Roman"/>
          <w:b/>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Nomani, A., Rithi, S.R. and Negi, R., 2025. Mapping the Foreign Investments (OFDI) from emerging economies toward developed nations: a consequential convergence of investment outflows and the oli paradigm. Thunderbird International Business Review, 67(4), pp.431-448.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Nwankwo, C.O. and Etukudoh, E.A., 2024. Exploring sustainable and efficient supply chains innovative models for electric vehicle parts distribution. </w:t>
      </w:r>
      <w:r>
        <w:rPr>
          <w:rFonts w:ascii="Times New Roman" w:hAnsi="Times New Roman" w:cs="Times New Roman" w:eastAsia="Times New Roman"/>
          <w:i/>
          <w:color w:val="000000"/>
          <w:spacing w:val="0"/>
          <w:position w:val="0"/>
          <w:sz w:val="24"/>
          <w:shd w:fill="auto" w:val="clear"/>
        </w:rPr>
        <w:t xml:space="preserve">Int. J. Adv. Multi. Res. and Studies</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4</w:t>
      </w:r>
      <w:r>
        <w:rPr>
          <w:rFonts w:ascii="Times New Roman" w:hAnsi="Times New Roman" w:cs="Times New Roman" w:eastAsia="Times New Roman"/>
          <w:color w:val="000000"/>
          <w:spacing w:val="0"/>
          <w:position w:val="0"/>
          <w:sz w:val="24"/>
          <w:shd w:fill="auto" w:val="clear"/>
        </w:rPr>
        <w:t xml:space="preserve">(3), pp.238-243.</w:t>
      </w:r>
      <w:r>
        <w:rPr>
          <w:rFonts w:ascii="Times New Roman" w:hAnsi="Times New Roman" w:cs="Times New Roman" w:eastAsia="Times New Roman"/>
          <w:b/>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ongesa, T., 2026. Strategic Thinking and Entrepreneurial Orientation as Drivers of Adaptive Resilience in Global Manufacturing SMEs: A Narrative Review of Dynamic Capabilities and Cross-Context Variations. </w:t>
      </w:r>
      <w:r>
        <w:rPr>
          <w:rFonts w:ascii="Times New Roman" w:hAnsi="Times New Roman" w:cs="Times New Roman" w:eastAsia="Times New Roman"/>
          <w:i/>
          <w:color w:val="000000"/>
          <w:spacing w:val="0"/>
          <w:position w:val="0"/>
          <w:sz w:val="24"/>
          <w:shd w:fill="auto" w:val="clear"/>
        </w:rPr>
        <w:t xml:space="preserve">F1000Research</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15</w:t>
      </w:r>
      <w:r>
        <w:rPr>
          <w:rFonts w:ascii="Times New Roman" w:hAnsi="Times New Roman" w:cs="Times New Roman" w:eastAsia="Times New Roman"/>
          <w:color w:val="000000"/>
          <w:spacing w:val="0"/>
          <w:position w:val="0"/>
          <w:sz w:val="24"/>
          <w:shd w:fill="auto" w:val="clear"/>
        </w:rPr>
        <w:t xml:space="preserve">, p.344.</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Radu, L.D., Popescul, D. and Georgescu, M.R., 2026. Retrospection on E-Commerce: An Updated Bibliometric Analysis. Journal of Theoretical and Applied Electronic Commerce Research, 21(2), p.46.</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Rahmatullah, R. and Mubarok, H., 2025. The Urgency of Education Management Information System in Managing Educational Institution Data. </w:t>
      </w:r>
      <w:r>
        <w:rPr>
          <w:rFonts w:ascii="Times New Roman" w:hAnsi="Times New Roman" w:cs="Times New Roman" w:eastAsia="Times New Roman"/>
          <w:i/>
          <w:color w:val="000000"/>
          <w:spacing w:val="0"/>
          <w:position w:val="0"/>
          <w:sz w:val="24"/>
          <w:shd w:fill="auto" w:val="clear"/>
        </w:rPr>
        <w:t xml:space="preserve">International Journal of Management, Innovation, and Education</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3</w:t>
      </w:r>
      <w:r>
        <w:rPr>
          <w:rFonts w:ascii="Times New Roman" w:hAnsi="Times New Roman" w:cs="Times New Roman" w:eastAsia="Times New Roman"/>
          <w:color w:val="000000"/>
          <w:spacing w:val="0"/>
          <w:position w:val="0"/>
          <w:sz w:val="24"/>
          <w:shd w:fill="auto" w:val="clear"/>
        </w:rPr>
        <w:t xml:space="preserve">(1), pp.013-017.</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Šebeňa, M., Němečkov</w:t>
      </w:r>
      <w:r>
        <w:rPr>
          <w:rFonts w:ascii="Times New Roman" w:hAnsi="Times New Roman" w:cs="Times New Roman" w:eastAsia="Times New Roman"/>
          <w:color w:val="000000"/>
          <w:spacing w:val="0"/>
          <w:position w:val="0"/>
          <w:sz w:val="24"/>
          <w:shd w:fill="auto" w:val="clear"/>
        </w:rPr>
        <w:t xml:space="preserve">á, K., Pop</w:t>
      </w:r>
      <w:r>
        <w:rPr>
          <w:rFonts w:ascii="Times New Roman" w:hAnsi="Times New Roman" w:cs="Times New Roman" w:eastAsia="Times New Roman"/>
          <w:color w:val="000000"/>
          <w:spacing w:val="0"/>
          <w:position w:val="0"/>
          <w:sz w:val="24"/>
          <w:shd w:fill="auto" w:val="clear"/>
        </w:rPr>
        <w:t xml:space="preserve">ławski, K., Szunom</w:t>
      </w:r>
      <w:r>
        <w:rPr>
          <w:rFonts w:ascii="Times New Roman" w:hAnsi="Times New Roman" w:cs="Times New Roman" w:eastAsia="Times New Roman"/>
          <w:color w:val="000000"/>
          <w:spacing w:val="0"/>
          <w:position w:val="0"/>
          <w:sz w:val="24"/>
          <w:shd w:fill="auto" w:val="clear"/>
        </w:rPr>
        <w:t xml:space="preserve">ár, Á., Blablová, V., Kovács, M., Kurtyka, B., </w:t>
      </w:r>
      <w:r>
        <w:rPr>
          <w:rFonts w:ascii="Times New Roman" w:hAnsi="Times New Roman" w:cs="Times New Roman" w:eastAsia="Times New Roman"/>
          <w:color w:val="000000"/>
          <w:spacing w:val="0"/>
          <w:position w:val="0"/>
          <w:sz w:val="24"/>
          <w:shd w:fill="auto" w:val="clear"/>
        </w:rPr>
        <w:t xml:space="preserve">Šebok, F. and Turcs</w:t>
      </w:r>
      <w:r>
        <w:rPr>
          <w:rFonts w:ascii="Times New Roman" w:hAnsi="Times New Roman" w:cs="Times New Roman" w:eastAsia="Times New Roman"/>
          <w:color w:val="000000"/>
          <w:spacing w:val="0"/>
          <w:position w:val="0"/>
          <w:sz w:val="24"/>
          <w:shd w:fill="auto" w:val="clear"/>
        </w:rPr>
        <w:t xml:space="preserve">ányi, R., 2025. Central Europe-East Asia EV nexus: Tracking Chinese, South Korean and Japanese electric vehicle and battery investment in the V4 countries.</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Setiyo, M., Setiawan, I.C. and Peeie, M.H.B., 2025. Research Trends of Electric Vehicles (EVs) in Indonesia, Malaysia, and Thailand: A Quick Analysis using Bibliometric. </w:t>
      </w:r>
      <w:r>
        <w:rPr>
          <w:rFonts w:ascii="Times New Roman" w:hAnsi="Times New Roman" w:cs="Times New Roman" w:eastAsia="Times New Roman"/>
          <w:i/>
          <w:color w:val="000000"/>
          <w:spacing w:val="0"/>
          <w:position w:val="0"/>
          <w:sz w:val="24"/>
          <w:shd w:fill="FFFFFF" w:val="clear"/>
        </w:rPr>
        <w:t xml:space="preserve">Automotive Experiences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8</w:t>
      </w:r>
      <w:r>
        <w:rPr>
          <w:rFonts w:ascii="Times New Roman" w:hAnsi="Times New Roman" w:cs="Times New Roman" w:eastAsia="Times New Roman"/>
          <w:color w:val="000000"/>
          <w:spacing w:val="0"/>
          <w:position w:val="0"/>
          <w:sz w:val="24"/>
          <w:shd w:fill="FFFFFF" w:val="clear"/>
        </w:rPr>
        <w:t xml:space="preserve">(1), pp.1-8.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Shah, A., Al Mahmood, A. and Kabir, S., 2025. Accelerating the Transition: Ultra-Fast Charging Infrastructure and US Global Competitiveness in Electric Mobility. </w:t>
      </w:r>
      <w:r>
        <w:rPr>
          <w:rFonts w:ascii="Times New Roman" w:hAnsi="Times New Roman" w:cs="Times New Roman" w:eastAsia="Times New Roman"/>
          <w:i/>
          <w:color w:val="000000"/>
          <w:spacing w:val="0"/>
          <w:position w:val="0"/>
          <w:sz w:val="24"/>
          <w:shd w:fill="auto" w:val="clear"/>
        </w:rPr>
        <w:t xml:space="preserve">Journal of Business and Management Studies</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7</w:t>
      </w:r>
      <w:r>
        <w:rPr>
          <w:rFonts w:ascii="Times New Roman" w:hAnsi="Times New Roman" w:cs="Times New Roman" w:eastAsia="Times New Roman"/>
          <w:color w:val="000000"/>
          <w:spacing w:val="0"/>
          <w:position w:val="0"/>
          <w:sz w:val="24"/>
          <w:shd w:fill="auto" w:val="clear"/>
        </w:rPr>
        <w:t xml:space="preserve">(10), pp.51-61.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Shah, M.A., 2024. A systematic review of electric vehicle innovations and implementation barriers. Journal of Engineering and Computational Intelligence Review, 2(1), pp.18-26.</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Shamsuddoha, M. and Nasir, T., 2025. The road ahead for hybrid or electric vehicles in developing countries: market growth, infrastructure, and policy needs. </w:t>
      </w:r>
      <w:r>
        <w:rPr>
          <w:rFonts w:ascii="Times New Roman" w:hAnsi="Times New Roman" w:cs="Times New Roman" w:eastAsia="Times New Roman"/>
          <w:i/>
          <w:color w:val="000000"/>
          <w:spacing w:val="0"/>
          <w:position w:val="0"/>
          <w:sz w:val="24"/>
          <w:shd w:fill="auto" w:val="clear"/>
        </w:rPr>
        <w:t xml:space="preserve">World Electric Vehicle Journal</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16</w:t>
      </w:r>
      <w:r>
        <w:rPr>
          <w:rFonts w:ascii="Times New Roman" w:hAnsi="Times New Roman" w:cs="Times New Roman" w:eastAsia="Times New Roman"/>
          <w:color w:val="000000"/>
          <w:spacing w:val="0"/>
          <w:position w:val="0"/>
          <w:sz w:val="24"/>
          <w:shd w:fill="auto" w:val="clear"/>
        </w:rPr>
        <w:t xml:space="preserve">(3), p.180.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Sinitsina, A.E., 2025. Leveraging Customer Experience for Competitive Differentiation in Electric Vehicle DC Fast Charging Services.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Sovacool, B.K., Kester, J., Noel, L. and de Rubens, G.Z., 2019. Income, political affiliation, urbanism and geography in stated preferences for electric vehicles (EVs) and vehicle-to-grid (V2G) technologies in Northern Europe. </w:t>
      </w:r>
      <w:r>
        <w:rPr>
          <w:rFonts w:ascii="Times New Roman" w:hAnsi="Times New Roman" w:cs="Times New Roman" w:eastAsia="Times New Roman"/>
          <w:i/>
          <w:color w:val="000000"/>
          <w:spacing w:val="0"/>
          <w:position w:val="0"/>
          <w:sz w:val="24"/>
          <w:shd w:fill="auto" w:val="clear"/>
        </w:rPr>
        <w:t xml:space="preserve">Journal of Transport Geography</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78</w:t>
      </w:r>
      <w:r>
        <w:rPr>
          <w:rFonts w:ascii="Times New Roman" w:hAnsi="Times New Roman" w:cs="Times New Roman" w:eastAsia="Times New Roman"/>
          <w:color w:val="000000"/>
          <w:spacing w:val="0"/>
          <w:position w:val="0"/>
          <w:sz w:val="24"/>
          <w:shd w:fill="auto" w:val="clear"/>
        </w:rPr>
        <w:t xml:space="preserve">, pp.214-229.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Surianta, A., 2025. When do Technology Transfer Policies Work?: Exploring the Indonesian Case (Doctoral dissertation, The Australian National University (Australia)).</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Teng, L. and Jiao, Z., 2025. Navigating Dual Policy Pressures: How Carbon Cap-and-Trade and Tariffs Reshape Global Manufacturing Strategies.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Thuy, T.T.T., 2024. </w:t>
      </w:r>
      <w:r>
        <w:rPr>
          <w:rFonts w:ascii="Times New Roman" w:hAnsi="Times New Roman" w:cs="Times New Roman" w:eastAsia="Times New Roman"/>
          <w:i/>
          <w:color w:val="000000"/>
          <w:spacing w:val="0"/>
          <w:position w:val="0"/>
          <w:sz w:val="24"/>
          <w:shd w:fill="auto" w:val="clear"/>
        </w:rPr>
        <w:t xml:space="preserve">Key Adoption Drivers for Electric Vehicles in Vietnam</w:t>
      </w:r>
      <w:r>
        <w:rPr>
          <w:rFonts w:ascii="Times New Roman" w:hAnsi="Times New Roman" w:cs="Times New Roman" w:eastAsia="Times New Roman"/>
          <w:color w:val="000000"/>
          <w:spacing w:val="0"/>
          <w:position w:val="0"/>
          <w:sz w:val="24"/>
          <w:shd w:fill="auto" w:val="clear"/>
        </w:rPr>
        <w:t xml:space="preserve"> (Doctoral dissertation, </w:t>
      </w:r>
      <w:r>
        <w:rPr>
          <w:rFonts w:ascii="Malgun Gothic" w:hAnsi="Malgun Gothic" w:cs="Malgun Gothic" w:eastAsia="Malgun Gothic"/>
          <w:color w:val="000000"/>
          <w:spacing w:val="0"/>
          <w:position w:val="0"/>
          <w:sz w:val="24"/>
          <w:shd w:fill="auto" w:val="clear"/>
        </w:rPr>
        <w:t xml:space="preserve">서울대학교</w:t>
      </w:r>
      <w:r>
        <w:rPr>
          <w:rFonts w:ascii="Times New Roman" w:hAnsi="Times New Roman" w:cs="Times New Roman" w:eastAsia="Times New Roman"/>
          <w:color w:val="000000"/>
          <w:spacing w:val="0"/>
          <w:position w:val="0"/>
          <w:sz w:val="24"/>
          <w:shd w:fill="auto" w:val="clear"/>
        </w:rPr>
        <w:t xml:space="preserve"> </w:t>
      </w:r>
      <w:r>
        <w:rPr>
          <w:rFonts w:ascii="Malgun Gothic" w:hAnsi="Malgun Gothic" w:cs="Malgun Gothic" w:eastAsia="Malgun Gothic"/>
          <w:color w:val="000000"/>
          <w:spacing w:val="0"/>
          <w:position w:val="0"/>
          <w:sz w:val="24"/>
          <w:shd w:fill="auto" w:val="clear"/>
        </w:rPr>
        <w:t xml:space="preserve">대학원</w:t>
      </w: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Veza, I., Abas, M.A., Djamari, D.W., Tamaldin, N., Endrasari, F., Budiman, B.A., Idris, M., Opia, A.C., Juangsa, F.B. and Aziz, M., 2022. Electric vehicles in Malaysia and Indonesia: Opportunities and challenges. </w:t>
      </w:r>
      <w:r>
        <w:rPr>
          <w:rFonts w:ascii="Times New Roman" w:hAnsi="Times New Roman" w:cs="Times New Roman" w:eastAsia="Times New Roman"/>
          <w:i/>
          <w:color w:val="000000"/>
          <w:spacing w:val="0"/>
          <w:position w:val="0"/>
          <w:sz w:val="24"/>
          <w:shd w:fill="FFFFFF" w:val="clear"/>
        </w:rPr>
        <w:t xml:space="preserve">Energies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15</w:t>
      </w:r>
      <w:r>
        <w:rPr>
          <w:rFonts w:ascii="Times New Roman" w:hAnsi="Times New Roman" w:cs="Times New Roman" w:eastAsia="Times New Roman"/>
          <w:color w:val="000000"/>
          <w:spacing w:val="0"/>
          <w:position w:val="0"/>
          <w:sz w:val="24"/>
          <w:shd w:fill="FFFFFF" w:val="clear"/>
        </w:rPr>
        <w:t xml:space="preserve">(7), p.2564.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Wu, Y. and Wang, S., 2021. Sustainable market entry strategy under a supply chain environment. </w:t>
      </w:r>
      <w:r>
        <w:rPr>
          <w:rFonts w:ascii="Times New Roman" w:hAnsi="Times New Roman" w:cs="Times New Roman" w:eastAsia="Times New Roman"/>
          <w:i/>
          <w:color w:val="000000"/>
          <w:spacing w:val="0"/>
          <w:position w:val="0"/>
          <w:sz w:val="24"/>
          <w:shd w:fill="auto" w:val="clear"/>
        </w:rPr>
        <w:t xml:space="preserve">Sustainability</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13</w:t>
      </w:r>
      <w:r>
        <w:rPr>
          <w:rFonts w:ascii="Times New Roman" w:hAnsi="Times New Roman" w:cs="Times New Roman" w:eastAsia="Times New Roman"/>
          <w:color w:val="000000"/>
          <w:spacing w:val="0"/>
          <w:position w:val="0"/>
          <w:sz w:val="24"/>
          <w:shd w:fill="auto" w:val="clear"/>
        </w:rPr>
        <w:t xml:space="preserve">(6), p.3046.</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Xiao, Y., 2025. A Case-study on Tesla Inc. Based on the Value Chain Theory. </w:t>
      </w:r>
      <w:r>
        <w:rPr>
          <w:rFonts w:ascii="Times New Roman" w:hAnsi="Times New Roman" w:cs="Times New Roman" w:eastAsia="Times New Roman"/>
          <w:i/>
          <w:color w:val="000000"/>
          <w:spacing w:val="0"/>
          <w:position w:val="0"/>
          <w:sz w:val="24"/>
          <w:shd w:fill="auto" w:val="clear"/>
        </w:rPr>
        <w:t xml:space="preserve">Academic Journal of Business &amp; Management</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7</w:t>
      </w:r>
      <w:r>
        <w:rPr>
          <w:rFonts w:ascii="Times New Roman" w:hAnsi="Times New Roman" w:cs="Times New Roman" w:eastAsia="Times New Roman"/>
          <w:color w:val="000000"/>
          <w:spacing w:val="0"/>
          <w:position w:val="0"/>
          <w:sz w:val="24"/>
          <w:shd w:fill="auto" w:val="clear"/>
        </w:rPr>
        <w:t xml:space="preserve">(10), pp.35-40.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Xin, C., 2025. From China to the World BYD’s Distinctive Path to Internationalization in the NEV Market. Journal of Asian Management Studies, 31, pp.3-28.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Xue, C., Zhou, H., Wu, Q., Wu, X. and Xu, X., 2021. Impact of incentive policies and other socio-economic factors on electric vehicle market share: A panel data analysis from the 20 countries. </w:t>
      </w:r>
      <w:r>
        <w:rPr>
          <w:rFonts w:ascii="Times New Roman" w:hAnsi="Times New Roman" w:cs="Times New Roman" w:eastAsia="Times New Roman"/>
          <w:i/>
          <w:color w:val="000000"/>
          <w:spacing w:val="0"/>
          <w:position w:val="0"/>
          <w:sz w:val="24"/>
          <w:shd w:fill="auto" w:val="clear"/>
        </w:rPr>
        <w:t xml:space="preserve">Sustainability</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13</w:t>
      </w:r>
      <w:r>
        <w:rPr>
          <w:rFonts w:ascii="Times New Roman" w:hAnsi="Times New Roman" w:cs="Times New Roman" w:eastAsia="Times New Roman"/>
          <w:color w:val="000000"/>
          <w:spacing w:val="0"/>
          <w:position w:val="0"/>
          <w:sz w:val="24"/>
          <w:shd w:fill="auto" w:val="clear"/>
        </w:rPr>
        <w:t xml:space="preserve">(5), p.2928.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Yang, Z., Huang, H. and Lin, F., 2022. Sustainable electric vehicle batteries for a sustainable world: perspectives on battery cathodes, environment, supply chain, manufacturing, life cycle, and policy. </w:t>
      </w:r>
      <w:r>
        <w:rPr>
          <w:rFonts w:ascii="Times New Roman" w:hAnsi="Times New Roman" w:cs="Times New Roman" w:eastAsia="Times New Roman"/>
          <w:i/>
          <w:color w:val="000000"/>
          <w:spacing w:val="0"/>
          <w:position w:val="0"/>
          <w:sz w:val="24"/>
          <w:shd w:fill="auto" w:val="clear"/>
        </w:rPr>
        <w:t xml:space="preserve">Advanced Energy Materials</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12</w:t>
      </w:r>
      <w:r>
        <w:rPr>
          <w:rFonts w:ascii="Times New Roman" w:hAnsi="Times New Roman" w:cs="Times New Roman" w:eastAsia="Times New Roman"/>
          <w:color w:val="000000"/>
          <w:spacing w:val="0"/>
          <w:position w:val="0"/>
          <w:sz w:val="24"/>
          <w:shd w:fill="auto" w:val="clear"/>
        </w:rPr>
        <w:t xml:space="preserve">(26), p.2200383.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Zaiqi, C., Yiheng, L. and Xiaozhe, S., 2026. Can Digital Transformation Serve as a" Spring Board" for the Internationalization of R&amp;D by Chinese Enterprises? An Explanation from the Perspective of the New OLI Theoretical Paradigm. </w:t>
      </w:r>
      <w:r>
        <w:rPr>
          <w:rFonts w:ascii="Times New Roman" w:hAnsi="Times New Roman" w:cs="Times New Roman" w:eastAsia="Times New Roman"/>
          <w:i/>
          <w:color w:val="000000"/>
          <w:spacing w:val="0"/>
          <w:position w:val="0"/>
          <w:sz w:val="24"/>
          <w:shd w:fill="auto" w:val="clear"/>
        </w:rPr>
        <w:t xml:space="preserve">Science &amp; Technology Progress and Policy</w:t>
      </w:r>
      <w:r>
        <w:rPr>
          <w:rFonts w:ascii="Times New Roman" w:hAnsi="Times New Roman" w:cs="Times New Roman" w:eastAsia="Times New Roman"/>
          <w:color w:val="000000"/>
          <w:spacing w:val="0"/>
          <w:position w:val="0"/>
          <w:sz w:val="24"/>
          <w:shd w:fill="auto" w:val="clear"/>
        </w:rPr>
        <w:t xml:space="preserve">, pp.1-11.</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Zentani, A., Almaktoof, A. and Kahn, M.T., 2024. A comprehensive review of developments in electric vehicles fast charging technology. </w:t>
      </w:r>
      <w:r>
        <w:rPr>
          <w:rFonts w:ascii="Times New Roman" w:hAnsi="Times New Roman" w:cs="Times New Roman" w:eastAsia="Times New Roman"/>
          <w:i/>
          <w:color w:val="000000"/>
          <w:spacing w:val="0"/>
          <w:position w:val="0"/>
          <w:sz w:val="24"/>
          <w:shd w:fill="auto" w:val="clear"/>
        </w:rPr>
        <w:t xml:space="preserve">Applied Sciences</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14</w:t>
      </w:r>
      <w:r>
        <w:rPr>
          <w:rFonts w:ascii="Times New Roman" w:hAnsi="Times New Roman" w:cs="Times New Roman" w:eastAsia="Times New Roman"/>
          <w:color w:val="000000"/>
          <w:spacing w:val="0"/>
          <w:position w:val="0"/>
          <w:sz w:val="24"/>
          <w:shd w:fill="auto" w:val="clear"/>
        </w:rPr>
        <w:t xml:space="preserve">(11), p.4728. </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Websites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iea.org (2025), Trends in electric car markets.Accessed from:</w:t>
      </w:r>
      <w:r>
        <w:rPr>
          <w:rFonts w:ascii="Times New Roman" w:hAnsi="Times New Roman" w:cs="Times New Roman" w:eastAsia="Times New Roman"/>
          <w:color w:val="auto"/>
          <w:spacing w:val="0"/>
          <w:position w:val="0"/>
          <w:sz w:val="24"/>
          <w:shd w:fill="auto" w:val="clear"/>
        </w:rPr>
        <w:t xml:space="preserve">https://www.iea.org/reports/global-ev-outlook-2025/trends-in-electric-car-markets-2</w:t>
      </w:r>
      <w:r>
        <w:rPr>
          <w:rFonts w:ascii="Times New Roman" w:hAnsi="Times New Roman" w:cs="Times New Roman" w:eastAsia="Times New Roman"/>
          <w:color w:val="000000"/>
          <w:spacing w:val="0"/>
          <w:position w:val="0"/>
          <w:sz w:val="24"/>
          <w:shd w:fill="auto" w:val="clear"/>
        </w:rPr>
        <w:t xml:space="preserve">[Accessed on: 17.04.2026]</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hyperlink xmlns:r="http://schemas.openxmlformats.org/officeDocument/2006/relationships" r:id="docRId53">
        <w:r>
          <w:rPr>
            <w:rFonts w:ascii="Times New Roman" w:hAnsi="Times New Roman" w:cs="Times New Roman" w:eastAsia="Times New Roman"/>
            <w:color w:val="000000"/>
            <w:spacing w:val="0"/>
            <w:position w:val="0"/>
            <w:sz w:val="24"/>
            <w:u w:val="single"/>
            <w:shd w:fill="auto" w:val="clear"/>
          </w:rPr>
          <w:t xml:space="preserve">statista.com (2026),</w:t>
        </w:r>
        <w:r>
          <w:rPr>
            <w:rFonts w:ascii="Times New Roman" w:hAnsi="Times New Roman" w:cs="Times New Roman" w:eastAsia="Times New Roman"/>
            <w:color w:val="000000"/>
            <w:spacing w:val="0"/>
            <w:position w:val="0"/>
            <w:sz w:val="24"/>
            <w:u w:val="single"/>
            <w:shd w:fill="auto" w:val="clear"/>
          </w:rPr>
          <w:t xml:space="preserve"> HYPERLINK "https://www.statista.com/chart/31486/electric-vehicle-sales-in-india-by-year-and-type/?srsltid=AfmBOoo2HQePTPb10cqg-6qaTlhHu4YdNxs2LWgDeGWoHlfOLrQsC_ZA"</w:t>
        </w:r>
        <w:r>
          <w:rPr>
            <w:rFonts w:ascii="Times New Roman" w:hAnsi="Times New Roman" w:cs="Times New Roman" w:eastAsia="Times New Roman"/>
            <w:color w:val="000000"/>
            <w:spacing w:val="0"/>
            <w:position w:val="0"/>
            <w:sz w:val="24"/>
            <w:u w:val="single"/>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 HYPERLINK "https://www.statista.com/chart/31486/electric-vehicle-sales-in-india-by-year-and-type/?srsltid=AfmBOoo2HQePTPb10cqg-6qaTlhHu4YdNxs2LWgDeGWoHlfOLrQsC_ZA"</w:t>
        </w:r>
        <w:r>
          <w:rPr>
            <w:rFonts w:ascii="Times New Roman" w:hAnsi="Times New Roman" w:cs="Times New Roman" w:eastAsia="Times New Roman"/>
            <w:color w:val="000000"/>
            <w:spacing w:val="0"/>
            <w:position w:val="0"/>
            <w:sz w:val="24"/>
            <w:u w:val="single"/>
            <w:shd w:fill="auto" w:val="clear"/>
          </w:rPr>
          <w:t xml:space="preserve">India's EV Adoption in </w:t>
        </w:r>
        <w:r>
          <w:rPr>
            <w:rFonts w:ascii="Times New Roman" w:hAnsi="Times New Roman" w:cs="Times New Roman" w:eastAsia="Times New Roman"/>
            <w:color w:val="000000"/>
            <w:spacing w:val="0"/>
            <w:position w:val="0"/>
            <w:sz w:val="24"/>
            <w:u w:val="single"/>
            <w:shd w:fill="auto" w:val="clear"/>
          </w:rPr>
          <w:t xml:space="preserve"> HYPERLINK "https://www.statista.com/chart/31486/electric-vehicle-sales-in-india-by-year-and-type/?srsltid=AfmBOoo2HQePTPb10cqg-6qaTlhHu4YdNxs2LWgDeGWoHlfOLrQsC_ZA"</w:t>
        </w:r>
        <w:r>
          <w:rPr>
            <w:rFonts w:ascii="Times New Roman" w:hAnsi="Times New Roman" w:cs="Times New Roman" w:eastAsia="Times New Roman"/>
            <w:color w:val="000000"/>
            <w:spacing w:val="0"/>
            <w:position w:val="0"/>
            <w:sz w:val="24"/>
            <w:u w:val="single"/>
            <w:shd w:fill="auto" w:val="clear"/>
          </w:rPr>
          <w:t xml:space="preserve">Reverse?</w:t>
        </w:r>
      </w:hyperlink>
      <w:r>
        <w:rPr>
          <w:rFonts w:ascii="Times New Roman" w:hAnsi="Times New Roman" w:cs="Times New Roman" w:eastAsia="Times New Roman"/>
          <w:color w:val="000000"/>
          <w:spacing w:val="0"/>
          <w:position w:val="0"/>
          <w:sz w:val="24"/>
          <w:shd w:fill="auto" w:val="clear"/>
        </w:rPr>
        <w:t xml:space="preserve">Accessed from:</w:t>
      </w:r>
      <w:r>
        <w:rPr>
          <w:rFonts w:ascii="Times New Roman" w:hAnsi="Times New Roman" w:cs="Times New Roman" w:eastAsia="Times New Roman"/>
          <w:color w:val="auto"/>
          <w:spacing w:val="0"/>
          <w:position w:val="0"/>
          <w:sz w:val="24"/>
          <w:shd w:fill="auto" w:val="clear"/>
        </w:rPr>
        <w:t xml:space="preserve">https://www.statista.com/chart/31486/electric-vehicle-sales-in-india-by-year-and-type/?srsltid=AfmBOoo2HQePTPb10cqg-6qaTlhHu4YdNxs2LWgDeGWoHlfOLrQsC_ZA</w:t>
      </w:r>
      <w:r>
        <w:rPr>
          <w:rFonts w:ascii="Times New Roman" w:hAnsi="Times New Roman" w:cs="Times New Roman" w:eastAsia="Times New Roman"/>
          <w:color w:val="000000"/>
          <w:spacing w:val="0"/>
          <w:position w:val="0"/>
          <w:sz w:val="24"/>
          <w:shd w:fill="auto" w:val="clear"/>
        </w:rPr>
        <w:t xml:space="preserve">[Accessed on: 17.04.2026]</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hyperlink xmlns:r="http://schemas.openxmlformats.org/officeDocument/2006/relationships" r:id="docRId54">
        <w:r>
          <w:rPr>
            <w:rFonts w:ascii="Times New Roman" w:hAnsi="Times New Roman" w:cs="Times New Roman" w:eastAsia="Times New Roman"/>
            <w:color w:val="000000"/>
            <w:spacing w:val="0"/>
            <w:position w:val="0"/>
            <w:sz w:val="24"/>
            <w:u w:val="single"/>
            <w:shd w:fill="auto" w:val="clear"/>
          </w:rPr>
          <w:t xml:space="preserve">gov.uk (2025</w:t>
        </w:r>
        <w:r>
          <w:rPr>
            <w:rFonts w:ascii="Times New Roman" w:hAnsi="Times New Roman" w:cs="Times New Roman" w:eastAsia="Times New Roman"/>
            <w:color w:val="000000"/>
            <w:spacing w:val="0"/>
            <w:position w:val="0"/>
            <w:sz w:val="24"/>
            <w:u w:val="single"/>
            <w:shd w:fill="auto" w:val="clear"/>
          </w:rPr>
          <w:t xml:space="preserve"> HYPERLINK "https://www.gov.uk/government/publications/clean-power-2030-action-plan/clean-power-2030-action-plan-a-new-era-of-clean-electricity-main-report"</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HYPERLINK "https://www.gov.uk/government/publications/clean-power-2030-action-plan/clean-power-2030-action-plan-a-new-era-of-clean-electricity-main-report"</w:t>
        </w:r>
        <w:r>
          <w:rPr>
            <w:rFonts w:ascii="Times New Roman" w:hAnsi="Times New Roman" w:cs="Times New Roman" w:eastAsia="Times New Roman"/>
            <w:color w:val="000000"/>
            <w:spacing w:val="0"/>
            <w:position w:val="0"/>
            <w:sz w:val="24"/>
            <w:u w:val="single"/>
            <w:shd w:fill="auto" w:val="clear"/>
          </w:rPr>
          <w:t xml:space="preserve">Clean</w:t>
        </w:r>
        <w:r>
          <w:rPr>
            <w:rFonts w:ascii="Times New Roman" w:hAnsi="Times New Roman" w:cs="Times New Roman" w:eastAsia="Times New Roman"/>
            <w:color w:val="000000"/>
            <w:spacing w:val="0"/>
            <w:position w:val="0"/>
            <w:sz w:val="24"/>
            <w:u w:val="single"/>
            <w:shd w:fill="auto" w:val="clear"/>
          </w:rPr>
          <w:t xml:space="preserve"> HYPERLINK "https://www.gov.uk/government/publications/clean-power-2030-action-plan/clean-power-2030-action-plan-a-new-era-of-clean-electricity-main-report"</w:t>
        </w:r>
        <w:r>
          <w:rPr>
            <w:rFonts w:ascii="Times New Roman" w:hAnsi="Times New Roman" w:cs="Times New Roman" w:eastAsia="Times New Roman"/>
            <w:color w:val="000000"/>
            <w:spacing w:val="0"/>
            <w:position w:val="0"/>
            <w:sz w:val="24"/>
            <w:u w:val="single"/>
            <w:shd w:fill="auto" w:val="clear"/>
          </w:rPr>
          <w:t xml:space="preserve"> Power 2030 Action Plan: A new era of clean electricity </w:t>
        </w:r>
        <w:r>
          <w:rPr>
            <w:rFonts w:ascii="Times New Roman" w:hAnsi="Times New Roman" w:cs="Times New Roman" w:eastAsia="Times New Roman"/>
            <w:color w:val="000000"/>
            <w:spacing w:val="0"/>
            <w:position w:val="0"/>
            <w:sz w:val="24"/>
            <w:u w:val="single"/>
            <w:shd w:fill="auto" w:val="clear"/>
          </w:rPr>
          <w:t xml:space="preserve">–</w:t>
        </w:r>
        <w:r>
          <w:rPr>
            <w:rFonts w:ascii="Times New Roman" w:hAnsi="Times New Roman" w:cs="Times New Roman" w:eastAsia="Times New Roman"/>
            <w:color w:val="000000"/>
            <w:spacing w:val="0"/>
            <w:position w:val="0"/>
            <w:sz w:val="24"/>
            <w:u w:val="single"/>
            <w:shd w:fill="auto" w:val="clear"/>
          </w:rPr>
          <w:t xml:space="preserve"> main report. Accessed </w:t>
        </w:r>
        <w:r>
          <w:rPr>
            <w:rFonts w:ascii="Times New Roman" w:hAnsi="Times New Roman" w:cs="Times New Roman" w:eastAsia="Times New Roman"/>
            <w:color w:val="000000"/>
            <w:spacing w:val="0"/>
            <w:position w:val="0"/>
            <w:sz w:val="24"/>
            <w:u w:val="single"/>
            <w:shd w:fill="auto" w:val="clear"/>
          </w:rPr>
          <w:t xml:space="preserve"> HYPERLINK "https://www.gov.uk/government/publications/clean-power-2030-action-plan/clean-power-2030-action-plan-a-new-era-of-clean-electricity-main-report"</w:t>
        </w:r>
        <w:r>
          <w:rPr>
            <w:rFonts w:ascii="Times New Roman" w:hAnsi="Times New Roman" w:cs="Times New Roman" w:eastAsia="Times New Roman"/>
            <w:color w:val="000000"/>
            <w:spacing w:val="0"/>
            <w:position w:val="0"/>
            <w:sz w:val="24"/>
            <w:u w:val="single"/>
            <w:shd w:fill="auto" w:val="clear"/>
          </w:rPr>
          <w:t xml:space="preserve">from:</w:t>
        </w:r>
        <w:r>
          <w:rPr>
            <w:rFonts w:ascii="Times New Roman" w:hAnsi="Times New Roman" w:cs="Times New Roman" w:eastAsia="Times New Roman"/>
            <w:color w:val="000000"/>
            <w:spacing w:val="0"/>
            <w:position w:val="0"/>
            <w:sz w:val="24"/>
            <w:shd w:fill="auto" w:val="clear"/>
          </w:rPr>
          <w:t xml:space="preserve">https://www.gov.uk/government/publications/clean-power-2030-action-plan/clean-power-2030-action-plan-a-new-era-of-clean-electricity-main-report[Accessed</w:t>
        </w:r>
      </w:hyperlink>
      <w:r>
        <w:rPr>
          <w:rFonts w:ascii="Times New Roman" w:hAnsi="Times New Roman" w:cs="Times New Roman" w:eastAsia="Times New Roman"/>
          <w:color w:val="000000"/>
          <w:spacing w:val="0"/>
          <w:position w:val="0"/>
          <w:sz w:val="24"/>
          <w:shd w:fill="auto" w:val="clear"/>
        </w:rPr>
        <w:t xml:space="preserve"> on: 17.04.2026]</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hyperlink xmlns:r="http://schemas.openxmlformats.org/officeDocument/2006/relationships" r:id="docRId55">
        <w:r>
          <w:rPr>
            <w:rFonts w:ascii="Times New Roman" w:hAnsi="Times New Roman" w:cs="Times New Roman" w:eastAsia="Times New Roman"/>
            <w:color w:val="0000FF"/>
            <w:spacing w:val="0"/>
            <w:position w:val="0"/>
            <w:sz w:val="24"/>
            <w:u w:val="single"/>
            <w:shd w:fill="auto" w:val="clear"/>
          </w:rPr>
          <w:t xml:space="preserve">substack.com</w:t>
        </w:r>
      </w:hyperlink>
      <w:r>
        <w:rPr>
          <w:rFonts w:ascii="Times New Roman" w:hAnsi="Times New Roman" w:cs="Times New Roman" w:eastAsia="Times New Roman"/>
          <w:color w:val="auto"/>
          <w:spacing w:val="0"/>
          <w:position w:val="0"/>
          <w:sz w:val="24"/>
          <w:shd w:fill="auto" w:val="clear"/>
        </w:rPr>
        <w:t xml:space="preserve"> (2023), Which countries have ‘enough’ public chargers for electric cars?. Accessed from: </w:t>
      </w:r>
      <w:hyperlink xmlns:r="http://schemas.openxmlformats.org/officeDocument/2006/relationships" r:id="docRId56">
        <w:r>
          <w:rPr>
            <w:rFonts w:ascii="Times New Roman" w:hAnsi="Times New Roman" w:cs="Times New Roman" w:eastAsia="Times New Roman"/>
            <w:color w:val="0000FF"/>
            <w:spacing w:val="0"/>
            <w:position w:val="0"/>
            <w:sz w:val="24"/>
            <w:u w:val="single"/>
            <w:shd w:fill="auto" w:val="clear"/>
          </w:rPr>
          <w:t xml:space="preserve">https://hannahritchie.substack.com/p/public-ev-chargers[Accessed</w:t>
        </w:r>
      </w:hyperlink>
      <w:r>
        <w:rPr>
          <w:rFonts w:ascii="Times New Roman" w:hAnsi="Times New Roman" w:cs="Times New Roman" w:eastAsia="Times New Roman"/>
          <w:color w:val="auto"/>
          <w:spacing w:val="0"/>
          <w:position w:val="0"/>
          <w:sz w:val="24"/>
          <w:shd w:fill="auto" w:val="clear"/>
        </w:rPr>
        <w:t xml:space="preserve"> on: 17.04.2026]</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hyperlink xmlns:r="http://schemas.openxmlformats.org/officeDocument/2006/relationships" r:id="docRId57">
        <w:r>
          <w:rPr>
            <w:rFonts w:ascii="Times New Roman" w:hAnsi="Times New Roman" w:cs="Times New Roman" w:eastAsia="Times New Roman"/>
            <w:color w:val="0000FF"/>
            <w:spacing w:val="0"/>
            <w:position w:val="0"/>
            <w:sz w:val="24"/>
            <w:u w:val="single"/>
            <w:shd w:fill="auto" w:val="clear"/>
          </w:rPr>
          <w:t xml:space="preserve">aqueouss.in</w:t>
        </w:r>
      </w:hyperlink>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(2025), The Future is Electric: Growth of EV Battery Manufacturers in India.Accessed from:</w:t>
      </w:r>
      <w:r>
        <w:rPr>
          <w:rFonts w:ascii="Times New Roman" w:hAnsi="Times New Roman" w:cs="Times New Roman" w:eastAsia="Times New Roman"/>
          <w:color w:val="auto"/>
          <w:spacing w:val="0"/>
          <w:position w:val="0"/>
          <w:sz w:val="24"/>
          <w:shd w:fill="auto" w:val="clear"/>
        </w:rPr>
        <w:t xml:space="preserve">https://aqueouss.in/the-future-is-electric-growth-of-ev-battery-manufacturers-in-india/?srsltid=AfmBOoog-fmy49qWsuAahK9ZgP0u4ZVHOsKOCaRqVYrhOy4GAs4iD_4e</w:t>
      </w:r>
      <w:r>
        <w:rPr>
          <w:rFonts w:ascii="Times New Roman" w:hAnsi="Times New Roman" w:cs="Times New Roman" w:eastAsia="Times New Roman"/>
          <w:color w:val="auto"/>
          <w:spacing w:val="0"/>
          <w:position w:val="0"/>
          <w:sz w:val="24"/>
          <w:shd w:fill="auto" w:val="clear"/>
        </w:rPr>
        <w:t xml:space="preserve">[Accessed on: 17.04.2026]</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hyperlink xmlns:r="http://schemas.openxmlformats.org/officeDocument/2006/relationships" r:id="docRId58">
        <w:r>
          <w:rPr>
            <w:rFonts w:ascii="Times New Roman" w:hAnsi="Times New Roman" w:cs="Times New Roman" w:eastAsia="Times New Roman"/>
            <w:color w:val="0000FF"/>
            <w:spacing w:val="0"/>
            <w:position w:val="0"/>
            <w:sz w:val="24"/>
            <w:u w:val="single"/>
            <w:shd w:fill="auto" w:val="clear"/>
          </w:rPr>
          <w:t xml:space="preserve">mdpi.com</w:t>
        </w:r>
      </w:hyperlink>
      <w:r>
        <w:rPr>
          <w:rFonts w:ascii="Times New Roman" w:hAnsi="Times New Roman" w:cs="Times New Roman" w:eastAsia="Times New Roman"/>
          <w:color w:val="auto"/>
          <w:spacing w:val="0"/>
          <w:position w:val="0"/>
          <w:sz w:val="24"/>
          <w:shd w:fill="auto" w:val="clear"/>
        </w:rPr>
        <w:t xml:space="preserve"> (2025), The Electric Vehicle Transition in Emerging Economies.Accessed from:</w:t>
      </w:r>
      <w:hyperlink xmlns:r="http://schemas.openxmlformats.org/officeDocument/2006/relationships" r:id="docRId59">
        <w:r>
          <w:rPr>
            <w:rFonts w:ascii="Times New Roman" w:hAnsi="Times New Roman" w:cs="Times New Roman" w:eastAsia="Times New Roman"/>
            <w:color w:val="0000FF"/>
            <w:spacing w:val="0"/>
            <w:position w:val="0"/>
            <w:sz w:val="24"/>
            <w:u w:val="single"/>
            <w:shd w:fill="auto" w:val="clear"/>
          </w:rPr>
          <w:t xml:space="preserve">https</w:t>
        </w:r>
        <w:r>
          <w:rPr>
            <w:rFonts w:ascii="Times New Roman" w:hAnsi="Times New Roman" w:cs="Times New Roman" w:eastAsia="Times New Roman"/>
            <w:color w:val="0000FF"/>
            <w:spacing w:val="0"/>
            <w:position w:val="0"/>
            <w:sz w:val="24"/>
            <w:u w:val="single"/>
            <w:shd w:fill="auto" w:val="clear"/>
          </w:rPr>
          <w:t xml:space="preserve"> HYPERLINK "https://www.mdpi.com/2624-8921/8/2/37"</w:t>
        </w:r>
        <w:r>
          <w:rPr>
            <w:rFonts w:ascii="Times New Roman" w:hAnsi="Times New Roman" w:cs="Times New Roman" w:eastAsia="Times New Roman"/>
            <w:color w:val="0000FF"/>
            <w:spacing w:val="0"/>
            <w:position w:val="0"/>
            <w:sz w:val="24"/>
            <w:u w:val="single"/>
            <w:shd w:fill="auto" w:val="clear"/>
          </w:rPr>
          <w:t xml:space="preserve">://www.mdpi.com/2624-8921/8/2/37</w:t>
        </w:r>
      </w:hyperlink>
      <w:r>
        <w:rPr>
          <w:rFonts w:ascii="Times New Roman" w:hAnsi="Times New Roman" w:cs="Times New Roman" w:eastAsia="Times New Roman"/>
          <w:color w:val="auto"/>
          <w:spacing w:val="0"/>
          <w:position w:val="0"/>
          <w:sz w:val="24"/>
          <w:shd w:fill="auto" w:val="clear"/>
        </w:rPr>
        <w:t xml:space="preserve">[Accessed on: 17.04.2026]</w:t>
      </w:r>
    </w:p>
    <w:p>
      <w:pPr>
        <w:spacing w:before="0" w:after="0" w:line="360"/>
        <w:ind w:right="0" w:left="0" w:firstLine="0"/>
        <w:jc w:val="both"/>
        <w:rPr>
          <w:rFonts w:ascii="Times New Roman" w:hAnsi="Times New Roman" w:cs="Times New Roman" w:eastAsia="Times New Roman"/>
          <w:color w:val="FF0000"/>
          <w:spacing w:val="0"/>
          <w:position w:val="0"/>
          <w:sz w:val="24"/>
          <w:shd w:fill="auto" w:val="clear"/>
        </w:rPr>
      </w:pPr>
      <w:r>
        <w:rPr>
          <w:rFonts w:ascii="Times New Roman" w:hAnsi="Times New Roman" w:cs="Times New Roman" w:eastAsia="Times New Roman"/>
          <w:color w:val="FF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FF0000"/>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Appendices</w:t>
      </w:r>
    </w:p>
    <w:tbl>
      <w:tblPr/>
      <w:tblGrid>
        <w:gridCol w:w="1329"/>
        <w:gridCol w:w="1278"/>
        <w:gridCol w:w="505"/>
        <w:gridCol w:w="1322"/>
        <w:gridCol w:w="1130"/>
        <w:gridCol w:w="1358"/>
        <w:gridCol w:w="1330"/>
        <w:gridCol w:w="1098"/>
      </w:tblGrid>
      <w:tr>
        <w:trPr>
          <w:trHeight w:val="78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Title</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Authors</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Year</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Main Objectives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Key Findings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Contributions</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Citation (Harvard)</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Summary</w:t>
            </w:r>
          </w:p>
        </w:tc>
      </w:tr>
      <w:tr>
        <w:trPr>
          <w:trHeight w:val="216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Beyond Borders: How Strategic Adaptations Shape Global Market Entry Success</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Abdelsalam Mohamed Mostafa, M.</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Examine how strategic adaptations affect global market entry success.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Strategic flexibility and localization overcome institutional barriers.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Framework linking adaptation to entry success for EVs.</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Abdelsalam Mohamed Mostafa, M., 2025. Beyond Borders. SSRN 5118307.</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Explains how MNCs adjust strategies to overcome barriers; relevant for EV global entry.</w:t>
            </w:r>
          </w:p>
        </w:tc>
      </w:tr>
      <w:tr>
        <w:trPr>
          <w:trHeight w:val="216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Global Trends in Electric Vehicle Charging Demand and Infrastructure Development</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Alsharif, A.</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Analyze global EV charging demand and infrastructure trends.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Regional disparities exist; major investment needed.</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Identifies investment priorities for EV charging.</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Alsharif, A., 2025. Global Trends in EV Charging. LOUJAS, pp.20-28.</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Analyzes EV charging patterns and infrastructure needs for sustainable mobility.</w:t>
            </w:r>
          </w:p>
        </w:tc>
      </w:tr>
      <w:tr>
        <w:trPr>
          <w:trHeight w:val="1880"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Entry Conditions for Transnational Corporations in Host Economies</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Amiraslanov, K.T.</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Assess host economy conditions on TNC entry using OLI and Porter's Diamond.</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Location advantages and rivalry shape entry success.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Bridges IB theories for EV internationalization.</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Amiraslanov, K.T., 2025. Entry Conditions for TNCs.</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Applies OLI and Porter's Diamond to EV maker entry strategies.</w:t>
            </w:r>
          </w:p>
        </w:tc>
      </w:tr>
      <w:tr>
        <w:trPr>
          <w:trHeight w:val="216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Impact of Internationalization Strategies in the EV Industry: A Case Study of Tesla</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Cai, B.</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Evaluate Tesla's internationalization strategies for competitive advantage.</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Localized production and supply chains drive Tesla's success.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Empirical evidence from Tesla for EV manufacturers.</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Cai, B., 2025. Impact of internationalization strategies. Adv. Econ. Mgmt. Pol. Sci., 184, pp.174-179.</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Tesla's localization strategies are key to its global EV success.</w:t>
            </w:r>
          </w:p>
        </w:tc>
      </w:tr>
      <w:tr>
        <w:trPr>
          <w:trHeight w:val="1880"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Theoretical Framework for Electric Vehicle Adoption: Strategic Market Entry</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Chernykhovskaya, N.</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2024</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Develop theoretical model for EV adoption via strategic entry.</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Entry decisions significantly affect adoption rates.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Synthesizes TAM and IB theories for EVs.</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Chernykhovskaya, N., 2024. Theoretical Framework for EV Adoption.</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Models how strategic market entry decisions influence EV adoption rates.</w:t>
            </w:r>
          </w:p>
        </w:tc>
      </w:tr>
      <w:tr>
        <w:trPr>
          <w:trHeight w:val="1880"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Political Geography: World-Economy, Nation-State, and Locality</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Flint, C. and Taylor, P.J.</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Examine political-economic spatial interactions across scales.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Geopolitical contexts explain regional EV and emissions standards.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Provides geopolitical lens for EV manufacturing.</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Flint, C. and Taylor, P.J., 2025. Political Geography. Routledge.</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Explains why EV manufacturing and emissions standards vary by region.</w:t>
            </w:r>
          </w:p>
        </w:tc>
      </w:tr>
      <w:tr>
        <w:trPr>
          <w:trHeight w:val="216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Integrated Pythagorean Fuzzy Delphi-AHP Framework for Optimizing FDI</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Gupta, S., Jha, B. and Dawar, G.</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Develop multi-criteria framework to identify key FDI drivers.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Combination of factors determines FDI success.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Decision framework for EV plant investments.</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Gupta, S., Jha, B. and Dawar, G., 2025. Integrated Pythagorean Fuzzy Delphi-AHP. Annals of Data Science, pp.1-37.</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Identifies FDI drivers applicable to Tesla/BYD plant decisions.</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Two-Way Streets: Institutions and Technology Policy in Corporate Entrepreneurship</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Holmes Jr, R.M. et al.</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2016</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Analyze how institutions and tech policy affect firm strategy.</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Firms shape emissions regulations while adapting to them.</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Framework for EV corporate political strategy.</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Holmes Jr, R.M., Zahra, S.A., Hoskisson, R.E., DeGhetto, K. and Sutton, T., 2016. Two-way streets. AMP, 30(3), pp.247-272.</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Explains how EV companies shape emissions policy while adapting to it.</w:t>
            </w:r>
          </w:p>
        </w:tc>
      </w:tr>
      <w:tr>
        <w:trPr>
          <w:trHeight w:val="1610"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Analysis of Non-Tariff Measures in Automotive Sector of Pakistan</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Iqbal, A., Qadir, U. and Siddique, O.</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2020</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Examine non-tariff measures affecting automotive trade in Pakistan.</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Local content requirements and standards hinder imports.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Relevance for EV importers in South Asia.</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Iqbal, A., Qadir, U. and Siddique, O., 2020. Analysis of non-tariff measure. PIDE.</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Analyzes how non-tariff barriers affect EV assembly in Pakistan.</w:t>
            </w:r>
          </w:p>
        </w:tc>
      </w:tr>
      <w:tr>
        <w:trPr>
          <w:trHeight w:val="216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Role of FDI in Accelerating Technology Transfer in Emerging Economies</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Jawahdou, A.</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Compare FDI-driven technology transfer in China vs. Argentina.</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China succeeded due to absorptive capacity; Argentina lagged.</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Highlights policy stability for EV tech transfer.</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Jawahdou, A., 2025. Role of FDI in Technology Transfer.</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FDI enabled EV battery tech transfer in China but not Argentina due to policy instability.</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Aspirational Shift of Urban Transport Infrastructure in India</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Joshi, R. and Arundhathi</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Document India's transition toward electric public transport.</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Air quality and emissions targets drive EV adoption.</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Role of urban planning in mobility transition.</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Joshi, R. and Arundhathi, 2025. Aspirational shift. J. Env. Pol. Plan., pp.1-15.</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India's EV transition is driven by emissions reduction and aspirational urban planning.</w:t>
            </w:r>
          </w:p>
        </w:tc>
      </w:tr>
      <w:tr>
        <w:trPr>
          <w:trHeight w:val="216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Spatial Location of Firms and Industries: An Overview</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Jovanovic, M.N.</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Synthesize theories of industrial location.</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Clustering explains EV battery production geography.</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Explains regional EV supply chain clusters.</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Jovanovic, M.N., 2025. Spatial Location of Firms and Industries V2.0.</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Explains geographic clustering of EV battery production (e.g., Guangdong).</w:t>
            </w:r>
          </w:p>
        </w:tc>
      </w:tr>
      <w:tr>
        <w:trPr>
          <w:trHeight w:val="216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Internationalization of Firms: Liability of Foreignness in China's EV Industry</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NG, L.K.</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2024</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Assess liability of foreignness for foreign EV makers in China.</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Localization reduces disadvantages vs. domestic brands like BYD.</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Strategies for foreign EV competitors in China.</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NG, L.K., 2024. Internationalization of Firms. Asian J. Bus. Env., 14(4), pp.1-11.</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Foreign EV makers face liability of foreignness in China; localization helps.</w:t>
            </w:r>
          </w:p>
        </w:tc>
      </w:tr>
      <w:tr>
        <w:trPr>
          <w:trHeight w:val="1880"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Mapping OFDI from Emerging Economies to Developed Nations</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Nomani, A., Rithi, S.R. and Negi, R.</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Map outward FDI from emerging to developed economies using OLI.</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Chinese EV companies invest in European manufacturing.</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Explains reverse investment flows.</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Nomani, A., Rithi, S.R. and Negi, R., 2025. Mapping OFDI. TIBR, 67(4), pp.431-448.</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Chinese EV firms are investing in European plants as reverse FDI.</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Retrospection on E-Commerce: Bibliometric Analysis</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Radu, L.D., Popescul, D. and Georgescu, M.R.</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2026</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Review e-commerce research trends bibliometrically.</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Online EV sales and emissions offsets are growing niches.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Identifies digital retail and sustainable mobility intersections.</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Radu, L.D., Popescul, D. and Georgescu, M.R., 2026. Retrospection on E-Commerce. JTAER, 21(2), p.46.</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Finds growing links between e-commerce, EV online sales, and emissions offsets.</w:t>
            </w:r>
          </w:p>
        </w:tc>
      </w:tr>
      <w:tr>
        <w:trPr>
          <w:trHeight w:val="216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Systematic Review of EV Innovations and Implementation Barriers</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Shah, M.A.</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2024</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Systematically review EV innovations and barriers.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Battery tech advances but cost and charging gaps persist.</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Holistic snapshot of EV transition.</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Shah, M.A., 2024. Systematic review of EV innovations. JECIR, 2(1), pp.18-26.</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Categorizes EV innovations alongside persistent cost and charging barriers.</w:t>
            </w:r>
          </w:p>
        </w:tc>
      </w:tr>
      <w:tr>
        <w:trPr>
          <w:trHeight w:val="216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When Do Technology Transfer Policies Work? The Indonesian Case</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Surianta, A.</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Investigate conditions for successful technology transfer in Indonesia.</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Absorptive capacity and IP regimes are critical.</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Policy insights for EV battery ambitions.</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Surianta, A., 2025. When do Technology Transfer Policies Work? (Doctoral dissertation, ANU).</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Local absorptive capacity and IP regimes determine EV tech transfer success.</w:t>
            </w:r>
          </w:p>
        </w:tc>
      </w:tr>
      <w:tr>
        <w:trPr>
          <w:trHeight w:val="1610"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From China to the World: BYD's Internationalization in the NEV Market</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Xin, C.</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Analyze BYD's distinctive internationalization path.</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BYD uses vertical integration and cost leadership globally.</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Case study of Chinese EV global strategy.</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Xin, C., 2025. From China to the World. J. Asian Mgmt. Studies, 31, pp.3-28.</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BYD's vertical integration and cost leadership drive its global EV expansion.</w:t>
            </w:r>
          </w:p>
        </w:tc>
      </w:tr>
      <w:tr>
        <w:trPr>
          <w:trHeight w:val="216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Institutional Voids-Based Dynamic Capabilities in Chinese Automotive Sector</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Cote, C. and Hu, H.</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Explore how Chinese firms develop capabilities to navigate institutional voids.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Local EV producers innovate despite weak market institutions.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Dynamic capabilities framework for emerging market EVs.</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Cote, C. and Hu, H., 2025. Institutional voids-based dynamic capabilities. AIB Insights.</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Chinese EV firms develop unique capabilities to overcome institutional voids.</w:t>
            </w:r>
          </w:p>
        </w:tc>
      </w:tr>
      <w:tr>
        <w:trPr>
          <w:trHeight w:val="354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Central Europe-East Asia EV Nexus: Tracking EV and Battery Investment in V4 Countries</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Šebeňa, M. et al.</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Track East Asian EV/battery investment in V4 countries.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Chinese, Korean, Japanese firms are heavily investing in Central Europe.</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Maps FDI flows into European EV supply chain.</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Šebeňa, M., Němečkov</w:t>
            </w:r>
            <w:r>
              <w:rPr>
                <w:rFonts w:ascii="Times New Roman" w:hAnsi="Times New Roman" w:cs="Times New Roman" w:eastAsia="Times New Roman"/>
                <w:color w:val="000000"/>
                <w:spacing w:val="0"/>
                <w:position w:val="0"/>
                <w:sz w:val="24"/>
                <w:shd w:fill="auto" w:val="clear"/>
              </w:rPr>
              <w:t xml:space="preserve">á, K., Pop</w:t>
            </w:r>
            <w:r>
              <w:rPr>
                <w:rFonts w:ascii="Times New Roman" w:hAnsi="Times New Roman" w:cs="Times New Roman" w:eastAsia="Times New Roman"/>
                <w:color w:val="000000"/>
                <w:spacing w:val="0"/>
                <w:position w:val="0"/>
                <w:sz w:val="24"/>
                <w:shd w:fill="auto" w:val="clear"/>
              </w:rPr>
              <w:t xml:space="preserve">ławski, K., Szunom</w:t>
            </w:r>
            <w:r>
              <w:rPr>
                <w:rFonts w:ascii="Times New Roman" w:hAnsi="Times New Roman" w:cs="Times New Roman" w:eastAsia="Times New Roman"/>
                <w:color w:val="000000"/>
                <w:spacing w:val="0"/>
                <w:position w:val="0"/>
                <w:sz w:val="24"/>
                <w:shd w:fill="auto" w:val="clear"/>
              </w:rPr>
              <w:t xml:space="preserve">ár, Á., Blablová, V., Kovács, M., Kurtyka, B., </w:t>
            </w:r>
            <w:r>
              <w:rPr>
                <w:rFonts w:ascii="Times New Roman" w:hAnsi="Times New Roman" w:cs="Times New Roman" w:eastAsia="Times New Roman"/>
                <w:color w:val="000000"/>
                <w:spacing w:val="0"/>
                <w:position w:val="0"/>
                <w:sz w:val="24"/>
                <w:shd w:fill="auto" w:val="clear"/>
              </w:rPr>
              <w:t xml:space="preserve">Šebok, F. and Turcs</w:t>
            </w:r>
            <w:r>
              <w:rPr>
                <w:rFonts w:ascii="Times New Roman" w:hAnsi="Times New Roman" w:cs="Times New Roman" w:eastAsia="Times New Roman"/>
                <w:color w:val="000000"/>
                <w:spacing w:val="0"/>
                <w:position w:val="0"/>
                <w:sz w:val="24"/>
                <w:shd w:fill="auto" w:val="clear"/>
              </w:rPr>
              <w:t xml:space="preserve">ányi, R., 2025. Central Europe-East Asia EV nexus.</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East Asian EV and battery makers are investing heavily in Central Europe's V4 countries.</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Investigating Barriers to EV Adoption in Morocco</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Meskine, S., El Asri, H. and Al-Majeed, S.</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Identify barriers to EV adoption in Morocco.</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Price, range anxiety, and charging gaps are primary barriers.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Policy interventions for North African EV markets.</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Meskine, S., El Asri, H. and Al-Majeed, S., 2025. Investigating Barriers to EV Adoption in Morocco. WEVJ, 16(12), p.672.</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Cost, range anxiety, and infrastructure gaps hinder EV adoption in Morocco.</w:t>
            </w:r>
          </w:p>
        </w:tc>
      </w:tr>
      <w:tr>
        <w:trPr>
          <w:trHeight w:val="2990"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Distribution of ASEAN Battery EV Production Network</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Li, Y., Guan, C., Purwanto, A.J., Chen, B. and Zhao, Y.</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Map ASEAN BEV production network interplay.</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Resource endowments (nickel) and policies shape investment flows.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Evidence on regional EV supply chain integration.</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Li, Y., Guan, C., Purwanto, A.J., Chen, B. and Zhao, Y., 2025. Distribution of ASEAN BEV production network. Energy Sust. Dev., 85, p.101649.</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Nickel resources in Indonesia and policies drive ASEAN EV battery production networks.</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Electromobility in Developing Countries: Challenges</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Hassani, A., Khatab, O.M.E.H., Aazami, A. and Kummer, S.</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2026</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Analyze economic, infrastructural, and policy barriers to electromobility in developing countries.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Grid unreliability and high tariffs are key barriers.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Policy recommendations for low-income contexts.</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Hassani, A., Khatab, O.M.E.H., Aazami, A. and Kummer, S., 2026. Electromobility in Developing Countries. Future Transp., 6(1), p.9.</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Grid unreliability and import tariffs are major EV barriers in developing nations.</w:t>
            </w:r>
          </w:p>
        </w:tc>
      </w:tr>
      <w:tr>
        <w:trPr>
          <w:trHeight w:val="216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Digital Transformation as Springboard for R&amp;D Internationalization</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Zaiqi, C., Yiheng, L. and Xiaozhe, S.</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2026</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Explain how digital transformation enables R&amp;D internationalization from new OLI perspective.</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Digital capabilities serve as springboard for overseas R&amp;D.</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Extends OLI paradigm for digital era.</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Zaiqi, C., Yiheng, L. and Xiaozhe, S., 2026. Digital transformation as springboard. Sci. Tech. Prog. Policy, pp.1-11.</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Digital transformation enables Chinese EV firms to internationalize R&amp;D.</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Critical Review of Blockchain Applications: Thematic Analysis</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Gan, Q., Lau, R.Y.K. and Hong, J.</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Review blockchain applications using thematic analysis.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Blockchain enables EV supply chain transparency and carbon credit trading.</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Links blockchain to emissions tracking.</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Gan, Q., Lau, R.Y.K. and Hong, J., 2025. Critical review of blockchain applications. Tech. Anal. Strat. Mgmt., 37(4), pp.387-403.</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Blockchain can enable EV supply chain transparency and emissions credit trading.</w:t>
            </w:r>
          </w:p>
        </w:tc>
      </w:tr>
      <w:tr>
        <w:trPr>
          <w:trHeight w:val="2720"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Identifying Key Resource Combinations for EV Market Entry</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Cho, M.J., Bae, K., Byun, J. and Shin, J.</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Identify critical resource bundles for EV market entry growth.</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No single resource guarantees success; combinations of tech, capital, partnerships matter.</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Configurational analysis for EV entrants.</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Cho, M.J., Bae, K., Byun, J. and Shin, J., 2025. Key resource combinations for EV market entry. PLoS One, 20(8), p.e0328563.</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Successful EV entry requires combinations of technology, capital, and partnerships.</w:t>
            </w:r>
          </w:p>
        </w:tc>
      </w:tr>
      <w:tr>
        <w:trPr>
          <w:trHeight w:val="216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Urgency of Education Management Information System</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Rahmatullah, R. and Mubarok, H.</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Discuss integrated information management for educational data.</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Systems thinking applicable to emissions and EV tracking.</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Methodological cross-application.</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Rahmatullah, R. and Mubarok, H., 2025. Urgency of Education MIS. IJMIE, 3(1), pp.013-017.</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Information management principles apply to EV adoption and emissions data tracking.</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Strategic Thinking and Entrepreneurial Orientation as Drivers of Adaptive Resilience</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Ongesa, T.</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2026</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Review dynamic capabilities for adaptive resilience in manufacturing SMEs.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Strategic thinking fosters resilience; applicable to EV component suppliers.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Extends dynamic capabilities to EV supply chain.</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Ongesa, T., 2026. Strategic thinking and entrepreneurial orientation. F1000Research, 15, p.344.</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Dynamic capabilities framework helps EV component suppliers build adaptive resilience.</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AI in Qualitative Research: Insights from Experts</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Dellafiore, F., Saba, A., Collaro, C. and Artioli, G.</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2026</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Explore AI-assisted thematic analysis methods with experts.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AI accelerates synthesis of large texts on emissions and transport policy.</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Methodological innovation for EV policy research.</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Dellafiore, F., Saba, A., Collaro, C. and Artioli, G., 2026. AI in qualitative research. Qual. Health Res., 36(2-3), pp.145-165.</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AI can accelerate synthesis of large text corpora on EV emissions and transport policy.</w:t>
            </w:r>
          </w:p>
        </w:tc>
      </w:tr>
      <w:tr>
        <w:trPr>
          <w:trHeight w:val="354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Impact of Geopolitical Dynamics on Global Trade: African Automotive Sector</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Mendez Parra, M. et al.</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Analyze how geopolitical tensions affect African automotive trade.</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US-China tensions create EV assembly opportunities in Africa as firms diversify.</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Geopolitical risk and opportunity mapping.</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Mendez Parra, M., Agarwal, P., Luke, D., Vutula, N., Magooa, A., El-Aidi, I., Parshotam, A., Iacovou, E. and Chapman, F., 2025. Geopolitical dynamics on global trade. ODI Global Report.</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Geopolitical tensions create EV assembly opportunities for African nations.</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Thematic Analysis</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Clarke, V. and Braun, V.</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2017</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Provide overview of thematic analysis as qualitative method.</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Thematic analysis identifies patterns in textual data on EV adoption and policy.</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Foundational method for EV qualitative research.</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Clarke, V. and Braun, V., 2017. Thematic analysis. J. Pos. Psych., 12(3), pp.297-298.</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Thematic analysis is widely used to analyze EV adoption interviews and policy documents.</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EV Challenges in Malaysia</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Muzir et al.</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2022</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Review EV issues in Malaysia</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Cost &amp; infra barriers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Identifies adoption gaps</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Muzir et al., 2022</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Shows key EV constraints</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EV Policy &amp; Incentives</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Ajeigbe &amp; Holt</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Study EV policy role</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Incentives boost adoption</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Policy</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market link</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Ajeigbe &amp; Holt, 2025</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Highlights gov role</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EV Opportunities Malaysia</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Veza et al.</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2022</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Assess EV potential</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Infra limits growth</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Regional insights</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Veza et al., 2022</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Explains SE Asia EV gap</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EV Research Trends ASEAN</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Setiyo et al.</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Analyse EV research trends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Growing focus on EVs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Bibliometric insight</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Setiyo et al., 2025</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Tracks EV research growth</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Localisation Strategy India</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Akhtar et al.</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2024</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Study localisation models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Local production reduces cost</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Strategic framework</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Akhtar et al., 2024</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Supports local manufacturing</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Fast Charging Experience</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Sinitsina</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Study EV user experience</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Fast charging improves adoption</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Customer-focused model</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Sinitsina, 2025</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Links UX to EV success</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Tariffs &amp; Manufacturing</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Teng &amp; Jiao</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Analyse tariffs impact</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Tariffs shift production local</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Trade-policy link</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Teng &amp; Jiao, 2025</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Explains localisation need</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EV Tariffs Policy</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Felbermayr et al.</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2024</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Study EV trade barriers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Tariffs reduce imports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Policy implications</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Felbermayr et al., 2024</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Trade affects EV entry</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EV Incentives Impact</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Xue et al.</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2021</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Analyse EV adoption drivers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Incentives increase market share</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Empirical evidence</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Xue et al., 2021</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Confirms policy importance</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Govt Role EV Market</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Li et al.</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2022</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Study China EV policy</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Strong state role</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Market shaping role</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Li et al., 2022</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Govt drives EV growth</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EV Adoption Vietnam</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Thuy</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2024</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Identify adoption drivers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Income &amp; infra key</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Country insight</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Thuy, 2024</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Explains emerging demand</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EV Adoption India</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Bhattacharyya &amp; Thakre</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2021</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Study adoption factors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Cost &amp; awareness matter</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Behavioural insight</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Bhattacharyya &amp; Thakre, 2021</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Explains low adoption</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Charging Optimization</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Leong</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Study charging networks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Renewable integration needed</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Infrastructure planning</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Leong, 2025</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Links energy &amp; EV</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Fast Charging Tech</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Zentani et al.</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Review charging advances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Fast charging critical</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Tech overview</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Zentani et al., 2025</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Supports infra importance</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EV Charging Tech Review</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Kilicoglu &amp; Tricoli</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2023</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Analyse charging systems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Efficiency improving</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Technical insights</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Kilicoglu &amp; Tricoli, 2023</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Enhances EV feasibility</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EV Readiness Index</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Bhatti et al.</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2023</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Compare EV readiness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Infra drives adoption</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Comparative model</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Bhatti et al., 2023</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Measures EV maturity</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Charging Strategy</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Ascard &amp; Wingö</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2020</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Study charging models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Seamless charging needed</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Business strategy</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Ascard &amp; Wingö, 2020</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Supports Tesla model</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EV Business Models</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Godecke</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Analyse charging firms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Innovation key to growth</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Business insight</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Godecke, 2025</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Charging as strategy</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Ultra-fast Charging</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Shah et al.</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Study fast charging impact</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Improves competitiveness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Policy &amp; infra link</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Shah et al., 2025</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Supports fast charging</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EV Cost Analysis</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Ayodele &amp; Mustapa</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2020</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Study EV costs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EV cost declining</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Cost comparison</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Ayodele &amp; Mustapa, 2020</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Supports affordability trend</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EV Growth Developing</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Shamsuddoha &amp; Nasir</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Study EV growth</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Policy &amp; infra key</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Emerging market focus</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Shamsuddoha &amp; Nasir, 2025</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Explains growth drivers</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Battery Sustainability</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Yang et al.</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2022</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Study EV batteries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Supply chain critical</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Sustainability focus</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Yang et al., 2022</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Battery importance</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Global EV Trends</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Khaleel et al.</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2024</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Compare EV markets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China leads growth</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Global comparison</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Khaleel et al., 2024</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Shows global gap</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EV Emissions Impact</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Fuinhas et al.</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2021</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Study emissions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EV reduces emissions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Environmental impact</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Fuinhas et al., 2021</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Supports sustainability</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EV Price Impact</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Kousa</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Study lithium cost</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Prices affect EV sales</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Cost linkage</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Kousa, 2025</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Explains price sensitivity</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Consumer EV Preference</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Sovacool et al.</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2019</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Study EV preferences</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Income affects adoption</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Behaviour insight</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Sovacool et al., 2019</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Links income &amp; EV</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Market Entry Strategy</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Wu &amp; Wang</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2021</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Study entry strategy</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Supply chain alignment key</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Strategy model</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Wu &amp; Wang, 2021</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Supports localisation</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Integrated Supply Chain</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Naor et al.</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2021</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Study EV supply chain</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Integration improves efficiency</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System approach</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Naor et al., 2021</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Supports internalisation</w:t>
            </w:r>
          </w:p>
        </w:tc>
      </w:tr>
      <w:tr>
        <w:trPr>
          <w:trHeight w:val="2435" w:hRule="auto"/>
          <w:jc w:val="left"/>
        </w:trPr>
        <w:tc>
          <w:tcPr>
            <w:tcW w:w="1329"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Tesla Value Chain</w:t>
            </w:r>
          </w:p>
        </w:tc>
        <w:tc>
          <w:tcPr>
            <w:tcW w:w="127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Xiao</w:t>
            </w:r>
          </w:p>
        </w:tc>
        <w:tc>
          <w:tcPr>
            <w:tcW w:w="505"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2025</w:t>
            </w:r>
          </w:p>
        </w:tc>
        <w:tc>
          <w:tcPr>
            <w:tcW w:w="1322"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Analyse Tesla strategy</w:t>
            </w:r>
          </w:p>
        </w:tc>
        <w:tc>
          <w:tcPr>
            <w:tcW w:w="11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Vertical integration advantage</w:t>
            </w:r>
          </w:p>
        </w:tc>
        <w:tc>
          <w:tcPr>
            <w:tcW w:w="135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Value chain insight</w:t>
            </w:r>
          </w:p>
        </w:tc>
        <w:tc>
          <w:tcPr>
            <w:tcW w:w="1330"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Xiao, 2025</w:t>
            </w:r>
          </w:p>
        </w:tc>
        <w:tc>
          <w:tcPr>
            <w:tcW w:w="1098" w:type="dxa"/>
            <w:tcBorders>
              <w:top w:val="single" w:color="000000" w:sz="4"/>
              <w:left w:val="single" w:color="000000" w:sz="4"/>
              <w:bottom w:val="single" w:color="000000" w:sz="4"/>
              <w:right w:val="single" w:color="000000" w:sz="4"/>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Explains Tesla success</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Self-Gathered)</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Appendix 1: Literature Review</w:t>
      </w:r>
    </w:p>
    <w:tbl>
      <w:tblPr/>
      <w:tblGrid>
        <w:gridCol w:w="2604"/>
        <w:gridCol w:w="1842"/>
        <w:gridCol w:w="2512"/>
        <w:gridCol w:w="2392"/>
      </w:tblGrid>
      <w:tr>
        <w:trPr>
          <w:trHeight w:val="500" w:hRule="auto"/>
          <w:jc w:val="left"/>
        </w:trPr>
        <w:tc>
          <w:tcPr>
            <w:tcW w:w="2604"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Title, Authors, Year</w:t>
            </w:r>
          </w:p>
        </w:tc>
        <w:tc>
          <w:tcPr>
            <w:tcW w:w="184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Main Objectives</w:t>
            </w:r>
          </w:p>
        </w:tc>
        <w:tc>
          <w:tcPr>
            <w:tcW w:w="25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Key Findings</w:t>
            </w:r>
          </w:p>
        </w:tc>
        <w:tc>
          <w:tcPr>
            <w:tcW w:w="239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Contributions</w:t>
            </w:r>
          </w:p>
        </w:tc>
      </w:tr>
      <w:tr>
        <w:trPr>
          <w:trHeight w:val="770" w:hRule="auto"/>
          <w:jc w:val="left"/>
        </w:trPr>
        <w:tc>
          <w:tcPr>
            <w:tcW w:w="2604"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Gupta et al. (2025)</w:t>
            </w:r>
          </w:p>
        </w:tc>
        <w:tc>
          <w:tcPr>
            <w:tcW w:w="184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FDI drivers</w:t>
            </w:r>
          </w:p>
        </w:tc>
        <w:tc>
          <w:tcPr>
            <w:tcW w:w="25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Multi-criteria decision factors</w:t>
            </w:r>
          </w:p>
        </w:tc>
        <w:tc>
          <w:tcPr>
            <w:tcW w:w="239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FDI optimisation model</w:t>
            </w:r>
          </w:p>
        </w:tc>
      </w:tr>
      <w:tr>
        <w:trPr>
          <w:trHeight w:val="770" w:hRule="auto"/>
          <w:jc w:val="left"/>
        </w:trPr>
        <w:tc>
          <w:tcPr>
            <w:tcW w:w="2604"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Alsharif (2025)</w:t>
            </w:r>
          </w:p>
        </w:tc>
        <w:tc>
          <w:tcPr>
            <w:tcW w:w="184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EV charging trends</w:t>
            </w:r>
          </w:p>
        </w:tc>
        <w:tc>
          <w:tcPr>
            <w:tcW w:w="25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Rising demand, infra gaps</w:t>
            </w:r>
          </w:p>
        </w:tc>
        <w:tc>
          <w:tcPr>
            <w:tcW w:w="239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Infrastructure insight</w:t>
            </w:r>
          </w:p>
        </w:tc>
      </w:tr>
      <w:tr>
        <w:trPr>
          <w:trHeight w:val="770" w:hRule="auto"/>
          <w:jc w:val="left"/>
        </w:trPr>
        <w:tc>
          <w:tcPr>
            <w:tcW w:w="2604"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Joshi &amp; Arundhathi (2025)</w:t>
            </w:r>
          </w:p>
        </w:tc>
        <w:tc>
          <w:tcPr>
            <w:tcW w:w="184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Urban mobility shift</w:t>
            </w:r>
          </w:p>
        </w:tc>
        <w:tc>
          <w:tcPr>
            <w:tcW w:w="25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EV transition in India</w:t>
            </w:r>
          </w:p>
        </w:tc>
        <w:tc>
          <w:tcPr>
            <w:tcW w:w="239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Policy relevance</w:t>
            </w:r>
          </w:p>
        </w:tc>
      </w:tr>
      <w:tr>
        <w:trPr>
          <w:trHeight w:val="770" w:hRule="auto"/>
          <w:jc w:val="left"/>
        </w:trPr>
        <w:tc>
          <w:tcPr>
            <w:tcW w:w="2604"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Jovanovic (2025)</w:t>
            </w:r>
          </w:p>
        </w:tc>
        <w:tc>
          <w:tcPr>
            <w:tcW w:w="184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Location theory</w:t>
            </w:r>
          </w:p>
        </w:tc>
        <w:tc>
          <w:tcPr>
            <w:tcW w:w="25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Firms follow spatial advantages</w:t>
            </w:r>
          </w:p>
        </w:tc>
        <w:tc>
          <w:tcPr>
            <w:tcW w:w="239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Location strategy</w:t>
            </w:r>
          </w:p>
        </w:tc>
      </w:tr>
      <w:tr>
        <w:trPr>
          <w:trHeight w:val="770" w:hRule="auto"/>
          <w:jc w:val="left"/>
        </w:trPr>
        <w:tc>
          <w:tcPr>
            <w:tcW w:w="2604"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Xin (2025)</w:t>
            </w:r>
          </w:p>
        </w:tc>
        <w:tc>
          <w:tcPr>
            <w:tcW w:w="184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BYD expansion</w:t>
            </w:r>
          </w:p>
        </w:tc>
        <w:tc>
          <w:tcPr>
            <w:tcW w:w="25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Localisation aids growth</w:t>
            </w:r>
          </w:p>
        </w:tc>
        <w:tc>
          <w:tcPr>
            <w:tcW w:w="239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EV internationalisation</w:t>
            </w:r>
          </w:p>
        </w:tc>
      </w:tr>
      <w:tr>
        <w:trPr>
          <w:trHeight w:val="770" w:hRule="auto"/>
          <w:jc w:val="left"/>
        </w:trPr>
        <w:tc>
          <w:tcPr>
            <w:tcW w:w="2604"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Jawahdou (2025)</w:t>
            </w:r>
          </w:p>
        </w:tc>
        <w:tc>
          <w:tcPr>
            <w:tcW w:w="184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FDI &amp; tech transfer</w:t>
            </w:r>
          </w:p>
        </w:tc>
        <w:tc>
          <w:tcPr>
            <w:tcW w:w="25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FDI accelerates innovation</w:t>
            </w:r>
          </w:p>
        </w:tc>
        <w:tc>
          <w:tcPr>
            <w:tcW w:w="239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Emerging market growth</w:t>
            </w:r>
          </w:p>
        </w:tc>
      </w:tr>
      <w:tr>
        <w:trPr>
          <w:trHeight w:val="500" w:hRule="auto"/>
          <w:jc w:val="left"/>
        </w:trPr>
        <w:tc>
          <w:tcPr>
            <w:tcW w:w="2604"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Shah (2024)</w:t>
            </w:r>
          </w:p>
        </w:tc>
        <w:tc>
          <w:tcPr>
            <w:tcW w:w="184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EV barriers</w:t>
            </w:r>
          </w:p>
        </w:tc>
        <w:tc>
          <w:tcPr>
            <w:tcW w:w="25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Tech + policy challenges</w:t>
            </w:r>
          </w:p>
        </w:tc>
        <w:tc>
          <w:tcPr>
            <w:tcW w:w="239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Barrier identification</w:t>
            </w:r>
          </w:p>
        </w:tc>
      </w:tr>
      <w:tr>
        <w:trPr>
          <w:trHeight w:val="770" w:hRule="auto"/>
          <w:jc w:val="left"/>
        </w:trPr>
        <w:tc>
          <w:tcPr>
            <w:tcW w:w="2604"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Abdelsalam (2025)</w:t>
            </w:r>
          </w:p>
        </w:tc>
        <w:tc>
          <w:tcPr>
            <w:tcW w:w="184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Entry strategies</w:t>
            </w:r>
          </w:p>
        </w:tc>
        <w:tc>
          <w:tcPr>
            <w:tcW w:w="25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Adaptation improves success</w:t>
            </w:r>
          </w:p>
        </w:tc>
        <w:tc>
          <w:tcPr>
            <w:tcW w:w="239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Strategic flexibility</w:t>
            </w:r>
          </w:p>
        </w:tc>
      </w:tr>
      <w:tr>
        <w:trPr>
          <w:trHeight w:val="770" w:hRule="auto"/>
          <w:jc w:val="left"/>
        </w:trPr>
        <w:tc>
          <w:tcPr>
            <w:tcW w:w="2604"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Ng (2024)</w:t>
            </w:r>
          </w:p>
        </w:tc>
        <w:tc>
          <w:tcPr>
            <w:tcW w:w="184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Foreignness liability</w:t>
            </w:r>
          </w:p>
        </w:tc>
        <w:tc>
          <w:tcPr>
            <w:tcW w:w="25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Market entry risks exist</w:t>
            </w:r>
          </w:p>
        </w:tc>
        <w:tc>
          <w:tcPr>
            <w:tcW w:w="239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Institutional challenges</w:t>
            </w:r>
          </w:p>
        </w:tc>
      </w:tr>
      <w:tr>
        <w:trPr>
          <w:trHeight w:val="770" w:hRule="auto"/>
          <w:jc w:val="left"/>
        </w:trPr>
        <w:tc>
          <w:tcPr>
            <w:tcW w:w="2604"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Nomani et al. (2025)</w:t>
            </w:r>
          </w:p>
        </w:tc>
        <w:tc>
          <w:tcPr>
            <w:tcW w:w="184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OLI &amp; OFDI</w:t>
            </w:r>
          </w:p>
        </w:tc>
        <w:tc>
          <w:tcPr>
            <w:tcW w:w="25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OLI drives investment flows</w:t>
            </w:r>
          </w:p>
        </w:tc>
        <w:tc>
          <w:tcPr>
            <w:tcW w:w="239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Theoretical support</w:t>
            </w:r>
          </w:p>
        </w:tc>
      </w:tr>
      <w:tr>
        <w:trPr>
          <w:trHeight w:val="770" w:hRule="auto"/>
          <w:jc w:val="left"/>
        </w:trPr>
        <w:tc>
          <w:tcPr>
            <w:tcW w:w="2604"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Iqbal et al. (2020)</w:t>
            </w:r>
          </w:p>
        </w:tc>
        <w:tc>
          <w:tcPr>
            <w:tcW w:w="184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Non-tariff barriers</w:t>
            </w:r>
          </w:p>
        </w:tc>
        <w:tc>
          <w:tcPr>
            <w:tcW w:w="25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Regulatory constraints high</w:t>
            </w:r>
          </w:p>
        </w:tc>
        <w:tc>
          <w:tcPr>
            <w:tcW w:w="239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Trade barrier insight</w:t>
            </w:r>
          </w:p>
        </w:tc>
      </w:tr>
      <w:tr>
        <w:trPr>
          <w:trHeight w:val="770" w:hRule="auto"/>
          <w:jc w:val="left"/>
        </w:trPr>
        <w:tc>
          <w:tcPr>
            <w:tcW w:w="2604"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Surianta (2025)</w:t>
            </w:r>
          </w:p>
        </w:tc>
        <w:tc>
          <w:tcPr>
            <w:tcW w:w="184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Tech transfer policy</w:t>
            </w:r>
          </w:p>
        </w:tc>
        <w:tc>
          <w:tcPr>
            <w:tcW w:w="25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Policy effectiveness varies</w:t>
            </w:r>
          </w:p>
        </w:tc>
        <w:tc>
          <w:tcPr>
            <w:tcW w:w="239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Policy evaluation</w:t>
            </w:r>
          </w:p>
        </w:tc>
      </w:tr>
      <w:tr>
        <w:trPr>
          <w:trHeight w:val="770" w:hRule="auto"/>
          <w:jc w:val="left"/>
        </w:trPr>
        <w:tc>
          <w:tcPr>
            <w:tcW w:w="2604"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Amiraslanov (2025)</w:t>
            </w:r>
          </w:p>
        </w:tc>
        <w:tc>
          <w:tcPr>
            <w:tcW w:w="184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OLI &amp; entry</w:t>
            </w:r>
          </w:p>
        </w:tc>
        <w:tc>
          <w:tcPr>
            <w:tcW w:w="25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Location + competition key</w:t>
            </w:r>
          </w:p>
        </w:tc>
        <w:tc>
          <w:tcPr>
            <w:tcW w:w="239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Entry condition model</w:t>
            </w:r>
          </w:p>
        </w:tc>
      </w:tr>
      <w:tr>
        <w:trPr>
          <w:trHeight w:val="770" w:hRule="auto"/>
          <w:jc w:val="left"/>
        </w:trPr>
        <w:tc>
          <w:tcPr>
            <w:tcW w:w="2604"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Flint &amp; Taylor (2025)</w:t>
            </w:r>
          </w:p>
        </w:tc>
        <w:tc>
          <w:tcPr>
            <w:tcW w:w="184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Political geography</w:t>
            </w:r>
          </w:p>
        </w:tc>
        <w:tc>
          <w:tcPr>
            <w:tcW w:w="25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Global-local link impacts firms</w:t>
            </w:r>
          </w:p>
        </w:tc>
        <w:tc>
          <w:tcPr>
            <w:tcW w:w="239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Macro context</w:t>
            </w:r>
          </w:p>
        </w:tc>
      </w:tr>
      <w:tr>
        <w:trPr>
          <w:trHeight w:val="770" w:hRule="auto"/>
          <w:jc w:val="left"/>
        </w:trPr>
        <w:tc>
          <w:tcPr>
            <w:tcW w:w="2604"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Chernykhovskaya (2024)</w:t>
            </w:r>
          </w:p>
        </w:tc>
        <w:tc>
          <w:tcPr>
            <w:tcW w:w="184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EV adoption theory</w:t>
            </w:r>
          </w:p>
        </w:tc>
        <w:tc>
          <w:tcPr>
            <w:tcW w:w="25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Market readiness matters</w:t>
            </w:r>
          </w:p>
        </w:tc>
        <w:tc>
          <w:tcPr>
            <w:tcW w:w="239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Strategic framework</w:t>
            </w:r>
          </w:p>
        </w:tc>
      </w:tr>
    </w:tbl>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FF0000"/>
          <w:spacing w:val="0"/>
          <w:position w:val="0"/>
          <w:sz w:val="24"/>
          <w:shd w:fill="auto" w:val="clear"/>
        </w:rPr>
      </w:pPr>
    </w:p>
    <w:p>
      <w:pPr>
        <w:tabs>
          <w:tab w:val="left" w:pos="6450" w:leader="none"/>
        </w:tabs>
        <w:spacing w:before="0" w:after="0" w:line="360"/>
        <w:ind w:right="0" w:left="0" w:firstLine="0"/>
        <w:jc w:val="both"/>
        <w:rPr>
          <w:rFonts w:ascii="Times New Roman" w:hAnsi="Times New Roman" w:cs="Times New Roman" w:eastAsia="Times New Roman"/>
          <w:color w:val="FF0000"/>
          <w:spacing w:val="0"/>
          <w:position w:val="0"/>
          <w:sz w:val="24"/>
          <w:shd w:fill="auto" w:val="clear"/>
        </w:rPr>
      </w:pPr>
      <w:r>
        <w:rPr>
          <w:rFonts w:ascii="Times New Roman" w:hAnsi="Times New Roman" w:cs="Times New Roman" w:eastAsia="Times New Roman"/>
          <w:color w:val="FF0000"/>
          <w:spacing w:val="0"/>
          <w:position w:val="0"/>
          <w:sz w:val="24"/>
          <w:shd w:fill="auto" w:val="clear"/>
        </w:rPr>
        <w:tab/>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num w:numId="21">
    <w:abstractNumId w:val="54"/>
  </w:num>
  <w:num w:numId="147">
    <w:abstractNumId w:val="48"/>
  </w:num>
  <w:num w:numId="161">
    <w:abstractNumId w:val="42"/>
  </w:num>
  <w:num w:numId="163">
    <w:abstractNumId w:val="36"/>
  </w:num>
  <w:num w:numId="165">
    <w:abstractNumId w:val="30"/>
  </w:num>
  <w:num w:numId="167">
    <w:abstractNumId w:val="24"/>
  </w:num>
  <w:num w:numId="169">
    <w:abstractNumId w:val="18"/>
  </w:num>
  <w:num w:numId="172">
    <w:abstractNumId w:val="12"/>
  </w:num>
  <w:num w:numId="174">
    <w:abstractNumId w:val="6"/>
  </w:num>
  <w:num w:numId="17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fastercapital.com/" Id="docRId7" Type="http://schemas.openxmlformats.org/officeDocument/2006/relationships/hyperlink" /><Relationship Target="embeddings/oleObject5.bin" Id="docRId14" Type="http://schemas.openxmlformats.org/officeDocument/2006/relationships/oleObject" /><Relationship TargetMode="External" Target="https://hannahritchie.substack.com/p/public-ev-chargers" Id="docRId34" Type="http://schemas.openxmlformats.org/officeDocument/2006/relationships/hyperlink" /><Relationship TargetMode="External" Target="http://gov.uk/" Id="docRId47" Type="http://schemas.openxmlformats.org/officeDocument/2006/relationships/hyperlink" /><Relationship TargetMode="External" Target="https://hannahritchie.substack.com/p/public-ev-chargers" Id="docRId55" Type="http://schemas.openxmlformats.org/officeDocument/2006/relationships/hyperlink" /><Relationship TargetMode="External" Target="https://www.mdpi.com/2071-1050/14/14/8320" Id="docRId22" Type="http://schemas.openxmlformats.org/officeDocument/2006/relationships/hyperlink" /><Relationship Target="media/image3.wmf" Id="docRId9" Type="http://schemas.openxmlformats.org/officeDocument/2006/relationships/image" /><Relationship Target="embeddings/oleObject0.bin" Id="docRId0" Type="http://schemas.openxmlformats.org/officeDocument/2006/relationships/oleObject" /><Relationship Target="embeddings/oleObject10.bin" Id="docRId29" Type="http://schemas.openxmlformats.org/officeDocument/2006/relationships/oleObject" /><Relationship Target="embeddings/oleObject12.bin" Id="docRId36" Type="http://schemas.openxmlformats.org/officeDocument/2006/relationships/oleObject" /><Relationship TargetMode="External" Target="https://hannahritchie.substack.com/p/public-ev-chargers" Id="docRId49" Type="http://schemas.openxmlformats.org/officeDocument/2006/relationships/hyperlink" /><Relationship TargetMode="External" Target="https://www.statista.com/chart/31486/electric-vehicle-sales-in-india-by-year-and-type/?srsltid=AfmBOoo2HQePTPb10cqg-6qaTlhHu4YdNxs2LWgDeGWoHlfOLrQsC_ZA" Id="docRId53" Type="http://schemas.openxmlformats.org/officeDocument/2006/relationships/hyperlink" /><Relationship Target="numbering.xml" Id="docRId60" Type="http://schemas.openxmlformats.org/officeDocument/2006/relationships/numbering" /><Relationship TargetMode="External" Target="https://www.mdpi.com/" Id="docRId13" Type="http://schemas.openxmlformats.org/officeDocument/2006/relationships/hyperlink" /><Relationship Target="embeddings/oleObject7.bin" Id="docRId20" Type="http://schemas.openxmlformats.org/officeDocument/2006/relationships/oleObject" /><Relationship Target="media/image13.wmf" Id="docRId40" Type="http://schemas.openxmlformats.org/officeDocument/2006/relationships/image" /><Relationship TargetMode="External" Target="https://www.mdpi.com/2624-8921/8/2/37" Id="docRId58" Type="http://schemas.openxmlformats.org/officeDocument/2006/relationships/hyperlink" /><Relationship TargetMode="External" Target="https://www.iea.org/reports/global-ev-outlook-2025/trends-in-electric-car-markets-2" Id="docRId18" Type="http://schemas.openxmlformats.org/officeDocument/2006/relationships/hyperlink" /><Relationship Target="embeddings/oleObject1.bin" Id="docRId2" Type="http://schemas.openxmlformats.org/officeDocument/2006/relationships/oleObject" /><Relationship TargetMode="External" Target="https://aqueouss.in/the-future-is-electric-growth-of-ev-battery-manufacturers-in-india/?srsltid=AfmBOoog-fmy49qWsuAahK9ZgP0u4ZVHOsKOCaRqVYrhOy4GAs4iD_4e" Id="docRId38" Type="http://schemas.openxmlformats.org/officeDocument/2006/relationships/hyperlink" /><Relationship Target="embeddings/oleObject15.bin" Id="docRId51" Type="http://schemas.openxmlformats.org/officeDocument/2006/relationships/oleObject" /><Relationship Target="embeddings/oleObject4.bin" Id="docRId11" Type="http://schemas.openxmlformats.org/officeDocument/2006/relationships/oleObject" /><Relationship Target="embeddings/oleObject9.bin" Id="docRId26" Type="http://schemas.openxmlformats.org/officeDocument/2006/relationships/oleObject" /><Relationship TargetMode="External" Target="https://www.mdpi.com/1996-1073/15/7/2564" Id="docRId31" Type="http://schemas.openxmlformats.org/officeDocument/2006/relationships/hyperlink" /><Relationship Target="embeddings/oleObject14.bin" Id="docRId42" Type="http://schemas.openxmlformats.org/officeDocument/2006/relationships/oleObject" /><Relationship TargetMode="External" Target="https://hannahritchie.substack.com/p/public-ev-chargers%5BAccessed" Id="docRId56" Type="http://schemas.openxmlformats.org/officeDocument/2006/relationships/hyperlink" /><Relationship TargetMode="External" Target="https://wallstreetmojocms.recurpro.in/" Id="docRId4" Type="http://schemas.openxmlformats.org/officeDocument/2006/relationships/hyperlink" /><Relationship Target="media/image6.wmf" Id="docRId17" Type="http://schemas.openxmlformats.org/officeDocument/2006/relationships/image" /><Relationship Target="media/image8.wmf" Id="docRId24" Type="http://schemas.openxmlformats.org/officeDocument/2006/relationships/image" /><Relationship Target="media/image11.wmf" Id="docRId33" Type="http://schemas.openxmlformats.org/officeDocument/2006/relationships/image" /><Relationship TargetMode="External" Target="https://www.mdpi.com/2624-8921/8/2/37" Id="docRId44" Type="http://schemas.openxmlformats.org/officeDocument/2006/relationships/hyperlink" /><Relationship TargetMode="External" Target="https://www.gov.uk/government/publications/clean-power-2030-action-plan/clean-power-2030-action-plan-a-new-era-of-clean-electricity-main-report" Id="docRId54" Type="http://schemas.openxmlformats.org/officeDocument/2006/relationships/hyperlink" /><Relationship Target="embeddings/oleObject8.bin" Id="docRId23" Type="http://schemas.openxmlformats.org/officeDocument/2006/relationships/oleObject" /><Relationship Target="media/image2.wmf" Id="docRId6" Type="http://schemas.openxmlformats.org/officeDocument/2006/relationships/image" /><Relationship Target="media/image0.wmf" Id="docRId1" Type="http://schemas.openxmlformats.org/officeDocument/2006/relationships/image" /><Relationship Target="media/image5.wmf" Id="docRId15" Type="http://schemas.openxmlformats.org/officeDocument/2006/relationships/image" /><Relationship TargetMode="External" Target="https://hannahritchie.substack.com/p/public-ev-chargers" Id="docRId35" Type="http://schemas.openxmlformats.org/officeDocument/2006/relationships/hyperlink" /><Relationship TargetMode="External" Target="https://www.statista.com/chart/31486/electric-vehicle-sales-in-india-by-year-and-type/?srsltid=AfmBOoo2HQePTPb10cqg-6qaTlhHu4YdNxs2LWgDeGWoHlfOLrQsC_ZA" Id="docRId46" Type="http://schemas.openxmlformats.org/officeDocument/2006/relationships/hyperlink" /><Relationship Target="media/image15.wmf" Id="docRId52" Type="http://schemas.openxmlformats.org/officeDocument/2006/relationships/image" /><Relationship Target="styles.xml" Id="docRId61" Type="http://schemas.openxmlformats.org/officeDocument/2006/relationships/styles" /><Relationship Target="media/image4.wmf" Id="docRId12" Type="http://schemas.openxmlformats.org/officeDocument/2006/relationships/image" /><Relationship Target="media/image7.wmf" Id="docRId21" Type="http://schemas.openxmlformats.org/officeDocument/2006/relationships/image" /><Relationship TargetMode="External" Target="https://www.mdpi.com/2071-1050/12/6/2387" Id="docRId41" Type="http://schemas.openxmlformats.org/officeDocument/2006/relationships/hyperlink" /><Relationship Target="embeddings/oleObject3.bin" Id="docRId8" Type="http://schemas.openxmlformats.org/officeDocument/2006/relationships/oleObject" /><Relationship TargetMode="External" Target="https://www.gov.uk/government/publications/clean-power-2030-action-plan/clean-power-2030-action-plan-a-new-era-of-clean-electricity-main-report" Id="docRId28" Type="http://schemas.openxmlformats.org/officeDocument/2006/relationships/hyperlink" /><Relationship Target="media/image1.wmf" Id="docRId3" Type="http://schemas.openxmlformats.org/officeDocument/2006/relationships/image" /><Relationship Target="media/image12.wmf" Id="docRId37" Type="http://schemas.openxmlformats.org/officeDocument/2006/relationships/image" /><Relationship TargetMode="External" Target="https://hannahritchie.substack.com/p/public-ev-chargers" Id="docRId48" Type="http://schemas.openxmlformats.org/officeDocument/2006/relationships/hyperlink" /><Relationship TargetMode="External" Target="https://aqueouss.in/the-future-is-electric-growth-of-ev-battery-manufacturers-in-india/?srsltid=AfmBOoog-fmy49qWsuAahK9ZgP0u4ZVHOsKOCaRqVYrhOy4GAs4iD_4e" Id="docRId50" Type="http://schemas.openxmlformats.org/officeDocument/2006/relationships/hyperlink" /><Relationship TargetMode="External" Target="https://www.mdpi.com/" Id="docRId10" Type="http://schemas.openxmlformats.org/officeDocument/2006/relationships/hyperlink" /><Relationship Target="media/image9.wmf" Id="docRId27" Type="http://schemas.openxmlformats.org/officeDocument/2006/relationships/image" /><Relationship Target="media/image10.wmf" Id="docRId30" Type="http://schemas.openxmlformats.org/officeDocument/2006/relationships/image" /><Relationship Target="media/image14.wmf" Id="docRId43" Type="http://schemas.openxmlformats.org/officeDocument/2006/relationships/image" /><Relationship TargetMode="External" Target="https://www.mdpi.com/2624-8921/8/2/37" Id="docRId59" Type="http://schemas.openxmlformats.org/officeDocument/2006/relationships/hyperlink" /><Relationship TargetMode="External" Target="https://www.iea.org/reports/global-ev-outlook-2025/trends-in-electric-car-markets-2" Id="docRId19" Type="http://schemas.openxmlformats.org/officeDocument/2006/relationships/hyperlink" /><Relationship Target="embeddings/oleObject13.bin" Id="docRId39" Type="http://schemas.openxmlformats.org/officeDocument/2006/relationships/oleObject" /><Relationship Target="embeddings/oleObject2.bin" Id="docRId5" Type="http://schemas.openxmlformats.org/officeDocument/2006/relationships/oleObject" /><Relationship Target="embeddings/oleObject6.bin" Id="docRId16" Type="http://schemas.openxmlformats.org/officeDocument/2006/relationships/oleObject" /><Relationship TargetMode="External" Target="https://www.statista.com/chart/31486/electric-vehicle-sales-in-india-by-year-and-type/?srsltid=AfmBOoo2HQePTPb10cqg-6qaTlhHu4YdNxs2LWgDeGWoHlfOLrQsC_ZA" Id="docRId25" Type="http://schemas.openxmlformats.org/officeDocument/2006/relationships/hyperlink" /><Relationship Target="embeddings/oleObject11.bin" Id="docRId32" Type="http://schemas.openxmlformats.org/officeDocument/2006/relationships/oleObject" /><Relationship TargetMode="External" Target="https://www.mdpi.com/2624-8921/8/2/37" Id="docRId45" Type="http://schemas.openxmlformats.org/officeDocument/2006/relationships/hyperlink" /><Relationship TargetMode="External" Target="https://aqueouss.in/the-future-is-electric-growth-of-ev-battery-manufacturers-in-india/?srsltid=AfmBOoog-fmy49qWsuAahK9ZgP0u4ZVHOsKOCaRqVYrhOy4GAs4iD_4e" Id="docRId57" Type="http://schemas.openxmlformats.org/officeDocument/2006/relationships/hyperlink" /></Relationships>
</file>