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7AC4C0" w14:textId="77777777" w:rsidR="00796AC7" w:rsidRPr="007546F2" w:rsidRDefault="00796AC7" w:rsidP="008A54A8">
      <w:pPr>
        <w:rPr>
          <w:b/>
          <w:bCs/>
          <w:sz w:val="36"/>
          <w:szCs w:val="36"/>
        </w:rPr>
      </w:pPr>
    </w:p>
    <w:p w14:paraId="5C8A1555" w14:textId="262E4D1D" w:rsidR="00796AC7" w:rsidRPr="007546F2" w:rsidRDefault="00796AC7" w:rsidP="008A54A8">
      <w:pPr>
        <w:rPr>
          <w:rFonts w:ascii="Arial" w:hAnsi="Arial" w:cs="Arial"/>
          <w:b/>
          <w:bCs/>
          <w:sz w:val="36"/>
          <w:szCs w:val="36"/>
        </w:rPr>
      </w:pPr>
      <w:r w:rsidRPr="007546F2">
        <w:rPr>
          <w:rFonts w:ascii="Arial" w:hAnsi="Arial" w:cs="Arial"/>
          <w:b/>
          <w:bCs/>
          <w:sz w:val="36"/>
          <w:szCs w:val="36"/>
        </w:rPr>
        <w:t xml:space="preserve">Student: Shereen Garraghan </w:t>
      </w:r>
    </w:p>
    <w:p w14:paraId="20B68BFB" w14:textId="226DC02F" w:rsidR="00796AC7" w:rsidRPr="007546F2" w:rsidRDefault="00796AC7" w:rsidP="008A54A8">
      <w:pPr>
        <w:rPr>
          <w:rFonts w:ascii="Arial" w:hAnsi="Arial" w:cs="Arial"/>
          <w:b/>
          <w:bCs/>
          <w:sz w:val="36"/>
          <w:szCs w:val="36"/>
        </w:rPr>
      </w:pPr>
      <w:r w:rsidRPr="007546F2">
        <w:rPr>
          <w:rFonts w:ascii="Arial" w:hAnsi="Arial" w:cs="Arial"/>
          <w:b/>
          <w:bCs/>
          <w:sz w:val="36"/>
          <w:szCs w:val="36"/>
        </w:rPr>
        <w:t>Student number:</w:t>
      </w:r>
    </w:p>
    <w:p w14:paraId="2FD228DC" w14:textId="44B1BE83" w:rsidR="00796AC7" w:rsidRPr="007546F2" w:rsidRDefault="00796AC7" w:rsidP="008A54A8">
      <w:pPr>
        <w:rPr>
          <w:rFonts w:ascii="Arial" w:hAnsi="Arial" w:cs="Arial"/>
          <w:b/>
          <w:bCs/>
          <w:sz w:val="36"/>
          <w:szCs w:val="36"/>
        </w:rPr>
      </w:pPr>
      <w:r w:rsidRPr="007546F2">
        <w:rPr>
          <w:rFonts w:ascii="Arial" w:hAnsi="Arial" w:cs="Arial"/>
          <w:b/>
          <w:bCs/>
          <w:sz w:val="36"/>
          <w:szCs w:val="36"/>
        </w:rPr>
        <w:t>Lecturer:</w:t>
      </w:r>
      <w:r w:rsidR="00205A69">
        <w:rPr>
          <w:rFonts w:ascii="Arial" w:hAnsi="Arial" w:cs="Arial"/>
          <w:b/>
          <w:bCs/>
          <w:sz w:val="36"/>
          <w:szCs w:val="36"/>
        </w:rPr>
        <w:t xml:space="preserve"> Charlotte Joyner</w:t>
      </w:r>
    </w:p>
    <w:p w14:paraId="1157921F" w14:textId="62C04AA8" w:rsidR="00796AC7" w:rsidRPr="007546F2" w:rsidRDefault="00796AC7" w:rsidP="008A54A8">
      <w:pPr>
        <w:rPr>
          <w:rFonts w:ascii="Arial" w:hAnsi="Arial" w:cs="Arial"/>
          <w:b/>
          <w:bCs/>
          <w:sz w:val="36"/>
          <w:szCs w:val="36"/>
        </w:rPr>
      </w:pPr>
      <w:r w:rsidRPr="007546F2">
        <w:rPr>
          <w:rFonts w:ascii="Arial" w:hAnsi="Arial" w:cs="Arial"/>
          <w:b/>
          <w:bCs/>
          <w:sz w:val="36"/>
          <w:szCs w:val="36"/>
        </w:rPr>
        <w:t>Module:</w:t>
      </w:r>
      <w:r w:rsidRPr="007546F2">
        <w:rPr>
          <w:rFonts w:ascii="Arial" w:hAnsi="Arial" w:cs="Arial"/>
          <w:sz w:val="36"/>
          <w:szCs w:val="36"/>
        </w:rPr>
        <w:t xml:space="preserve"> </w:t>
      </w:r>
      <w:r w:rsidRPr="007546F2">
        <w:rPr>
          <w:rFonts w:ascii="Arial" w:hAnsi="Arial" w:cs="Arial"/>
          <w:b/>
          <w:bCs/>
          <w:sz w:val="36"/>
          <w:szCs w:val="36"/>
        </w:rPr>
        <w:t>Entrepreneurship BMIH5001</w:t>
      </w:r>
    </w:p>
    <w:p w14:paraId="4D36126A" w14:textId="11A99040" w:rsidR="00796AC7" w:rsidRPr="00796AC7" w:rsidRDefault="00796AC7" w:rsidP="008A54A8">
      <w:pPr>
        <w:rPr>
          <w:rFonts w:ascii="Arial" w:hAnsi="Arial" w:cs="Arial"/>
          <w:b/>
          <w:bCs/>
        </w:rPr>
      </w:pPr>
      <w:r w:rsidRPr="007546F2">
        <w:rPr>
          <w:rFonts w:ascii="Arial" w:hAnsi="Arial" w:cs="Arial"/>
          <w:b/>
          <w:bCs/>
          <w:sz w:val="36"/>
          <w:szCs w:val="36"/>
        </w:rPr>
        <w:t>Assignment 1</w:t>
      </w:r>
    </w:p>
    <w:p w14:paraId="427297EB" w14:textId="77777777" w:rsidR="00796AC7" w:rsidRPr="00796AC7" w:rsidRDefault="00796AC7" w:rsidP="008A54A8">
      <w:pPr>
        <w:rPr>
          <w:rFonts w:ascii="Arial" w:hAnsi="Arial" w:cs="Arial"/>
          <w:b/>
          <w:bCs/>
        </w:rPr>
      </w:pPr>
    </w:p>
    <w:p w14:paraId="0C87852A" w14:textId="77777777" w:rsidR="00796AC7" w:rsidRPr="00796AC7" w:rsidRDefault="00796AC7" w:rsidP="008A54A8">
      <w:pPr>
        <w:rPr>
          <w:rFonts w:ascii="Arial" w:hAnsi="Arial" w:cs="Arial"/>
          <w:b/>
          <w:bCs/>
        </w:rPr>
      </w:pPr>
    </w:p>
    <w:p w14:paraId="60AC58DB" w14:textId="77777777" w:rsidR="00796AC7" w:rsidRPr="00796AC7" w:rsidRDefault="00796AC7" w:rsidP="008A54A8">
      <w:pPr>
        <w:rPr>
          <w:rFonts w:ascii="Arial" w:hAnsi="Arial" w:cs="Arial"/>
          <w:b/>
          <w:bCs/>
        </w:rPr>
      </w:pPr>
    </w:p>
    <w:p w14:paraId="117A8DE8" w14:textId="77777777" w:rsidR="00796AC7" w:rsidRPr="00796AC7" w:rsidRDefault="00796AC7" w:rsidP="008A54A8">
      <w:pPr>
        <w:rPr>
          <w:rFonts w:ascii="Arial" w:hAnsi="Arial" w:cs="Arial"/>
          <w:b/>
          <w:bCs/>
        </w:rPr>
      </w:pPr>
    </w:p>
    <w:p w14:paraId="6EB9E4C2" w14:textId="77777777" w:rsidR="00796AC7" w:rsidRDefault="00796AC7" w:rsidP="008A54A8">
      <w:pPr>
        <w:rPr>
          <w:rFonts w:ascii="Arial" w:hAnsi="Arial" w:cs="Arial"/>
          <w:b/>
          <w:bCs/>
        </w:rPr>
      </w:pPr>
    </w:p>
    <w:p w14:paraId="0486CE64" w14:textId="77777777" w:rsidR="00E97D01" w:rsidRDefault="00E97D01" w:rsidP="008A54A8">
      <w:pPr>
        <w:rPr>
          <w:rFonts w:ascii="Arial" w:hAnsi="Arial" w:cs="Arial"/>
          <w:b/>
          <w:bCs/>
        </w:rPr>
      </w:pPr>
    </w:p>
    <w:p w14:paraId="54C63128" w14:textId="77777777" w:rsidR="00E97D01" w:rsidRDefault="00E97D01" w:rsidP="008A54A8">
      <w:pPr>
        <w:rPr>
          <w:rFonts w:ascii="Arial" w:hAnsi="Arial" w:cs="Arial"/>
          <w:b/>
          <w:bCs/>
        </w:rPr>
      </w:pPr>
    </w:p>
    <w:p w14:paraId="2DB8E017" w14:textId="77777777" w:rsidR="00E97D01" w:rsidRDefault="00E97D01" w:rsidP="008A54A8">
      <w:pPr>
        <w:rPr>
          <w:rFonts w:ascii="Arial" w:hAnsi="Arial" w:cs="Arial"/>
          <w:b/>
          <w:bCs/>
        </w:rPr>
      </w:pPr>
    </w:p>
    <w:p w14:paraId="5D517D09" w14:textId="77777777" w:rsidR="00E97D01" w:rsidRDefault="00E97D01" w:rsidP="008A54A8">
      <w:pPr>
        <w:rPr>
          <w:rFonts w:ascii="Arial" w:hAnsi="Arial" w:cs="Arial"/>
          <w:b/>
          <w:bCs/>
        </w:rPr>
      </w:pPr>
    </w:p>
    <w:p w14:paraId="3DA4FD9C" w14:textId="77777777" w:rsidR="00E97D01" w:rsidRDefault="00E97D01" w:rsidP="008A54A8">
      <w:pPr>
        <w:rPr>
          <w:rFonts w:ascii="Arial" w:hAnsi="Arial" w:cs="Arial"/>
          <w:b/>
          <w:bCs/>
        </w:rPr>
      </w:pPr>
    </w:p>
    <w:p w14:paraId="4F5054BD" w14:textId="77777777" w:rsidR="00E97D01" w:rsidRDefault="00E97D01" w:rsidP="008A54A8">
      <w:pPr>
        <w:rPr>
          <w:rFonts w:ascii="Arial" w:hAnsi="Arial" w:cs="Arial"/>
          <w:b/>
          <w:bCs/>
        </w:rPr>
      </w:pPr>
    </w:p>
    <w:p w14:paraId="53ECC49B" w14:textId="77777777" w:rsidR="00E97D01" w:rsidRDefault="00E97D01" w:rsidP="008A54A8">
      <w:pPr>
        <w:rPr>
          <w:rFonts w:ascii="Arial" w:hAnsi="Arial" w:cs="Arial"/>
          <w:b/>
          <w:bCs/>
        </w:rPr>
      </w:pPr>
    </w:p>
    <w:p w14:paraId="3F862E10" w14:textId="77777777" w:rsidR="00E97D01" w:rsidRDefault="00E97D01" w:rsidP="008A54A8">
      <w:pPr>
        <w:rPr>
          <w:rFonts w:ascii="Arial" w:hAnsi="Arial" w:cs="Arial"/>
          <w:b/>
          <w:bCs/>
        </w:rPr>
      </w:pPr>
    </w:p>
    <w:p w14:paraId="76231049" w14:textId="77777777" w:rsidR="00E97D01" w:rsidRDefault="00E97D01" w:rsidP="008A54A8">
      <w:pPr>
        <w:rPr>
          <w:rFonts w:ascii="Arial" w:hAnsi="Arial" w:cs="Arial"/>
          <w:b/>
          <w:bCs/>
        </w:rPr>
      </w:pPr>
    </w:p>
    <w:p w14:paraId="11C46E22" w14:textId="77777777" w:rsidR="00E97D01" w:rsidRDefault="00E97D01" w:rsidP="008A54A8">
      <w:pPr>
        <w:rPr>
          <w:rFonts w:ascii="Arial" w:hAnsi="Arial" w:cs="Arial"/>
          <w:b/>
          <w:bCs/>
        </w:rPr>
      </w:pPr>
    </w:p>
    <w:p w14:paraId="2171B9F4" w14:textId="77777777" w:rsidR="00E97D01" w:rsidRPr="00796AC7" w:rsidRDefault="00E97D01" w:rsidP="008A54A8">
      <w:pPr>
        <w:rPr>
          <w:rFonts w:ascii="Arial" w:hAnsi="Arial" w:cs="Arial"/>
          <w:b/>
          <w:bCs/>
        </w:rPr>
      </w:pPr>
    </w:p>
    <w:p w14:paraId="7CD18784" w14:textId="77777777" w:rsidR="00796AC7" w:rsidRPr="00796AC7" w:rsidRDefault="00796AC7" w:rsidP="008A54A8">
      <w:pPr>
        <w:rPr>
          <w:rFonts w:ascii="Arial" w:hAnsi="Arial" w:cs="Arial"/>
          <w:b/>
          <w:bCs/>
        </w:rPr>
      </w:pPr>
    </w:p>
    <w:p w14:paraId="3C300A6B" w14:textId="77777777" w:rsidR="00796AC7" w:rsidRPr="00796AC7" w:rsidRDefault="00796AC7" w:rsidP="008A54A8">
      <w:pPr>
        <w:rPr>
          <w:rFonts w:ascii="Arial" w:hAnsi="Arial" w:cs="Arial"/>
          <w:b/>
          <w:bCs/>
        </w:rPr>
      </w:pPr>
    </w:p>
    <w:p w14:paraId="6DB0A743" w14:textId="77777777" w:rsidR="00796AC7" w:rsidRPr="00796AC7" w:rsidRDefault="00796AC7" w:rsidP="008A54A8">
      <w:pPr>
        <w:rPr>
          <w:rFonts w:ascii="Arial" w:hAnsi="Arial" w:cs="Arial"/>
          <w:b/>
          <w:bCs/>
        </w:rPr>
      </w:pPr>
    </w:p>
    <w:p w14:paraId="7D8AFA40" w14:textId="77777777" w:rsidR="00796AC7" w:rsidRPr="00796AC7" w:rsidRDefault="00796AC7" w:rsidP="008A54A8">
      <w:pPr>
        <w:rPr>
          <w:rFonts w:ascii="Arial" w:hAnsi="Arial" w:cs="Arial"/>
          <w:b/>
          <w:bCs/>
        </w:rPr>
      </w:pPr>
    </w:p>
    <w:p w14:paraId="051EF9F5" w14:textId="77777777" w:rsidR="00796AC7" w:rsidRPr="00796AC7" w:rsidRDefault="00796AC7" w:rsidP="008A54A8">
      <w:pPr>
        <w:rPr>
          <w:rFonts w:ascii="Arial" w:hAnsi="Arial" w:cs="Arial"/>
          <w:b/>
          <w:bCs/>
        </w:rPr>
      </w:pPr>
    </w:p>
    <w:p w14:paraId="3CC09712" w14:textId="1067EDA5" w:rsidR="00796AC7" w:rsidRPr="00796AC7" w:rsidRDefault="00796AC7" w:rsidP="00796AC7">
      <w:pPr>
        <w:jc w:val="center"/>
        <w:rPr>
          <w:rFonts w:ascii="Arial" w:hAnsi="Arial" w:cs="Arial"/>
          <w:b/>
          <w:bCs/>
        </w:rPr>
      </w:pPr>
      <w:r w:rsidRPr="00796AC7">
        <w:rPr>
          <w:rFonts w:ascii="Arial" w:hAnsi="Arial" w:cs="Arial"/>
          <w:b/>
          <w:bCs/>
        </w:rPr>
        <w:lastRenderedPageBreak/>
        <w:t>Critically evaluate a range of traits and motivations across a variety of different types of entrepreneurs</w:t>
      </w:r>
    </w:p>
    <w:p w14:paraId="4A65E3F8" w14:textId="77777777" w:rsidR="00796AC7" w:rsidRPr="00796AC7" w:rsidRDefault="00796AC7" w:rsidP="008A54A8">
      <w:pPr>
        <w:rPr>
          <w:rFonts w:ascii="Arial" w:hAnsi="Arial" w:cs="Arial"/>
          <w:b/>
          <w:bCs/>
        </w:rPr>
      </w:pPr>
    </w:p>
    <w:p w14:paraId="7B42D166" w14:textId="77777777" w:rsidR="00796AC7" w:rsidRPr="00796AC7" w:rsidRDefault="00796AC7" w:rsidP="007546F2">
      <w:pPr>
        <w:jc w:val="both"/>
        <w:rPr>
          <w:rFonts w:ascii="Arial" w:hAnsi="Arial" w:cs="Arial"/>
          <w:b/>
          <w:bCs/>
        </w:rPr>
      </w:pPr>
    </w:p>
    <w:p w14:paraId="61082CBD" w14:textId="686BCF31" w:rsidR="008A54A8" w:rsidRDefault="00796AC7" w:rsidP="007546F2">
      <w:pPr>
        <w:spacing w:line="360" w:lineRule="auto"/>
        <w:jc w:val="both"/>
        <w:rPr>
          <w:rFonts w:ascii="Arial" w:hAnsi="Arial" w:cs="Arial"/>
          <w:b/>
          <w:bCs/>
        </w:rPr>
      </w:pPr>
      <w:r w:rsidRPr="00796AC7">
        <w:rPr>
          <w:rFonts w:ascii="Arial" w:hAnsi="Arial" w:cs="Arial"/>
          <w:b/>
          <w:bCs/>
        </w:rPr>
        <w:t xml:space="preserve">Introduction </w:t>
      </w:r>
    </w:p>
    <w:p w14:paraId="76A25911" w14:textId="3A2457AF" w:rsidR="007F6ED4" w:rsidRPr="007F6ED4" w:rsidRDefault="007F6ED4" w:rsidP="007546F2">
      <w:pPr>
        <w:spacing w:line="360" w:lineRule="auto"/>
        <w:jc w:val="both"/>
        <w:rPr>
          <w:rFonts w:ascii="Arial" w:hAnsi="Arial" w:cs="Arial"/>
        </w:rPr>
      </w:pPr>
      <w:bookmarkStart w:id="0" w:name="_Hlk179642929"/>
      <w:r w:rsidRPr="007F6ED4">
        <w:rPr>
          <w:rFonts w:ascii="Arial" w:hAnsi="Arial" w:cs="Arial"/>
        </w:rPr>
        <w:t>Innovation and growth are greatly aided by entrepreneurship, especially in the hospitality sector, which depends on visionary leadership and a customer-focused mindset to prosper in a cutthroat market. Using their unique entrepreneurial qualities to create well-known international brands, business titans like Sir Conrad Hilton, Gordon Ramsay, J.W. Marriott, Alice Marriott, and Gordon Ramsay have all had a revolutionary impact on the industry. For those who aspire to be entrepreneurs or work in the hospitality industry, knowing the essential characteristics and driving forces behind their achievements might yield insightful knowledge.</w:t>
      </w:r>
    </w:p>
    <w:p w14:paraId="096B2F2A" w14:textId="3E5F024B" w:rsidR="00796AC7" w:rsidRPr="00796AC7" w:rsidRDefault="007F6ED4" w:rsidP="007546F2">
      <w:pPr>
        <w:spacing w:line="360" w:lineRule="auto"/>
        <w:jc w:val="both"/>
        <w:rPr>
          <w:rFonts w:ascii="Arial" w:hAnsi="Arial" w:cs="Arial"/>
        </w:rPr>
      </w:pPr>
      <w:r w:rsidRPr="007F6ED4">
        <w:rPr>
          <w:rFonts w:ascii="Arial" w:hAnsi="Arial" w:cs="Arial"/>
        </w:rPr>
        <w:t>this essay critically assesses four key entrepreneurial attributes: vision and invention, risk-taking, resilience and persistence, and a customer-centric strategy. By providing a comparative examination of their strategies, the report also demonstrates how these characteristics have helped well-known businesspeople like Gordon Ramsay, Sir Conrad Hilton, Alice Marriott, J.W. Marriott, and Alice Marriott achieve success. This essay attempts to provide a thorough understanding of the entrepreneurial mindset in the hospitality industry by examining the relationship between these characteristics and motives and their commercial successes.</w:t>
      </w:r>
    </w:p>
    <w:bookmarkEnd w:id="0"/>
    <w:p w14:paraId="6FFD0957" w14:textId="77777777" w:rsidR="00796AC7" w:rsidRPr="00796AC7" w:rsidRDefault="00796AC7" w:rsidP="007546F2">
      <w:pPr>
        <w:spacing w:line="360" w:lineRule="auto"/>
        <w:jc w:val="both"/>
        <w:rPr>
          <w:rFonts w:ascii="Arial" w:hAnsi="Arial" w:cs="Arial"/>
          <w:b/>
          <w:bCs/>
        </w:rPr>
      </w:pPr>
      <w:r w:rsidRPr="00796AC7">
        <w:rPr>
          <w:rFonts w:ascii="Arial" w:hAnsi="Arial" w:cs="Arial"/>
          <w:b/>
          <w:bCs/>
        </w:rPr>
        <w:t>Entrepreneurial Traits and Motivations</w:t>
      </w:r>
    </w:p>
    <w:p w14:paraId="595C3974" w14:textId="77777777" w:rsidR="00796AC7" w:rsidRPr="00796AC7" w:rsidRDefault="00796AC7" w:rsidP="007546F2">
      <w:pPr>
        <w:spacing w:line="360" w:lineRule="auto"/>
        <w:jc w:val="both"/>
        <w:rPr>
          <w:rFonts w:ascii="Arial" w:hAnsi="Arial" w:cs="Arial"/>
        </w:rPr>
      </w:pPr>
      <w:r w:rsidRPr="00796AC7">
        <w:rPr>
          <w:rFonts w:ascii="Arial" w:hAnsi="Arial" w:cs="Arial"/>
        </w:rPr>
        <w:t>Entrepreneurs in the hospitality industry often display a combination of traits and motivations that drive their success. Four key traits—vision and innovation, risk-taking, resilience and persistence, and a customer-centric approach—will be examined in detail through the experiences of prominent entrepreneurs, supported by relevant theoretical frameworks.</w:t>
      </w:r>
    </w:p>
    <w:p w14:paraId="4214F1E1" w14:textId="77777777" w:rsidR="00796AC7" w:rsidRPr="00796AC7" w:rsidRDefault="00796AC7" w:rsidP="007546F2">
      <w:pPr>
        <w:spacing w:line="360" w:lineRule="auto"/>
        <w:jc w:val="both"/>
        <w:rPr>
          <w:rFonts w:ascii="Arial" w:hAnsi="Arial" w:cs="Arial"/>
          <w:b/>
          <w:bCs/>
        </w:rPr>
      </w:pPr>
    </w:p>
    <w:p w14:paraId="38901D4E" w14:textId="522F8C45" w:rsidR="00796AC7" w:rsidRPr="00796AC7" w:rsidRDefault="00796AC7" w:rsidP="007546F2">
      <w:pPr>
        <w:spacing w:line="360" w:lineRule="auto"/>
        <w:jc w:val="both"/>
        <w:rPr>
          <w:rFonts w:ascii="Arial" w:hAnsi="Arial" w:cs="Arial"/>
          <w:b/>
          <w:bCs/>
        </w:rPr>
      </w:pPr>
      <w:r w:rsidRPr="00796AC7">
        <w:rPr>
          <w:rFonts w:ascii="Arial" w:hAnsi="Arial" w:cs="Arial"/>
          <w:b/>
          <w:bCs/>
        </w:rPr>
        <w:t>Vision and Innovation</w:t>
      </w:r>
    </w:p>
    <w:p w14:paraId="074ECAF1" w14:textId="7BE7B24A" w:rsidR="00796AC7" w:rsidRDefault="00796AC7" w:rsidP="007546F2">
      <w:pPr>
        <w:spacing w:line="360" w:lineRule="auto"/>
        <w:jc w:val="both"/>
        <w:rPr>
          <w:rFonts w:ascii="Arial" w:hAnsi="Arial" w:cs="Arial"/>
        </w:rPr>
      </w:pPr>
      <w:r w:rsidRPr="00796AC7">
        <w:rPr>
          <w:rFonts w:ascii="Arial" w:hAnsi="Arial" w:cs="Arial"/>
        </w:rPr>
        <w:t xml:space="preserve">Vision and innovation are critical components of successful entrepreneurship. According to Schumpeter’s Theory of Innovation (1934), entrepreneurs are agents of </w:t>
      </w:r>
      <w:r w:rsidRPr="00796AC7">
        <w:rPr>
          <w:rFonts w:ascii="Arial" w:hAnsi="Arial" w:cs="Arial"/>
        </w:rPr>
        <w:lastRenderedPageBreak/>
        <w:t>change who introduce new products, services, or processes that disrupt existing markets. This forward-thinking mindset enables entrepreneurs to sei</w:t>
      </w:r>
      <w:r w:rsidR="0067209D">
        <w:rPr>
          <w:rFonts w:ascii="Arial" w:hAnsi="Arial" w:cs="Arial"/>
        </w:rPr>
        <w:t>z</w:t>
      </w:r>
      <w:r w:rsidRPr="00796AC7">
        <w:rPr>
          <w:rFonts w:ascii="Arial" w:hAnsi="Arial" w:cs="Arial"/>
        </w:rPr>
        <w:t>e opportunities, stay ahead of competition, and foster sustainable growth in dynamic industries like hospitality.</w:t>
      </w:r>
    </w:p>
    <w:p w14:paraId="3C3B5BB2" w14:textId="5B1B511E" w:rsidR="007F6ED4" w:rsidRDefault="007F6ED4" w:rsidP="007546F2">
      <w:pPr>
        <w:spacing w:line="360" w:lineRule="auto"/>
        <w:jc w:val="both"/>
        <w:rPr>
          <w:rFonts w:ascii="Arial" w:hAnsi="Arial" w:cs="Arial"/>
        </w:rPr>
      </w:pPr>
      <w:r w:rsidRPr="007F6ED4">
        <w:rPr>
          <w:rFonts w:ascii="Arial" w:hAnsi="Arial" w:cs="Arial"/>
        </w:rPr>
        <w:t>For example, J.W. Marriott demonstrated the value of visionary leadership by recognising new trends and adjusting to changing client demands. Marriott started out as a little root beer stand in 1927 and used exceptional service and operational excellence to grow into a worldwide hospitality empire. His early decision to open airport hotels in the 1960s allowed him to take advantage of the expanding need for business travel, which strengthened the Marriott brand's standing for providing excellent customer service (Thomas, 2020; Mariotti &amp; Glackin, 2019). Marriott's creative strategy, which is based on operational effectiveness and strategic planning, is consistent with Schumpeter's notion that innovation is the key to successful entrepreneurship.</w:t>
      </w:r>
    </w:p>
    <w:p w14:paraId="7D1406EA" w14:textId="73F8A53D" w:rsidR="007F6ED4" w:rsidRDefault="007F6ED4" w:rsidP="007546F2">
      <w:pPr>
        <w:spacing w:line="360" w:lineRule="auto"/>
        <w:jc w:val="both"/>
        <w:rPr>
          <w:rFonts w:ascii="Arial" w:hAnsi="Arial" w:cs="Arial"/>
        </w:rPr>
      </w:pPr>
      <w:r w:rsidRPr="007F6ED4">
        <w:rPr>
          <w:rFonts w:ascii="Arial" w:hAnsi="Arial" w:cs="Arial"/>
        </w:rPr>
        <w:t>Similar to this, Conrad Hilton's ambition was to establish a global brand of premium hotels. As part of its plan, Hilton purchased recognisable buildings, like the Waldorf Astoria in New York City, to create a reputation for comfort and elegance (Greene, 2019). His plan to create an international hotel chain revolutionised the hospitality sector by bringing a new standard of opulent treatment to the market for affluent tourists. Hilton's focus on market positioning and brand extension is an example of how innovative thinking may lead to industry transformation (Kuratko, 2016).</w:t>
      </w:r>
    </w:p>
    <w:p w14:paraId="1022ADBA" w14:textId="77777777" w:rsidR="007F6ED4" w:rsidRPr="007F6ED4" w:rsidRDefault="007F6ED4" w:rsidP="007F6ED4">
      <w:pPr>
        <w:spacing w:line="360" w:lineRule="auto"/>
        <w:jc w:val="both"/>
        <w:rPr>
          <w:rFonts w:ascii="Arial" w:hAnsi="Arial" w:cs="Arial"/>
        </w:rPr>
      </w:pPr>
      <w:r w:rsidRPr="007F6ED4">
        <w:rPr>
          <w:rFonts w:ascii="Arial" w:hAnsi="Arial" w:cs="Arial"/>
        </w:rPr>
        <w:t>Gordon Ramsay's concept, on the other hand, is centred on exceptional cuisine and distinctive dining experiences. Ramsay has received recognition around the world and two Michelin stars for his innovative culinary work, which combines classic methods with modern presentation. The necessity of comprehending and adapting to market demands in the hospitality industry is shown in his ambition to develop immersive dining experiences (Ramsay, 2016). While vision and invention are essential to any entrepreneurial endeavour, Ramsay's method shows that these qualities can take diverse forms depending on the industry sector.</w:t>
      </w:r>
    </w:p>
    <w:p w14:paraId="2CDF4DDE" w14:textId="1D6F75DD" w:rsidR="007F6ED4" w:rsidRPr="00796AC7" w:rsidRDefault="007F6ED4" w:rsidP="007F6ED4">
      <w:pPr>
        <w:spacing w:line="360" w:lineRule="auto"/>
        <w:jc w:val="both"/>
        <w:rPr>
          <w:rFonts w:ascii="Arial" w:hAnsi="Arial" w:cs="Arial"/>
        </w:rPr>
      </w:pPr>
      <w:r w:rsidRPr="007F6ED4">
        <w:rPr>
          <w:rFonts w:ascii="Arial" w:hAnsi="Arial" w:cs="Arial"/>
        </w:rPr>
        <w:t xml:space="preserve">An examination of Marriott, Hilton, and Ramsay in comparison shows the various ways that creativity and vision may influence business success. Marriott prioritised operational consistency, Hilton concentrated on luxury and growth, while Ramsay </w:t>
      </w:r>
      <w:r w:rsidRPr="007F6ED4">
        <w:rPr>
          <w:rFonts w:ascii="Arial" w:hAnsi="Arial" w:cs="Arial"/>
        </w:rPr>
        <w:lastRenderedPageBreak/>
        <w:t>prioritised culinary inventiveness, highlighting how adaptable innovation can be in a variety of settings (Schumpeter, 1934; Baum &amp; Locke, 2004).</w:t>
      </w:r>
    </w:p>
    <w:p w14:paraId="665224DB" w14:textId="1F204527" w:rsidR="00796AC7" w:rsidRPr="00796AC7" w:rsidRDefault="00796AC7" w:rsidP="007546F2">
      <w:pPr>
        <w:spacing w:line="360" w:lineRule="auto"/>
        <w:jc w:val="both"/>
        <w:rPr>
          <w:rFonts w:ascii="Arial" w:hAnsi="Arial" w:cs="Arial"/>
          <w:b/>
          <w:bCs/>
        </w:rPr>
      </w:pPr>
      <w:r w:rsidRPr="00796AC7">
        <w:rPr>
          <w:rFonts w:ascii="Arial" w:hAnsi="Arial" w:cs="Arial"/>
          <w:b/>
          <w:bCs/>
        </w:rPr>
        <w:t>Risk-Taking</w:t>
      </w:r>
    </w:p>
    <w:p w14:paraId="08928DE9" w14:textId="77777777" w:rsidR="007F6ED4" w:rsidRDefault="00796AC7" w:rsidP="007546F2">
      <w:pPr>
        <w:spacing w:line="360" w:lineRule="auto"/>
        <w:jc w:val="both"/>
        <w:rPr>
          <w:rFonts w:ascii="Arial" w:hAnsi="Arial" w:cs="Arial"/>
        </w:rPr>
      </w:pPr>
      <w:r w:rsidRPr="00796AC7">
        <w:rPr>
          <w:rFonts w:ascii="Arial" w:hAnsi="Arial" w:cs="Arial"/>
        </w:rPr>
        <w:t>Risk-taking is a hallmark of entrepreneurship, particularly in industries like hospitality that are vulnerable to market fluctuations. Frank Knight’s Theory of Risk (1921) highlights that entrepreneurs must navigate both calculable risks and uncertainties to achieve success. Risk tolerance often differentiates successful entrepreneurs from those who struggle to sustain long-term growth.</w:t>
      </w:r>
    </w:p>
    <w:p w14:paraId="2F9F138B" w14:textId="4B3CD1F9" w:rsidR="007F6ED4" w:rsidRDefault="007F6ED4" w:rsidP="007546F2">
      <w:pPr>
        <w:spacing w:line="360" w:lineRule="auto"/>
        <w:jc w:val="both"/>
        <w:rPr>
          <w:rFonts w:ascii="Arial" w:hAnsi="Arial" w:cs="Arial"/>
        </w:rPr>
      </w:pPr>
      <w:r w:rsidRPr="007F6ED4">
        <w:rPr>
          <w:rFonts w:ascii="Arial" w:hAnsi="Arial" w:cs="Arial"/>
        </w:rPr>
        <w:t>Alice Marriott took calculated risks by using strategy. She guided Marriott International through economic instability during World War II by putting the company's long-term survival first and employing conservative financial methods (Groth &amp; Kinicki, 2019). This sensible way to taking risks illustrates how crucial it is to strike a balance between risk and financial security, particularly in times of market volatility. Alice Marriott's leadership saw to it that the business continued to develop even in difficult times, supporting Knight's theory that risk needs to be measured in order to reduce possible losses (Gartner, 1988).</w:t>
      </w:r>
    </w:p>
    <w:p w14:paraId="18A5E1DB" w14:textId="3116E42F" w:rsidR="00845429" w:rsidRDefault="00845429" w:rsidP="007546F2">
      <w:pPr>
        <w:spacing w:line="360" w:lineRule="auto"/>
        <w:jc w:val="both"/>
        <w:rPr>
          <w:rFonts w:ascii="Arial" w:hAnsi="Arial" w:cs="Arial"/>
        </w:rPr>
      </w:pPr>
      <w:r w:rsidRPr="00845429">
        <w:rPr>
          <w:rFonts w:ascii="Arial" w:hAnsi="Arial" w:cs="Arial"/>
        </w:rPr>
        <w:t>In contrast, Conrad Hilton adopted risk-taking methods that were more aggressive. Hilton showed that he was willing to take significant financial risks by taking advantage of the Great Depression to purchase failing hotels at a bargain. His choice to make investments during a recession paid dividends, as it enabled him to grow the Hilton brand at a time when other companies were contracting (Hilton, 2009). Hilton's ability to turn hardship into an opportunity is a prime example of Knight's claim that taking measured risks to profit from market dynamics is a common aspect of entrepreneurship.</w:t>
      </w:r>
    </w:p>
    <w:p w14:paraId="25D92D1D" w14:textId="5C8ECA14" w:rsidR="00845429" w:rsidRDefault="00845429" w:rsidP="007546F2">
      <w:pPr>
        <w:spacing w:line="360" w:lineRule="auto"/>
        <w:jc w:val="both"/>
        <w:rPr>
          <w:rFonts w:ascii="Arial" w:hAnsi="Arial" w:cs="Arial"/>
        </w:rPr>
      </w:pPr>
      <w:r w:rsidRPr="00845429">
        <w:rPr>
          <w:rFonts w:ascii="Arial" w:hAnsi="Arial" w:cs="Arial"/>
        </w:rPr>
        <w:t>Gordon Ramsay took a lot of risks during his entrepreneurial path. Ramsay had to bet big on reputation and cash to open restaurants in very competitive markets around the world. Although his television endeavours were also risky, they enhanced his personal brand and aided in the expansion of his culinary empire (Ramsay, 2016). Ramsay's willingness to take chances in the quest for market development emphasises the necessity for entrepreneurs to strike a balance between risk and profit (Knight, 1921; Baron, 2007).</w:t>
      </w:r>
    </w:p>
    <w:p w14:paraId="45B6DB46" w14:textId="56E48E5A" w:rsidR="00796AC7" w:rsidRPr="00796AC7" w:rsidRDefault="00796AC7" w:rsidP="007546F2">
      <w:pPr>
        <w:spacing w:line="360" w:lineRule="auto"/>
        <w:jc w:val="both"/>
        <w:rPr>
          <w:rFonts w:ascii="Arial" w:hAnsi="Arial" w:cs="Arial"/>
        </w:rPr>
      </w:pPr>
      <w:r w:rsidRPr="00796AC7">
        <w:rPr>
          <w:rFonts w:ascii="Arial" w:hAnsi="Arial" w:cs="Arial"/>
        </w:rPr>
        <w:lastRenderedPageBreak/>
        <w:t>Comparing the risk-taking approaches of Alice Marriott, Conrad Hilton, and Gordon Ramsay reveals a spectrum of risk tolerance among successful entrepreneurs. Marriott’s cautious approach contrasts with Hilton’s bold acquisitions, while Ramsay’s high-stakes ventures illustrate the diverse ways in which entrepreneurs manage risk in the hospitality industry (Knight, 1921; Baron, 2007).</w:t>
      </w:r>
    </w:p>
    <w:p w14:paraId="4058A95D" w14:textId="623B1593" w:rsidR="00796AC7" w:rsidRPr="00796AC7" w:rsidRDefault="00796AC7" w:rsidP="007546F2">
      <w:pPr>
        <w:spacing w:line="360" w:lineRule="auto"/>
        <w:jc w:val="both"/>
        <w:rPr>
          <w:rFonts w:ascii="Arial" w:hAnsi="Arial" w:cs="Arial"/>
          <w:b/>
          <w:bCs/>
        </w:rPr>
      </w:pPr>
      <w:r w:rsidRPr="00796AC7">
        <w:rPr>
          <w:rFonts w:ascii="Arial" w:hAnsi="Arial" w:cs="Arial"/>
          <w:b/>
          <w:bCs/>
        </w:rPr>
        <w:t>Resilience and Persistence</w:t>
      </w:r>
    </w:p>
    <w:p w14:paraId="4DF9480E" w14:textId="502D85CF" w:rsidR="00845429" w:rsidRDefault="00845429" w:rsidP="007546F2">
      <w:pPr>
        <w:spacing w:line="360" w:lineRule="auto"/>
        <w:jc w:val="both"/>
        <w:rPr>
          <w:rFonts w:ascii="Arial" w:hAnsi="Arial" w:cs="Arial"/>
        </w:rPr>
      </w:pPr>
      <w:r w:rsidRPr="00845429">
        <w:rPr>
          <w:rFonts w:ascii="Arial" w:hAnsi="Arial" w:cs="Arial"/>
        </w:rPr>
        <w:t>The ability to bounce back from setbacks and persevere over the long haul is a critical skill for entrepreneurs. According to Angela Duckworth's (2016) Grit Theory, passion and persistence over time are more likely to lead to success than skill alone. This concept is especially important in the volatile hospitality sector, where overcoming obstacles and grabbing opportunities require resilience.</w:t>
      </w:r>
    </w:p>
    <w:p w14:paraId="01D27F7F" w14:textId="1B635D26" w:rsidR="00796AC7" w:rsidRPr="00796AC7" w:rsidRDefault="00796AC7" w:rsidP="007546F2">
      <w:pPr>
        <w:spacing w:line="360" w:lineRule="auto"/>
        <w:jc w:val="both"/>
        <w:rPr>
          <w:rFonts w:ascii="Arial" w:hAnsi="Arial" w:cs="Arial"/>
        </w:rPr>
      </w:pPr>
      <w:r w:rsidRPr="00796AC7">
        <w:rPr>
          <w:rFonts w:ascii="Arial" w:hAnsi="Arial" w:cs="Arial"/>
        </w:rPr>
        <w:t>J.W. Marriott’s career exemplified resilience during several turbulent periods, including the Great Depression and World War II. Marriott’s ability to pivot and focus on food services for wartime workers highlighted his adaptive mindset and determination to sustain the business despite external pressures (Mariotti &amp; Glackin, 2019). Marriott’s resilience allowed him to keep his vision intact while making strategic adjustments to ensure the company’s survival. His long-term commitment to growth reflects the essence of Duckworth’s “grit” as a key driver of success in challenging environments (Thomas, 2020).</w:t>
      </w:r>
    </w:p>
    <w:p w14:paraId="41665AEE" w14:textId="117EE94D" w:rsidR="00796AC7" w:rsidRPr="00796AC7" w:rsidRDefault="00796AC7" w:rsidP="007546F2">
      <w:pPr>
        <w:spacing w:line="360" w:lineRule="auto"/>
        <w:jc w:val="both"/>
        <w:rPr>
          <w:rFonts w:ascii="Arial" w:hAnsi="Arial" w:cs="Arial"/>
        </w:rPr>
      </w:pPr>
      <w:r w:rsidRPr="00796AC7">
        <w:rPr>
          <w:rFonts w:ascii="Arial" w:hAnsi="Arial" w:cs="Arial"/>
        </w:rPr>
        <w:t>Similarly, Conrad Hilton displayed remarkable persistence during difficult times. After facing financial setbacks during the Great Depression, Hilton adopted a strategy of acquiring distressed hotels at bargain prices, turning them into profitable ventures. His ability to recover from these setbacks demonstrates the importance of resilience in entrepreneurship (Hilton, 2009). Hilton’s perseverance in the face of financial hardship shows how entrepreneurs must continually adapt and persist to succeed in the hospitality industry (Duckworth, 2016).</w:t>
      </w:r>
    </w:p>
    <w:p w14:paraId="407EBDD4" w14:textId="61E55403" w:rsidR="00796AC7" w:rsidRDefault="00796AC7" w:rsidP="007546F2">
      <w:pPr>
        <w:spacing w:line="360" w:lineRule="auto"/>
        <w:jc w:val="both"/>
        <w:rPr>
          <w:rFonts w:ascii="Arial" w:hAnsi="Arial" w:cs="Arial"/>
        </w:rPr>
      </w:pPr>
      <w:r w:rsidRPr="00796AC7">
        <w:rPr>
          <w:rFonts w:ascii="Arial" w:hAnsi="Arial" w:cs="Arial"/>
        </w:rPr>
        <w:t>Gordon Ramsay’s career also reflects resilience, as he has faced numerous personal and professional challenges, including restaurant closures and public controversies. Despite these setbacks, Ramsay’s persistence has enabled him to rebuild and expand his culinary empire. His ability to rebound from failures underscores Duckworth’s idea that resilience, rather than mere talent, is key to long-term success in competitive markets (Ramsay, 2016).</w:t>
      </w:r>
    </w:p>
    <w:p w14:paraId="44AF4A23" w14:textId="3C5D8816" w:rsidR="00845429" w:rsidRPr="00796AC7" w:rsidRDefault="00845429" w:rsidP="007546F2">
      <w:pPr>
        <w:spacing w:line="360" w:lineRule="auto"/>
        <w:jc w:val="both"/>
        <w:rPr>
          <w:rFonts w:ascii="Arial" w:hAnsi="Arial" w:cs="Arial"/>
        </w:rPr>
      </w:pPr>
      <w:r w:rsidRPr="00845429">
        <w:rPr>
          <w:rFonts w:ascii="Arial" w:hAnsi="Arial" w:cs="Arial"/>
        </w:rPr>
        <w:lastRenderedPageBreak/>
        <w:t>The experiences of Marriott, Hilton, and Ramsay can be compared to show how perseverance and resilience are essential for overcoming obstacles and achieving long-term success in the hospitality sector. Despite facing considerable challenges, all three of them persisted in their pursuit of their objectives and exemplified the grit of an entrepreneur (Duckworth, 2016; Williams &amp; McWilliams, 2010).</w:t>
      </w:r>
    </w:p>
    <w:p w14:paraId="3DB11C5E" w14:textId="381E7B67" w:rsidR="00796AC7" w:rsidRPr="0067209D" w:rsidRDefault="00796AC7" w:rsidP="007546F2">
      <w:pPr>
        <w:spacing w:line="360" w:lineRule="auto"/>
        <w:jc w:val="both"/>
        <w:rPr>
          <w:rFonts w:ascii="Arial" w:hAnsi="Arial" w:cs="Arial"/>
          <w:b/>
          <w:bCs/>
        </w:rPr>
      </w:pPr>
      <w:r w:rsidRPr="0067209D">
        <w:rPr>
          <w:rFonts w:ascii="Arial" w:hAnsi="Arial" w:cs="Arial"/>
          <w:b/>
          <w:bCs/>
        </w:rPr>
        <w:t>Customer-Centric Approach</w:t>
      </w:r>
    </w:p>
    <w:p w14:paraId="09530909" w14:textId="6B9D5D17" w:rsidR="00796AC7" w:rsidRDefault="00796AC7" w:rsidP="007546F2">
      <w:pPr>
        <w:spacing w:line="360" w:lineRule="auto"/>
        <w:jc w:val="both"/>
        <w:rPr>
          <w:rFonts w:ascii="Arial" w:hAnsi="Arial" w:cs="Arial"/>
        </w:rPr>
      </w:pPr>
      <w:r w:rsidRPr="00796AC7">
        <w:rPr>
          <w:rFonts w:ascii="Arial" w:hAnsi="Arial" w:cs="Arial"/>
        </w:rPr>
        <w:t>A customer-centric approach is fundamental to entrepreneurship in the hospitality industry, where customer satisfaction directly impacts success. Peter Drucker (1985) argues that creating value for customers should be the primary focus of any entrepreneurial venture, particularly in service-oriented industries. Entrepreneurs who prioriti</w:t>
      </w:r>
      <w:r w:rsidR="0067209D">
        <w:rPr>
          <w:rFonts w:ascii="Arial" w:hAnsi="Arial" w:cs="Arial"/>
        </w:rPr>
        <w:t>s</w:t>
      </w:r>
      <w:r w:rsidRPr="00796AC7">
        <w:rPr>
          <w:rFonts w:ascii="Arial" w:hAnsi="Arial" w:cs="Arial"/>
        </w:rPr>
        <w:t>e the customer experience are better equipped to build loyal customer bases and achieve long-term success.</w:t>
      </w:r>
    </w:p>
    <w:p w14:paraId="5DFB7244" w14:textId="4AC30A77" w:rsidR="00845429" w:rsidRDefault="00845429" w:rsidP="007546F2">
      <w:pPr>
        <w:spacing w:line="360" w:lineRule="auto"/>
        <w:jc w:val="both"/>
        <w:rPr>
          <w:rFonts w:ascii="Arial" w:hAnsi="Arial" w:cs="Arial"/>
        </w:rPr>
      </w:pPr>
      <w:r w:rsidRPr="00845429">
        <w:rPr>
          <w:rFonts w:ascii="Arial" w:hAnsi="Arial" w:cs="Arial"/>
        </w:rPr>
        <w:t>Outstanding customer service was the cornerstone upon which J.W. and Alice Marriott founded Marriott International. Every element of the Marriott brand was created with the goal of exceeding customers' expectations, thanks to their "Spirit to Serve" attitude (Mariotti &amp; Glackin, 2019). This emphasis on client pleasure was crucial to the business's quick growth and shows how a customer-centric strategy may result in sustained success in the hospitality sector (Thomas, 2020).</w:t>
      </w:r>
    </w:p>
    <w:p w14:paraId="73BFC4FD" w14:textId="043EFA6A" w:rsidR="00845429" w:rsidRDefault="00845429" w:rsidP="007546F2">
      <w:pPr>
        <w:spacing w:line="360" w:lineRule="auto"/>
        <w:jc w:val="both"/>
        <w:rPr>
          <w:rFonts w:ascii="Arial" w:hAnsi="Arial" w:cs="Arial"/>
        </w:rPr>
      </w:pPr>
      <w:r w:rsidRPr="00845429">
        <w:rPr>
          <w:rFonts w:ascii="Arial" w:hAnsi="Arial" w:cs="Arial"/>
        </w:rPr>
        <w:t>Although his emphasis was on providing luxury and comfort to affluent travellers, Conrad Hilton also highlighted the value of customer happiness. Hilton sought to set his company apart by providing a customised, opulent experience since he felt that great service was crucial to winning over customers. The success of the Hilton brand around the world is a testament to his dedication to client satisfaction (Greene, 2019). Hilton's focus on customer value is consistent with Drucker's theory that satisfying consumers' wants is essential to entrepreneurship (Drucker, 1985; Casson, 2003).</w:t>
      </w:r>
    </w:p>
    <w:p w14:paraId="27E678EA" w14:textId="2D7B7332" w:rsidR="005452B1" w:rsidRPr="00796AC7" w:rsidRDefault="005452B1" w:rsidP="007546F2">
      <w:pPr>
        <w:spacing w:line="360" w:lineRule="auto"/>
        <w:jc w:val="both"/>
        <w:rPr>
          <w:rFonts w:ascii="Arial" w:hAnsi="Arial" w:cs="Arial"/>
        </w:rPr>
      </w:pPr>
      <w:r w:rsidRPr="005452B1">
        <w:rPr>
          <w:rFonts w:ascii="Arial" w:hAnsi="Arial" w:cs="Arial"/>
        </w:rPr>
        <w:t>In his Michelin-starred restaurants, Gordon Ramsay prioritises fine dining experiences that are catered to his patrons' desires, demonstrating his customer-centric approach. In order to provide great experiences, Ramsay emphasises feedback and continual improvement, which highlights the significance of comprehending and meeting client needs (Ramsay, 2016). Similar to Marriott and Hilton, Ramsay's strategy emphasises how important it is to have the consumer at the focus of the business plan in the hospitality sector.</w:t>
      </w:r>
    </w:p>
    <w:p w14:paraId="7C341F0D" w14:textId="146AAD14" w:rsidR="0067209D" w:rsidRPr="00796AC7" w:rsidRDefault="005452B1" w:rsidP="007546F2">
      <w:pPr>
        <w:spacing w:line="360" w:lineRule="auto"/>
        <w:jc w:val="both"/>
        <w:rPr>
          <w:rFonts w:ascii="Arial" w:hAnsi="Arial" w:cs="Arial"/>
        </w:rPr>
      </w:pPr>
      <w:r w:rsidRPr="005452B1">
        <w:rPr>
          <w:rFonts w:ascii="Arial" w:hAnsi="Arial" w:cs="Arial"/>
        </w:rPr>
        <w:lastRenderedPageBreak/>
        <w:t>Upon comparing the customer experience strategies of Marriott, Hilton, and Ramsay, it becomes evident that each entrepreneur approached the matter with a distinct perspective. Ramsay prioritised distinctive dining experiences, Hilton concentrated on luxury, while Marriott prioritised operational consistency. These variations show how a customer-centric strategy can be applied to different hotel sector segments (Drucker, 1985; Stevenson &amp; Jarillo, 1990).</w:t>
      </w:r>
    </w:p>
    <w:p w14:paraId="239CD2C6" w14:textId="77777777" w:rsidR="00796AC7" w:rsidRPr="00796AC7" w:rsidRDefault="00796AC7" w:rsidP="007546F2">
      <w:pPr>
        <w:spacing w:line="360" w:lineRule="auto"/>
        <w:jc w:val="both"/>
        <w:rPr>
          <w:rFonts w:ascii="Arial" w:hAnsi="Arial" w:cs="Arial"/>
          <w:b/>
          <w:bCs/>
        </w:rPr>
      </w:pPr>
      <w:r w:rsidRPr="00796AC7">
        <w:rPr>
          <w:rFonts w:ascii="Arial" w:hAnsi="Arial" w:cs="Arial"/>
          <w:b/>
          <w:bCs/>
        </w:rPr>
        <w:t>Comparison of Entrepreneurs: J.W. Marriott, Alice Marriott, Conrad Hilton, and Gordon Ramsay</w:t>
      </w:r>
    </w:p>
    <w:p w14:paraId="54F7E126" w14:textId="720B2B8A" w:rsidR="005452B1" w:rsidRDefault="005452B1" w:rsidP="007546F2">
      <w:pPr>
        <w:spacing w:line="360" w:lineRule="auto"/>
        <w:jc w:val="both"/>
        <w:rPr>
          <w:rFonts w:ascii="Arial" w:hAnsi="Arial" w:cs="Arial"/>
        </w:rPr>
      </w:pPr>
      <w:r w:rsidRPr="005452B1">
        <w:rPr>
          <w:rFonts w:ascii="Arial" w:hAnsi="Arial" w:cs="Arial"/>
        </w:rPr>
        <w:t>Conrad Hilton, Gordon Ramsay, J.W. Marriott, and Alice Marriott all exhibited crucial entrepreneurial qualities that greatly aided in their success in the hospitality sector. While vision, resilience, and customer focus were among the essential characteristics that all four entrepreneurs possessed, their distinct methods and situations show how these characteristics were employed differently depending on their particular experiences and market conditions.</w:t>
      </w:r>
    </w:p>
    <w:p w14:paraId="535D9057" w14:textId="5F92F9EB" w:rsidR="005452B1" w:rsidRDefault="005452B1" w:rsidP="007546F2">
      <w:pPr>
        <w:spacing w:line="360" w:lineRule="auto"/>
        <w:jc w:val="both"/>
        <w:rPr>
          <w:rFonts w:ascii="Arial" w:hAnsi="Arial" w:cs="Arial"/>
        </w:rPr>
      </w:pPr>
      <w:r w:rsidRPr="005452B1">
        <w:rPr>
          <w:rFonts w:ascii="Arial" w:hAnsi="Arial" w:cs="Arial"/>
        </w:rPr>
        <w:t>J.W. Marriott sets himself apart from Conrad Hilton, whose business strategy revolves around luxury and brand expansion, with his emphasis on operational excellence and customer service. Marriott's dedication to excellence and his "Spirit to Serve" concept established the groundwork for the brand's success on a worldwide scale (Thomas, 2020). On the other hand, Hilton transformed the hospitality sector by establishing a new benchmark for upscale service, as demonstrated by his acquisition of iconic properties and his vision of a global chain of luxury hotels (Greene, 2019).</w:t>
      </w:r>
    </w:p>
    <w:p w14:paraId="543A627F" w14:textId="24E924C4" w:rsidR="005452B1" w:rsidRDefault="005452B1" w:rsidP="007546F2">
      <w:pPr>
        <w:spacing w:line="360" w:lineRule="auto"/>
        <w:jc w:val="both"/>
        <w:rPr>
          <w:rFonts w:ascii="Arial" w:hAnsi="Arial" w:cs="Arial"/>
        </w:rPr>
      </w:pPr>
      <w:r w:rsidRPr="005452B1">
        <w:rPr>
          <w:rFonts w:ascii="Arial" w:hAnsi="Arial" w:cs="Arial"/>
        </w:rPr>
        <w:t>The business journey of Gordon Ramsay is distinct as it encompasses both the culinary and media industries. Unlike Marriott and Hilton, he is able to innovate in the culinary field and develop a powerful personal brand via television. Ramsay's emphasis on providing distinctive dining experiences has been a major factor in his business success. This shows how creativity and a customer-centric mindset may influence success in the food and beverage industry (Ramsay, 2016).</w:t>
      </w:r>
    </w:p>
    <w:p w14:paraId="5963668C" w14:textId="131A9AF5" w:rsidR="005452B1" w:rsidRDefault="005452B1" w:rsidP="007546F2">
      <w:pPr>
        <w:spacing w:line="360" w:lineRule="auto"/>
        <w:jc w:val="both"/>
        <w:rPr>
          <w:rFonts w:ascii="Arial" w:hAnsi="Arial" w:cs="Arial"/>
        </w:rPr>
      </w:pPr>
      <w:r w:rsidRPr="005452B1">
        <w:rPr>
          <w:rFonts w:ascii="Arial" w:hAnsi="Arial" w:cs="Arial"/>
        </w:rPr>
        <w:t xml:space="preserve">Despite being frequently eclipsed by her husband's accomplishments, Alice Marriott made a significant contribution by taking calculated risks when the economy was shaky. Her financial tactics during World War II guaranteed Marriott International's survival and expansion, exhibiting a prudent approach to risk management (Groth &amp; Kinicki, 2019). This highlights the variety of strategies used by the hospitality sector to </w:t>
      </w:r>
      <w:r w:rsidRPr="005452B1">
        <w:rPr>
          <w:rFonts w:ascii="Arial" w:hAnsi="Arial" w:cs="Arial"/>
        </w:rPr>
        <w:lastRenderedPageBreak/>
        <w:t>manage uncertainty, as contrasted with Hilton's audacious risk-taking during the Great Depression (Knight, 1921).</w:t>
      </w:r>
    </w:p>
    <w:p w14:paraId="0988D20E" w14:textId="4EE4731C" w:rsidR="005452B1" w:rsidRDefault="005452B1" w:rsidP="007546F2">
      <w:pPr>
        <w:spacing w:line="360" w:lineRule="auto"/>
        <w:jc w:val="both"/>
        <w:rPr>
          <w:rFonts w:ascii="Arial" w:hAnsi="Arial" w:cs="Arial"/>
        </w:rPr>
      </w:pPr>
      <w:r w:rsidRPr="005452B1">
        <w:rPr>
          <w:rFonts w:ascii="Arial" w:hAnsi="Arial" w:cs="Arial"/>
        </w:rPr>
        <w:t>Upon analysing these entrepreneurs, it is evident that although they possessed common characteristics like vision, resilience, and a customer-centric orientation, their distinct approaches were influenced by their distinct settings. Different routes to entrepreneurial success in the hospitality sector are shown by J.W. Marriott's emphasis on consistency and service, Hilton's concentration on luxury and expansion, Ramsay's culinary innovation, and Alice Marriott's cautious risk management.</w:t>
      </w:r>
    </w:p>
    <w:p w14:paraId="0923F776" w14:textId="77777777" w:rsidR="00796AC7" w:rsidRPr="00796AC7" w:rsidRDefault="00796AC7" w:rsidP="007546F2">
      <w:pPr>
        <w:spacing w:line="360" w:lineRule="auto"/>
        <w:jc w:val="both"/>
        <w:rPr>
          <w:rFonts w:ascii="Arial" w:hAnsi="Arial" w:cs="Arial"/>
          <w:b/>
          <w:bCs/>
        </w:rPr>
      </w:pPr>
      <w:r w:rsidRPr="00796AC7">
        <w:rPr>
          <w:rFonts w:ascii="Arial" w:hAnsi="Arial" w:cs="Arial"/>
          <w:b/>
          <w:bCs/>
        </w:rPr>
        <w:t>Conclusion</w:t>
      </w:r>
    </w:p>
    <w:p w14:paraId="7C8C5C06" w14:textId="277D8EEF" w:rsidR="00796AC7" w:rsidRPr="00796AC7" w:rsidRDefault="005452B1" w:rsidP="007546F2">
      <w:pPr>
        <w:spacing w:line="360" w:lineRule="auto"/>
        <w:jc w:val="both"/>
        <w:rPr>
          <w:rFonts w:ascii="Arial" w:hAnsi="Arial" w:cs="Arial"/>
        </w:rPr>
      </w:pPr>
      <w:r w:rsidRPr="005452B1">
        <w:rPr>
          <w:rFonts w:ascii="Arial" w:hAnsi="Arial" w:cs="Arial"/>
        </w:rPr>
        <w:t>The varied range of characteristics and motivations that propel the success of individuals such as J.W. Marriott, Alice Marriott, Conrad Hilton, and Gordon Ramsay are what shape entrepreneurship in the hospitality business. This essay has illustrated how vision and creativity, risk-taking, perseverance and persistence, and a customer-centric attitude are important qualities that lead to long-term success in the fast-paced and fiercely competitive hospitality sector.</w:t>
      </w:r>
    </w:p>
    <w:p w14:paraId="248F2829" w14:textId="7E7213EE" w:rsidR="005452B1" w:rsidRDefault="005452B1" w:rsidP="007546F2">
      <w:pPr>
        <w:spacing w:line="360" w:lineRule="auto"/>
        <w:jc w:val="both"/>
        <w:rPr>
          <w:rFonts w:ascii="Arial" w:hAnsi="Arial" w:cs="Arial"/>
        </w:rPr>
      </w:pPr>
      <w:r w:rsidRPr="005452B1">
        <w:rPr>
          <w:rFonts w:ascii="Arial" w:hAnsi="Arial" w:cs="Arial"/>
        </w:rPr>
        <w:t>Even though these business owners had similar characteristics, their distinct strategies were shaped by their own experiences, market dynamics, and industry sectors. This analysis highlights how crucial it is for entrepreneurs to be flexible and creative, as each one of them customised their approach to fit the needs of their unique market contexts.</w:t>
      </w:r>
    </w:p>
    <w:p w14:paraId="6022D127" w14:textId="77777777" w:rsidR="005452B1" w:rsidRPr="005452B1" w:rsidRDefault="005452B1" w:rsidP="005452B1">
      <w:pPr>
        <w:spacing w:line="360" w:lineRule="auto"/>
        <w:jc w:val="both"/>
        <w:rPr>
          <w:rFonts w:ascii="Arial" w:hAnsi="Arial" w:cs="Arial"/>
        </w:rPr>
      </w:pPr>
      <w:r w:rsidRPr="005452B1">
        <w:rPr>
          <w:rFonts w:ascii="Arial" w:hAnsi="Arial" w:cs="Arial"/>
        </w:rPr>
        <w:t>In the end, Marriott, Hilton, and Ramsay's entrepreneurial paths demonstrate that success in the hospitality industry requires a combination of critical characteristics, strategic thinking, and an unwavering dedication to providing value to customers rather than just ambition or talent. The insights gleaned from their experiences are helpful for prospective hotel industry entrepreneurs, highlighting the significance of creativity, adaptability, and customer-focused thinking for long-term success</w:t>
      </w:r>
    </w:p>
    <w:p w14:paraId="1B18F92B" w14:textId="77777777" w:rsidR="00796AC7" w:rsidRPr="00796AC7" w:rsidRDefault="00796AC7" w:rsidP="007546F2">
      <w:pPr>
        <w:spacing w:line="360" w:lineRule="auto"/>
        <w:jc w:val="both"/>
        <w:rPr>
          <w:rFonts w:ascii="Arial" w:hAnsi="Arial" w:cs="Arial"/>
        </w:rPr>
      </w:pPr>
    </w:p>
    <w:p w14:paraId="4A65CF8A" w14:textId="77777777" w:rsidR="00796AC7" w:rsidRPr="00796AC7" w:rsidRDefault="00796AC7" w:rsidP="007546F2">
      <w:pPr>
        <w:spacing w:line="360" w:lineRule="auto"/>
        <w:jc w:val="both"/>
        <w:rPr>
          <w:rFonts w:ascii="Arial" w:hAnsi="Arial" w:cs="Arial"/>
        </w:rPr>
      </w:pPr>
    </w:p>
    <w:p w14:paraId="77C1D661" w14:textId="77777777" w:rsidR="00796AC7" w:rsidRPr="00796AC7" w:rsidRDefault="00796AC7" w:rsidP="007546F2">
      <w:pPr>
        <w:spacing w:line="360" w:lineRule="auto"/>
        <w:jc w:val="both"/>
        <w:rPr>
          <w:rFonts w:ascii="Arial" w:hAnsi="Arial" w:cs="Arial"/>
        </w:rPr>
      </w:pPr>
    </w:p>
    <w:p w14:paraId="5841792C" w14:textId="77777777" w:rsidR="00796AC7" w:rsidRPr="00796AC7" w:rsidRDefault="00796AC7" w:rsidP="007546F2">
      <w:pPr>
        <w:spacing w:line="360" w:lineRule="auto"/>
        <w:jc w:val="both"/>
        <w:rPr>
          <w:rFonts w:ascii="Arial" w:hAnsi="Arial" w:cs="Arial"/>
        </w:rPr>
      </w:pPr>
    </w:p>
    <w:p w14:paraId="42E4689C" w14:textId="77777777" w:rsidR="00796AC7" w:rsidRDefault="00796AC7" w:rsidP="007546F2">
      <w:pPr>
        <w:spacing w:line="360" w:lineRule="auto"/>
        <w:jc w:val="both"/>
        <w:rPr>
          <w:rFonts w:ascii="Arial" w:hAnsi="Arial" w:cs="Arial"/>
        </w:rPr>
      </w:pPr>
    </w:p>
    <w:p w14:paraId="16E01BF1" w14:textId="77777777" w:rsidR="0067209D" w:rsidRPr="00796AC7" w:rsidRDefault="0067209D" w:rsidP="007546F2">
      <w:pPr>
        <w:spacing w:line="360" w:lineRule="auto"/>
        <w:jc w:val="both"/>
        <w:rPr>
          <w:rFonts w:ascii="Arial" w:hAnsi="Arial" w:cs="Arial"/>
        </w:rPr>
      </w:pPr>
    </w:p>
    <w:p w14:paraId="1373CAC0" w14:textId="77777777" w:rsidR="00796AC7" w:rsidRPr="00796AC7" w:rsidRDefault="00796AC7" w:rsidP="007546F2">
      <w:pPr>
        <w:spacing w:line="360" w:lineRule="auto"/>
        <w:jc w:val="both"/>
        <w:rPr>
          <w:rFonts w:ascii="Arial" w:hAnsi="Arial" w:cs="Arial"/>
        </w:rPr>
      </w:pPr>
    </w:p>
    <w:p w14:paraId="1BEB31EE" w14:textId="77777777" w:rsidR="00796AC7" w:rsidRPr="0067209D" w:rsidRDefault="00796AC7" w:rsidP="007546F2">
      <w:pPr>
        <w:spacing w:line="360" w:lineRule="auto"/>
        <w:jc w:val="both"/>
        <w:rPr>
          <w:rFonts w:ascii="Arial" w:hAnsi="Arial" w:cs="Arial"/>
          <w:b/>
          <w:bCs/>
        </w:rPr>
      </w:pPr>
    </w:p>
    <w:p w14:paraId="4AA2E59D" w14:textId="77DC5C50" w:rsidR="00796AC7" w:rsidRPr="0067209D" w:rsidRDefault="0067209D" w:rsidP="007546F2">
      <w:pPr>
        <w:spacing w:line="360" w:lineRule="auto"/>
        <w:jc w:val="both"/>
        <w:rPr>
          <w:rFonts w:ascii="Arial" w:hAnsi="Arial" w:cs="Arial"/>
          <w:b/>
          <w:bCs/>
          <w:u w:val="single"/>
        </w:rPr>
      </w:pPr>
      <w:r w:rsidRPr="0067209D">
        <w:rPr>
          <w:rFonts w:ascii="Arial" w:hAnsi="Arial" w:cs="Arial"/>
          <w:b/>
          <w:bCs/>
          <w:u w:val="single"/>
        </w:rPr>
        <w:t xml:space="preserve">Reference list </w:t>
      </w:r>
    </w:p>
    <w:p w14:paraId="119452BD" w14:textId="77777777" w:rsidR="005452B1" w:rsidRPr="005452B1" w:rsidRDefault="005452B1" w:rsidP="005452B1">
      <w:pPr>
        <w:spacing w:line="360" w:lineRule="auto"/>
        <w:jc w:val="both"/>
        <w:rPr>
          <w:rFonts w:ascii="Arial" w:hAnsi="Arial" w:cs="Arial"/>
        </w:rPr>
      </w:pPr>
      <w:r w:rsidRPr="005452B1">
        <w:rPr>
          <w:rFonts w:ascii="Arial" w:hAnsi="Arial" w:cs="Arial"/>
        </w:rPr>
        <w:t>‌</w:t>
      </w:r>
    </w:p>
    <w:p w14:paraId="58978DAB" w14:textId="5BFEB4B5" w:rsidR="004D7CD2" w:rsidRPr="004D7CD2" w:rsidRDefault="004D7CD2" w:rsidP="004D7CD2">
      <w:pPr>
        <w:spacing w:line="360" w:lineRule="auto"/>
        <w:jc w:val="both"/>
        <w:rPr>
          <w:rFonts w:ascii="Arial" w:hAnsi="Arial" w:cs="Arial"/>
        </w:rPr>
      </w:pPr>
      <w:r w:rsidRPr="004D7CD2">
        <w:rPr>
          <w:rFonts w:ascii="Arial" w:hAnsi="Arial" w:cs="Arial"/>
        </w:rPr>
        <w:t xml:space="preserve">Baum, J.R. and Locke, E.A., 2004. The relationship of entrepreneurial traits, skill, and motivation to subsequent venture growth. </w:t>
      </w:r>
      <w:r w:rsidRPr="004D7CD2">
        <w:rPr>
          <w:rFonts w:ascii="Arial" w:hAnsi="Arial" w:cs="Arial"/>
          <w:i/>
          <w:iCs/>
        </w:rPr>
        <w:t>Journal of applied psychology</w:t>
      </w:r>
      <w:r w:rsidRPr="004D7CD2">
        <w:rPr>
          <w:rFonts w:ascii="Arial" w:hAnsi="Arial" w:cs="Arial"/>
        </w:rPr>
        <w:t xml:space="preserve">, 89(4), p.587. </w:t>
      </w:r>
      <w:hyperlink r:id="rId4" w:history="1">
        <w:r w:rsidR="00E55537" w:rsidRPr="004D7CD2">
          <w:rPr>
            <w:rStyle w:val="Hyperlink"/>
            <w:rFonts w:ascii="Arial" w:hAnsi="Arial" w:cs="Arial"/>
          </w:rPr>
          <w:t>https://doi.org/10.1037/0021-9010.89.4.587</w:t>
        </w:r>
      </w:hyperlink>
      <w:r w:rsidR="00E55537">
        <w:rPr>
          <w:rFonts w:ascii="Arial" w:hAnsi="Arial" w:cs="Arial"/>
        </w:rPr>
        <w:t xml:space="preserve"> </w:t>
      </w:r>
      <w:r w:rsidR="00E55537" w:rsidRPr="00E55537">
        <w:rPr>
          <w:rFonts w:ascii="Arial" w:hAnsi="Arial" w:cs="Arial"/>
        </w:rPr>
        <w:t>(Accessed 1</w:t>
      </w:r>
      <w:r w:rsidR="00E55537">
        <w:rPr>
          <w:rFonts w:ascii="Arial" w:hAnsi="Arial" w:cs="Arial"/>
        </w:rPr>
        <w:t>3</w:t>
      </w:r>
      <w:r w:rsidR="00E55537" w:rsidRPr="00E55537">
        <w:rPr>
          <w:rFonts w:ascii="Arial" w:hAnsi="Arial" w:cs="Arial"/>
        </w:rPr>
        <w:t xml:space="preserve"> October 2024)</w:t>
      </w:r>
    </w:p>
    <w:p w14:paraId="4922BE0D" w14:textId="62800DA1" w:rsidR="004D7CD2" w:rsidRPr="004D7CD2" w:rsidRDefault="004D7CD2" w:rsidP="004D7CD2">
      <w:pPr>
        <w:spacing w:line="360" w:lineRule="auto"/>
        <w:jc w:val="both"/>
        <w:rPr>
          <w:rFonts w:ascii="Arial" w:hAnsi="Arial" w:cs="Arial"/>
          <w:lang w:val="fr-FR"/>
        </w:rPr>
      </w:pPr>
      <w:r w:rsidRPr="004D7CD2">
        <w:rPr>
          <w:rFonts w:ascii="Arial" w:hAnsi="Arial" w:cs="Arial"/>
        </w:rPr>
        <w:t xml:space="preserve">Baron, R.A., 2007. Behavioural and cognitive factors in entrepreneurship: Entrepreneurs as the active element in new venture creation. </w:t>
      </w:r>
      <w:r w:rsidRPr="004D7CD2">
        <w:rPr>
          <w:rFonts w:ascii="Arial" w:hAnsi="Arial" w:cs="Arial"/>
          <w:i/>
          <w:iCs/>
          <w:lang w:val="fr-FR"/>
        </w:rPr>
        <w:t>Strategic Entrepreneurship Journal</w:t>
      </w:r>
      <w:r w:rsidRPr="004D7CD2">
        <w:rPr>
          <w:rFonts w:ascii="Arial" w:hAnsi="Arial" w:cs="Arial"/>
          <w:lang w:val="fr-FR"/>
        </w:rPr>
        <w:t xml:space="preserve">, 1(1-2), pp.167-182. </w:t>
      </w:r>
      <w:hyperlink r:id="rId5" w:history="1">
        <w:r w:rsidR="00E55537" w:rsidRPr="004D7CD2">
          <w:rPr>
            <w:rStyle w:val="Hyperlink"/>
            <w:rFonts w:ascii="Arial" w:hAnsi="Arial" w:cs="Arial"/>
            <w:lang w:val="fr-FR"/>
          </w:rPr>
          <w:t>https://doi.org/10.1002/sej.12</w:t>
        </w:r>
      </w:hyperlink>
      <w:r w:rsidR="00E55537">
        <w:rPr>
          <w:rFonts w:ascii="Arial" w:hAnsi="Arial" w:cs="Arial"/>
          <w:lang w:val="fr-FR"/>
        </w:rPr>
        <w:t xml:space="preserve"> </w:t>
      </w:r>
      <w:r w:rsidR="00E55537" w:rsidRPr="00E55537">
        <w:rPr>
          <w:rFonts w:ascii="Arial" w:hAnsi="Arial" w:cs="Arial"/>
        </w:rPr>
        <w:t>(Accessed 1</w:t>
      </w:r>
      <w:r w:rsidR="00E55537">
        <w:rPr>
          <w:rFonts w:ascii="Arial" w:hAnsi="Arial" w:cs="Arial"/>
        </w:rPr>
        <w:t>5</w:t>
      </w:r>
      <w:r w:rsidR="00E55537" w:rsidRPr="00E55537">
        <w:rPr>
          <w:rFonts w:ascii="Arial" w:hAnsi="Arial" w:cs="Arial"/>
        </w:rPr>
        <w:t xml:space="preserve"> October 2024)</w:t>
      </w:r>
    </w:p>
    <w:p w14:paraId="54E1C5E6" w14:textId="77777777" w:rsidR="004D7CD2" w:rsidRPr="004D7CD2" w:rsidRDefault="004D7CD2" w:rsidP="004D7CD2">
      <w:pPr>
        <w:spacing w:line="360" w:lineRule="auto"/>
        <w:jc w:val="both"/>
        <w:rPr>
          <w:rFonts w:ascii="Arial" w:hAnsi="Arial" w:cs="Arial"/>
          <w:lang w:val="de-DE"/>
        </w:rPr>
      </w:pPr>
      <w:r w:rsidRPr="004D7CD2">
        <w:rPr>
          <w:rFonts w:ascii="Arial" w:hAnsi="Arial" w:cs="Arial"/>
          <w:lang w:val="fr-FR"/>
        </w:rPr>
        <w:t xml:space="preserve">Casson, M., 2003. </w:t>
      </w:r>
      <w:r w:rsidRPr="004D7CD2">
        <w:rPr>
          <w:rFonts w:ascii="Arial" w:hAnsi="Arial" w:cs="Arial"/>
          <w:i/>
          <w:iCs/>
        </w:rPr>
        <w:t>The entrepreneur: An economic theory</w:t>
      </w:r>
      <w:r w:rsidRPr="004D7CD2">
        <w:rPr>
          <w:rFonts w:ascii="Arial" w:hAnsi="Arial" w:cs="Arial"/>
        </w:rPr>
        <w:t xml:space="preserve">. </w:t>
      </w:r>
      <w:r w:rsidRPr="004D7CD2">
        <w:rPr>
          <w:rFonts w:ascii="Arial" w:hAnsi="Arial" w:cs="Arial"/>
          <w:lang w:val="de-DE"/>
        </w:rPr>
        <w:t>Edward Elgar Publishing.</w:t>
      </w:r>
    </w:p>
    <w:p w14:paraId="7471E5D6" w14:textId="77777777" w:rsidR="004D7CD2" w:rsidRPr="004D7CD2" w:rsidRDefault="004D7CD2" w:rsidP="004D7CD2">
      <w:pPr>
        <w:spacing w:line="360" w:lineRule="auto"/>
        <w:jc w:val="both"/>
        <w:rPr>
          <w:rFonts w:ascii="Arial" w:hAnsi="Arial" w:cs="Arial"/>
        </w:rPr>
      </w:pPr>
      <w:r w:rsidRPr="004D7CD2">
        <w:rPr>
          <w:rFonts w:ascii="Arial" w:hAnsi="Arial" w:cs="Arial"/>
          <w:lang w:val="de-DE"/>
        </w:rPr>
        <w:t xml:space="preserve">Drucker, P.F., 1985. </w:t>
      </w:r>
      <w:r w:rsidRPr="004D7CD2">
        <w:rPr>
          <w:rFonts w:ascii="Arial" w:hAnsi="Arial" w:cs="Arial"/>
          <w:i/>
          <w:iCs/>
        </w:rPr>
        <w:t>Innovation and entrepreneurship: Practice and principles</w:t>
      </w:r>
      <w:r w:rsidRPr="004D7CD2">
        <w:rPr>
          <w:rFonts w:ascii="Arial" w:hAnsi="Arial" w:cs="Arial"/>
        </w:rPr>
        <w:t>. Harper &amp; Row.</w:t>
      </w:r>
    </w:p>
    <w:p w14:paraId="508B486A"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Duckworth, A.L., 2016. </w:t>
      </w:r>
      <w:r w:rsidRPr="004D7CD2">
        <w:rPr>
          <w:rFonts w:ascii="Arial" w:hAnsi="Arial" w:cs="Arial"/>
          <w:i/>
          <w:iCs/>
        </w:rPr>
        <w:t>Grit: The power of passion and perseverance</w:t>
      </w:r>
      <w:r w:rsidRPr="004D7CD2">
        <w:rPr>
          <w:rFonts w:ascii="Arial" w:hAnsi="Arial" w:cs="Arial"/>
        </w:rPr>
        <w:t>. Scribner.</w:t>
      </w:r>
    </w:p>
    <w:p w14:paraId="0A65E626"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Gartner, W.B., 1988. Who is an entrepreneur? Is the wrong question. </w:t>
      </w:r>
      <w:r w:rsidRPr="004D7CD2">
        <w:rPr>
          <w:rFonts w:ascii="Arial" w:hAnsi="Arial" w:cs="Arial"/>
          <w:i/>
          <w:iCs/>
        </w:rPr>
        <w:t>American journal of small business</w:t>
      </w:r>
      <w:r w:rsidRPr="004D7CD2">
        <w:rPr>
          <w:rFonts w:ascii="Arial" w:hAnsi="Arial" w:cs="Arial"/>
        </w:rPr>
        <w:t>, 12(4), pp.11-32.</w:t>
      </w:r>
    </w:p>
    <w:p w14:paraId="023AF8E7" w14:textId="4E508F82" w:rsidR="004D7CD2" w:rsidRPr="004D7CD2" w:rsidRDefault="004D7CD2" w:rsidP="004D7CD2">
      <w:pPr>
        <w:spacing w:line="360" w:lineRule="auto"/>
        <w:jc w:val="both"/>
        <w:rPr>
          <w:rFonts w:ascii="Arial" w:hAnsi="Arial" w:cs="Arial"/>
        </w:rPr>
      </w:pPr>
      <w:r w:rsidRPr="004D7CD2">
        <w:rPr>
          <w:rFonts w:ascii="Arial" w:hAnsi="Arial" w:cs="Arial"/>
        </w:rPr>
        <w:t xml:space="preserve">Greene, M., 2019. Conrad Hilton: Visionary of luxury hotels. </w:t>
      </w:r>
      <w:r w:rsidRPr="004D7CD2">
        <w:rPr>
          <w:rFonts w:ascii="Arial" w:hAnsi="Arial" w:cs="Arial"/>
          <w:i/>
          <w:iCs/>
        </w:rPr>
        <w:t>Hospitality Management Journal</w:t>
      </w:r>
      <w:r w:rsidRPr="004D7CD2">
        <w:rPr>
          <w:rFonts w:ascii="Arial" w:hAnsi="Arial" w:cs="Arial"/>
        </w:rPr>
        <w:t xml:space="preserve">, 25(3), pp.44-60. </w:t>
      </w:r>
      <w:hyperlink r:id="rId6" w:history="1">
        <w:r w:rsidR="00E55537" w:rsidRPr="004D7CD2">
          <w:rPr>
            <w:rStyle w:val="Hyperlink"/>
            <w:rFonts w:ascii="Arial" w:hAnsi="Arial" w:cs="Arial"/>
          </w:rPr>
          <w:t>https://doi.org/10.1016/j.hmj.2019.03.001</w:t>
        </w:r>
      </w:hyperlink>
      <w:r w:rsidR="00E55537">
        <w:rPr>
          <w:rFonts w:ascii="Arial" w:hAnsi="Arial" w:cs="Arial"/>
        </w:rPr>
        <w:t xml:space="preserve"> </w:t>
      </w:r>
      <w:r w:rsidR="00E55537" w:rsidRPr="00E55537">
        <w:rPr>
          <w:rFonts w:ascii="Arial" w:hAnsi="Arial" w:cs="Arial"/>
        </w:rPr>
        <w:t>(Accessed 11 October 2024)</w:t>
      </w:r>
    </w:p>
    <w:p w14:paraId="2B6B7921"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Groth, M. and Kinicki, A., 2019. Alice Marriott’s leadership and the conservative approach to risk in wartime. </w:t>
      </w:r>
      <w:r w:rsidRPr="004D7CD2">
        <w:rPr>
          <w:rFonts w:ascii="Arial" w:hAnsi="Arial" w:cs="Arial"/>
          <w:i/>
          <w:iCs/>
        </w:rPr>
        <w:t>Leadership in Hospitality Review</w:t>
      </w:r>
      <w:r w:rsidRPr="004D7CD2">
        <w:rPr>
          <w:rFonts w:ascii="Arial" w:hAnsi="Arial" w:cs="Arial"/>
        </w:rPr>
        <w:t>, 32(2), pp.102-117.</w:t>
      </w:r>
    </w:p>
    <w:p w14:paraId="5512BE35"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Hilton, C., 2009. </w:t>
      </w:r>
      <w:r w:rsidRPr="004D7CD2">
        <w:rPr>
          <w:rFonts w:ascii="Arial" w:hAnsi="Arial" w:cs="Arial"/>
          <w:i/>
          <w:iCs/>
        </w:rPr>
        <w:t>Be My Guest</w:t>
      </w:r>
      <w:r w:rsidRPr="004D7CD2">
        <w:rPr>
          <w:rFonts w:ascii="Arial" w:hAnsi="Arial" w:cs="Arial"/>
        </w:rPr>
        <w:t>. Kensington Publishing Corp.</w:t>
      </w:r>
    </w:p>
    <w:p w14:paraId="4B17D237"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Kuratko, D.F., 2016. </w:t>
      </w:r>
      <w:r w:rsidRPr="004D7CD2">
        <w:rPr>
          <w:rFonts w:ascii="Arial" w:hAnsi="Arial" w:cs="Arial"/>
          <w:i/>
          <w:iCs/>
        </w:rPr>
        <w:t>Entrepreneurship: Theory, process, and practice</w:t>
      </w:r>
      <w:r w:rsidRPr="004D7CD2">
        <w:rPr>
          <w:rFonts w:ascii="Arial" w:hAnsi="Arial" w:cs="Arial"/>
        </w:rPr>
        <w:t>. Cengage Learning.</w:t>
      </w:r>
    </w:p>
    <w:p w14:paraId="6BE87573" w14:textId="3F19ECB8" w:rsidR="004D7CD2" w:rsidRPr="004D7CD2" w:rsidRDefault="004D7CD2" w:rsidP="004D7CD2">
      <w:pPr>
        <w:spacing w:line="360" w:lineRule="auto"/>
        <w:jc w:val="both"/>
        <w:rPr>
          <w:rFonts w:ascii="Arial" w:hAnsi="Arial" w:cs="Arial"/>
        </w:rPr>
      </w:pPr>
      <w:r w:rsidRPr="004D7CD2">
        <w:rPr>
          <w:rFonts w:ascii="Arial" w:hAnsi="Arial" w:cs="Arial"/>
        </w:rPr>
        <w:lastRenderedPageBreak/>
        <w:t xml:space="preserve">Knight, F.H., 1921. </w:t>
      </w:r>
      <w:r w:rsidRPr="004D7CD2">
        <w:rPr>
          <w:rFonts w:ascii="Arial" w:hAnsi="Arial" w:cs="Arial"/>
          <w:i/>
          <w:iCs/>
        </w:rPr>
        <w:t>Risk, Uncertainty, and Profit</w:t>
      </w:r>
      <w:r w:rsidRPr="004D7CD2">
        <w:rPr>
          <w:rFonts w:ascii="Arial" w:hAnsi="Arial" w:cs="Arial"/>
        </w:rPr>
        <w:t xml:space="preserve">. Houghton Mifflin Company. </w:t>
      </w:r>
      <w:hyperlink r:id="rId7" w:history="1">
        <w:r w:rsidR="00E55537" w:rsidRPr="004D7CD2">
          <w:rPr>
            <w:rStyle w:val="Hyperlink"/>
            <w:rFonts w:ascii="Arial" w:hAnsi="Arial" w:cs="Arial"/>
          </w:rPr>
          <w:t>https://oll.libertyfund.org/title/knight-risk-uncertainty-and-profit</w:t>
        </w:r>
      </w:hyperlink>
      <w:r w:rsidR="00E55537">
        <w:rPr>
          <w:rFonts w:ascii="Arial" w:hAnsi="Arial" w:cs="Arial"/>
        </w:rPr>
        <w:t xml:space="preserve"> </w:t>
      </w:r>
      <w:r w:rsidR="00E55537" w:rsidRPr="00E55537">
        <w:rPr>
          <w:rFonts w:ascii="Arial" w:hAnsi="Arial" w:cs="Arial"/>
        </w:rPr>
        <w:t>(Accessed 1</w:t>
      </w:r>
      <w:r w:rsidR="00E55537">
        <w:rPr>
          <w:rFonts w:ascii="Arial" w:hAnsi="Arial" w:cs="Arial"/>
        </w:rPr>
        <w:t>4</w:t>
      </w:r>
      <w:r w:rsidR="00E55537" w:rsidRPr="00E55537">
        <w:rPr>
          <w:rFonts w:ascii="Arial" w:hAnsi="Arial" w:cs="Arial"/>
        </w:rPr>
        <w:t xml:space="preserve"> October 2024)</w:t>
      </w:r>
    </w:p>
    <w:p w14:paraId="4FEEA514"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Mariotti, S. and Glackin, C., 2019. </w:t>
      </w:r>
      <w:r w:rsidRPr="004D7CD2">
        <w:rPr>
          <w:rFonts w:ascii="Arial" w:hAnsi="Arial" w:cs="Arial"/>
          <w:i/>
          <w:iCs/>
        </w:rPr>
        <w:t>Entrepreneurship and small business management</w:t>
      </w:r>
      <w:r w:rsidRPr="004D7CD2">
        <w:rPr>
          <w:rFonts w:ascii="Arial" w:hAnsi="Arial" w:cs="Arial"/>
        </w:rPr>
        <w:t>. Pearson.</w:t>
      </w:r>
    </w:p>
    <w:p w14:paraId="113FC41D"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Ramsay, G., 2016. </w:t>
      </w:r>
      <w:r w:rsidRPr="004D7CD2">
        <w:rPr>
          <w:rFonts w:ascii="Arial" w:hAnsi="Arial" w:cs="Arial"/>
          <w:i/>
          <w:iCs/>
        </w:rPr>
        <w:t>Humble Pie</w:t>
      </w:r>
      <w:r w:rsidRPr="004D7CD2">
        <w:rPr>
          <w:rFonts w:ascii="Arial" w:hAnsi="Arial" w:cs="Arial"/>
        </w:rPr>
        <w:t>. HarperCollins.</w:t>
      </w:r>
    </w:p>
    <w:p w14:paraId="565349D3" w14:textId="1E584EF2" w:rsidR="004D7CD2" w:rsidRPr="004D7CD2" w:rsidRDefault="004D7CD2" w:rsidP="004D7CD2">
      <w:pPr>
        <w:spacing w:line="360" w:lineRule="auto"/>
        <w:jc w:val="both"/>
        <w:rPr>
          <w:rFonts w:ascii="Arial" w:hAnsi="Arial" w:cs="Arial"/>
        </w:rPr>
      </w:pPr>
      <w:r w:rsidRPr="004D7CD2">
        <w:rPr>
          <w:rFonts w:ascii="Arial" w:hAnsi="Arial" w:cs="Arial"/>
        </w:rPr>
        <w:t xml:space="preserve">Schumpeter, J.A., 1934. </w:t>
      </w:r>
      <w:r w:rsidRPr="004D7CD2">
        <w:rPr>
          <w:rFonts w:ascii="Arial" w:hAnsi="Arial" w:cs="Arial"/>
          <w:i/>
          <w:iCs/>
        </w:rPr>
        <w:t>The theory of economic development: An inquiry into profits, capital, credit, interest, and the business cycle</w:t>
      </w:r>
      <w:r w:rsidRPr="004D7CD2">
        <w:rPr>
          <w:rFonts w:ascii="Arial" w:hAnsi="Arial" w:cs="Arial"/>
        </w:rPr>
        <w:t xml:space="preserve">. Transaction Publishers. </w:t>
      </w:r>
      <w:hyperlink r:id="rId8" w:history="1">
        <w:r w:rsidRPr="004D7CD2">
          <w:rPr>
            <w:rStyle w:val="Hyperlink"/>
            <w:rFonts w:ascii="Arial" w:hAnsi="Arial" w:cs="Arial"/>
          </w:rPr>
          <w:t>https://doi.org/10.4324/9781315135564</w:t>
        </w:r>
      </w:hyperlink>
      <w:r>
        <w:rPr>
          <w:rFonts w:ascii="Arial" w:hAnsi="Arial" w:cs="Arial"/>
        </w:rPr>
        <w:t xml:space="preserve"> </w:t>
      </w:r>
      <w:r w:rsidRPr="004D7CD2">
        <w:rPr>
          <w:rFonts w:ascii="Arial" w:hAnsi="Arial" w:cs="Arial"/>
        </w:rPr>
        <w:t>(Accessed 1</w:t>
      </w:r>
      <w:r>
        <w:rPr>
          <w:rFonts w:ascii="Arial" w:hAnsi="Arial" w:cs="Arial"/>
        </w:rPr>
        <w:t>3</w:t>
      </w:r>
      <w:r w:rsidRPr="004D7CD2">
        <w:rPr>
          <w:rFonts w:ascii="Arial" w:hAnsi="Arial" w:cs="Arial"/>
        </w:rPr>
        <w:t xml:space="preserve"> October 2024)</w:t>
      </w:r>
    </w:p>
    <w:p w14:paraId="544413D2"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Stevenson, H.H. and Jarillo, J.C., 1990. </w:t>
      </w:r>
      <w:r w:rsidRPr="004D7CD2">
        <w:rPr>
          <w:rFonts w:ascii="Arial" w:hAnsi="Arial" w:cs="Arial"/>
          <w:lang w:val="fr-FR"/>
        </w:rPr>
        <w:t xml:space="preserve">A paradigm of entrepreneurship: Entrepreneurial management. </w:t>
      </w:r>
      <w:r w:rsidRPr="004D7CD2">
        <w:rPr>
          <w:rFonts w:ascii="Arial" w:hAnsi="Arial" w:cs="Arial"/>
          <w:i/>
          <w:iCs/>
        </w:rPr>
        <w:t>Strategic management journal</w:t>
      </w:r>
      <w:r w:rsidRPr="004D7CD2">
        <w:rPr>
          <w:rFonts w:ascii="Arial" w:hAnsi="Arial" w:cs="Arial"/>
        </w:rPr>
        <w:t>, 11(5), pp.17-27.</w:t>
      </w:r>
    </w:p>
    <w:p w14:paraId="52B935E8" w14:textId="4E2F6A25" w:rsidR="004D7CD2" w:rsidRPr="004D7CD2" w:rsidRDefault="004D7CD2" w:rsidP="004D7CD2">
      <w:pPr>
        <w:spacing w:line="360" w:lineRule="auto"/>
        <w:jc w:val="both"/>
        <w:rPr>
          <w:rFonts w:ascii="Arial" w:hAnsi="Arial" w:cs="Arial"/>
        </w:rPr>
      </w:pPr>
      <w:r w:rsidRPr="004D7CD2">
        <w:rPr>
          <w:rFonts w:ascii="Arial" w:hAnsi="Arial" w:cs="Arial"/>
        </w:rPr>
        <w:t xml:space="preserve">Thomas, B., 2020. The Marriott Way: Building a hospitality empire through innovation and customer focus. </w:t>
      </w:r>
      <w:r w:rsidRPr="004D7CD2">
        <w:rPr>
          <w:rFonts w:ascii="Arial" w:hAnsi="Arial" w:cs="Arial"/>
          <w:i/>
          <w:iCs/>
        </w:rPr>
        <w:t>Business History Review</w:t>
      </w:r>
      <w:r w:rsidRPr="004D7CD2">
        <w:rPr>
          <w:rFonts w:ascii="Arial" w:hAnsi="Arial" w:cs="Arial"/>
        </w:rPr>
        <w:t xml:space="preserve">, 94(2), pp.211-230. </w:t>
      </w:r>
      <w:hyperlink r:id="rId9" w:history="1">
        <w:r w:rsidRPr="004D7CD2">
          <w:rPr>
            <w:rStyle w:val="Hyperlink"/>
            <w:rFonts w:ascii="Arial" w:hAnsi="Arial" w:cs="Arial"/>
          </w:rPr>
          <w:t>https://doi.org/10.1017/S0007680520000400</w:t>
        </w:r>
      </w:hyperlink>
      <w:r>
        <w:rPr>
          <w:rFonts w:ascii="Arial" w:hAnsi="Arial" w:cs="Arial"/>
        </w:rPr>
        <w:t xml:space="preserve"> </w:t>
      </w:r>
      <w:r w:rsidRPr="004D7CD2">
        <w:rPr>
          <w:rFonts w:ascii="Arial" w:hAnsi="Arial" w:cs="Arial"/>
        </w:rPr>
        <w:t>(Accessed 1</w:t>
      </w:r>
      <w:r>
        <w:rPr>
          <w:rFonts w:ascii="Arial" w:hAnsi="Arial" w:cs="Arial"/>
        </w:rPr>
        <w:t>2</w:t>
      </w:r>
      <w:r w:rsidRPr="004D7CD2">
        <w:rPr>
          <w:rFonts w:ascii="Arial" w:hAnsi="Arial" w:cs="Arial"/>
        </w:rPr>
        <w:t xml:space="preserve"> October 2024)</w:t>
      </w:r>
    </w:p>
    <w:p w14:paraId="2655DE39" w14:textId="77777777" w:rsidR="004D7CD2" w:rsidRPr="004D7CD2" w:rsidRDefault="004D7CD2" w:rsidP="004D7CD2">
      <w:pPr>
        <w:spacing w:line="360" w:lineRule="auto"/>
        <w:jc w:val="both"/>
        <w:rPr>
          <w:rFonts w:ascii="Arial" w:hAnsi="Arial" w:cs="Arial"/>
        </w:rPr>
      </w:pPr>
      <w:r w:rsidRPr="004D7CD2">
        <w:rPr>
          <w:rFonts w:ascii="Arial" w:hAnsi="Arial" w:cs="Arial"/>
        </w:rPr>
        <w:t xml:space="preserve">Williams, L.J. and McWilliams, C., 2010. Resilience and entrepreneurial persistence in the hospitality industry. </w:t>
      </w:r>
      <w:r w:rsidRPr="004D7CD2">
        <w:rPr>
          <w:rFonts w:ascii="Arial" w:hAnsi="Arial" w:cs="Arial"/>
          <w:i/>
          <w:iCs/>
        </w:rPr>
        <w:t>Journal of Entrepreneurship &amp; Organization</w:t>
      </w:r>
      <w:r w:rsidRPr="004D7CD2">
        <w:rPr>
          <w:rFonts w:ascii="Arial" w:hAnsi="Arial" w:cs="Arial"/>
        </w:rPr>
        <w:t>, 18(4), pp.332-348.</w:t>
      </w:r>
    </w:p>
    <w:p w14:paraId="473AFB7C" w14:textId="6BB4B314" w:rsidR="004D7CD2" w:rsidRPr="004D7CD2" w:rsidRDefault="004D7CD2" w:rsidP="004D7CD2">
      <w:pPr>
        <w:spacing w:line="360" w:lineRule="auto"/>
        <w:jc w:val="both"/>
        <w:rPr>
          <w:rFonts w:ascii="Arial" w:hAnsi="Arial" w:cs="Arial"/>
        </w:rPr>
      </w:pPr>
      <w:r w:rsidRPr="004D7CD2">
        <w:rPr>
          <w:rFonts w:ascii="Arial" w:hAnsi="Arial" w:cs="Arial"/>
        </w:rPr>
        <w:t xml:space="preserve">Rauch, A. and Frese, M., 2007. Let's put the person back into entrepreneurship research: A meta-analysis on the relationship between business owners' personality traits, business creation, and success. </w:t>
      </w:r>
      <w:r w:rsidRPr="004D7CD2">
        <w:rPr>
          <w:rFonts w:ascii="Arial" w:hAnsi="Arial" w:cs="Arial"/>
          <w:i/>
          <w:iCs/>
        </w:rPr>
        <w:t>European Journal of Work and Organizational Psychology</w:t>
      </w:r>
      <w:r w:rsidRPr="004D7CD2">
        <w:rPr>
          <w:rFonts w:ascii="Arial" w:hAnsi="Arial" w:cs="Arial"/>
        </w:rPr>
        <w:t xml:space="preserve">, 16(4), pp.353-385. </w:t>
      </w:r>
      <w:hyperlink r:id="rId10" w:history="1">
        <w:r w:rsidRPr="004D7CD2">
          <w:rPr>
            <w:rStyle w:val="Hyperlink"/>
            <w:rFonts w:ascii="Arial" w:hAnsi="Arial" w:cs="Arial"/>
          </w:rPr>
          <w:t>https://doi.org/10.1080/13594320701595438</w:t>
        </w:r>
      </w:hyperlink>
      <w:r>
        <w:rPr>
          <w:rFonts w:ascii="Arial" w:hAnsi="Arial" w:cs="Arial"/>
        </w:rPr>
        <w:t xml:space="preserve"> </w:t>
      </w:r>
      <w:r w:rsidRPr="004D7CD2">
        <w:rPr>
          <w:rFonts w:ascii="Arial" w:hAnsi="Arial" w:cs="Arial"/>
        </w:rPr>
        <w:t>(Accessed 1</w:t>
      </w:r>
      <w:r>
        <w:rPr>
          <w:rFonts w:ascii="Arial" w:hAnsi="Arial" w:cs="Arial"/>
        </w:rPr>
        <w:t>2</w:t>
      </w:r>
      <w:r w:rsidRPr="004D7CD2">
        <w:rPr>
          <w:rFonts w:ascii="Arial" w:hAnsi="Arial" w:cs="Arial"/>
        </w:rPr>
        <w:t xml:space="preserve"> October 2024)</w:t>
      </w:r>
    </w:p>
    <w:p w14:paraId="3CCEA887" w14:textId="1CE8BD47" w:rsidR="004D7CD2" w:rsidRPr="004D7CD2" w:rsidRDefault="004D7CD2" w:rsidP="004D7CD2">
      <w:pPr>
        <w:spacing w:line="360" w:lineRule="auto"/>
        <w:jc w:val="both"/>
        <w:rPr>
          <w:rFonts w:ascii="Arial" w:hAnsi="Arial" w:cs="Arial"/>
        </w:rPr>
      </w:pPr>
      <w:r w:rsidRPr="004D7CD2">
        <w:rPr>
          <w:rFonts w:ascii="Arial" w:hAnsi="Arial" w:cs="Arial"/>
        </w:rPr>
        <w:t xml:space="preserve">Shane, S. and Venkataraman, S., 2000. The promise of entrepreneurship as a field of research. </w:t>
      </w:r>
      <w:r w:rsidRPr="004D7CD2">
        <w:rPr>
          <w:rFonts w:ascii="Arial" w:hAnsi="Arial" w:cs="Arial"/>
          <w:i/>
          <w:iCs/>
        </w:rPr>
        <w:t>Academy of management review</w:t>
      </w:r>
      <w:r w:rsidRPr="004D7CD2">
        <w:rPr>
          <w:rFonts w:ascii="Arial" w:hAnsi="Arial" w:cs="Arial"/>
        </w:rPr>
        <w:t xml:space="preserve">, 25(1), pp.217-226. </w:t>
      </w:r>
      <w:hyperlink r:id="rId11" w:history="1">
        <w:r w:rsidRPr="004D7CD2">
          <w:rPr>
            <w:rStyle w:val="Hyperlink"/>
            <w:rFonts w:ascii="Arial" w:hAnsi="Arial" w:cs="Arial"/>
          </w:rPr>
          <w:t>https://doi.org/10.5465/amr.2000.2791611</w:t>
        </w:r>
      </w:hyperlink>
      <w:r>
        <w:rPr>
          <w:rFonts w:ascii="Arial" w:hAnsi="Arial" w:cs="Arial"/>
        </w:rPr>
        <w:t xml:space="preserve"> </w:t>
      </w:r>
      <w:r w:rsidRPr="004D7CD2">
        <w:rPr>
          <w:rFonts w:ascii="Arial" w:hAnsi="Arial" w:cs="Arial"/>
        </w:rPr>
        <w:t>(Accessed 1</w:t>
      </w:r>
      <w:r>
        <w:rPr>
          <w:rFonts w:ascii="Arial" w:hAnsi="Arial" w:cs="Arial"/>
        </w:rPr>
        <w:t>2</w:t>
      </w:r>
      <w:r w:rsidRPr="004D7CD2">
        <w:rPr>
          <w:rFonts w:ascii="Arial" w:hAnsi="Arial" w:cs="Arial"/>
        </w:rPr>
        <w:t xml:space="preserve"> October 2024)</w:t>
      </w:r>
    </w:p>
    <w:p w14:paraId="5F240CC5" w14:textId="6E87097A" w:rsidR="004D7CD2" w:rsidRPr="004D7CD2" w:rsidRDefault="004D7CD2" w:rsidP="004D7CD2">
      <w:pPr>
        <w:spacing w:line="360" w:lineRule="auto"/>
        <w:jc w:val="both"/>
        <w:rPr>
          <w:rFonts w:ascii="Arial" w:hAnsi="Arial" w:cs="Arial"/>
        </w:rPr>
      </w:pPr>
      <w:r w:rsidRPr="004D7CD2">
        <w:rPr>
          <w:rFonts w:ascii="Arial" w:hAnsi="Arial" w:cs="Arial"/>
        </w:rPr>
        <w:t xml:space="preserve">Morris, M.H., Kuratko, D.F., Schindehutte, M. and Spivack, A.J., 2012. Framing the entrepreneurial experience. </w:t>
      </w:r>
      <w:r w:rsidRPr="004D7CD2">
        <w:rPr>
          <w:rFonts w:ascii="Arial" w:hAnsi="Arial" w:cs="Arial"/>
          <w:i/>
          <w:iCs/>
        </w:rPr>
        <w:t>Entrepreneurship theory and practice</w:t>
      </w:r>
      <w:r w:rsidRPr="004D7CD2">
        <w:rPr>
          <w:rFonts w:ascii="Arial" w:hAnsi="Arial" w:cs="Arial"/>
        </w:rPr>
        <w:t xml:space="preserve">, 36(1), pp.11-40. </w:t>
      </w:r>
      <w:hyperlink r:id="rId12" w:history="1">
        <w:r w:rsidRPr="004D7CD2">
          <w:rPr>
            <w:rStyle w:val="Hyperlink"/>
            <w:rFonts w:ascii="Arial" w:hAnsi="Arial" w:cs="Arial"/>
          </w:rPr>
          <w:t>https://doi.org/10.1111/j.1540-6520.2011.00471.x</w:t>
        </w:r>
      </w:hyperlink>
      <w:r>
        <w:rPr>
          <w:rFonts w:ascii="Arial" w:hAnsi="Arial" w:cs="Arial"/>
        </w:rPr>
        <w:t xml:space="preserve"> </w:t>
      </w:r>
      <w:r w:rsidRPr="004D7CD2">
        <w:rPr>
          <w:rFonts w:ascii="Arial" w:hAnsi="Arial" w:cs="Arial"/>
        </w:rPr>
        <w:t>(Accessed 11 October 2024)</w:t>
      </w:r>
    </w:p>
    <w:p w14:paraId="050AD795" w14:textId="369FA452" w:rsidR="004D7CD2" w:rsidRPr="004D7CD2" w:rsidRDefault="004D7CD2" w:rsidP="004D7CD2">
      <w:pPr>
        <w:spacing w:line="360" w:lineRule="auto"/>
        <w:jc w:val="both"/>
        <w:rPr>
          <w:rFonts w:ascii="Arial" w:hAnsi="Arial" w:cs="Arial"/>
        </w:rPr>
      </w:pPr>
      <w:r w:rsidRPr="004D7CD2">
        <w:rPr>
          <w:rFonts w:ascii="Arial" w:hAnsi="Arial" w:cs="Arial"/>
        </w:rPr>
        <w:t xml:space="preserve">Klotz, A.C., Hmieleski, K.M., Bradley, B.H. and Busenitz, L.W., 2014. New venture teams: A review of the literature and roadmap for future research. </w:t>
      </w:r>
      <w:r w:rsidRPr="004D7CD2">
        <w:rPr>
          <w:rFonts w:ascii="Arial" w:hAnsi="Arial" w:cs="Arial"/>
          <w:i/>
          <w:iCs/>
        </w:rPr>
        <w:t xml:space="preserve">Journal of </w:t>
      </w:r>
      <w:r w:rsidRPr="004D7CD2">
        <w:rPr>
          <w:rFonts w:ascii="Arial" w:hAnsi="Arial" w:cs="Arial"/>
          <w:i/>
          <w:iCs/>
        </w:rPr>
        <w:lastRenderedPageBreak/>
        <w:t>Management</w:t>
      </w:r>
      <w:r w:rsidRPr="004D7CD2">
        <w:rPr>
          <w:rFonts w:ascii="Arial" w:hAnsi="Arial" w:cs="Arial"/>
        </w:rPr>
        <w:t xml:space="preserve">, 40(1), pp.226-255. </w:t>
      </w:r>
      <w:hyperlink r:id="rId13" w:history="1">
        <w:r w:rsidRPr="004D7CD2">
          <w:rPr>
            <w:rStyle w:val="Hyperlink"/>
            <w:rFonts w:ascii="Arial" w:hAnsi="Arial" w:cs="Arial"/>
          </w:rPr>
          <w:t>https://doi.org/10.1177/0149206313493325</w:t>
        </w:r>
      </w:hyperlink>
      <w:r>
        <w:rPr>
          <w:rFonts w:ascii="Arial" w:hAnsi="Arial" w:cs="Arial"/>
        </w:rPr>
        <w:t xml:space="preserve"> </w:t>
      </w:r>
      <w:bookmarkStart w:id="1" w:name="_Hlk179645059"/>
      <w:r>
        <w:rPr>
          <w:rFonts w:ascii="Arial" w:hAnsi="Arial" w:cs="Arial"/>
        </w:rPr>
        <w:t>(Accessed 11 October 2024)</w:t>
      </w:r>
      <w:bookmarkEnd w:id="1"/>
    </w:p>
    <w:p w14:paraId="64C94CF2" w14:textId="77777777" w:rsidR="00796AC7" w:rsidRPr="00796AC7" w:rsidRDefault="00796AC7" w:rsidP="004D7CD2">
      <w:pPr>
        <w:spacing w:line="360" w:lineRule="auto"/>
        <w:jc w:val="both"/>
        <w:rPr>
          <w:rFonts w:ascii="Arial" w:hAnsi="Arial" w:cs="Arial"/>
        </w:rPr>
      </w:pPr>
    </w:p>
    <w:sectPr w:rsidR="00796AC7" w:rsidRPr="00796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4A8"/>
    <w:rsid w:val="00205A69"/>
    <w:rsid w:val="004C46D1"/>
    <w:rsid w:val="004D7CD2"/>
    <w:rsid w:val="005452B1"/>
    <w:rsid w:val="0067209D"/>
    <w:rsid w:val="007546F2"/>
    <w:rsid w:val="00796AC7"/>
    <w:rsid w:val="007F6ED4"/>
    <w:rsid w:val="00845429"/>
    <w:rsid w:val="008A54A8"/>
    <w:rsid w:val="00C92814"/>
    <w:rsid w:val="00E51E5A"/>
    <w:rsid w:val="00E55537"/>
    <w:rsid w:val="00E97D01"/>
    <w:rsid w:val="00F2452C"/>
    <w:rsid w:val="00F3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67CAB"/>
  <w15:chartTrackingRefBased/>
  <w15:docId w15:val="{8EF587AC-60FA-4FEF-8034-C6378BEF4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4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4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4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4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4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4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4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4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4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4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54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4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4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4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4A8"/>
    <w:rPr>
      <w:rFonts w:eastAsiaTheme="majorEastAsia" w:cstheme="majorBidi"/>
      <w:color w:val="272727" w:themeColor="text1" w:themeTint="D8"/>
    </w:rPr>
  </w:style>
  <w:style w:type="paragraph" w:styleId="Title">
    <w:name w:val="Title"/>
    <w:basedOn w:val="Normal"/>
    <w:next w:val="Normal"/>
    <w:link w:val="TitleChar"/>
    <w:uiPriority w:val="10"/>
    <w:qFormat/>
    <w:rsid w:val="008A54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4A8"/>
    <w:pPr>
      <w:spacing w:before="160"/>
      <w:jc w:val="center"/>
    </w:pPr>
    <w:rPr>
      <w:i/>
      <w:iCs/>
      <w:color w:val="404040" w:themeColor="text1" w:themeTint="BF"/>
    </w:rPr>
  </w:style>
  <w:style w:type="character" w:customStyle="1" w:styleId="QuoteChar">
    <w:name w:val="Quote Char"/>
    <w:basedOn w:val="DefaultParagraphFont"/>
    <w:link w:val="Quote"/>
    <w:uiPriority w:val="29"/>
    <w:rsid w:val="008A54A8"/>
    <w:rPr>
      <w:i/>
      <w:iCs/>
      <w:color w:val="404040" w:themeColor="text1" w:themeTint="BF"/>
    </w:rPr>
  </w:style>
  <w:style w:type="paragraph" w:styleId="ListParagraph">
    <w:name w:val="List Paragraph"/>
    <w:basedOn w:val="Normal"/>
    <w:uiPriority w:val="34"/>
    <w:qFormat/>
    <w:rsid w:val="008A54A8"/>
    <w:pPr>
      <w:ind w:left="720"/>
      <w:contextualSpacing/>
    </w:pPr>
  </w:style>
  <w:style w:type="character" w:styleId="IntenseEmphasis">
    <w:name w:val="Intense Emphasis"/>
    <w:basedOn w:val="DefaultParagraphFont"/>
    <w:uiPriority w:val="21"/>
    <w:qFormat/>
    <w:rsid w:val="008A54A8"/>
    <w:rPr>
      <w:i/>
      <w:iCs/>
      <w:color w:val="0F4761" w:themeColor="accent1" w:themeShade="BF"/>
    </w:rPr>
  </w:style>
  <w:style w:type="paragraph" w:styleId="IntenseQuote">
    <w:name w:val="Intense Quote"/>
    <w:basedOn w:val="Normal"/>
    <w:next w:val="Normal"/>
    <w:link w:val="IntenseQuoteChar"/>
    <w:uiPriority w:val="30"/>
    <w:qFormat/>
    <w:rsid w:val="008A54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4A8"/>
    <w:rPr>
      <w:i/>
      <w:iCs/>
      <w:color w:val="0F4761" w:themeColor="accent1" w:themeShade="BF"/>
    </w:rPr>
  </w:style>
  <w:style w:type="character" w:styleId="IntenseReference">
    <w:name w:val="Intense Reference"/>
    <w:basedOn w:val="DefaultParagraphFont"/>
    <w:uiPriority w:val="32"/>
    <w:qFormat/>
    <w:rsid w:val="008A54A8"/>
    <w:rPr>
      <w:b/>
      <w:bCs/>
      <w:smallCaps/>
      <w:color w:val="0F4761" w:themeColor="accent1" w:themeShade="BF"/>
      <w:spacing w:val="5"/>
    </w:rPr>
  </w:style>
  <w:style w:type="character" w:styleId="Hyperlink">
    <w:name w:val="Hyperlink"/>
    <w:basedOn w:val="DefaultParagraphFont"/>
    <w:uiPriority w:val="99"/>
    <w:unhideWhenUsed/>
    <w:rsid w:val="004D7CD2"/>
    <w:rPr>
      <w:color w:val="467886" w:themeColor="hyperlink"/>
      <w:u w:val="single"/>
    </w:rPr>
  </w:style>
  <w:style w:type="character" w:styleId="UnresolvedMention">
    <w:name w:val="Unresolved Mention"/>
    <w:basedOn w:val="DefaultParagraphFont"/>
    <w:uiPriority w:val="99"/>
    <w:semiHidden/>
    <w:unhideWhenUsed/>
    <w:rsid w:val="004D7C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022420">
      <w:bodyDiv w:val="1"/>
      <w:marLeft w:val="0"/>
      <w:marRight w:val="0"/>
      <w:marTop w:val="0"/>
      <w:marBottom w:val="0"/>
      <w:divBdr>
        <w:top w:val="none" w:sz="0" w:space="0" w:color="auto"/>
        <w:left w:val="none" w:sz="0" w:space="0" w:color="auto"/>
        <w:bottom w:val="none" w:sz="0" w:space="0" w:color="auto"/>
        <w:right w:val="none" w:sz="0" w:space="0" w:color="auto"/>
      </w:divBdr>
    </w:div>
    <w:div w:id="257951183">
      <w:bodyDiv w:val="1"/>
      <w:marLeft w:val="0"/>
      <w:marRight w:val="0"/>
      <w:marTop w:val="0"/>
      <w:marBottom w:val="0"/>
      <w:divBdr>
        <w:top w:val="none" w:sz="0" w:space="0" w:color="auto"/>
        <w:left w:val="none" w:sz="0" w:space="0" w:color="auto"/>
        <w:bottom w:val="none" w:sz="0" w:space="0" w:color="auto"/>
        <w:right w:val="none" w:sz="0" w:space="0" w:color="auto"/>
      </w:divBdr>
    </w:div>
    <w:div w:id="281689220">
      <w:bodyDiv w:val="1"/>
      <w:marLeft w:val="0"/>
      <w:marRight w:val="0"/>
      <w:marTop w:val="0"/>
      <w:marBottom w:val="0"/>
      <w:divBdr>
        <w:top w:val="none" w:sz="0" w:space="0" w:color="auto"/>
        <w:left w:val="none" w:sz="0" w:space="0" w:color="auto"/>
        <w:bottom w:val="none" w:sz="0" w:space="0" w:color="auto"/>
        <w:right w:val="none" w:sz="0" w:space="0" w:color="auto"/>
      </w:divBdr>
    </w:div>
    <w:div w:id="414783762">
      <w:bodyDiv w:val="1"/>
      <w:marLeft w:val="0"/>
      <w:marRight w:val="0"/>
      <w:marTop w:val="0"/>
      <w:marBottom w:val="0"/>
      <w:divBdr>
        <w:top w:val="none" w:sz="0" w:space="0" w:color="auto"/>
        <w:left w:val="none" w:sz="0" w:space="0" w:color="auto"/>
        <w:bottom w:val="none" w:sz="0" w:space="0" w:color="auto"/>
        <w:right w:val="none" w:sz="0" w:space="0" w:color="auto"/>
      </w:divBdr>
    </w:div>
    <w:div w:id="434907650">
      <w:bodyDiv w:val="1"/>
      <w:marLeft w:val="0"/>
      <w:marRight w:val="0"/>
      <w:marTop w:val="0"/>
      <w:marBottom w:val="0"/>
      <w:divBdr>
        <w:top w:val="none" w:sz="0" w:space="0" w:color="auto"/>
        <w:left w:val="none" w:sz="0" w:space="0" w:color="auto"/>
        <w:bottom w:val="none" w:sz="0" w:space="0" w:color="auto"/>
        <w:right w:val="none" w:sz="0" w:space="0" w:color="auto"/>
      </w:divBdr>
    </w:div>
    <w:div w:id="655231892">
      <w:bodyDiv w:val="1"/>
      <w:marLeft w:val="0"/>
      <w:marRight w:val="0"/>
      <w:marTop w:val="0"/>
      <w:marBottom w:val="0"/>
      <w:divBdr>
        <w:top w:val="none" w:sz="0" w:space="0" w:color="auto"/>
        <w:left w:val="none" w:sz="0" w:space="0" w:color="auto"/>
        <w:bottom w:val="none" w:sz="0" w:space="0" w:color="auto"/>
        <w:right w:val="none" w:sz="0" w:space="0" w:color="auto"/>
      </w:divBdr>
    </w:div>
    <w:div w:id="715931787">
      <w:bodyDiv w:val="1"/>
      <w:marLeft w:val="0"/>
      <w:marRight w:val="0"/>
      <w:marTop w:val="0"/>
      <w:marBottom w:val="0"/>
      <w:divBdr>
        <w:top w:val="none" w:sz="0" w:space="0" w:color="auto"/>
        <w:left w:val="none" w:sz="0" w:space="0" w:color="auto"/>
        <w:bottom w:val="none" w:sz="0" w:space="0" w:color="auto"/>
        <w:right w:val="none" w:sz="0" w:space="0" w:color="auto"/>
      </w:divBdr>
    </w:div>
    <w:div w:id="724059631">
      <w:bodyDiv w:val="1"/>
      <w:marLeft w:val="0"/>
      <w:marRight w:val="0"/>
      <w:marTop w:val="0"/>
      <w:marBottom w:val="0"/>
      <w:divBdr>
        <w:top w:val="none" w:sz="0" w:space="0" w:color="auto"/>
        <w:left w:val="none" w:sz="0" w:space="0" w:color="auto"/>
        <w:bottom w:val="none" w:sz="0" w:space="0" w:color="auto"/>
        <w:right w:val="none" w:sz="0" w:space="0" w:color="auto"/>
      </w:divBdr>
    </w:div>
    <w:div w:id="773479851">
      <w:bodyDiv w:val="1"/>
      <w:marLeft w:val="0"/>
      <w:marRight w:val="0"/>
      <w:marTop w:val="0"/>
      <w:marBottom w:val="0"/>
      <w:divBdr>
        <w:top w:val="none" w:sz="0" w:space="0" w:color="auto"/>
        <w:left w:val="none" w:sz="0" w:space="0" w:color="auto"/>
        <w:bottom w:val="none" w:sz="0" w:space="0" w:color="auto"/>
        <w:right w:val="none" w:sz="0" w:space="0" w:color="auto"/>
      </w:divBdr>
    </w:div>
    <w:div w:id="850728937">
      <w:bodyDiv w:val="1"/>
      <w:marLeft w:val="0"/>
      <w:marRight w:val="0"/>
      <w:marTop w:val="0"/>
      <w:marBottom w:val="0"/>
      <w:divBdr>
        <w:top w:val="none" w:sz="0" w:space="0" w:color="auto"/>
        <w:left w:val="none" w:sz="0" w:space="0" w:color="auto"/>
        <w:bottom w:val="none" w:sz="0" w:space="0" w:color="auto"/>
        <w:right w:val="none" w:sz="0" w:space="0" w:color="auto"/>
      </w:divBdr>
    </w:div>
    <w:div w:id="958146637">
      <w:bodyDiv w:val="1"/>
      <w:marLeft w:val="0"/>
      <w:marRight w:val="0"/>
      <w:marTop w:val="0"/>
      <w:marBottom w:val="0"/>
      <w:divBdr>
        <w:top w:val="none" w:sz="0" w:space="0" w:color="auto"/>
        <w:left w:val="none" w:sz="0" w:space="0" w:color="auto"/>
        <w:bottom w:val="none" w:sz="0" w:space="0" w:color="auto"/>
        <w:right w:val="none" w:sz="0" w:space="0" w:color="auto"/>
      </w:divBdr>
    </w:div>
    <w:div w:id="1317495062">
      <w:bodyDiv w:val="1"/>
      <w:marLeft w:val="0"/>
      <w:marRight w:val="0"/>
      <w:marTop w:val="0"/>
      <w:marBottom w:val="0"/>
      <w:divBdr>
        <w:top w:val="none" w:sz="0" w:space="0" w:color="auto"/>
        <w:left w:val="none" w:sz="0" w:space="0" w:color="auto"/>
        <w:bottom w:val="none" w:sz="0" w:space="0" w:color="auto"/>
        <w:right w:val="none" w:sz="0" w:space="0" w:color="auto"/>
      </w:divBdr>
    </w:div>
    <w:div w:id="1360358321">
      <w:bodyDiv w:val="1"/>
      <w:marLeft w:val="0"/>
      <w:marRight w:val="0"/>
      <w:marTop w:val="0"/>
      <w:marBottom w:val="0"/>
      <w:divBdr>
        <w:top w:val="none" w:sz="0" w:space="0" w:color="auto"/>
        <w:left w:val="none" w:sz="0" w:space="0" w:color="auto"/>
        <w:bottom w:val="none" w:sz="0" w:space="0" w:color="auto"/>
        <w:right w:val="none" w:sz="0" w:space="0" w:color="auto"/>
      </w:divBdr>
    </w:div>
    <w:div w:id="1439447104">
      <w:bodyDiv w:val="1"/>
      <w:marLeft w:val="0"/>
      <w:marRight w:val="0"/>
      <w:marTop w:val="0"/>
      <w:marBottom w:val="0"/>
      <w:divBdr>
        <w:top w:val="none" w:sz="0" w:space="0" w:color="auto"/>
        <w:left w:val="none" w:sz="0" w:space="0" w:color="auto"/>
        <w:bottom w:val="none" w:sz="0" w:space="0" w:color="auto"/>
        <w:right w:val="none" w:sz="0" w:space="0" w:color="auto"/>
      </w:divBdr>
    </w:div>
    <w:div w:id="1654411582">
      <w:bodyDiv w:val="1"/>
      <w:marLeft w:val="0"/>
      <w:marRight w:val="0"/>
      <w:marTop w:val="0"/>
      <w:marBottom w:val="0"/>
      <w:divBdr>
        <w:top w:val="none" w:sz="0" w:space="0" w:color="auto"/>
        <w:left w:val="none" w:sz="0" w:space="0" w:color="auto"/>
        <w:bottom w:val="none" w:sz="0" w:space="0" w:color="auto"/>
        <w:right w:val="none" w:sz="0" w:space="0" w:color="auto"/>
      </w:divBdr>
    </w:div>
    <w:div w:id="1783725688">
      <w:bodyDiv w:val="1"/>
      <w:marLeft w:val="0"/>
      <w:marRight w:val="0"/>
      <w:marTop w:val="0"/>
      <w:marBottom w:val="0"/>
      <w:divBdr>
        <w:top w:val="none" w:sz="0" w:space="0" w:color="auto"/>
        <w:left w:val="none" w:sz="0" w:space="0" w:color="auto"/>
        <w:bottom w:val="none" w:sz="0" w:space="0" w:color="auto"/>
        <w:right w:val="none" w:sz="0" w:space="0" w:color="auto"/>
      </w:divBdr>
    </w:div>
    <w:div w:id="1811097566">
      <w:bodyDiv w:val="1"/>
      <w:marLeft w:val="0"/>
      <w:marRight w:val="0"/>
      <w:marTop w:val="0"/>
      <w:marBottom w:val="0"/>
      <w:divBdr>
        <w:top w:val="none" w:sz="0" w:space="0" w:color="auto"/>
        <w:left w:val="none" w:sz="0" w:space="0" w:color="auto"/>
        <w:bottom w:val="none" w:sz="0" w:space="0" w:color="auto"/>
        <w:right w:val="none" w:sz="0" w:space="0" w:color="auto"/>
      </w:divBdr>
    </w:div>
    <w:div w:id="1838114937">
      <w:bodyDiv w:val="1"/>
      <w:marLeft w:val="0"/>
      <w:marRight w:val="0"/>
      <w:marTop w:val="0"/>
      <w:marBottom w:val="0"/>
      <w:divBdr>
        <w:top w:val="none" w:sz="0" w:space="0" w:color="auto"/>
        <w:left w:val="none" w:sz="0" w:space="0" w:color="auto"/>
        <w:bottom w:val="none" w:sz="0" w:space="0" w:color="auto"/>
        <w:right w:val="none" w:sz="0" w:space="0" w:color="auto"/>
      </w:divBdr>
    </w:div>
    <w:div w:id="1957716598">
      <w:bodyDiv w:val="1"/>
      <w:marLeft w:val="0"/>
      <w:marRight w:val="0"/>
      <w:marTop w:val="0"/>
      <w:marBottom w:val="0"/>
      <w:divBdr>
        <w:top w:val="none" w:sz="0" w:space="0" w:color="auto"/>
        <w:left w:val="none" w:sz="0" w:space="0" w:color="auto"/>
        <w:bottom w:val="none" w:sz="0" w:space="0" w:color="auto"/>
        <w:right w:val="none" w:sz="0" w:space="0" w:color="auto"/>
      </w:divBdr>
    </w:div>
    <w:div w:id="2013680957">
      <w:bodyDiv w:val="1"/>
      <w:marLeft w:val="0"/>
      <w:marRight w:val="0"/>
      <w:marTop w:val="0"/>
      <w:marBottom w:val="0"/>
      <w:divBdr>
        <w:top w:val="none" w:sz="0" w:space="0" w:color="auto"/>
        <w:left w:val="none" w:sz="0" w:space="0" w:color="auto"/>
        <w:bottom w:val="none" w:sz="0" w:space="0" w:color="auto"/>
        <w:right w:val="none" w:sz="0" w:space="0" w:color="auto"/>
      </w:divBdr>
    </w:div>
    <w:div w:id="2099673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135564" TargetMode="External"/><Relationship Id="rId13" Type="http://schemas.openxmlformats.org/officeDocument/2006/relationships/hyperlink" Target="https://doi.org/10.1177/0149206313493325" TargetMode="External"/><Relationship Id="rId3" Type="http://schemas.openxmlformats.org/officeDocument/2006/relationships/webSettings" Target="webSettings.xml"/><Relationship Id="rId7" Type="http://schemas.openxmlformats.org/officeDocument/2006/relationships/hyperlink" Target="https://oll.libertyfund.org/title/knight-risk-uncertainty-and-profit" TargetMode="External"/><Relationship Id="rId12" Type="http://schemas.openxmlformats.org/officeDocument/2006/relationships/hyperlink" Target="https://doi.org/10.1111/j.1540-6520.2011.00471.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hmj.2019.03.001" TargetMode="External"/><Relationship Id="rId11" Type="http://schemas.openxmlformats.org/officeDocument/2006/relationships/hyperlink" Target="https://doi.org/10.5465/amr.2000.2791611" TargetMode="External"/><Relationship Id="rId5" Type="http://schemas.openxmlformats.org/officeDocument/2006/relationships/hyperlink" Target="https://doi.org/10.1002/sej.12" TargetMode="External"/><Relationship Id="rId15" Type="http://schemas.openxmlformats.org/officeDocument/2006/relationships/theme" Target="theme/theme1.xml"/><Relationship Id="rId10" Type="http://schemas.openxmlformats.org/officeDocument/2006/relationships/hyperlink" Target="https://doi.org/10.1080/13594320701595438" TargetMode="External"/><Relationship Id="rId4" Type="http://schemas.openxmlformats.org/officeDocument/2006/relationships/hyperlink" Target="https://doi.org/10.1037/0021-9010.89.4.587" TargetMode="External"/><Relationship Id="rId9" Type="http://schemas.openxmlformats.org/officeDocument/2006/relationships/hyperlink" Target="https://doi.org/10.1017/S000768052000040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shereen garraghan</cp:lastModifiedBy>
  <cp:revision>3</cp:revision>
  <dcterms:created xsi:type="dcterms:W3CDTF">2024-10-12T16:07:00Z</dcterms:created>
  <dcterms:modified xsi:type="dcterms:W3CDTF">2024-10-21T16:09:00Z</dcterms:modified>
</cp:coreProperties>
</file>